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DCB627" w14:textId="32B60E83" w:rsidR="00302B9A" w:rsidRPr="00AB24DC" w:rsidRDefault="00AB24DC" w:rsidP="00AB24DC">
      <w:pPr>
        <w:spacing w:line="480" w:lineRule="auto"/>
        <w:jc w:val="center"/>
        <w:rPr>
          <w:rFonts w:ascii="Arial" w:hAnsi="Arial"/>
          <w:color w:val="000000"/>
          <w:u w:val="single"/>
        </w:rPr>
      </w:pPr>
      <w:r w:rsidRPr="00AB24DC">
        <w:rPr>
          <w:rFonts w:ascii="Arial" w:hAnsi="Arial"/>
          <w:color w:val="000000"/>
          <w:u w:val="single"/>
        </w:rPr>
        <w:t>Creative Reflective Essay</w:t>
      </w:r>
      <w:r w:rsidRPr="00AB24DC">
        <w:rPr>
          <w:rFonts w:ascii="Arial" w:hAnsi="Arial"/>
          <w:color w:val="000000"/>
        </w:rPr>
        <w:t xml:space="preserve">        </w:t>
      </w:r>
      <w:r w:rsidRPr="00AB24DC">
        <w:rPr>
          <w:rFonts w:ascii="Arial" w:hAnsi="Arial"/>
          <w:color w:val="000000"/>
        </w:rPr>
        <w:t>by Richard Sylvan</w:t>
      </w:r>
    </w:p>
    <w:p w14:paraId="52DCB628" w14:textId="77777777" w:rsidR="00302B9A" w:rsidRPr="00AB24DC" w:rsidRDefault="00302B9A" w:rsidP="00AB24DC">
      <w:pPr>
        <w:spacing w:line="480" w:lineRule="auto"/>
        <w:rPr>
          <w:rFonts w:ascii="Arial" w:hAnsi="Arial"/>
          <w:color w:val="000000"/>
          <w:u w:val="single"/>
        </w:rPr>
      </w:pPr>
    </w:p>
    <w:p w14:paraId="52DCB629" w14:textId="79D69E59" w:rsidR="00302B9A" w:rsidRPr="00AB24DC" w:rsidRDefault="00AB24DC" w:rsidP="00AB24DC">
      <w:pPr>
        <w:spacing w:line="480" w:lineRule="auto"/>
        <w:rPr>
          <w:rFonts w:ascii="Arial" w:hAnsi="Arial"/>
        </w:rPr>
      </w:pPr>
      <w:r w:rsidRPr="00AB24DC">
        <w:rPr>
          <w:rFonts w:ascii="Arial" w:hAnsi="Arial"/>
          <w:color w:val="000000"/>
        </w:rPr>
        <w:t>In this essay I will discuss how I have used narrative voice and dialogue in ‘</w:t>
      </w:r>
      <w:r w:rsidRPr="00AB24DC">
        <w:rPr>
          <w:rFonts w:ascii="Arial" w:hAnsi="Arial"/>
          <w:color w:val="000000"/>
        </w:rPr>
        <w:t>Unearthed’</w:t>
      </w:r>
      <w:r w:rsidRPr="00AB24DC">
        <w:rPr>
          <w:rFonts w:ascii="Arial" w:hAnsi="Arial"/>
          <w:color w:val="000000"/>
        </w:rPr>
        <w:t>, a magical realist short story. I will examine my story’s central co</w:t>
      </w:r>
      <w:r w:rsidRPr="00AB24DC">
        <w:rPr>
          <w:rFonts w:ascii="Arial" w:hAnsi="Arial"/>
          <w:color w:val="000000"/>
        </w:rPr>
        <w:t>nceit, the use of the second-person perspective in the present tense to conjure an out-of-body experience for the reader. Monika</w:t>
      </w:r>
      <w:r w:rsidRPr="00AB24DC">
        <w:rPr>
          <w:rFonts w:ascii="Arial" w:hAnsi="Arial"/>
          <w:color w:val="000000"/>
        </w:rPr>
        <w:t xml:space="preserve"> </w:t>
      </w:r>
      <w:r w:rsidRPr="00AB24DC">
        <w:rPr>
          <w:rFonts w:ascii="Arial" w:hAnsi="Arial"/>
          <w:color w:val="000000"/>
        </w:rPr>
        <w:t xml:space="preserve">Fludernik’s </w:t>
      </w:r>
      <w:r w:rsidRPr="00AB24DC">
        <w:rPr>
          <w:rFonts w:ascii="Arial" w:hAnsi="Arial"/>
          <w:i/>
          <w:iCs/>
          <w:color w:val="000000"/>
        </w:rPr>
        <w:t>Second-Person Narrative: A Bibliography</w:t>
      </w:r>
      <w:r w:rsidRPr="00AB24DC">
        <w:rPr>
          <w:rFonts w:ascii="Arial" w:hAnsi="Arial"/>
          <w:color w:val="000000"/>
        </w:rPr>
        <w:t>, shows that second-person narration is a relatively modern mode for writers</w:t>
      </w:r>
      <w:r w:rsidRPr="00AB24DC">
        <w:rPr>
          <w:rFonts w:ascii="Arial" w:hAnsi="Arial"/>
          <w:color w:val="000000"/>
        </w:rPr>
        <w:t>, with few examples in novels until the mid-20th century. The short story, ‘</w:t>
      </w:r>
      <w:r w:rsidRPr="00AB24DC">
        <w:rPr>
          <w:rStyle w:val="StrongEmphasis"/>
          <w:rFonts w:ascii="Arial" w:hAnsi="Arial"/>
          <w:b w:val="0"/>
          <w:bCs w:val="0"/>
          <w:color w:val="000000"/>
        </w:rPr>
        <w:t>if a book is locked there’s probably a good reason for that, don’t you think’, by Helen Oyeyemi</w:t>
      </w:r>
      <w:r w:rsidRPr="00AB24DC">
        <w:rPr>
          <w:rStyle w:val="StrongEmphasis"/>
          <w:rFonts w:ascii="Arial" w:hAnsi="Arial"/>
          <w:b w:val="0"/>
          <w:color w:val="000000"/>
        </w:rPr>
        <w:t xml:space="preserve"> is a masterful</w:t>
      </w:r>
      <w:r w:rsidRPr="00AB24DC">
        <w:rPr>
          <w:rFonts w:ascii="Arial" w:hAnsi="Arial"/>
          <w:color w:val="000000"/>
        </w:rPr>
        <w:t xml:space="preserve"> example of the form</w:t>
      </w:r>
      <w:r w:rsidRPr="00AB24DC">
        <w:rPr>
          <w:rFonts w:ascii="Arial" w:hAnsi="Arial"/>
          <w:color w:val="000000"/>
        </w:rPr>
        <w:t xml:space="preserve"> I had chosen, but with a key difference. The plot of </w:t>
      </w:r>
      <w:r>
        <w:rPr>
          <w:rFonts w:ascii="Arial" w:hAnsi="Arial"/>
          <w:color w:val="000000"/>
        </w:rPr>
        <w:t>‘</w:t>
      </w:r>
      <w:r w:rsidRPr="00AB24DC">
        <w:rPr>
          <w:rFonts w:ascii="Arial" w:hAnsi="Arial"/>
          <w:color w:val="000000"/>
        </w:rPr>
        <w:t>Unearthed</w:t>
      </w:r>
      <w:r>
        <w:rPr>
          <w:rFonts w:ascii="Arial" w:hAnsi="Arial"/>
          <w:color w:val="000000"/>
        </w:rPr>
        <w:t>’</w:t>
      </w:r>
      <w:r w:rsidRPr="00AB24DC">
        <w:rPr>
          <w:rFonts w:ascii="Arial" w:hAnsi="Arial"/>
          <w:color w:val="000000"/>
        </w:rPr>
        <w:t xml:space="preserve"> includes a type of telepathy in which the host characters’ thoughts become dominant. To embody these shifts I chose to narrate the supporting characters direct internal thoughts in the first-p</w:t>
      </w:r>
      <w:r w:rsidRPr="00AB24DC">
        <w:rPr>
          <w:rFonts w:ascii="Arial" w:hAnsi="Arial"/>
          <w:color w:val="000000"/>
        </w:rPr>
        <w:t xml:space="preserve">erson, like Virginia Woolf’s soliloquies in </w:t>
      </w:r>
      <w:r w:rsidRPr="00AB24DC">
        <w:rPr>
          <w:rFonts w:ascii="Arial" w:hAnsi="Arial"/>
          <w:i/>
          <w:iCs/>
          <w:color w:val="000000"/>
        </w:rPr>
        <w:t>The Waves</w:t>
      </w:r>
      <w:r w:rsidRPr="00AB24DC">
        <w:rPr>
          <w:rFonts w:ascii="Arial" w:hAnsi="Arial"/>
          <w:color w:val="000000"/>
        </w:rPr>
        <w:t>. I will share the inspiration for the characters and setting and reveal how I moved between action, evaluation and investigation to develop the story, supporting my observations with creative and reflec</w:t>
      </w:r>
      <w:r w:rsidRPr="00AB24DC">
        <w:rPr>
          <w:rFonts w:ascii="Arial" w:hAnsi="Arial"/>
          <w:color w:val="000000"/>
        </w:rPr>
        <w:t>tive examples from my own and others work. Throughout this essay I will show how I had ‘</w:t>
      </w:r>
      <w:r w:rsidRPr="00AB24DC">
        <w:rPr>
          <w:rFonts w:ascii="Arial" w:hAnsi="Arial"/>
          <w:color w:val="000000"/>
        </w:rPr>
        <w:t>to look, intensively</w:t>
      </w:r>
      <w:r w:rsidRPr="00AB24DC">
        <w:rPr>
          <w:rFonts w:ascii="Arial" w:hAnsi="Arial"/>
          <w:i/>
          <w:iCs/>
          <w:color w:val="000000"/>
        </w:rPr>
        <w:t>’</w:t>
      </w:r>
      <w:r w:rsidRPr="00AB24DC">
        <w:rPr>
          <w:rFonts w:ascii="Arial" w:hAnsi="Arial"/>
          <w:color w:val="000000"/>
        </w:rPr>
        <w:t xml:space="preserve"> (to use Jen Webb’s etymological definition of research) at</w:t>
      </w:r>
      <w:r w:rsidRPr="00AB24DC">
        <w:rPr>
          <w:rFonts w:ascii="Arial" w:hAnsi="Arial"/>
          <w:i/>
          <w:iCs/>
          <w:color w:val="000000"/>
        </w:rPr>
        <w:t xml:space="preserve"> </w:t>
      </w:r>
      <w:r w:rsidRPr="00AB24DC">
        <w:rPr>
          <w:rFonts w:ascii="Arial" w:hAnsi="Arial"/>
          <w:color w:val="000000"/>
        </w:rPr>
        <w:t>the processes and techniques of creative writing in order to overcome some of the chall</w:t>
      </w:r>
      <w:r w:rsidRPr="00AB24DC">
        <w:rPr>
          <w:rFonts w:ascii="Arial" w:hAnsi="Arial"/>
          <w:color w:val="000000"/>
        </w:rPr>
        <w:t>enges I encountered whilst crafting Unearthed.</w:t>
      </w:r>
      <w:r w:rsidRPr="00AB24DC">
        <w:rPr>
          <w:rStyle w:val="FootnoteAnchor"/>
          <w:rFonts w:ascii="Arial" w:hAnsi="Arial"/>
          <w:color w:val="000000"/>
        </w:rPr>
        <w:footnoteReference w:id="1"/>
      </w:r>
      <w:r w:rsidRPr="00AB24DC">
        <w:rPr>
          <w:rFonts w:ascii="Arial" w:hAnsi="Arial"/>
          <w:color w:val="000000"/>
        </w:rPr>
        <w:t xml:space="preserve">  </w:t>
      </w:r>
    </w:p>
    <w:p w14:paraId="52DCB62A" w14:textId="77777777" w:rsidR="00302B9A" w:rsidRPr="00AB24DC" w:rsidRDefault="00AB24DC" w:rsidP="00AB24DC">
      <w:pPr>
        <w:spacing w:line="480" w:lineRule="auto"/>
        <w:rPr>
          <w:rFonts w:ascii="Arial" w:hAnsi="Arial"/>
        </w:rPr>
      </w:pPr>
      <w:r w:rsidRPr="00AB24DC">
        <w:rPr>
          <w:rFonts w:ascii="Arial" w:hAnsi="Arial"/>
          <w:color w:val="000000"/>
        </w:rPr>
        <w:tab/>
        <w:t>The urge to explore the emotional terrain of inner landscapes was seeded by an idea I had jotted down in my creative notebook. It was a metaphor of a hollow oak which could represent grief as a catalyst f</w:t>
      </w:r>
      <w:r w:rsidRPr="00AB24DC">
        <w:rPr>
          <w:rFonts w:ascii="Arial" w:hAnsi="Arial"/>
          <w:color w:val="000000"/>
        </w:rPr>
        <w:t>or personal growth, for as oaks</w:t>
      </w:r>
      <w:r w:rsidRPr="00AB24DC">
        <w:rPr>
          <w:rFonts w:ascii="Arial" w:hAnsi="Arial"/>
          <w:color w:val="000000"/>
        </w:rPr>
        <w:t xml:space="preserve"> ‘grow larger and age, they provide additional niches for yet other organisms to exploit’.</w:t>
      </w:r>
      <w:r w:rsidRPr="00AB24DC">
        <w:rPr>
          <w:rStyle w:val="FootnoteAnchor"/>
          <w:rFonts w:ascii="Arial" w:hAnsi="Arial"/>
          <w:color w:val="000000"/>
        </w:rPr>
        <w:footnoteReference w:id="2"/>
      </w:r>
      <w:r w:rsidRPr="00AB24DC">
        <w:rPr>
          <w:rFonts w:ascii="Arial" w:hAnsi="Arial"/>
          <w:color w:val="000000"/>
        </w:rPr>
        <w:t xml:space="preserve"> This idea grew into</w:t>
      </w:r>
      <w:r w:rsidRPr="00AB24DC">
        <w:rPr>
          <w:rFonts w:ascii="Arial" w:hAnsi="Arial"/>
          <w:color w:val="000000"/>
        </w:rPr>
        <w:t xml:space="preserve"> the character Dera. In a writing workshop a fellow student presented a first draft sequence of monologues locate</w:t>
      </w:r>
      <w:r w:rsidRPr="00AB24DC">
        <w:rPr>
          <w:rFonts w:ascii="Arial" w:hAnsi="Arial"/>
          <w:color w:val="000000"/>
        </w:rPr>
        <w:t>d in a festival marquee, which inspired the setting for my story. I identify with festival culture and have experiential knowledge of the diverse beliefs held by mem</w:t>
      </w:r>
      <w:r w:rsidRPr="00AB24DC">
        <w:rPr>
          <w:rFonts w:ascii="Arial" w:hAnsi="Arial"/>
          <w:color w:val="000000"/>
        </w:rPr>
        <w:lastRenderedPageBreak/>
        <w:t>bers of the new-age community, so I had confidence that I could represent people in this gr</w:t>
      </w:r>
      <w:r w:rsidRPr="00AB24DC">
        <w:rPr>
          <w:rFonts w:ascii="Arial" w:hAnsi="Arial"/>
          <w:color w:val="000000"/>
        </w:rPr>
        <w:t>oup authentically. The festival location of Unearthed is unspecified, like the Celtic island in Claire Wigfall’s short story, ‘The Numbers’. This approach allows the reader to apply their own preconceptions to the setting, and yet allows authors to sideste</w:t>
      </w:r>
      <w:r w:rsidRPr="00AB24DC">
        <w:rPr>
          <w:rFonts w:ascii="Arial" w:hAnsi="Arial"/>
          <w:color w:val="000000"/>
        </w:rPr>
        <w:t>p accusations of misrepresentation or inaccuracy.</w:t>
      </w:r>
    </w:p>
    <w:p w14:paraId="52DCB62B" w14:textId="77777777" w:rsidR="00302B9A" w:rsidRPr="00AB24DC" w:rsidRDefault="00AB24DC" w:rsidP="00AB24DC">
      <w:pPr>
        <w:spacing w:line="480" w:lineRule="auto"/>
        <w:rPr>
          <w:rFonts w:ascii="Arial" w:hAnsi="Arial"/>
        </w:rPr>
      </w:pPr>
      <w:r w:rsidRPr="00AB24DC">
        <w:rPr>
          <w:rFonts w:ascii="Arial" w:hAnsi="Arial"/>
          <w:color w:val="000000"/>
        </w:rPr>
        <w:tab/>
      </w:r>
      <w:r w:rsidRPr="00AB24DC">
        <w:rPr>
          <w:rFonts w:ascii="Arial" w:hAnsi="Arial"/>
          <w:color w:val="000000"/>
        </w:rPr>
        <w:t>I investigated different approaches to writing self in autobiographies, such as ‘</w:t>
      </w:r>
      <w:r w:rsidRPr="00AB24DC">
        <w:rPr>
          <w:rFonts w:ascii="Arial" w:hAnsi="Arial"/>
          <w:color w:val="000000"/>
        </w:rPr>
        <w:t>My Struggle: Book 1’ by Karl Ove Knausgaard</w:t>
      </w:r>
      <w:r w:rsidRPr="00AB24DC">
        <w:rPr>
          <w:rFonts w:ascii="Arial" w:hAnsi="Arial"/>
          <w:color w:val="000000"/>
        </w:rPr>
        <w:t xml:space="preserve"> </w:t>
      </w:r>
      <w:r w:rsidRPr="00AB24DC">
        <w:rPr>
          <w:rFonts w:ascii="Arial" w:hAnsi="Arial"/>
          <w:color w:val="000000"/>
        </w:rPr>
        <w:t>and essays, such as David Sadaris’s ‘Go Carolina’. These examples deftly combine</w:t>
      </w:r>
      <w:r w:rsidRPr="00AB24DC">
        <w:rPr>
          <w:rFonts w:ascii="Arial" w:hAnsi="Arial"/>
          <w:color w:val="000000"/>
        </w:rPr>
        <w:t>d the first-person narrative voice with dialogue. I wanted to emulate a range of these authors’ techniques, to craft unique voices. Through a process of submersion or ‘non-reflective action’, I allowed myself to improvise their internal thoughts and reacti</w:t>
      </w:r>
      <w:r w:rsidRPr="00AB24DC">
        <w:rPr>
          <w:rFonts w:ascii="Arial" w:hAnsi="Arial"/>
          <w:color w:val="000000"/>
        </w:rPr>
        <w:t>ons intuitively.</w:t>
      </w:r>
      <w:r w:rsidRPr="00AB24DC">
        <w:rPr>
          <w:rStyle w:val="FootnoteAnchor"/>
          <w:rFonts w:ascii="Arial" w:hAnsi="Arial"/>
          <w:color w:val="000000"/>
        </w:rPr>
        <w:footnoteReference w:id="3"/>
      </w:r>
      <w:r w:rsidRPr="00AB24DC">
        <w:rPr>
          <w:rFonts w:ascii="Arial" w:hAnsi="Arial"/>
          <w:color w:val="000000"/>
        </w:rPr>
        <w:t xml:space="preserve"> Once I had begun to elucidate their personal stories and beliefs, I could then redraft and edit the text to exemplify their idiosyncratic diction and syntax, and further the narrative arc. For example, when Raven thinks, ‘</w:t>
      </w:r>
      <w:r w:rsidRPr="00AB24DC">
        <w:rPr>
          <w:rFonts w:ascii="Arial" w:hAnsi="Arial"/>
          <w:color w:val="000000"/>
        </w:rPr>
        <w:t>Dear goddess! I</w:t>
      </w:r>
      <w:r w:rsidRPr="00AB24DC">
        <w:rPr>
          <w:rFonts w:ascii="Arial" w:hAnsi="Arial"/>
          <w:color w:val="000000"/>
        </w:rPr>
        <w:t xml:space="preserve">f this traveller knew Dera like I do’, it reveals clues to her beliefs and establishes their pre-existing relationship. I took notice of </w:t>
      </w:r>
      <w:r w:rsidRPr="00AB24DC">
        <w:rPr>
          <w:rFonts w:ascii="Arial" w:hAnsi="Arial"/>
          <w:color w:val="000000"/>
        </w:rPr>
        <w:t>Bronwen Thomas’s observation that when crafting dialogue ‘[i]</w:t>
      </w:r>
      <w:r w:rsidRPr="00AB24DC">
        <w:rPr>
          <w:rFonts w:ascii="Arial" w:hAnsi="Arial"/>
          <w:color w:val="000000"/>
        </w:rPr>
        <w:t xml:space="preserve">n prose fiction, typographical devices such as </w:t>
      </w:r>
      <w:r w:rsidRPr="00AB24DC">
        <w:rPr>
          <w:rFonts w:ascii="Arial" w:hAnsi="Arial"/>
          <w:color w:val="000000"/>
        </w:rPr>
        <w:t>quotation marks, italics, paragraphing, and indentation serve to frame the speech of fictional characters’; so I tailored the</w:t>
      </w:r>
      <w:r w:rsidRPr="00AB24DC">
        <w:rPr>
          <w:rFonts w:ascii="Arial" w:hAnsi="Arial"/>
          <w:color w:val="000000"/>
        </w:rPr>
        <w:t xml:space="preserve"> framing of each supporting characters inner voice to represent their own nuances and intonation.</w:t>
      </w:r>
      <w:r w:rsidRPr="00AB24DC">
        <w:rPr>
          <w:rStyle w:val="FootnoteAnchor"/>
          <w:rFonts w:ascii="Arial" w:hAnsi="Arial"/>
          <w:color w:val="000000"/>
        </w:rPr>
        <w:footnoteReference w:id="4"/>
      </w:r>
      <w:r w:rsidRPr="00AB24DC">
        <w:rPr>
          <w:rFonts w:ascii="Arial" w:hAnsi="Arial"/>
          <w:color w:val="000000"/>
        </w:rPr>
        <w:t xml:space="preserve"> </w:t>
      </w:r>
      <w:r w:rsidRPr="00AB24DC">
        <w:rPr>
          <w:rFonts w:ascii="Arial" w:hAnsi="Arial"/>
          <w:color w:val="000000"/>
        </w:rPr>
        <w:tab/>
        <w:t>The workshop feedback I receiv</w:t>
      </w:r>
      <w:r w:rsidRPr="00AB24DC">
        <w:rPr>
          <w:rFonts w:ascii="Arial" w:hAnsi="Arial"/>
          <w:color w:val="000000"/>
        </w:rPr>
        <w:t>ed for the first draft of this story suggested it was ‘a puzzle’, ‘an acid trip’ or at best ‘an ambitious concept’. I needed to investigate how to bring clarity to the plot and enjoyment to the reader, despite the conflicting nature of the second-person pe</w:t>
      </w:r>
      <w:r w:rsidRPr="00AB24DC">
        <w:rPr>
          <w:rFonts w:ascii="Arial" w:hAnsi="Arial"/>
          <w:color w:val="000000"/>
        </w:rPr>
        <w:t>rspective which can generate feelings of both intimacy and distance. The</w:t>
      </w:r>
      <w:r w:rsidRPr="00AB24DC">
        <w:rPr>
          <w:rStyle w:val="Emphasis"/>
          <w:rFonts w:ascii="Arial" w:hAnsi="Arial"/>
          <w:i w:val="0"/>
          <w:color w:val="000000"/>
        </w:rPr>
        <w:t xml:space="preserve"> earliest examples I could find of this conflicting mode in a novel were, ‘The Haunted Mind’ by </w:t>
      </w:r>
      <w:r w:rsidRPr="00AB24DC">
        <w:rPr>
          <w:rStyle w:val="Emphasis"/>
          <w:rFonts w:ascii="Arial" w:hAnsi="Arial"/>
          <w:i w:val="0"/>
          <w:color w:val="000000"/>
        </w:rPr>
        <w:t xml:space="preserve">Nathaniel Hawthorne, first published in 1835, and Rex Stout’s 1929 speculative </w:t>
      </w:r>
      <w:r w:rsidRPr="00AB24DC">
        <w:rPr>
          <w:rStyle w:val="Emphasis"/>
          <w:rFonts w:ascii="Arial" w:hAnsi="Arial"/>
          <w:i w:val="0"/>
          <w:color w:val="000000"/>
        </w:rPr>
        <w:lastRenderedPageBreak/>
        <w:t xml:space="preserve">fiction </w:t>
      </w:r>
      <w:r w:rsidRPr="00AB24DC">
        <w:rPr>
          <w:rStyle w:val="Emphasis"/>
          <w:rFonts w:ascii="Arial" w:hAnsi="Arial"/>
          <w:color w:val="000000"/>
        </w:rPr>
        <w:t>H</w:t>
      </w:r>
      <w:r w:rsidRPr="00AB24DC">
        <w:rPr>
          <w:rStyle w:val="Emphasis"/>
          <w:rFonts w:ascii="Arial" w:hAnsi="Arial"/>
          <w:color w:val="000000"/>
        </w:rPr>
        <w:t>ow Like a God</w:t>
      </w:r>
      <w:r w:rsidRPr="00AB24DC">
        <w:rPr>
          <w:rStyle w:val="Emphasis"/>
          <w:rFonts w:ascii="Arial" w:hAnsi="Arial"/>
          <w:i w:val="0"/>
          <w:iCs w:val="0"/>
          <w:color w:val="000000"/>
        </w:rPr>
        <w:t>; this line from the latter,</w:t>
      </w:r>
      <w:r w:rsidRPr="00AB24DC">
        <w:rPr>
          <w:rStyle w:val="Emphasis"/>
          <w:rFonts w:ascii="Arial" w:hAnsi="Arial"/>
          <w:i w:val="0"/>
          <w:color w:val="000000"/>
        </w:rPr>
        <w:t xml:space="preserve"> </w:t>
      </w:r>
      <w:r w:rsidRPr="00AB24DC">
        <w:rPr>
          <w:rFonts w:ascii="Arial" w:hAnsi="Arial"/>
          <w:color w:val="000000"/>
        </w:rPr>
        <w:t>‘Yet nobody suspects that you are aware of multiple personalities within your body, and that your head is full of voices’,</w:t>
      </w:r>
      <w:r w:rsidRPr="00AB24DC">
        <w:rPr>
          <w:rStyle w:val="Emphasis"/>
          <w:rFonts w:ascii="Arial" w:hAnsi="Arial"/>
          <w:i w:val="0"/>
          <w:color w:val="000000"/>
        </w:rPr>
        <w:t xml:space="preserve"> illustrates how the second-person narrative voice has been used to explore the theme of int</w:t>
      </w:r>
      <w:r w:rsidRPr="00AB24DC">
        <w:rPr>
          <w:rStyle w:val="Emphasis"/>
          <w:rFonts w:ascii="Arial" w:hAnsi="Arial"/>
          <w:i w:val="0"/>
          <w:color w:val="000000"/>
        </w:rPr>
        <w:t>ernal dislocation.</w:t>
      </w:r>
      <w:r w:rsidRPr="00AB24DC">
        <w:rPr>
          <w:rStyle w:val="FootnoteAnchor"/>
          <w:rFonts w:ascii="Arial" w:hAnsi="Arial"/>
          <w:color w:val="000000"/>
        </w:rPr>
        <w:footnoteReference w:id="5"/>
      </w:r>
      <w:r w:rsidRPr="00AB24DC">
        <w:rPr>
          <w:rStyle w:val="Emphasis"/>
          <w:rFonts w:ascii="Arial" w:hAnsi="Arial"/>
          <w:i w:val="0"/>
          <w:color w:val="000000"/>
        </w:rPr>
        <w:t xml:space="preserve"> </w:t>
      </w:r>
      <w:r w:rsidRPr="00AB24DC">
        <w:rPr>
          <w:rFonts w:ascii="Arial" w:hAnsi="Arial"/>
          <w:color w:val="000000"/>
        </w:rPr>
        <w:t>Having reassured myself with this research that my central premise was worth pursuing, I focused my efforts on crafting exposition seamlessly into the narrative parameters I had established. I also acted on the suggestion of another st</w:t>
      </w:r>
      <w:r w:rsidRPr="00AB24DC">
        <w:rPr>
          <w:rFonts w:ascii="Arial" w:hAnsi="Arial"/>
          <w:color w:val="000000"/>
        </w:rPr>
        <w:t xml:space="preserve">udent and used Raven’s voice to guide the reader’s understanding of the physics of astral projection. The naive protagonist enabled me to teach the reader through the means of Raven’s advice. </w:t>
      </w:r>
    </w:p>
    <w:p w14:paraId="52DCB62C" w14:textId="77777777" w:rsidR="00302B9A" w:rsidRPr="00AB24DC" w:rsidRDefault="00AB24DC" w:rsidP="00AB24DC">
      <w:pPr>
        <w:spacing w:line="480" w:lineRule="auto"/>
        <w:rPr>
          <w:rFonts w:ascii="Arial" w:hAnsi="Arial"/>
          <w:color w:val="000000"/>
        </w:rPr>
      </w:pPr>
      <w:r w:rsidRPr="00AB24DC">
        <w:rPr>
          <w:rFonts w:ascii="Arial" w:hAnsi="Arial"/>
          <w:color w:val="000000"/>
        </w:rPr>
        <w:tab/>
        <w:t>The story arc contained confusing transitions, between the phy</w:t>
      </w:r>
      <w:r w:rsidRPr="00AB24DC">
        <w:rPr>
          <w:rFonts w:ascii="Arial" w:hAnsi="Arial"/>
          <w:color w:val="000000"/>
        </w:rPr>
        <w:t>sical and astral realms, between the astral and internal landscapes, and between the shifting forms and awareness of the protagonist. To guide the reader on a journey through these physical and astral landscapes, I began to construct bridging paragraphs in</w:t>
      </w:r>
      <w:r w:rsidRPr="00AB24DC">
        <w:rPr>
          <w:rFonts w:ascii="Arial" w:hAnsi="Arial"/>
          <w:color w:val="000000"/>
        </w:rPr>
        <w:t xml:space="preserve"> the second-person narration and add page breaks between perspective shifts. Next, I re-scripted the telepathic dialogues, internal monologues and reported speech to incorporate further exposition that was needed to make the piece coherent, whilst avoiding</w:t>
      </w:r>
      <w:r w:rsidRPr="00AB24DC">
        <w:rPr>
          <w:rFonts w:ascii="Arial" w:hAnsi="Arial"/>
          <w:color w:val="000000"/>
        </w:rPr>
        <w:t xml:space="preserve"> the need to change tense or add an omniscient narrator. Then I began to examine my syntax and imagery in more detail. I added parallelisms including, ‘</w:t>
      </w:r>
      <w:r w:rsidRPr="00AB24DC">
        <w:rPr>
          <w:rFonts w:ascii="Arial" w:hAnsi="Arial"/>
          <w:color w:val="000000"/>
          <w:highlight w:val="white"/>
        </w:rPr>
        <w:t xml:space="preserve">deaf to you, blind to you and infected’, which in this case was deliberately broken to generate unease. </w:t>
      </w:r>
      <w:r w:rsidRPr="00AB24DC">
        <w:rPr>
          <w:rFonts w:ascii="Arial" w:hAnsi="Arial"/>
          <w:color w:val="000000"/>
          <w:highlight w:val="white"/>
        </w:rPr>
        <w:t>I added</w:t>
      </w:r>
      <w:r w:rsidRPr="00AB24DC">
        <w:rPr>
          <w:rFonts w:ascii="Arial" w:hAnsi="Arial"/>
          <w:color w:val="000000"/>
        </w:rPr>
        <w:t xml:space="preserve"> concrete imagery like the sibilant, ‘</w:t>
      </w:r>
      <w:r w:rsidRPr="00AB24DC">
        <w:rPr>
          <w:rFonts w:ascii="Arial" w:hAnsi="Arial"/>
          <w:color w:val="000000"/>
          <w:highlight w:val="white"/>
        </w:rPr>
        <w:t>suckers are the size of satellite dishes’ and I created structured frames such as the humorous, mirrored stanzas in Ragesh’s soliloquy</w:t>
      </w:r>
      <w:r w:rsidRPr="00AB24DC">
        <w:rPr>
          <w:rFonts w:ascii="Arial" w:hAnsi="Arial"/>
          <w:color w:val="000000"/>
        </w:rPr>
        <w:t>. These techniques, carried over from poetry, help to captivate the reader, s</w:t>
      </w:r>
      <w:r w:rsidRPr="00AB24DC">
        <w:rPr>
          <w:rFonts w:ascii="Arial" w:hAnsi="Arial"/>
          <w:color w:val="000000"/>
        </w:rPr>
        <w:t>o they can enjoy the journey.</w:t>
      </w:r>
    </w:p>
    <w:p w14:paraId="52DCB62D" w14:textId="77777777" w:rsidR="00302B9A" w:rsidRPr="00AB24DC" w:rsidRDefault="00AB24DC" w:rsidP="00AB24DC">
      <w:pPr>
        <w:spacing w:line="480" w:lineRule="auto"/>
        <w:rPr>
          <w:rFonts w:ascii="Arial" w:hAnsi="Arial"/>
          <w:color w:val="000000"/>
        </w:rPr>
      </w:pPr>
      <w:r w:rsidRPr="00AB24DC">
        <w:rPr>
          <w:rFonts w:ascii="Arial" w:hAnsi="Arial"/>
          <w:color w:val="000000"/>
        </w:rPr>
        <w:tab/>
        <w:t>Through the process of crafting Unearthed, I discovered that unusual narrative perspectives require a high level of technical skill to avoid alienating the audience. I also learnt that I enjoy the challenge of experimental ap</w:t>
      </w:r>
      <w:r w:rsidRPr="00AB24DC">
        <w:rPr>
          <w:rFonts w:ascii="Arial" w:hAnsi="Arial"/>
          <w:color w:val="000000"/>
        </w:rPr>
        <w:t xml:space="preserve">proaches to story telling. I found sharing drafts in workshops and with trusted readers was essential to evaluate the weaknesses </w:t>
      </w:r>
      <w:r w:rsidRPr="00AB24DC">
        <w:rPr>
          <w:rFonts w:ascii="Arial" w:hAnsi="Arial"/>
          <w:color w:val="000000"/>
        </w:rPr>
        <w:lastRenderedPageBreak/>
        <w:t>and strengths within my work. As my skills develop, I hope more of this objective reflection can be accomplished through indepe</w:t>
      </w:r>
      <w:r w:rsidRPr="00AB24DC">
        <w:rPr>
          <w:rFonts w:ascii="Arial" w:hAnsi="Arial"/>
          <w:color w:val="000000"/>
        </w:rPr>
        <w:t>ndent research and self-criticism. Most importantly, as a creative writing student, my understanding of the importance of grammar and research has developed, from my initial fear and ambivalence, to my present engagement and appreciation for these tools an</w:t>
      </w:r>
      <w:r w:rsidRPr="00AB24DC">
        <w:rPr>
          <w:rFonts w:ascii="Arial" w:hAnsi="Arial"/>
          <w:color w:val="000000"/>
        </w:rPr>
        <w:t xml:space="preserve">d processes which will help me become a more articulate writer. </w:t>
      </w:r>
    </w:p>
    <w:p w14:paraId="52DCB62E" w14:textId="77777777" w:rsidR="00302B9A" w:rsidRPr="00AB24DC" w:rsidRDefault="00302B9A" w:rsidP="00AB24DC">
      <w:pPr>
        <w:spacing w:line="480" w:lineRule="auto"/>
        <w:rPr>
          <w:rFonts w:ascii="Arial" w:hAnsi="Arial"/>
        </w:rPr>
      </w:pPr>
    </w:p>
    <w:p w14:paraId="52DCB62F" w14:textId="77777777" w:rsidR="00302B9A" w:rsidRPr="00AB24DC" w:rsidRDefault="00302B9A" w:rsidP="00AB24DC">
      <w:pPr>
        <w:spacing w:line="480" w:lineRule="auto"/>
        <w:rPr>
          <w:rFonts w:ascii="Arial" w:hAnsi="Arial"/>
        </w:rPr>
      </w:pPr>
    </w:p>
    <w:p w14:paraId="52DCB630" w14:textId="77777777" w:rsidR="00302B9A" w:rsidRPr="00AB24DC" w:rsidRDefault="00AB24DC" w:rsidP="00AB24DC">
      <w:pPr>
        <w:spacing w:line="480" w:lineRule="auto"/>
        <w:jc w:val="right"/>
        <w:rPr>
          <w:rFonts w:ascii="Arial" w:hAnsi="Arial"/>
        </w:rPr>
      </w:pPr>
      <w:r w:rsidRPr="00AB24DC">
        <w:rPr>
          <w:rFonts w:ascii="Arial" w:hAnsi="Arial"/>
        </w:rPr>
        <w:t>Word Count  1075</w:t>
      </w:r>
    </w:p>
    <w:p w14:paraId="52DCB631" w14:textId="77777777" w:rsidR="00302B9A" w:rsidRPr="00AB24DC" w:rsidRDefault="00302B9A" w:rsidP="00AB24DC">
      <w:pPr>
        <w:spacing w:line="480" w:lineRule="auto"/>
        <w:rPr>
          <w:rFonts w:ascii="Arial" w:hAnsi="Arial"/>
        </w:rPr>
      </w:pPr>
    </w:p>
    <w:p w14:paraId="52DCB632" w14:textId="77777777" w:rsidR="00302B9A" w:rsidRPr="00AB24DC" w:rsidRDefault="00302B9A" w:rsidP="00AB24DC">
      <w:pPr>
        <w:spacing w:line="480" w:lineRule="auto"/>
        <w:rPr>
          <w:rFonts w:ascii="Arial" w:hAnsi="Arial"/>
        </w:rPr>
      </w:pPr>
    </w:p>
    <w:p w14:paraId="52DCB633" w14:textId="77777777" w:rsidR="00302B9A" w:rsidRPr="00AB24DC" w:rsidRDefault="00302B9A" w:rsidP="00AB24DC">
      <w:pPr>
        <w:spacing w:line="480" w:lineRule="auto"/>
        <w:rPr>
          <w:rFonts w:ascii="Arial" w:hAnsi="Arial"/>
        </w:rPr>
      </w:pPr>
    </w:p>
    <w:p w14:paraId="52DCB634" w14:textId="77777777" w:rsidR="00302B9A" w:rsidRPr="00AB24DC" w:rsidRDefault="00302B9A" w:rsidP="00AB24DC">
      <w:pPr>
        <w:spacing w:line="480" w:lineRule="auto"/>
        <w:rPr>
          <w:rFonts w:ascii="Arial" w:hAnsi="Arial"/>
        </w:rPr>
      </w:pPr>
    </w:p>
    <w:p w14:paraId="52DCB635" w14:textId="77777777" w:rsidR="00302B9A" w:rsidRPr="00AB24DC" w:rsidRDefault="00302B9A" w:rsidP="00AB24DC">
      <w:pPr>
        <w:spacing w:line="480" w:lineRule="auto"/>
        <w:rPr>
          <w:rFonts w:ascii="Arial" w:hAnsi="Arial"/>
        </w:rPr>
      </w:pPr>
    </w:p>
    <w:p w14:paraId="52DCB636" w14:textId="77777777" w:rsidR="00302B9A" w:rsidRPr="00AB24DC" w:rsidRDefault="00302B9A" w:rsidP="00AB24DC">
      <w:pPr>
        <w:spacing w:line="480" w:lineRule="auto"/>
        <w:rPr>
          <w:rFonts w:ascii="Arial" w:hAnsi="Arial"/>
        </w:rPr>
      </w:pPr>
    </w:p>
    <w:p w14:paraId="52DCB637" w14:textId="77777777" w:rsidR="00302B9A" w:rsidRPr="00AB24DC" w:rsidRDefault="00302B9A" w:rsidP="00AB24DC">
      <w:pPr>
        <w:spacing w:line="480" w:lineRule="auto"/>
        <w:rPr>
          <w:rFonts w:ascii="Arial" w:hAnsi="Arial"/>
        </w:rPr>
      </w:pPr>
    </w:p>
    <w:p w14:paraId="52DCB638" w14:textId="77777777" w:rsidR="00302B9A" w:rsidRPr="00AB24DC" w:rsidRDefault="00302B9A" w:rsidP="00AB24DC">
      <w:pPr>
        <w:spacing w:line="480" w:lineRule="auto"/>
        <w:rPr>
          <w:rFonts w:ascii="Arial" w:hAnsi="Arial"/>
        </w:rPr>
      </w:pPr>
    </w:p>
    <w:p w14:paraId="52DCB639" w14:textId="77777777" w:rsidR="00302B9A" w:rsidRPr="00AB24DC" w:rsidRDefault="00302B9A" w:rsidP="00AB24DC">
      <w:pPr>
        <w:spacing w:line="480" w:lineRule="auto"/>
        <w:rPr>
          <w:rFonts w:ascii="Arial" w:hAnsi="Arial"/>
        </w:rPr>
      </w:pPr>
    </w:p>
    <w:p w14:paraId="52DCB63A" w14:textId="77777777" w:rsidR="00302B9A" w:rsidRPr="00AB24DC" w:rsidRDefault="00302B9A" w:rsidP="00AB24DC">
      <w:pPr>
        <w:spacing w:line="480" w:lineRule="auto"/>
        <w:rPr>
          <w:rFonts w:ascii="Arial" w:hAnsi="Arial"/>
        </w:rPr>
      </w:pPr>
    </w:p>
    <w:p w14:paraId="52DCB63B" w14:textId="77777777" w:rsidR="00302B9A" w:rsidRPr="00AB24DC" w:rsidRDefault="00302B9A" w:rsidP="00AB24DC">
      <w:pPr>
        <w:spacing w:line="480" w:lineRule="auto"/>
        <w:rPr>
          <w:rFonts w:ascii="Arial" w:hAnsi="Arial"/>
        </w:rPr>
      </w:pPr>
    </w:p>
    <w:p w14:paraId="52DCB63C" w14:textId="77777777" w:rsidR="00302B9A" w:rsidRPr="00AB24DC" w:rsidRDefault="00302B9A" w:rsidP="00AB24DC">
      <w:pPr>
        <w:spacing w:line="480" w:lineRule="auto"/>
        <w:rPr>
          <w:rFonts w:ascii="Arial" w:hAnsi="Arial"/>
        </w:rPr>
      </w:pPr>
    </w:p>
    <w:p w14:paraId="52DCB63D" w14:textId="77777777" w:rsidR="00302B9A" w:rsidRPr="00AB24DC" w:rsidRDefault="00302B9A" w:rsidP="00AB24DC">
      <w:pPr>
        <w:spacing w:line="480" w:lineRule="auto"/>
        <w:rPr>
          <w:rFonts w:ascii="Arial" w:hAnsi="Arial"/>
        </w:rPr>
      </w:pPr>
    </w:p>
    <w:p w14:paraId="52DCB63E" w14:textId="77777777" w:rsidR="00302B9A" w:rsidRPr="00AB24DC" w:rsidRDefault="00302B9A" w:rsidP="00AB24DC">
      <w:pPr>
        <w:spacing w:line="480" w:lineRule="auto"/>
        <w:rPr>
          <w:rFonts w:ascii="Arial" w:hAnsi="Arial"/>
        </w:rPr>
      </w:pPr>
    </w:p>
    <w:p w14:paraId="52DCB63F" w14:textId="77777777" w:rsidR="00302B9A" w:rsidRPr="00AB24DC" w:rsidRDefault="00302B9A" w:rsidP="00AB24DC">
      <w:pPr>
        <w:spacing w:line="480" w:lineRule="auto"/>
        <w:rPr>
          <w:rFonts w:ascii="Arial" w:hAnsi="Arial"/>
        </w:rPr>
      </w:pPr>
    </w:p>
    <w:p w14:paraId="52DCB640" w14:textId="77777777" w:rsidR="00302B9A" w:rsidRPr="00AB24DC" w:rsidRDefault="00302B9A" w:rsidP="00AB24DC">
      <w:pPr>
        <w:spacing w:line="480" w:lineRule="auto"/>
        <w:rPr>
          <w:rFonts w:ascii="Arial" w:hAnsi="Arial"/>
        </w:rPr>
      </w:pPr>
    </w:p>
    <w:p w14:paraId="52DCB641" w14:textId="77777777" w:rsidR="00302B9A" w:rsidRPr="00AB24DC" w:rsidRDefault="00302B9A" w:rsidP="00AB24DC">
      <w:pPr>
        <w:spacing w:line="480" w:lineRule="auto"/>
        <w:rPr>
          <w:rFonts w:ascii="Arial" w:hAnsi="Arial"/>
        </w:rPr>
      </w:pPr>
    </w:p>
    <w:p w14:paraId="52DCB642" w14:textId="77777777" w:rsidR="00302B9A" w:rsidRPr="00AB24DC" w:rsidRDefault="00302B9A" w:rsidP="00AB24DC">
      <w:pPr>
        <w:spacing w:line="480" w:lineRule="auto"/>
        <w:rPr>
          <w:rFonts w:ascii="Arial" w:hAnsi="Arial"/>
        </w:rPr>
      </w:pPr>
    </w:p>
    <w:p w14:paraId="52DCB643" w14:textId="77777777" w:rsidR="00302B9A" w:rsidRPr="00AB24DC" w:rsidRDefault="00302B9A" w:rsidP="00AB24DC">
      <w:pPr>
        <w:spacing w:line="480" w:lineRule="auto"/>
        <w:rPr>
          <w:rFonts w:ascii="Arial" w:hAnsi="Arial"/>
        </w:rPr>
      </w:pPr>
    </w:p>
    <w:p w14:paraId="52DCB644" w14:textId="77777777" w:rsidR="00302B9A" w:rsidRPr="00AB24DC" w:rsidRDefault="00AB24DC" w:rsidP="00AB24DC">
      <w:pPr>
        <w:spacing w:line="480" w:lineRule="auto"/>
        <w:jc w:val="center"/>
        <w:rPr>
          <w:rFonts w:ascii="Arial" w:hAnsi="Arial"/>
          <w:color w:val="000000"/>
          <w:u w:val="single"/>
        </w:rPr>
      </w:pPr>
      <w:r w:rsidRPr="00AB24DC">
        <w:rPr>
          <w:rFonts w:ascii="Arial" w:hAnsi="Arial"/>
          <w:color w:val="000000"/>
          <w:u w:val="single"/>
        </w:rPr>
        <w:t>Bibliography</w:t>
      </w:r>
    </w:p>
    <w:p w14:paraId="52DCB645" w14:textId="77777777" w:rsidR="00302B9A" w:rsidRPr="00AB24DC" w:rsidRDefault="00302B9A" w:rsidP="00AB24DC">
      <w:pPr>
        <w:spacing w:line="480" w:lineRule="auto"/>
        <w:ind w:firstLine="709"/>
        <w:rPr>
          <w:rFonts w:ascii="Arial" w:hAnsi="Arial"/>
        </w:rPr>
      </w:pPr>
    </w:p>
    <w:p w14:paraId="52DCB646" w14:textId="77777777" w:rsidR="00302B9A" w:rsidRPr="00AB24DC" w:rsidRDefault="00302B9A" w:rsidP="00AB24DC">
      <w:pPr>
        <w:pStyle w:val="FootnoteText"/>
        <w:spacing w:line="480" w:lineRule="auto"/>
        <w:rPr>
          <w:rFonts w:ascii="Arial" w:hAnsi="Arial"/>
          <w:color w:val="000000"/>
          <w:sz w:val="24"/>
          <w:szCs w:val="24"/>
        </w:rPr>
      </w:pPr>
    </w:p>
    <w:p w14:paraId="52DCB647" w14:textId="77777777" w:rsidR="00302B9A" w:rsidRPr="00AB24DC" w:rsidRDefault="00302B9A" w:rsidP="00AB24DC">
      <w:pPr>
        <w:pStyle w:val="FootnoteText"/>
        <w:spacing w:line="480" w:lineRule="auto"/>
        <w:rPr>
          <w:rFonts w:ascii="Arial" w:hAnsi="Arial"/>
          <w:color w:val="000000"/>
          <w:sz w:val="24"/>
          <w:szCs w:val="24"/>
        </w:rPr>
      </w:pPr>
    </w:p>
    <w:p w14:paraId="52DCB648" w14:textId="77777777" w:rsidR="00302B9A" w:rsidRPr="00AB24DC" w:rsidRDefault="00AB24DC" w:rsidP="00AB24DC">
      <w:pPr>
        <w:spacing w:line="480" w:lineRule="auto"/>
        <w:rPr>
          <w:rFonts w:ascii="Arial" w:hAnsi="Arial"/>
        </w:rPr>
      </w:pPr>
      <w:r w:rsidRPr="00AB24DC">
        <w:rPr>
          <w:rFonts w:ascii="Arial" w:hAnsi="Arial"/>
          <w:color w:val="000000"/>
        </w:rPr>
        <w:t xml:space="preserve">The Ancient Oaks Of England, </w:t>
      </w:r>
      <w:r w:rsidRPr="00AB24DC">
        <w:rPr>
          <w:rFonts w:ascii="Arial" w:hAnsi="Arial"/>
          <w:i/>
          <w:iCs/>
          <w:color w:val="000000"/>
        </w:rPr>
        <w:t xml:space="preserve">Biodiversity </w:t>
      </w:r>
      <w:r w:rsidRPr="00AB24DC">
        <w:rPr>
          <w:rFonts w:ascii="Arial" w:hAnsi="Arial"/>
          <w:color w:val="000000"/>
        </w:rPr>
        <w:t xml:space="preserve">(2023) </w:t>
      </w:r>
      <w:r w:rsidRPr="00AB24DC">
        <w:rPr>
          <w:rFonts w:ascii="Arial" w:hAnsi="Arial"/>
          <w:color w:val="000000"/>
        </w:rPr>
        <w:t>&lt;https://herbaria.plants.ox.ac.uk/bol/ancientoaksofengland/Biodiversity&gt; [accessed 11</w:t>
      </w:r>
      <w:r w:rsidRPr="00AB24DC">
        <w:rPr>
          <w:rFonts w:ascii="Arial" w:hAnsi="Arial"/>
          <w:color w:val="000000"/>
          <w:vertAlign w:val="superscript"/>
        </w:rPr>
        <w:t>th</w:t>
      </w:r>
      <w:r w:rsidRPr="00AB24DC">
        <w:rPr>
          <w:rFonts w:ascii="Arial" w:hAnsi="Arial"/>
          <w:color w:val="000000"/>
        </w:rPr>
        <w:t xml:space="preserve"> February 2023]</w:t>
      </w:r>
    </w:p>
    <w:p w14:paraId="52DCB649" w14:textId="77777777" w:rsidR="00302B9A" w:rsidRPr="00AB24DC" w:rsidRDefault="00302B9A" w:rsidP="00AB24DC">
      <w:pPr>
        <w:spacing w:line="480" w:lineRule="auto"/>
        <w:rPr>
          <w:rFonts w:ascii="Arial" w:hAnsi="Arial"/>
          <w:color w:val="000000"/>
        </w:rPr>
      </w:pPr>
    </w:p>
    <w:p w14:paraId="52DCB64A" w14:textId="77777777" w:rsidR="00302B9A" w:rsidRPr="00AB24DC" w:rsidRDefault="00AB24DC" w:rsidP="00AB24DC">
      <w:pPr>
        <w:spacing w:line="480" w:lineRule="auto"/>
        <w:rPr>
          <w:rFonts w:ascii="Arial" w:hAnsi="Arial"/>
        </w:rPr>
      </w:pPr>
      <w:r w:rsidRPr="00AB24DC">
        <w:rPr>
          <w:rFonts w:ascii="Arial" w:hAnsi="Arial"/>
        </w:rPr>
        <w:t xml:space="preserve">Candy, Linda., </w:t>
      </w:r>
      <w:r w:rsidRPr="00AB24DC">
        <w:rPr>
          <w:rFonts w:ascii="Arial" w:hAnsi="Arial"/>
          <w:i/>
        </w:rPr>
        <w:t>The Creative Reflective Practitioner Research through Making and Practice</w:t>
      </w:r>
      <w:r w:rsidRPr="00AB24DC">
        <w:rPr>
          <w:rFonts w:ascii="Arial" w:hAnsi="Arial"/>
          <w:i/>
        </w:rPr>
        <w:t xml:space="preserve"> </w:t>
      </w:r>
      <w:r w:rsidRPr="00AB24DC">
        <w:rPr>
          <w:rFonts w:ascii="Arial" w:hAnsi="Arial"/>
        </w:rPr>
        <w:t>(London: Routledge, 2020)</w:t>
      </w:r>
      <w:r w:rsidRPr="00AB24DC">
        <w:rPr>
          <w:rFonts w:ascii="Arial" w:hAnsi="Arial"/>
        </w:rPr>
        <w:t xml:space="preserve"> pp. 60-63</w:t>
      </w:r>
    </w:p>
    <w:p w14:paraId="52DCB64B" w14:textId="77777777" w:rsidR="00302B9A" w:rsidRPr="00AB24DC" w:rsidRDefault="00302B9A" w:rsidP="00AB24DC">
      <w:pPr>
        <w:spacing w:line="480" w:lineRule="auto"/>
        <w:rPr>
          <w:rFonts w:ascii="Arial" w:hAnsi="Arial"/>
        </w:rPr>
      </w:pPr>
    </w:p>
    <w:p w14:paraId="52DCB64C" w14:textId="77777777" w:rsidR="00302B9A" w:rsidRPr="00AB24DC" w:rsidRDefault="00AB24DC" w:rsidP="00AB24DC">
      <w:pPr>
        <w:spacing w:line="480" w:lineRule="auto"/>
        <w:rPr>
          <w:rFonts w:ascii="Arial" w:hAnsi="Arial"/>
          <w:color w:val="000000"/>
        </w:rPr>
      </w:pPr>
      <w:r w:rsidRPr="00AB24DC">
        <w:rPr>
          <w:rFonts w:ascii="Arial" w:hAnsi="Arial"/>
          <w:color w:val="000000"/>
        </w:rPr>
        <w:t xml:space="preserve">Hawthorne, Nathaniel and McIntosh, James, </w:t>
      </w:r>
      <w:r w:rsidRPr="00AB24DC">
        <w:rPr>
          <w:rFonts w:ascii="Arial" w:hAnsi="Arial"/>
          <w:i/>
          <w:color w:val="000000"/>
        </w:rPr>
        <w:t>Nathaniel Hawthorne's Tales : Authoritative Texts Backgrounds Criticism,</w:t>
      </w:r>
      <w:r w:rsidRPr="00AB24DC">
        <w:rPr>
          <w:rFonts w:ascii="Arial" w:hAnsi="Arial"/>
          <w:color w:val="000000"/>
        </w:rPr>
        <w:t xml:space="preserve"> 2nd edn. (W.W. Norton 2013)</w:t>
      </w:r>
      <w:r w:rsidRPr="00AB24DC">
        <w:rPr>
          <w:rFonts w:ascii="Arial" w:hAnsi="Arial"/>
          <w:color w:val="000000"/>
        </w:rPr>
        <w:t xml:space="preserve"> </w:t>
      </w:r>
    </w:p>
    <w:p w14:paraId="52DCB64D" w14:textId="77777777" w:rsidR="00302B9A" w:rsidRPr="00AB24DC" w:rsidRDefault="00302B9A" w:rsidP="00AB24DC">
      <w:pPr>
        <w:spacing w:line="480" w:lineRule="auto"/>
        <w:rPr>
          <w:rFonts w:ascii="Arial" w:hAnsi="Arial"/>
        </w:rPr>
      </w:pPr>
    </w:p>
    <w:p w14:paraId="52DCB64E" w14:textId="77777777" w:rsidR="00302B9A" w:rsidRPr="00AB24DC" w:rsidRDefault="00AB24DC" w:rsidP="00AB24DC">
      <w:pPr>
        <w:spacing w:line="480" w:lineRule="auto"/>
        <w:rPr>
          <w:rFonts w:ascii="Arial" w:hAnsi="Arial"/>
          <w:color w:val="000000"/>
        </w:rPr>
      </w:pPr>
      <w:r w:rsidRPr="00AB24DC">
        <w:rPr>
          <w:rFonts w:ascii="Arial" w:hAnsi="Arial"/>
          <w:color w:val="000000"/>
        </w:rPr>
        <w:t>Knausgaard, K.O. Bartlett, D., My Struggle: Book One (Steerforth Press, 2014)</w:t>
      </w:r>
    </w:p>
    <w:p w14:paraId="52DCB64F" w14:textId="77777777" w:rsidR="00302B9A" w:rsidRPr="00AB24DC" w:rsidRDefault="00302B9A" w:rsidP="00AB24DC">
      <w:pPr>
        <w:spacing w:line="480" w:lineRule="auto"/>
        <w:rPr>
          <w:rFonts w:ascii="Arial" w:hAnsi="Arial"/>
        </w:rPr>
      </w:pPr>
    </w:p>
    <w:p w14:paraId="52DCB650" w14:textId="77777777" w:rsidR="00302B9A" w:rsidRPr="00AB24DC" w:rsidRDefault="00AB24DC" w:rsidP="00AB24DC">
      <w:pPr>
        <w:pStyle w:val="FootnoteText"/>
        <w:spacing w:line="480" w:lineRule="auto"/>
        <w:rPr>
          <w:rFonts w:ascii="Arial" w:hAnsi="Arial"/>
          <w:color w:val="000000"/>
          <w:sz w:val="24"/>
          <w:szCs w:val="24"/>
        </w:rPr>
      </w:pPr>
      <w:r w:rsidRPr="00AB24DC">
        <w:rPr>
          <w:rFonts w:ascii="Arial" w:hAnsi="Arial"/>
          <w:color w:val="000000"/>
          <w:sz w:val="24"/>
          <w:szCs w:val="24"/>
        </w:rPr>
        <w:t>Oyeyemi, Helen, ‘if a book is lo</w:t>
      </w:r>
      <w:r w:rsidRPr="00AB24DC">
        <w:rPr>
          <w:rFonts w:ascii="Arial" w:hAnsi="Arial"/>
          <w:color w:val="000000"/>
          <w:sz w:val="24"/>
          <w:szCs w:val="24"/>
        </w:rPr>
        <w:t xml:space="preserve">cked there’s probably a good reason for that, don’t you think’, in </w:t>
      </w:r>
      <w:r w:rsidRPr="00AB24DC">
        <w:rPr>
          <w:rFonts w:ascii="Arial" w:hAnsi="Arial"/>
          <w:i/>
          <w:iCs/>
          <w:color w:val="000000"/>
          <w:sz w:val="24"/>
          <w:szCs w:val="24"/>
        </w:rPr>
        <w:t xml:space="preserve">What Is Not Yours Is Not Yours </w:t>
      </w:r>
      <w:r w:rsidRPr="00AB24DC">
        <w:rPr>
          <w:rFonts w:ascii="Arial" w:hAnsi="Arial"/>
          <w:color w:val="000000"/>
          <w:sz w:val="24"/>
          <w:szCs w:val="24"/>
        </w:rPr>
        <w:t>(Riverhead Books: New York 2016)</w:t>
      </w:r>
    </w:p>
    <w:p w14:paraId="52DCB651" w14:textId="77777777" w:rsidR="00302B9A" w:rsidRPr="00AB24DC" w:rsidRDefault="00302B9A" w:rsidP="00AB24DC">
      <w:pPr>
        <w:spacing w:line="480" w:lineRule="auto"/>
        <w:rPr>
          <w:rFonts w:ascii="Arial" w:hAnsi="Arial"/>
        </w:rPr>
      </w:pPr>
    </w:p>
    <w:p w14:paraId="52DCB652" w14:textId="77777777" w:rsidR="00302B9A" w:rsidRPr="00AB24DC" w:rsidRDefault="00AB24DC" w:rsidP="00AB24DC">
      <w:pPr>
        <w:spacing w:line="480" w:lineRule="auto"/>
        <w:rPr>
          <w:rFonts w:ascii="Arial" w:hAnsi="Arial"/>
          <w:color w:val="000000"/>
        </w:rPr>
      </w:pPr>
      <w:r w:rsidRPr="00AB24DC">
        <w:rPr>
          <w:rFonts w:ascii="Arial" w:hAnsi="Arial"/>
          <w:color w:val="000000"/>
        </w:rPr>
        <w:t>Sedaris, David, ‘Go Carolina’, in</w:t>
      </w:r>
      <w:r w:rsidRPr="00AB24DC">
        <w:rPr>
          <w:rFonts w:ascii="Arial" w:hAnsi="Arial"/>
          <w:i/>
          <w:iCs/>
          <w:color w:val="000000"/>
        </w:rPr>
        <w:t xml:space="preserve"> Me Talk Pretty One Day </w:t>
      </w:r>
      <w:r w:rsidRPr="00AB24DC">
        <w:rPr>
          <w:rFonts w:ascii="Arial" w:hAnsi="Arial"/>
          <w:color w:val="000000"/>
        </w:rPr>
        <w:t xml:space="preserve">(London: Abacus, 2002) </w:t>
      </w:r>
    </w:p>
    <w:p w14:paraId="52DCB653" w14:textId="77777777" w:rsidR="00302B9A" w:rsidRPr="00AB24DC" w:rsidRDefault="00302B9A" w:rsidP="00AB24DC">
      <w:pPr>
        <w:spacing w:line="480" w:lineRule="auto"/>
        <w:rPr>
          <w:rFonts w:ascii="Arial" w:hAnsi="Arial"/>
        </w:rPr>
      </w:pPr>
    </w:p>
    <w:p w14:paraId="52DCB654" w14:textId="77777777" w:rsidR="00302B9A" w:rsidRPr="00AB24DC" w:rsidRDefault="00AB24DC" w:rsidP="00AB24DC">
      <w:pPr>
        <w:spacing w:line="480" w:lineRule="auto"/>
        <w:rPr>
          <w:rFonts w:ascii="Arial" w:hAnsi="Arial"/>
        </w:rPr>
      </w:pPr>
      <w:r w:rsidRPr="00AB24DC">
        <w:rPr>
          <w:rFonts w:ascii="Arial" w:hAnsi="Arial"/>
        </w:rPr>
        <w:t xml:space="preserve">Stout, Rex, </w:t>
      </w:r>
      <w:r w:rsidRPr="00AB24DC">
        <w:rPr>
          <w:rStyle w:val="Emphasis"/>
          <w:rFonts w:ascii="Arial" w:hAnsi="Arial"/>
        </w:rPr>
        <w:t>How Like a God</w:t>
      </w:r>
      <w:r w:rsidRPr="00AB24DC">
        <w:rPr>
          <w:rFonts w:ascii="Arial" w:hAnsi="Arial"/>
        </w:rPr>
        <w:t xml:space="preserve"> (New York: Vanguard, 1929)</w:t>
      </w:r>
    </w:p>
    <w:p w14:paraId="52DCB655" w14:textId="77777777" w:rsidR="00302B9A" w:rsidRPr="00AB24DC" w:rsidRDefault="00302B9A" w:rsidP="00AB24DC">
      <w:pPr>
        <w:spacing w:line="480" w:lineRule="auto"/>
        <w:rPr>
          <w:rFonts w:ascii="Arial" w:hAnsi="Arial"/>
        </w:rPr>
      </w:pPr>
    </w:p>
    <w:p w14:paraId="52DCB656" w14:textId="77777777" w:rsidR="00302B9A" w:rsidRPr="00AB24DC" w:rsidRDefault="00AB24DC" w:rsidP="00AB24DC">
      <w:pPr>
        <w:spacing w:line="480" w:lineRule="auto"/>
        <w:rPr>
          <w:rFonts w:ascii="Arial" w:hAnsi="Arial"/>
        </w:rPr>
      </w:pPr>
      <w:r w:rsidRPr="00AB24DC">
        <w:rPr>
          <w:rFonts w:ascii="Arial" w:hAnsi="Arial"/>
          <w:color w:val="000000"/>
        </w:rPr>
        <w:lastRenderedPageBreak/>
        <w:t xml:space="preserve">The Ancient Oaks of England, </w:t>
      </w:r>
      <w:r w:rsidRPr="00AB24DC">
        <w:rPr>
          <w:rFonts w:ascii="Arial" w:hAnsi="Arial"/>
          <w:i/>
          <w:iCs/>
          <w:color w:val="000000"/>
        </w:rPr>
        <w:t xml:space="preserve">Biodiversity </w:t>
      </w:r>
      <w:r w:rsidRPr="00AB24DC">
        <w:rPr>
          <w:rFonts w:ascii="Arial" w:hAnsi="Arial"/>
          <w:color w:val="000000"/>
        </w:rPr>
        <w:t>(2023) &lt;https://herbaria.plants.ox.ac.uk/bol/ancientoaksofengland/Biodiversity&gt; [accessed 11</w:t>
      </w:r>
      <w:r w:rsidRPr="00AB24DC">
        <w:rPr>
          <w:rFonts w:ascii="Arial" w:hAnsi="Arial"/>
          <w:color w:val="000000"/>
          <w:vertAlign w:val="superscript"/>
        </w:rPr>
        <w:t>th</w:t>
      </w:r>
      <w:r w:rsidRPr="00AB24DC">
        <w:rPr>
          <w:rFonts w:ascii="Arial" w:hAnsi="Arial"/>
          <w:color w:val="000000"/>
        </w:rPr>
        <w:t xml:space="preserve"> February 2023]</w:t>
      </w:r>
    </w:p>
    <w:p w14:paraId="52DCB657" w14:textId="77777777" w:rsidR="00302B9A" w:rsidRPr="00AB24DC" w:rsidRDefault="00302B9A" w:rsidP="00AB24DC">
      <w:pPr>
        <w:spacing w:line="480" w:lineRule="auto"/>
        <w:rPr>
          <w:rFonts w:ascii="Arial" w:hAnsi="Arial"/>
        </w:rPr>
      </w:pPr>
    </w:p>
    <w:p w14:paraId="52DCB658" w14:textId="77777777" w:rsidR="00302B9A" w:rsidRPr="00AB24DC" w:rsidRDefault="00AB24DC" w:rsidP="00AB24DC">
      <w:pPr>
        <w:spacing w:line="480" w:lineRule="auto"/>
        <w:rPr>
          <w:rFonts w:ascii="Arial" w:hAnsi="Arial"/>
        </w:rPr>
      </w:pPr>
      <w:r w:rsidRPr="00AB24DC">
        <w:rPr>
          <w:rFonts w:ascii="Arial" w:hAnsi="Arial"/>
        </w:rPr>
        <w:t xml:space="preserve">Thomas, Bronwen. “Speech, Character, and Intention.” </w:t>
      </w:r>
      <w:r w:rsidRPr="00AB24DC">
        <w:rPr>
          <w:rFonts w:ascii="Arial" w:hAnsi="Arial"/>
          <w:i/>
        </w:rPr>
        <w:t>Fictional Dialogue: S</w:t>
      </w:r>
      <w:r w:rsidRPr="00AB24DC">
        <w:rPr>
          <w:rFonts w:ascii="Arial" w:hAnsi="Arial"/>
          <w:i/>
        </w:rPr>
        <w:t>peech and Conversation in the Modern and Postmodern Novel</w:t>
      </w:r>
      <w:r w:rsidRPr="00AB24DC">
        <w:rPr>
          <w:rFonts w:ascii="Arial" w:hAnsi="Arial"/>
        </w:rPr>
        <w:t xml:space="preserve"> (University of Nebraska Press, 2012)</w:t>
      </w:r>
    </w:p>
    <w:p w14:paraId="52DCB659" w14:textId="77777777" w:rsidR="00302B9A" w:rsidRPr="00AB24DC" w:rsidRDefault="00302B9A" w:rsidP="00AB24DC">
      <w:pPr>
        <w:spacing w:line="480" w:lineRule="auto"/>
        <w:rPr>
          <w:rFonts w:ascii="Arial" w:hAnsi="Arial"/>
        </w:rPr>
      </w:pPr>
    </w:p>
    <w:p w14:paraId="52DCB65A" w14:textId="77777777" w:rsidR="00302B9A" w:rsidRPr="00AB24DC" w:rsidRDefault="00AB24DC" w:rsidP="00AB24DC">
      <w:pPr>
        <w:spacing w:line="480" w:lineRule="auto"/>
        <w:rPr>
          <w:rFonts w:ascii="Arial" w:hAnsi="Arial"/>
        </w:rPr>
      </w:pPr>
      <w:r w:rsidRPr="00AB24DC">
        <w:rPr>
          <w:rFonts w:ascii="Arial" w:hAnsi="Arial"/>
          <w:color w:val="000000"/>
        </w:rPr>
        <w:t xml:space="preserve">Webb, Jen, </w:t>
      </w:r>
      <w:r w:rsidRPr="00AB24DC">
        <w:rPr>
          <w:rFonts w:ascii="Arial" w:hAnsi="Arial"/>
          <w:i/>
          <w:color w:val="000000"/>
        </w:rPr>
        <w:t>Researching creative writing</w:t>
      </w:r>
      <w:r w:rsidRPr="00AB24DC">
        <w:rPr>
          <w:rFonts w:ascii="Arial" w:hAnsi="Arial"/>
          <w:color w:val="000000"/>
        </w:rPr>
        <w:t>. Creative Writing Studies (Newmarket, 2015)</w:t>
      </w:r>
    </w:p>
    <w:p w14:paraId="52DCB65B" w14:textId="77777777" w:rsidR="00302B9A" w:rsidRPr="00AB24DC" w:rsidRDefault="00302B9A" w:rsidP="00AB24DC">
      <w:pPr>
        <w:spacing w:line="480" w:lineRule="auto"/>
        <w:rPr>
          <w:rFonts w:ascii="Arial" w:hAnsi="Arial"/>
          <w:color w:val="000000"/>
        </w:rPr>
      </w:pPr>
    </w:p>
    <w:p w14:paraId="52DCB65C" w14:textId="77777777" w:rsidR="00302B9A" w:rsidRPr="00AB24DC" w:rsidRDefault="00AB24DC" w:rsidP="00AB24DC">
      <w:pPr>
        <w:spacing w:line="480" w:lineRule="auto"/>
        <w:rPr>
          <w:rFonts w:ascii="Arial" w:hAnsi="Arial"/>
        </w:rPr>
      </w:pPr>
      <w:r w:rsidRPr="00AB24DC">
        <w:rPr>
          <w:rFonts w:ascii="Arial" w:hAnsi="Arial"/>
          <w:color w:val="000000"/>
        </w:rPr>
        <w:t xml:space="preserve">Wigfall, Clare, ‘The Numbers’, in </w:t>
      </w:r>
      <w:r w:rsidRPr="00AB24DC">
        <w:rPr>
          <w:rFonts w:ascii="Arial" w:hAnsi="Arial"/>
          <w:i/>
          <w:iCs/>
          <w:color w:val="000000"/>
        </w:rPr>
        <w:t xml:space="preserve">The Loudest Sound and Nothing </w:t>
      </w:r>
      <w:r w:rsidRPr="00AB24DC">
        <w:rPr>
          <w:rFonts w:ascii="Arial" w:hAnsi="Arial"/>
          <w:color w:val="000000"/>
        </w:rPr>
        <w:t>(London: Faber and Faber, 2008)</w:t>
      </w:r>
    </w:p>
    <w:p w14:paraId="52DCB65D" w14:textId="77777777" w:rsidR="00302B9A" w:rsidRPr="00AB24DC" w:rsidRDefault="00302B9A" w:rsidP="00AB24DC">
      <w:pPr>
        <w:spacing w:line="480" w:lineRule="auto"/>
        <w:rPr>
          <w:rFonts w:ascii="Arial" w:hAnsi="Arial"/>
          <w:color w:val="000000"/>
        </w:rPr>
      </w:pPr>
    </w:p>
    <w:p w14:paraId="52DCB65E" w14:textId="77777777" w:rsidR="00302B9A" w:rsidRPr="00AB24DC" w:rsidRDefault="00AB24DC" w:rsidP="00AB24DC">
      <w:pPr>
        <w:spacing w:line="480" w:lineRule="auto"/>
        <w:rPr>
          <w:rFonts w:ascii="Arial" w:hAnsi="Arial"/>
        </w:rPr>
      </w:pPr>
      <w:r w:rsidRPr="00AB24DC">
        <w:rPr>
          <w:rFonts w:ascii="Arial" w:hAnsi="Arial"/>
          <w:color w:val="000000"/>
        </w:rPr>
        <w:t xml:space="preserve">Woolf, Virginia, </w:t>
      </w:r>
      <w:r w:rsidRPr="00AB24DC">
        <w:rPr>
          <w:rFonts w:ascii="Arial" w:hAnsi="Arial"/>
          <w:i/>
          <w:iCs/>
          <w:color w:val="000000"/>
        </w:rPr>
        <w:t>Waves</w:t>
      </w:r>
      <w:r w:rsidRPr="00AB24DC">
        <w:rPr>
          <w:rFonts w:ascii="Arial" w:hAnsi="Arial"/>
          <w:i/>
          <w:color w:val="000000"/>
        </w:rPr>
        <w:t xml:space="preserve"> </w:t>
      </w:r>
      <w:r w:rsidRPr="00AB24DC">
        <w:rPr>
          <w:rFonts w:ascii="Arial" w:hAnsi="Arial"/>
          <w:color w:val="000000"/>
        </w:rPr>
        <w:t>(Wisehouse Classics, 2018)</w:t>
      </w:r>
    </w:p>
    <w:p w14:paraId="52DCB65F" w14:textId="77777777" w:rsidR="00302B9A" w:rsidRPr="00AB24DC" w:rsidRDefault="00302B9A" w:rsidP="00AB24DC">
      <w:pPr>
        <w:spacing w:line="480" w:lineRule="auto"/>
        <w:rPr>
          <w:rFonts w:ascii="Arial" w:hAnsi="Arial"/>
        </w:rPr>
      </w:pPr>
    </w:p>
    <w:sectPr w:rsidR="00302B9A" w:rsidRPr="00AB24DC">
      <w:pgSz w:w="11906" w:h="16838"/>
      <w:pgMar w:top="1134" w:right="1134" w:bottom="1134" w:left="1134" w:header="0" w:footer="0" w:gutter="0"/>
      <w:cols w:space="720"/>
      <w:formProt w:val="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CB664" w14:textId="77777777" w:rsidR="00AB24DC" w:rsidRDefault="00AB24DC">
      <w:r>
        <w:separator/>
      </w:r>
    </w:p>
  </w:endnote>
  <w:endnote w:type="continuationSeparator" w:id="0">
    <w:p w14:paraId="52DCB666" w14:textId="77777777" w:rsidR="00AB24DC" w:rsidRDefault="00AB24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DCB660" w14:textId="77777777" w:rsidR="00302B9A" w:rsidRDefault="00AB24DC">
      <w:r>
        <w:separator/>
      </w:r>
    </w:p>
  </w:footnote>
  <w:footnote w:type="continuationSeparator" w:id="0">
    <w:p w14:paraId="52DCB661" w14:textId="77777777" w:rsidR="00302B9A" w:rsidRDefault="00AB24DC">
      <w:r>
        <w:continuationSeparator/>
      </w:r>
    </w:p>
  </w:footnote>
  <w:footnote w:id="1">
    <w:p w14:paraId="52DCB662" w14:textId="77777777" w:rsidR="00302B9A" w:rsidRDefault="00AB24DC">
      <w:pPr>
        <w:pStyle w:val="FootnoteText"/>
      </w:pPr>
      <w:r>
        <w:rPr>
          <w:rStyle w:val="FootnoteCharacters"/>
        </w:rPr>
        <w:footnoteRef/>
      </w:r>
      <w:r>
        <w:rPr>
          <w:color w:val="000000"/>
        </w:rPr>
        <w:tab/>
        <w:t xml:space="preserve">Jen Webb, </w:t>
      </w:r>
      <w:r>
        <w:rPr>
          <w:i/>
          <w:color w:val="000000"/>
        </w:rPr>
        <w:t xml:space="preserve">Researching Creative Writing </w:t>
      </w:r>
      <w:r>
        <w:rPr>
          <w:color w:val="000000"/>
        </w:rPr>
        <w:t>(Creative Writing Studies,2015)</w:t>
      </w:r>
      <w:r>
        <w:rPr>
          <w:color w:val="2B3545"/>
        </w:rPr>
        <w:t>.</w:t>
      </w:r>
      <w:r>
        <w:rPr>
          <w:color w:val="000000"/>
        </w:rPr>
        <w:t xml:space="preserve"> </w:t>
      </w:r>
    </w:p>
  </w:footnote>
  <w:footnote w:id="2">
    <w:p w14:paraId="52DCB663" w14:textId="77777777" w:rsidR="00302B9A" w:rsidRDefault="00AB24DC">
      <w:pPr>
        <w:pStyle w:val="FootnoteText"/>
      </w:pPr>
      <w:r>
        <w:rPr>
          <w:rStyle w:val="FootnoteCharacters"/>
        </w:rPr>
        <w:footnoteRef/>
      </w:r>
      <w:r>
        <w:rPr>
          <w:color w:val="000000"/>
        </w:rPr>
        <w:tab/>
      </w:r>
      <w:r>
        <w:rPr>
          <w:color w:val="000000"/>
        </w:rPr>
        <w:t xml:space="preserve">The Ancient Oaks Of England, </w:t>
      </w:r>
      <w:r>
        <w:rPr>
          <w:i/>
          <w:iCs/>
          <w:color w:val="000000"/>
        </w:rPr>
        <w:t xml:space="preserve">Biodiversity </w:t>
      </w:r>
      <w:r>
        <w:rPr>
          <w:color w:val="000000"/>
        </w:rPr>
        <w:t xml:space="preserve">(2023) </w:t>
      </w:r>
      <w:r>
        <w:rPr>
          <w:color w:val="000000"/>
        </w:rPr>
        <w:t>&lt;https://herbaria.plants.ox.ac.uk/bol/ancientoaksofengland/Biodiversity&gt; [accessed 11</w:t>
      </w:r>
      <w:r>
        <w:rPr>
          <w:color w:val="000000"/>
          <w:vertAlign w:val="superscript"/>
        </w:rPr>
        <w:t>th</w:t>
      </w:r>
      <w:r>
        <w:rPr>
          <w:color w:val="000000"/>
        </w:rPr>
        <w:t xml:space="preserve"> February 2023].</w:t>
      </w:r>
    </w:p>
  </w:footnote>
  <w:footnote w:id="3">
    <w:p w14:paraId="52DCB664" w14:textId="77777777" w:rsidR="00302B9A" w:rsidRDefault="00AB24DC">
      <w:pPr>
        <w:pStyle w:val="FootnoteText"/>
      </w:pPr>
      <w:r>
        <w:rPr>
          <w:rStyle w:val="FootnoteCharacters"/>
        </w:rPr>
        <w:footnoteRef/>
      </w:r>
      <w:r>
        <w:tab/>
        <w:t xml:space="preserve">Linda Candy, </w:t>
      </w:r>
      <w:r>
        <w:rPr>
          <w:i/>
        </w:rPr>
        <w:t>The Creative Reflective Practitioner Research through Making and Practice</w:t>
      </w:r>
      <w:r>
        <w:rPr>
          <w:i/>
        </w:rPr>
        <w:t xml:space="preserve"> </w:t>
      </w:r>
      <w:r>
        <w:t>(London: Routl</w:t>
      </w:r>
      <w:r>
        <w:t>edge, 2020)</w:t>
      </w:r>
      <w:r>
        <w:t xml:space="preserve"> pp. 60-63.</w:t>
      </w:r>
    </w:p>
  </w:footnote>
  <w:footnote w:id="4">
    <w:p w14:paraId="52DCB665" w14:textId="77777777" w:rsidR="00302B9A" w:rsidRDefault="00AB24DC">
      <w:pPr>
        <w:pStyle w:val="FootnoteText"/>
      </w:pPr>
      <w:r>
        <w:rPr>
          <w:rStyle w:val="FootnoteCharacters"/>
        </w:rPr>
        <w:footnoteRef/>
      </w:r>
      <w:r>
        <w:tab/>
        <w:t xml:space="preserve">Bronwen Thomas, “Speech, Character, and Intention.” </w:t>
      </w:r>
      <w:r>
        <w:rPr>
          <w:i/>
        </w:rPr>
        <w:t>Fictional Dialogue: Speech and Conversation in the Modern and Postmodern Novel</w:t>
      </w:r>
      <w:r>
        <w:t xml:space="preserve"> (University of Nebraska Press, 2012) p. 95.</w:t>
      </w:r>
    </w:p>
    <w:p w14:paraId="52DCB666" w14:textId="77777777" w:rsidR="00302B9A" w:rsidRDefault="00302B9A">
      <w:pPr>
        <w:pStyle w:val="FootnoteText"/>
      </w:pPr>
    </w:p>
  </w:footnote>
  <w:footnote w:id="5">
    <w:p w14:paraId="52DCB667" w14:textId="77777777" w:rsidR="00302B9A" w:rsidRDefault="00AB24DC">
      <w:pPr>
        <w:pStyle w:val="FootnoteText"/>
      </w:pPr>
      <w:r>
        <w:rPr>
          <w:rStyle w:val="FootnoteCharacters"/>
        </w:rPr>
        <w:footnoteRef/>
      </w:r>
      <w:r>
        <w:tab/>
        <w:t xml:space="preserve">Rex Stout, </w:t>
      </w:r>
      <w:r>
        <w:rPr>
          <w:rStyle w:val="Emphasis"/>
        </w:rPr>
        <w:t>How Like a God</w:t>
      </w:r>
      <w:r>
        <w:t xml:space="preserve"> (New York: Vanguard, 1929), p. 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defaultTabStop w:val="709"/>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302B9A"/>
    <w:rsid w:val="000B1BFD"/>
    <w:rsid w:val="00302B9A"/>
    <w:rsid w:val="00AB24D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DCB5A8"/>
  <w15:docId w15:val="{44C1BEA4-8C4B-4A89-8979-75AB76AD3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Arial"/>
        <w:kern w:val="2"/>
        <w:szCs w:val="24"/>
        <w:lang w:val="en-GB"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rongEmphasis">
    <w:name w:val="Strong Emphasis"/>
    <w:qFormat/>
    <w:rPr>
      <w:b/>
      <w:bCs/>
    </w:rPr>
  </w:style>
  <w:style w:type="character" w:styleId="Emphasis">
    <w:name w:val="Emphasis"/>
    <w:qFormat/>
    <w:rPr>
      <w:i/>
      <w:iCs/>
    </w:rPr>
  </w:style>
  <w:style w:type="character" w:customStyle="1" w:styleId="FootnoteCharacters">
    <w:name w:val="Footnote Characters"/>
    <w:qFormat/>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next w:val="BodyText"/>
    <w:qFormat/>
    <w:pPr>
      <w:keepNext/>
      <w:suppressAutoHyphens/>
      <w:spacing w:before="240" w:after="120"/>
    </w:pPr>
    <w:rPr>
      <w:rFonts w:ascii="Liberation Sans" w:eastAsia="Microsoft YaHei" w:hAnsi="Liberation Sans"/>
      <w:sz w:val="28"/>
      <w:szCs w:val="28"/>
    </w:rPr>
  </w:style>
  <w:style w:type="paragraph" w:styleId="BodyText">
    <w:name w:val="Body Text"/>
    <w:qFormat/>
    <w:pPr>
      <w:suppressAutoHyphens/>
      <w:spacing w:after="140" w:line="276" w:lineRule="auto"/>
    </w:pPr>
  </w:style>
  <w:style w:type="paragraph" w:styleId="List">
    <w:name w:val="List"/>
    <w:basedOn w:val="BodyText"/>
  </w:style>
  <w:style w:type="paragraph" w:styleId="Caption">
    <w:name w:val="caption"/>
    <w:qFormat/>
    <w:pPr>
      <w:suppressLineNumbers/>
      <w:suppressAutoHyphens/>
      <w:spacing w:before="120" w:after="120"/>
    </w:pPr>
    <w:rPr>
      <w:i/>
      <w:iCs/>
    </w:rPr>
  </w:style>
  <w:style w:type="paragraph" w:customStyle="1" w:styleId="Index">
    <w:name w:val="Index"/>
    <w:qFormat/>
    <w:pPr>
      <w:suppressLineNumbers/>
      <w:suppressAutoHyphens/>
    </w:pPr>
  </w:style>
  <w:style w:type="paragraph" w:customStyle="1" w:styleId="LO-Normal1">
    <w:name w:val="LO-Normal1"/>
    <w:qFormat/>
    <w:pPr>
      <w:suppressAutoHyphens/>
    </w:pPr>
    <w:rPr>
      <w:sz w:val="24"/>
    </w:rPr>
  </w:style>
  <w:style w:type="paragraph" w:customStyle="1" w:styleId="LO-Normal">
    <w:name w:val="LO-Normal"/>
    <w:qFormat/>
    <w:pPr>
      <w:suppressAutoHyphens/>
    </w:pPr>
    <w:rPr>
      <w:sz w:val="24"/>
    </w:rPr>
  </w:style>
  <w:style w:type="paragraph" w:styleId="FootnoteText">
    <w:name w:val="footnote text"/>
    <w:basedOn w:val="Normal"/>
    <w:pPr>
      <w:suppressLineNumbers/>
      <w:ind w:left="339" w:hanging="339"/>
    </w:pPr>
    <w:rPr>
      <w:sz w:val="20"/>
      <w:szCs w:val="20"/>
    </w:rPr>
  </w:style>
  <w:style w:type="paragraph" w:styleId="Header">
    <w:name w:val="header"/>
    <w:basedOn w:val="Normal"/>
    <w:link w:val="HeaderChar"/>
    <w:uiPriority w:val="99"/>
    <w:unhideWhenUsed/>
    <w:rsid w:val="000B1BFD"/>
    <w:pPr>
      <w:tabs>
        <w:tab w:val="center" w:pos="4513"/>
        <w:tab w:val="right" w:pos="9026"/>
      </w:tabs>
    </w:pPr>
    <w:rPr>
      <w:rFonts w:cs="Mangal"/>
      <w:szCs w:val="21"/>
    </w:rPr>
  </w:style>
  <w:style w:type="character" w:customStyle="1" w:styleId="HeaderChar">
    <w:name w:val="Header Char"/>
    <w:basedOn w:val="DefaultParagraphFont"/>
    <w:link w:val="Header"/>
    <w:uiPriority w:val="99"/>
    <w:rsid w:val="000B1BFD"/>
    <w:rPr>
      <w:rFonts w:cs="Mangal"/>
      <w:sz w:val="24"/>
      <w:szCs w:val="21"/>
    </w:rPr>
  </w:style>
  <w:style w:type="paragraph" w:styleId="Footer">
    <w:name w:val="footer"/>
    <w:basedOn w:val="Normal"/>
    <w:link w:val="FooterChar"/>
    <w:uiPriority w:val="99"/>
    <w:unhideWhenUsed/>
    <w:rsid w:val="000B1BFD"/>
    <w:pPr>
      <w:tabs>
        <w:tab w:val="center" w:pos="4513"/>
        <w:tab w:val="right" w:pos="9026"/>
      </w:tabs>
    </w:pPr>
    <w:rPr>
      <w:rFonts w:cs="Mangal"/>
      <w:szCs w:val="21"/>
    </w:rPr>
  </w:style>
  <w:style w:type="character" w:customStyle="1" w:styleId="FooterChar">
    <w:name w:val="Footer Char"/>
    <w:basedOn w:val="DefaultParagraphFont"/>
    <w:link w:val="Footer"/>
    <w:uiPriority w:val="99"/>
    <w:rsid w:val="000B1BFD"/>
    <w:rPr>
      <w:rFonts w:cs="Mangal"/>
      <w:sz w:val="24"/>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1235</Words>
  <Characters>7045</Characters>
  <Application>Microsoft Office Word</Application>
  <DocSecurity>0</DocSecurity>
  <Lines>58</Lines>
  <Paragraphs>16</Paragraphs>
  <ScaleCrop>false</ScaleCrop>
  <Company>University of Wales Trinity Saint David</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Reynolds</dc:creator>
  <dc:description/>
  <cp:lastModifiedBy>Sarah Reynolds</cp:lastModifiedBy>
  <cp:revision>3</cp:revision>
  <dcterms:created xsi:type="dcterms:W3CDTF">2023-10-19T09:36:00Z</dcterms:created>
  <dcterms:modified xsi:type="dcterms:W3CDTF">2023-10-19T09:37:00Z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0x01010079EE99C87BB8D346904CC4E65218BB50</vt:lpwstr>
  </property>
</Properties>
</file>