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C9A32" w14:textId="77777777" w:rsidR="006F34CD" w:rsidRDefault="006F34CD" w:rsidP="009D27C5">
      <w:pPr>
        <w:rPr>
          <w:b/>
          <w:bCs/>
        </w:rPr>
      </w:pPr>
    </w:p>
    <w:p w14:paraId="4A3D9586" w14:textId="77777777" w:rsidR="006F34CD" w:rsidRDefault="006F34CD" w:rsidP="009D27C5">
      <w:pPr>
        <w:rPr>
          <w:b/>
          <w:bCs/>
        </w:rPr>
      </w:pPr>
    </w:p>
    <w:p w14:paraId="48165859" w14:textId="77777777" w:rsidR="006F34CD" w:rsidRDefault="006F34CD" w:rsidP="009D27C5">
      <w:pPr>
        <w:rPr>
          <w:b/>
          <w:bCs/>
        </w:rPr>
      </w:pPr>
    </w:p>
    <w:p w14:paraId="6A63F83C" w14:textId="77777777" w:rsidR="00181BD3" w:rsidRPr="00514F85" w:rsidRDefault="00181BD3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514F85">
        <w:rPr>
          <w:rFonts w:ascii="Arial" w:hAnsi="Arial" w:cs="Arial"/>
          <w:b/>
          <w:bCs/>
          <w:sz w:val="56"/>
          <w:szCs w:val="56"/>
        </w:rPr>
        <w:t>HAJRA NIAZ</w:t>
      </w:r>
    </w:p>
    <w:p w14:paraId="166AFAF8" w14:textId="77777777" w:rsidR="006F34CD" w:rsidRDefault="006F34CD" w:rsidP="00181BD3">
      <w:pPr>
        <w:jc w:val="center"/>
        <w:rPr>
          <w:b/>
          <w:bCs/>
        </w:rPr>
      </w:pPr>
    </w:p>
    <w:p w14:paraId="5D6D89AD" w14:textId="77777777" w:rsidR="006F34CD" w:rsidRDefault="006F34CD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514F85">
        <w:rPr>
          <w:rFonts w:ascii="Arial" w:hAnsi="Arial" w:cs="Arial"/>
          <w:b/>
          <w:bCs/>
          <w:sz w:val="56"/>
          <w:szCs w:val="56"/>
        </w:rPr>
        <w:t>2129740</w:t>
      </w:r>
    </w:p>
    <w:p w14:paraId="4D9C108D" w14:textId="77777777" w:rsidR="00181BD3" w:rsidRPr="00514F85" w:rsidRDefault="00181BD3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10AF8240" w14:textId="77777777" w:rsidR="006F34CD" w:rsidRDefault="006F34CD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514F85">
        <w:rPr>
          <w:rFonts w:ascii="Arial" w:hAnsi="Arial" w:cs="Arial"/>
          <w:b/>
          <w:bCs/>
          <w:sz w:val="56"/>
          <w:szCs w:val="56"/>
        </w:rPr>
        <w:t>BMHP 6027</w:t>
      </w:r>
    </w:p>
    <w:p w14:paraId="1A8EA4A4" w14:textId="77777777" w:rsidR="00181BD3" w:rsidRPr="00514F85" w:rsidRDefault="00181BD3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503F243E" w14:textId="220B4309" w:rsidR="00514F85" w:rsidRDefault="006F34CD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514F85">
        <w:rPr>
          <w:rFonts w:ascii="Arial" w:hAnsi="Arial" w:cs="Arial"/>
          <w:b/>
          <w:bCs/>
          <w:sz w:val="56"/>
          <w:szCs w:val="56"/>
        </w:rPr>
        <w:t>EMPO</w:t>
      </w:r>
      <w:r w:rsidR="00A57AF3">
        <w:rPr>
          <w:rFonts w:ascii="Arial" w:hAnsi="Arial" w:cs="Arial"/>
          <w:b/>
          <w:bCs/>
          <w:sz w:val="56"/>
          <w:szCs w:val="56"/>
        </w:rPr>
        <w:t>W</w:t>
      </w:r>
      <w:r w:rsidRPr="00514F85">
        <w:rPr>
          <w:rFonts w:ascii="Arial" w:hAnsi="Arial" w:cs="Arial"/>
          <w:b/>
          <w:bCs/>
          <w:sz w:val="56"/>
          <w:szCs w:val="56"/>
        </w:rPr>
        <w:t>ER</w:t>
      </w:r>
      <w:r w:rsidR="00514F85" w:rsidRPr="00514F85">
        <w:rPr>
          <w:rFonts w:ascii="Arial" w:hAnsi="Arial" w:cs="Arial"/>
          <w:b/>
          <w:bCs/>
          <w:sz w:val="56"/>
          <w:szCs w:val="56"/>
        </w:rPr>
        <w:t>ING THE OLD</w:t>
      </w:r>
      <w:r w:rsidR="00141B4A">
        <w:rPr>
          <w:rFonts w:ascii="Arial" w:hAnsi="Arial" w:cs="Arial"/>
          <w:b/>
          <w:bCs/>
          <w:sz w:val="56"/>
          <w:szCs w:val="56"/>
        </w:rPr>
        <w:t>ER</w:t>
      </w:r>
      <w:r w:rsidR="00514F85" w:rsidRPr="00514F85">
        <w:rPr>
          <w:rFonts w:ascii="Arial" w:hAnsi="Arial" w:cs="Arial"/>
          <w:b/>
          <w:bCs/>
          <w:sz w:val="56"/>
          <w:szCs w:val="56"/>
        </w:rPr>
        <w:t xml:space="preserve"> </w:t>
      </w:r>
      <w:r w:rsidR="003E10ED">
        <w:rPr>
          <w:rFonts w:ascii="Arial" w:hAnsi="Arial" w:cs="Arial"/>
          <w:b/>
          <w:bCs/>
          <w:sz w:val="56"/>
          <w:szCs w:val="56"/>
        </w:rPr>
        <w:t>PERSON</w:t>
      </w:r>
    </w:p>
    <w:p w14:paraId="5C98EDF9" w14:textId="77777777" w:rsidR="00F90C07" w:rsidRPr="00514F85" w:rsidRDefault="00F90C07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77CD1D98" w14:textId="77777777" w:rsidR="00514F85" w:rsidRPr="00514F85" w:rsidRDefault="00514F85" w:rsidP="00181BD3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514F85">
        <w:rPr>
          <w:rFonts w:ascii="Arial" w:hAnsi="Arial" w:cs="Arial"/>
          <w:b/>
          <w:bCs/>
          <w:sz w:val="56"/>
          <w:szCs w:val="56"/>
        </w:rPr>
        <w:t>FAHAD KHAN</w:t>
      </w:r>
    </w:p>
    <w:p w14:paraId="67CA949A" w14:textId="77777777" w:rsidR="00514F85" w:rsidRPr="00514F85" w:rsidRDefault="00514F85" w:rsidP="00514F8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46BDD1EC" w14:textId="77777777" w:rsidR="00514F85" w:rsidRDefault="00514F85" w:rsidP="009D27C5">
      <w:pPr>
        <w:rPr>
          <w:b/>
          <w:bCs/>
        </w:rPr>
      </w:pPr>
    </w:p>
    <w:p w14:paraId="42603EFA" w14:textId="77777777" w:rsidR="00514F85" w:rsidRDefault="00514F85" w:rsidP="009D27C5">
      <w:pPr>
        <w:rPr>
          <w:b/>
          <w:bCs/>
        </w:rPr>
      </w:pPr>
    </w:p>
    <w:p w14:paraId="6341D071" w14:textId="77777777" w:rsidR="00514F85" w:rsidRDefault="00514F85" w:rsidP="009D27C5">
      <w:pPr>
        <w:rPr>
          <w:b/>
          <w:bCs/>
        </w:rPr>
      </w:pPr>
    </w:p>
    <w:p w14:paraId="18E99D91" w14:textId="77777777" w:rsidR="00514F85" w:rsidRDefault="00514F85" w:rsidP="009D27C5">
      <w:pPr>
        <w:rPr>
          <w:b/>
          <w:bCs/>
        </w:rPr>
      </w:pPr>
    </w:p>
    <w:p w14:paraId="3F6E9722" w14:textId="77777777" w:rsidR="00514F85" w:rsidRDefault="00514F85" w:rsidP="009D27C5">
      <w:pPr>
        <w:rPr>
          <w:b/>
          <w:bCs/>
        </w:rPr>
      </w:pPr>
    </w:p>
    <w:p w14:paraId="348A3CDB" w14:textId="77777777" w:rsidR="00514F85" w:rsidRDefault="00514F85" w:rsidP="009D27C5">
      <w:pPr>
        <w:rPr>
          <w:b/>
          <w:bCs/>
        </w:rPr>
      </w:pPr>
    </w:p>
    <w:p w14:paraId="545A9C31" w14:textId="77777777" w:rsidR="00514F85" w:rsidRDefault="00514F85" w:rsidP="009D27C5">
      <w:pPr>
        <w:rPr>
          <w:b/>
          <w:bCs/>
        </w:rPr>
      </w:pPr>
    </w:p>
    <w:p w14:paraId="77229673" w14:textId="77777777" w:rsidR="00514F85" w:rsidRDefault="00514F85" w:rsidP="009D27C5">
      <w:pPr>
        <w:rPr>
          <w:b/>
          <w:bCs/>
        </w:rPr>
      </w:pPr>
    </w:p>
    <w:p w14:paraId="470681CF" w14:textId="66F55E13" w:rsidR="00EB4CF6" w:rsidRPr="001121C6" w:rsidRDefault="00514F85" w:rsidP="00D22821">
      <w:pPr>
        <w:spacing w:line="360" w:lineRule="auto"/>
        <w:rPr>
          <w:rFonts w:ascii="Arial" w:hAnsi="Arial" w:cs="Arial"/>
          <w:sz w:val="32"/>
          <w:szCs w:val="32"/>
        </w:rPr>
      </w:pPr>
      <w:r w:rsidRPr="001121C6">
        <w:rPr>
          <w:rFonts w:ascii="Arial" w:hAnsi="Arial" w:cs="Arial"/>
          <w:sz w:val="32"/>
          <w:szCs w:val="32"/>
        </w:rPr>
        <w:t xml:space="preserve">REFERANCE </w:t>
      </w:r>
      <w:r w:rsidR="008D0D2F" w:rsidRPr="001121C6">
        <w:rPr>
          <w:rFonts w:ascii="Arial" w:hAnsi="Arial" w:cs="Arial"/>
          <w:sz w:val="32"/>
          <w:szCs w:val="32"/>
        </w:rPr>
        <w:t>List</w:t>
      </w:r>
    </w:p>
    <w:p w14:paraId="3F2A2723" w14:textId="77777777" w:rsidR="006E136B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4F2C3FA8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Age UK (2023) </w:t>
      </w:r>
      <w:r w:rsidRPr="00514F85">
        <w:rPr>
          <w:rFonts w:ascii="Arial" w:hAnsi="Arial" w:cs="Arial"/>
          <w:i/>
          <w:iCs/>
          <w:sz w:val="22"/>
          <w:szCs w:val="22"/>
        </w:rPr>
        <w:t>Later Life in the United Kingdom 2023</w:t>
      </w:r>
      <w:r w:rsidRPr="00514F85">
        <w:rPr>
          <w:rFonts w:ascii="Arial" w:hAnsi="Arial" w:cs="Arial"/>
          <w:sz w:val="22"/>
          <w:szCs w:val="22"/>
        </w:rPr>
        <w:t xml:space="preserve">. London: Age UK. Available at: </w:t>
      </w:r>
      <w:hyperlink r:id="rId4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https://www.ageuk.org.uk</w:t>
        </w:r>
      </w:hyperlink>
    </w:p>
    <w:p w14:paraId="19606DFB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6F92F6FB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Alzheimer's Society (2023) </w:t>
      </w:r>
      <w:r w:rsidRPr="00514F85">
        <w:rPr>
          <w:rFonts w:ascii="Arial" w:hAnsi="Arial" w:cs="Arial"/>
          <w:i/>
          <w:iCs/>
          <w:sz w:val="22"/>
          <w:szCs w:val="22"/>
        </w:rPr>
        <w:t>Dementia UK: Statistics and Facts</w:t>
      </w:r>
      <w:r w:rsidRPr="00514F85">
        <w:rPr>
          <w:rFonts w:ascii="Arial" w:hAnsi="Arial" w:cs="Arial"/>
          <w:sz w:val="22"/>
          <w:szCs w:val="22"/>
        </w:rPr>
        <w:t xml:space="preserve">. London: Alzheimer's Society. Available at: </w:t>
      </w:r>
      <w:hyperlink r:id="rId5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https://www.alzheimers.org.uk</w:t>
        </w:r>
      </w:hyperlink>
    </w:p>
    <w:p w14:paraId="64B2679B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7419EB0C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Atchley, R.C. (1989) 'A continuity theory of normal aging', </w:t>
      </w:r>
      <w:r w:rsidRPr="00514F85">
        <w:rPr>
          <w:rFonts w:ascii="Arial" w:hAnsi="Arial" w:cs="Arial"/>
          <w:i/>
          <w:iCs/>
          <w:sz w:val="22"/>
          <w:szCs w:val="22"/>
        </w:rPr>
        <w:t>The Gerontologist</w:t>
      </w:r>
      <w:r w:rsidRPr="00514F85">
        <w:rPr>
          <w:rFonts w:ascii="Arial" w:hAnsi="Arial" w:cs="Arial"/>
          <w:sz w:val="22"/>
          <w:szCs w:val="22"/>
        </w:rPr>
        <w:t xml:space="preserve">, 29(2), pp. 183–190. Available at: </w:t>
      </w:r>
      <w:hyperlink r:id="rId6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https://doi.org/10.1093/geront/29.2.183</w:t>
        </w:r>
      </w:hyperlink>
    </w:p>
    <w:p w14:paraId="76B5C7C0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0D9C59D6" w14:textId="77777777" w:rsidR="007D06EF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  <w:r w:rsidRPr="00946A98">
        <w:rPr>
          <w:rFonts w:ascii="Arial" w:hAnsi="Arial" w:cs="Arial"/>
          <w:sz w:val="22"/>
          <w:szCs w:val="22"/>
        </w:rPr>
        <w:t xml:space="preserve">Baltes, M.M. and Wahl, H.W. (1992). </w:t>
      </w:r>
      <w:r w:rsidRPr="00946A98">
        <w:rPr>
          <w:rFonts w:ascii="Arial" w:hAnsi="Arial" w:cs="Arial"/>
          <w:i/>
          <w:iCs/>
          <w:sz w:val="22"/>
          <w:szCs w:val="22"/>
        </w:rPr>
        <w:t>The dependency-support script in institutions: Generalization to community settings</w:t>
      </w:r>
      <w:r w:rsidRPr="00946A98">
        <w:rPr>
          <w:rFonts w:ascii="Arial" w:hAnsi="Arial" w:cs="Arial"/>
          <w:sz w:val="22"/>
          <w:szCs w:val="22"/>
        </w:rPr>
        <w:t>. Psychology and Aging.</w:t>
      </w:r>
    </w:p>
    <w:p w14:paraId="215B32E8" w14:textId="36BD0CAF" w:rsidR="006E136B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  <w:r w:rsidRPr="00946A98">
        <w:rPr>
          <w:rFonts w:ascii="Arial" w:hAnsi="Arial" w:cs="Arial"/>
          <w:sz w:val="22"/>
          <w:szCs w:val="22"/>
        </w:rPr>
        <w:t xml:space="preserve"> </w:t>
      </w:r>
    </w:p>
    <w:p w14:paraId="42BCB863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British Geriatrics Society (2023) </w:t>
      </w:r>
      <w:r w:rsidRPr="00514F85">
        <w:rPr>
          <w:rFonts w:ascii="Arial" w:hAnsi="Arial" w:cs="Arial"/>
          <w:i/>
          <w:iCs/>
          <w:sz w:val="22"/>
          <w:szCs w:val="22"/>
        </w:rPr>
        <w:t>Fit for Frailty Part 1</w:t>
      </w:r>
      <w:r w:rsidRPr="00514F85">
        <w:rPr>
          <w:rFonts w:ascii="Arial" w:hAnsi="Arial" w:cs="Arial"/>
          <w:sz w:val="22"/>
          <w:szCs w:val="22"/>
        </w:rPr>
        <w:t xml:space="preserve">. London: British Geriatrics Society. Available at: </w:t>
      </w:r>
      <w:hyperlink r:id="rId7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https://www.bgs.org.uk</w:t>
        </w:r>
      </w:hyperlink>
    </w:p>
    <w:p w14:paraId="26C82897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5CFA7A17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Care Quality Commission (2024) </w:t>
      </w:r>
      <w:r w:rsidRPr="00514F85">
        <w:rPr>
          <w:rFonts w:ascii="Arial" w:hAnsi="Arial" w:cs="Arial"/>
          <w:i/>
          <w:iCs/>
          <w:sz w:val="22"/>
          <w:szCs w:val="22"/>
        </w:rPr>
        <w:t>The State of Health Care and Adult Social Care in England 2023/24</w:t>
      </w:r>
      <w:r w:rsidRPr="00514F85">
        <w:rPr>
          <w:rFonts w:ascii="Arial" w:hAnsi="Arial" w:cs="Arial"/>
          <w:sz w:val="22"/>
          <w:szCs w:val="22"/>
        </w:rPr>
        <w:t xml:space="preserve">. Newcastle upon Tyne: CQC. Available at: </w:t>
      </w:r>
      <w:hyperlink r:id="rId8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https://www.cqc.org.uk</w:t>
        </w:r>
      </w:hyperlink>
    </w:p>
    <w:p w14:paraId="4B2C9FF7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102AB32D" w14:textId="77777777" w:rsidR="006E136B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  <w:r w:rsidRPr="00B42737">
        <w:rPr>
          <w:rFonts w:ascii="Arial" w:hAnsi="Arial" w:cs="Arial"/>
          <w:sz w:val="22"/>
          <w:szCs w:val="22"/>
        </w:rPr>
        <w:t>Care Quality Commission. (2023). The state of health care and adult social care in England 2022/23.</w:t>
      </w:r>
    </w:p>
    <w:p w14:paraId="7D59DD1C" w14:textId="77777777" w:rsidR="007D06EF" w:rsidRPr="00B42737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512891A0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Department for Constitutional Affairs (2005) </w:t>
      </w:r>
      <w:r w:rsidRPr="00514F85">
        <w:rPr>
          <w:rFonts w:ascii="Arial" w:hAnsi="Arial" w:cs="Arial"/>
          <w:i/>
          <w:iCs/>
          <w:sz w:val="22"/>
          <w:szCs w:val="22"/>
        </w:rPr>
        <w:t>Mental Capacity Act 2005: Code of Practice</w:t>
      </w:r>
      <w:r w:rsidRPr="00514F85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9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https://www.gov.uk/government/publications/mental-capacity-act-code-of-practice</w:t>
        </w:r>
      </w:hyperlink>
    </w:p>
    <w:p w14:paraId="24C5C051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1C677D85" w14:textId="77777777" w:rsidR="006E136B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  <w:r w:rsidRPr="00514F85">
        <w:rPr>
          <w:rFonts w:ascii="Arial" w:hAnsi="Arial" w:cs="Arial"/>
          <w:sz w:val="22"/>
          <w:szCs w:val="22"/>
        </w:rPr>
        <w:t xml:space="preserve">Department for Constitutional Affairs (2005) </w:t>
      </w:r>
      <w:r w:rsidRPr="00514F85">
        <w:rPr>
          <w:rFonts w:ascii="Arial" w:hAnsi="Arial" w:cs="Arial"/>
          <w:i/>
          <w:iCs/>
          <w:sz w:val="22"/>
          <w:szCs w:val="22"/>
        </w:rPr>
        <w:t>Mental Capacity Act 2005: Code of Practice</w:t>
      </w:r>
      <w:r w:rsidRPr="00514F85">
        <w:rPr>
          <w:rFonts w:ascii="Arial" w:hAnsi="Arial" w:cs="Arial"/>
          <w:sz w:val="22"/>
          <w:szCs w:val="22"/>
        </w:rPr>
        <w:t>.</w:t>
      </w:r>
    </w:p>
    <w:p w14:paraId="42BD596A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49471B5A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Department of Health and Social Care (2014) </w:t>
      </w:r>
      <w:r w:rsidRPr="00514F85">
        <w:rPr>
          <w:rFonts w:ascii="Arial" w:hAnsi="Arial" w:cs="Arial"/>
          <w:i/>
          <w:iCs/>
          <w:sz w:val="22"/>
          <w:szCs w:val="22"/>
        </w:rPr>
        <w:t>Care Act 2014</w:t>
      </w:r>
      <w:r w:rsidRPr="00514F85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10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https://www.legislation.gov.uk/ukpga/2014/23/contents/enacted</w:t>
        </w:r>
      </w:hyperlink>
    </w:p>
    <w:p w14:paraId="522585BE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47F122D6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Department of Health and Social Care (2022) </w:t>
      </w:r>
      <w:r w:rsidRPr="00514F85">
        <w:rPr>
          <w:rFonts w:ascii="Arial" w:hAnsi="Arial" w:cs="Arial"/>
          <w:i/>
          <w:iCs/>
          <w:sz w:val="22"/>
          <w:szCs w:val="22"/>
        </w:rPr>
        <w:t>People at the Heart of Care: Adult Social Care Reform White Paper</w:t>
      </w:r>
      <w:r w:rsidRPr="00514F85">
        <w:rPr>
          <w:rFonts w:ascii="Arial" w:hAnsi="Arial" w:cs="Arial"/>
          <w:sz w:val="22"/>
          <w:szCs w:val="22"/>
        </w:rPr>
        <w:t xml:space="preserve">. London: DHSC. Available at: </w:t>
      </w:r>
      <w:hyperlink r:id="rId11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https://www.gov.uk/government/publications/people-at-the-heart-of-care-adult-social-care-reform-white-paper</w:t>
        </w:r>
      </w:hyperlink>
    </w:p>
    <w:p w14:paraId="0ACF1245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08D24F1A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Havighurst, R.J. (1961) 'Successful aging', </w:t>
      </w:r>
      <w:r w:rsidRPr="00514F85">
        <w:rPr>
          <w:rFonts w:ascii="Arial" w:hAnsi="Arial" w:cs="Arial"/>
          <w:i/>
          <w:iCs/>
          <w:sz w:val="22"/>
          <w:szCs w:val="22"/>
        </w:rPr>
        <w:t>The Gerontologist</w:t>
      </w:r>
      <w:r w:rsidRPr="00514F85">
        <w:rPr>
          <w:rFonts w:ascii="Arial" w:hAnsi="Arial" w:cs="Arial"/>
          <w:sz w:val="22"/>
          <w:szCs w:val="22"/>
        </w:rPr>
        <w:t xml:space="preserve">, 1(1), pp. 8–13. Available at: </w:t>
      </w:r>
      <w:hyperlink r:id="rId12" w:history="1">
        <w:r w:rsidRPr="005D6541">
          <w:rPr>
            <w:rStyle w:val="Hyperlink"/>
            <w:rFonts w:ascii="Arial" w:hAnsi="Arial" w:cs="Arial"/>
            <w:sz w:val="22"/>
            <w:szCs w:val="22"/>
          </w:rPr>
          <w:t>https://doi.org/10.1093/geront/1.1.8</w:t>
        </w:r>
      </w:hyperlink>
    </w:p>
    <w:p w14:paraId="27B6375C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07314661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National Institute for Health and Care Excellence (NICE) (2015) </w:t>
      </w:r>
      <w:r w:rsidRPr="00514F85">
        <w:rPr>
          <w:rFonts w:ascii="Arial" w:hAnsi="Arial" w:cs="Arial"/>
          <w:i/>
          <w:iCs/>
          <w:sz w:val="22"/>
          <w:szCs w:val="22"/>
        </w:rPr>
        <w:t>Older People: Independence and Mental Wellbeing (NG32).</w:t>
      </w:r>
      <w:r w:rsidRPr="00514F85">
        <w:rPr>
          <w:rFonts w:ascii="Arial" w:hAnsi="Arial" w:cs="Arial"/>
          <w:sz w:val="22"/>
          <w:szCs w:val="22"/>
        </w:rPr>
        <w:t xml:space="preserve"> London: NICE. Available at: </w:t>
      </w:r>
      <w:hyperlink r:id="rId13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https://www.nice.org.uk/guidance/ng32</w:t>
        </w:r>
      </w:hyperlink>
    </w:p>
    <w:p w14:paraId="2551C5A2" w14:textId="77777777" w:rsidR="007D06EF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0865B7FB" w14:textId="77777777" w:rsidR="006E136B" w:rsidRDefault="006E136B" w:rsidP="00D22821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946A98">
        <w:rPr>
          <w:rFonts w:ascii="Arial" w:hAnsi="Arial" w:cs="Arial"/>
          <w:sz w:val="22"/>
          <w:szCs w:val="22"/>
        </w:rPr>
        <w:t xml:space="preserve">NICE (2015). </w:t>
      </w:r>
      <w:r w:rsidRPr="00946A98">
        <w:rPr>
          <w:rFonts w:ascii="Arial" w:hAnsi="Arial" w:cs="Arial"/>
          <w:i/>
          <w:iCs/>
          <w:sz w:val="22"/>
          <w:szCs w:val="22"/>
        </w:rPr>
        <w:t>Older people with social care needs and multiple long-term conditions (NG22).</w:t>
      </w:r>
    </w:p>
    <w:p w14:paraId="2102E53C" w14:textId="77777777" w:rsidR="007D06EF" w:rsidRPr="00514F85" w:rsidRDefault="007D06EF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414FC943" w14:textId="77777777" w:rsidR="006E136B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  <w:r w:rsidRPr="00514F85">
        <w:rPr>
          <w:rFonts w:ascii="Arial" w:hAnsi="Arial" w:cs="Arial"/>
          <w:sz w:val="22"/>
          <w:szCs w:val="22"/>
        </w:rPr>
        <w:t xml:space="preserve">Rogers, C.R. (1961) </w:t>
      </w:r>
      <w:r w:rsidRPr="00514F85">
        <w:rPr>
          <w:rFonts w:ascii="Arial" w:hAnsi="Arial" w:cs="Arial"/>
          <w:i/>
          <w:iCs/>
          <w:sz w:val="22"/>
          <w:szCs w:val="22"/>
        </w:rPr>
        <w:t>On Becoming a Person: A Therapist's View of Psychotherapy</w:t>
      </w:r>
      <w:r w:rsidRPr="00514F85">
        <w:rPr>
          <w:rFonts w:ascii="Arial" w:hAnsi="Arial" w:cs="Arial"/>
          <w:sz w:val="22"/>
          <w:szCs w:val="22"/>
        </w:rPr>
        <w:t>. Boston: Houghton Mifflin.</w:t>
      </w:r>
    </w:p>
    <w:p w14:paraId="4AD7CC5B" w14:textId="77777777" w:rsidR="00B74452" w:rsidRDefault="00B74452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2CE8E835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Skills for Care (2024) </w:t>
      </w:r>
      <w:r w:rsidRPr="00514F85">
        <w:rPr>
          <w:rFonts w:ascii="Arial" w:hAnsi="Arial" w:cs="Arial"/>
          <w:i/>
          <w:iCs/>
          <w:sz w:val="22"/>
          <w:szCs w:val="22"/>
        </w:rPr>
        <w:t>The State of the Adult Social Care Sector and Workforce in England</w:t>
      </w:r>
      <w:r w:rsidRPr="00514F85">
        <w:rPr>
          <w:rFonts w:ascii="Arial" w:hAnsi="Arial" w:cs="Arial"/>
          <w:sz w:val="22"/>
          <w:szCs w:val="22"/>
        </w:rPr>
        <w:t xml:space="preserve">. Leeds: Skills for Care. Available at: </w:t>
      </w:r>
      <w:hyperlink r:id="rId14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https://www.skillsforcare.org.uk</w:t>
        </w:r>
      </w:hyperlink>
    </w:p>
    <w:p w14:paraId="35993FAB" w14:textId="77777777" w:rsidR="00D22821" w:rsidRDefault="00D22821" w:rsidP="00D22821">
      <w:pPr>
        <w:spacing w:line="360" w:lineRule="auto"/>
      </w:pPr>
    </w:p>
    <w:p w14:paraId="7E20FD0F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Social Care Institute for Excellence (SCIE) (2022) </w:t>
      </w:r>
      <w:r w:rsidRPr="00514F85">
        <w:rPr>
          <w:rFonts w:ascii="Arial" w:hAnsi="Arial" w:cs="Arial"/>
          <w:i/>
          <w:iCs/>
          <w:sz w:val="22"/>
          <w:szCs w:val="22"/>
        </w:rPr>
        <w:t>Person-centred Care</w:t>
      </w:r>
      <w:r w:rsidRPr="00514F85">
        <w:rPr>
          <w:rFonts w:ascii="Arial" w:hAnsi="Arial" w:cs="Arial"/>
          <w:sz w:val="22"/>
          <w:szCs w:val="22"/>
        </w:rPr>
        <w:t xml:space="preserve">. London: SCIE. Available at: </w:t>
      </w:r>
      <w:hyperlink r:id="rId15" w:history="1">
        <w:r w:rsidRPr="005D6541">
          <w:rPr>
            <w:rStyle w:val="Hyperlink"/>
            <w:rFonts w:ascii="Arial" w:hAnsi="Arial" w:cs="Arial"/>
            <w:sz w:val="22"/>
            <w:szCs w:val="22"/>
          </w:rPr>
          <w:t>https://www.scie.org.uk/person-centred-care</w:t>
        </w:r>
      </w:hyperlink>
    </w:p>
    <w:p w14:paraId="681F593A" w14:textId="77777777" w:rsidR="00D22821" w:rsidRDefault="00D22821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52993769" w14:textId="43649782" w:rsidR="006E136B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  <w:r w:rsidRPr="00B42737">
        <w:rPr>
          <w:rFonts w:ascii="Arial" w:hAnsi="Arial" w:cs="Arial"/>
          <w:sz w:val="22"/>
          <w:szCs w:val="22"/>
        </w:rPr>
        <w:lastRenderedPageBreak/>
        <w:t xml:space="preserve">The King’s Fund. (2024). Social care 360. </w:t>
      </w:r>
      <w:hyperlink r:id="rId16" w:history="1">
        <w:r w:rsidR="00D22821" w:rsidRPr="00B006F5">
          <w:rPr>
            <w:rStyle w:val="Hyperlink"/>
            <w:rFonts w:ascii="Arial" w:hAnsi="Arial" w:cs="Arial"/>
            <w:sz w:val="22"/>
            <w:szCs w:val="22"/>
          </w:rPr>
          <w:t>https://www.kingsfund.org.uk/projects/social-care-360</w:t>
        </w:r>
      </w:hyperlink>
    </w:p>
    <w:p w14:paraId="73999F3E" w14:textId="77777777" w:rsidR="00D22821" w:rsidRPr="00B42737" w:rsidRDefault="00D22821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5AEFA6DC" w14:textId="77777777" w:rsidR="006E136B" w:rsidRDefault="006E136B" w:rsidP="00D22821">
      <w:pPr>
        <w:spacing w:line="360" w:lineRule="auto"/>
      </w:pPr>
      <w:r w:rsidRPr="00514F85">
        <w:rPr>
          <w:rFonts w:ascii="Arial" w:hAnsi="Arial" w:cs="Arial"/>
          <w:sz w:val="22"/>
          <w:szCs w:val="22"/>
        </w:rPr>
        <w:t xml:space="preserve">UK Government (1998) </w:t>
      </w:r>
      <w:r w:rsidRPr="00514F85">
        <w:rPr>
          <w:rFonts w:ascii="Arial" w:hAnsi="Arial" w:cs="Arial"/>
          <w:i/>
          <w:iCs/>
          <w:sz w:val="22"/>
          <w:szCs w:val="22"/>
        </w:rPr>
        <w:t>Human Rights Act 1998</w:t>
      </w:r>
      <w:r w:rsidRPr="00514F85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17" w:tgtFrame="_new" w:history="1">
        <w:r w:rsidRPr="00514F85">
          <w:rPr>
            <w:rStyle w:val="Hyperlink"/>
            <w:rFonts w:ascii="Arial" w:hAnsi="Arial" w:cs="Arial"/>
            <w:sz w:val="22"/>
            <w:szCs w:val="22"/>
          </w:rPr>
          <w:t>https://www.legislation.gov.uk/ukpga/1998/42/contents</w:t>
        </w:r>
      </w:hyperlink>
    </w:p>
    <w:p w14:paraId="22D7B782" w14:textId="77777777" w:rsidR="00D22821" w:rsidRDefault="00D22821" w:rsidP="00D22821">
      <w:pPr>
        <w:spacing w:line="360" w:lineRule="auto"/>
        <w:rPr>
          <w:rFonts w:ascii="Arial" w:hAnsi="Arial" w:cs="Arial"/>
          <w:sz w:val="22"/>
          <w:szCs w:val="22"/>
        </w:rPr>
      </w:pPr>
    </w:p>
    <w:p w14:paraId="36E13F75" w14:textId="77777777" w:rsidR="006E136B" w:rsidRDefault="006E136B" w:rsidP="00D22821">
      <w:pPr>
        <w:spacing w:line="360" w:lineRule="auto"/>
        <w:rPr>
          <w:rFonts w:ascii="Arial" w:hAnsi="Arial" w:cs="Arial"/>
          <w:sz w:val="22"/>
          <w:szCs w:val="22"/>
        </w:rPr>
      </w:pPr>
      <w:r w:rsidRPr="00514F85">
        <w:rPr>
          <w:rFonts w:ascii="Arial" w:hAnsi="Arial" w:cs="Arial"/>
          <w:sz w:val="22"/>
          <w:szCs w:val="22"/>
        </w:rPr>
        <w:t xml:space="preserve">World Health Organization (2021) </w:t>
      </w:r>
      <w:r w:rsidRPr="00514F85">
        <w:rPr>
          <w:rFonts w:ascii="Arial" w:hAnsi="Arial" w:cs="Arial"/>
          <w:i/>
          <w:iCs/>
          <w:sz w:val="22"/>
          <w:szCs w:val="22"/>
        </w:rPr>
        <w:t>Decade of Healthy Ageing: Baseline Report</w:t>
      </w:r>
      <w:r w:rsidRPr="00514F85">
        <w:rPr>
          <w:rFonts w:ascii="Arial" w:hAnsi="Arial" w:cs="Arial"/>
          <w:sz w:val="22"/>
          <w:szCs w:val="22"/>
        </w:rPr>
        <w:t xml:space="preserve">. Geneva: World Health Organization. Available </w:t>
      </w:r>
      <w:r>
        <w:rPr>
          <w:rFonts w:ascii="Arial" w:hAnsi="Arial" w:cs="Arial"/>
          <w:sz w:val="22"/>
          <w:szCs w:val="22"/>
        </w:rPr>
        <w:t xml:space="preserve">at: </w:t>
      </w:r>
      <w:hyperlink r:id="rId18" w:history="1">
        <w:r w:rsidRPr="008B7452">
          <w:rPr>
            <w:rStyle w:val="Hyperlink"/>
            <w:rFonts w:ascii="Arial" w:hAnsi="Arial" w:cs="Arial"/>
            <w:sz w:val="22"/>
            <w:szCs w:val="22"/>
          </w:rPr>
          <w:t>https://www.who.int/publications/i/item/9789240017900</w:t>
        </w:r>
      </w:hyperlink>
    </w:p>
    <w:p w14:paraId="532C24CA" w14:textId="77777777" w:rsidR="00B42737" w:rsidRPr="00514F85" w:rsidRDefault="00B42737" w:rsidP="00B73B21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B42737" w:rsidRPr="00514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C5"/>
    <w:rsid w:val="001121C6"/>
    <w:rsid w:val="00141B4A"/>
    <w:rsid w:val="00181BD3"/>
    <w:rsid w:val="002A77A9"/>
    <w:rsid w:val="002C79ED"/>
    <w:rsid w:val="00325294"/>
    <w:rsid w:val="00370F74"/>
    <w:rsid w:val="003C11E7"/>
    <w:rsid w:val="003E10ED"/>
    <w:rsid w:val="004B0EED"/>
    <w:rsid w:val="00514F85"/>
    <w:rsid w:val="00557A1E"/>
    <w:rsid w:val="00581A0C"/>
    <w:rsid w:val="006738CB"/>
    <w:rsid w:val="006E136B"/>
    <w:rsid w:val="006F34CD"/>
    <w:rsid w:val="007D06EF"/>
    <w:rsid w:val="008917D3"/>
    <w:rsid w:val="008D0D2F"/>
    <w:rsid w:val="00946A98"/>
    <w:rsid w:val="009548DC"/>
    <w:rsid w:val="009B1C01"/>
    <w:rsid w:val="009D27C5"/>
    <w:rsid w:val="00A2396A"/>
    <w:rsid w:val="00A57AF3"/>
    <w:rsid w:val="00AC4B03"/>
    <w:rsid w:val="00B42737"/>
    <w:rsid w:val="00B73B21"/>
    <w:rsid w:val="00B74452"/>
    <w:rsid w:val="00D22821"/>
    <w:rsid w:val="00D93D99"/>
    <w:rsid w:val="00E5488A"/>
    <w:rsid w:val="00EB4CF6"/>
    <w:rsid w:val="00F9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9B0D0"/>
  <w15:chartTrackingRefBased/>
  <w15:docId w15:val="{0C71BA3A-5CD0-46B1-AED6-5913C0FD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7C5"/>
  </w:style>
  <w:style w:type="paragraph" w:styleId="Heading1">
    <w:name w:val="heading 1"/>
    <w:basedOn w:val="Normal"/>
    <w:next w:val="Normal"/>
    <w:link w:val="Heading1Char"/>
    <w:uiPriority w:val="9"/>
    <w:qFormat/>
    <w:rsid w:val="009D2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7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27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5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" TargetMode="External"/><Relationship Id="rId13" Type="http://schemas.openxmlformats.org/officeDocument/2006/relationships/hyperlink" Target="https://www.nice.org.uk/guidance/ng32" TargetMode="External"/><Relationship Id="rId18" Type="http://schemas.openxmlformats.org/officeDocument/2006/relationships/hyperlink" Target="https://www.who.int/publications/i/item/97892400179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gs.org.uk" TargetMode="External"/><Relationship Id="rId12" Type="http://schemas.openxmlformats.org/officeDocument/2006/relationships/hyperlink" Target="https://doi.org/10.1093/geront/1.1.8" TargetMode="External"/><Relationship Id="rId17" Type="http://schemas.openxmlformats.org/officeDocument/2006/relationships/hyperlink" Target="https://www.legislation.gov.uk/ukpga/1998/42/cont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ingsfund.org.uk/projects/social-care-36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i.org/10.1093/geront/29.2.183" TargetMode="External"/><Relationship Id="rId11" Type="http://schemas.openxmlformats.org/officeDocument/2006/relationships/hyperlink" Target="https://www.gov.uk/government/publications/people-at-the-heart-of-care-adult-social-care-reform-white-paper" TargetMode="External"/><Relationship Id="rId5" Type="http://schemas.openxmlformats.org/officeDocument/2006/relationships/hyperlink" Target="https://www.alzheimers.org.uk" TargetMode="External"/><Relationship Id="rId15" Type="http://schemas.openxmlformats.org/officeDocument/2006/relationships/hyperlink" Target="https://www.scie.org.uk/person-centred-care" TargetMode="External"/><Relationship Id="rId10" Type="http://schemas.openxmlformats.org/officeDocument/2006/relationships/hyperlink" Target="https://www.legislation.gov.uk/ukpga/2014/23/contents/enacted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ageuk.org.uk" TargetMode="External"/><Relationship Id="rId9" Type="http://schemas.openxmlformats.org/officeDocument/2006/relationships/hyperlink" Target="https://www.gov.uk/government/publications/mental-capacity-act-code-of-practice" TargetMode="External"/><Relationship Id="rId14" Type="http://schemas.openxmlformats.org/officeDocument/2006/relationships/hyperlink" Target="https://www.skillsforcar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603</Words>
  <Characters>3439</Characters>
  <Application>Microsoft Office Word</Application>
  <DocSecurity>0</DocSecurity>
  <Lines>28</Lines>
  <Paragraphs>8</Paragraphs>
  <ScaleCrop>false</ScaleCrop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Hajra Niaz</dc:creator>
  <cp:keywords/>
  <dc:description/>
  <cp:lastModifiedBy>Hajra Niaz</cp:lastModifiedBy>
  <cp:revision>28</cp:revision>
  <dcterms:created xsi:type="dcterms:W3CDTF">2026-06-24T09:07:00Z</dcterms:created>
  <dcterms:modified xsi:type="dcterms:W3CDTF">2026-07-07T09:03:00Z</dcterms:modified>
</cp:coreProperties>
</file>