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C4B27F7">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77777777" w:rsidR="0085230E" w:rsidRDefault="0085230E" w:rsidP="00340E9A">
      <w:pPr>
        <w:overflowPunct/>
        <w:autoSpaceDE/>
        <w:autoSpaceDN/>
        <w:adjustRightInd/>
        <w:ind w:right="237"/>
        <w:textAlignment w:val="auto"/>
        <w:rPr>
          <w:b/>
          <w:color w:val="auto"/>
          <w:sz w:val="44"/>
        </w:rPr>
      </w:pPr>
    </w:p>
    <w:p w14:paraId="3F492E92" w14:textId="77777777" w:rsidR="00AD2CF5" w:rsidRPr="007B491F" w:rsidRDefault="00AD2CF5"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197B9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C31E1">
              <w:rPr>
                <w:b/>
                <w:color w:val="auto"/>
                <w:sz w:val="32"/>
              </w:rPr>
              <w:t>Miles Olding</w:t>
            </w:r>
          </w:p>
          <w:p w14:paraId="44290483" w14:textId="77777777" w:rsidR="00FF6BE0" w:rsidRDefault="00FF6BE0" w:rsidP="00340E9A">
            <w:pPr>
              <w:overflowPunct/>
              <w:autoSpaceDE/>
              <w:autoSpaceDN/>
              <w:adjustRightInd/>
              <w:ind w:right="237"/>
              <w:textAlignment w:val="auto"/>
              <w:rPr>
                <w:b/>
                <w:color w:val="auto"/>
                <w:sz w:val="32"/>
              </w:rPr>
            </w:pPr>
          </w:p>
          <w:p w14:paraId="390DEAF4" w14:textId="7777777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C31E1">
              <w:rPr>
                <w:b/>
                <w:color w:val="auto"/>
                <w:sz w:val="32"/>
              </w:rPr>
              <w:t xml:space="preserve"> 2236899</w:t>
            </w:r>
          </w:p>
          <w:p w14:paraId="52B439D7" w14:textId="25D1B873" w:rsidR="002C31E1" w:rsidRPr="008F22BD" w:rsidRDefault="002C31E1"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0590AAF8" w14:textId="32C677DB" w:rsidR="00FF7784" w:rsidRDefault="00025650" w:rsidP="00340E9A">
      <w:pPr>
        <w:ind w:right="237"/>
        <w:jc w:val="both"/>
        <w:rPr>
          <w:b/>
          <w:sz w:val="24"/>
          <w:szCs w:val="24"/>
        </w:rPr>
      </w:pPr>
      <w:r w:rsidRPr="00025650">
        <w:rPr>
          <w:b/>
          <w:sz w:val="24"/>
          <w:szCs w:val="24"/>
        </w:rPr>
        <w:t>ANSWER:</w:t>
      </w:r>
    </w:p>
    <w:p w14:paraId="75BA06A9" w14:textId="77777777" w:rsidR="004C2FAA" w:rsidRPr="004C2FAA" w:rsidRDefault="004C2FAA" w:rsidP="00340E9A">
      <w:pPr>
        <w:ind w:right="237"/>
        <w:jc w:val="both"/>
        <w:rPr>
          <w:b/>
          <w:bCs/>
          <w:color w:val="FF0000"/>
          <w:sz w:val="24"/>
          <w:szCs w:val="24"/>
          <w:u w:val="single"/>
        </w:rPr>
      </w:pPr>
    </w:p>
    <w:p w14:paraId="63B6C41B" w14:textId="08019D9E" w:rsidR="006D5643" w:rsidRDefault="006F2E9A" w:rsidP="006D5643">
      <w:pPr>
        <w:spacing w:line="276" w:lineRule="auto"/>
        <w:rPr>
          <w:sz w:val="24"/>
          <w:szCs w:val="24"/>
        </w:rPr>
      </w:pPr>
      <w:r w:rsidRPr="006F2E9A">
        <w:rPr>
          <w:sz w:val="24"/>
          <w:szCs w:val="24"/>
        </w:rPr>
        <w:t>This essay critically evaluates a personal policing incident through structured reflection while exploring the strategic role of the College of Policing in professionalising policing in the United Kingdom. It will demonstrate how I have begun to embody the role of a modern professional police officer during my final year of probation, and how this journey has deepened my emotional resilience, ethical decision-making, and leadership skills. Using Gibbs' Reflective Cycle (1988), I will reflect on a road traffic incident I attended, applying theoretical frameworks and national strategies such as the Policing Vision 2025, Workforce Transformation 2018, the Strategic Policing Requirement, and the College of Policing's Five-Year Strategy. Drawing on academic research and professional guidance, this essay will examine the evolution of my policing practice, highlighting both the challenges and personal growth that have defined this pivotal phase in my career.</w:t>
      </w:r>
    </w:p>
    <w:p w14:paraId="6960F6A8" w14:textId="77777777" w:rsidR="006F2E9A" w:rsidRPr="006D5643" w:rsidRDefault="006F2E9A" w:rsidP="006D5643">
      <w:pPr>
        <w:spacing w:line="276" w:lineRule="auto"/>
        <w:rPr>
          <w:sz w:val="24"/>
          <w:szCs w:val="24"/>
        </w:rPr>
      </w:pPr>
    </w:p>
    <w:p w14:paraId="582B6444" w14:textId="77777777" w:rsidR="006D5643" w:rsidRDefault="006D5643" w:rsidP="006D5643">
      <w:pPr>
        <w:spacing w:line="276" w:lineRule="auto"/>
        <w:rPr>
          <w:sz w:val="24"/>
          <w:szCs w:val="24"/>
        </w:rPr>
      </w:pPr>
      <w:r w:rsidRPr="006D5643">
        <w:rPr>
          <w:sz w:val="24"/>
          <w:szCs w:val="24"/>
        </w:rPr>
        <w:t xml:space="preserve">During a routine mobile patrol in Caerphilly, I was first on the scene of a road traffic collision involving a child and an elderly man struck by a driver impaired by drugs. I conducted an immediate primary survey using the structured Danger, Response, Airway, Breathing, Circulation (DRABC) method, which is commonly taught in first </w:t>
      </w:r>
      <w:r w:rsidRPr="006D5643">
        <w:rPr>
          <w:sz w:val="24"/>
          <w:szCs w:val="24"/>
        </w:rPr>
        <w:lastRenderedPageBreak/>
        <w:t xml:space="preserve">responder training to prioritise life-saving interventions at trauma scenes (St John Ambulance, 2023). </w:t>
      </w:r>
    </w:p>
    <w:p w14:paraId="69831B08" w14:textId="77777777" w:rsidR="006D5643" w:rsidRPr="006D5643" w:rsidRDefault="006D5643" w:rsidP="006D5643">
      <w:pPr>
        <w:spacing w:line="276" w:lineRule="auto"/>
        <w:rPr>
          <w:sz w:val="24"/>
          <w:szCs w:val="24"/>
        </w:rPr>
      </w:pPr>
    </w:p>
    <w:p w14:paraId="13B2630A" w14:textId="77777777" w:rsidR="006D5643" w:rsidRPr="006D5643" w:rsidRDefault="006D5643" w:rsidP="006D5643">
      <w:pPr>
        <w:spacing w:line="276" w:lineRule="auto"/>
        <w:rPr>
          <w:sz w:val="24"/>
          <w:szCs w:val="24"/>
        </w:rPr>
      </w:pPr>
      <w:r w:rsidRPr="006D5643">
        <w:rPr>
          <w:sz w:val="24"/>
          <w:szCs w:val="24"/>
        </w:rPr>
        <w:t>This approach ensures that critical injuries and environmental hazards are identified and addressed in a logical, time-sensitive order. I then secured the scene and coordinated with my colleague and emergency services. I also instructed a member of the public to assist in providing first aid. The incident occurred during peak traffic hours, and a growing crowd of concerned bystanders added to the complexity.</w:t>
      </w:r>
    </w:p>
    <w:p w14:paraId="3D8E4469" w14:textId="77777777" w:rsidR="006D5643" w:rsidRDefault="006D5643" w:rsidP="006D5643">
      <w:pPr>
        <w:spacing w:line="276" w:lineRule="auto"/>
        <w:rPr>
          <w:sz w:val="24"/>
          <w:szCs w:val="24"/>
        </w:rPr>
      </w:pPr>
      <w:r w:rsidRPr="006D5643">
        <w:rPr>
          <w:sz w:val="24"/>
          <w:szCs w:val="24"/>
        </w:rPr>
        <w:t>Initially, I felt overwhelmed by the chaotic and emotionally intense scene. The fragility of the victims, particularly the child, triggered an emotional response. Nevertheless, my training came first, and I promptly adopted a leadership approach. My self-assurance increased as I provided clear guidance, although I later wondered if I had made the best use of all the resources at my disposal.</w:t>
      </w:r>
    </w:p>
    <w:p w14:paraId="4ED969D0" w14:textId="77777777" w:rsidR="006D5643" w:rsidRPr="006D5643" w:rsidRDefault="006D5643" w:rsidP="006D5643">
      <w:pPr>
        <w:spacing w:line="276" w:lineRule="auto"/>
        <w:rPr>
          <w:sz w:val="24"/>
          <w:szCs w:val="24"/>
        </w:rPr>
      </w:pPr>
    </w:p>
    <w:p w14:paraId="15E33874" w14:textId="77777777" w:rsidR="006D5643" w:rsidRDefault="006D5643" w:rsidP="006D5643">
      <w:pPr>
        <w:spacing w:line="276" w:lineRule="auto"/>
        <w:rPr>
          <w:sz w:val="24"/>
          <w:szCs w:val="24"/>
        </w:rPr>
      </w:pPr>
      <w:r w:rsidRPr="006D5643">
        <w:rPr>
          <w:sz w:val="24"/>
          <w:szCs w:val="24"/>
        </w:rPr>
        <w:t>I worked effectively under pressure and communicated clearly, but on reflection, I could have delegated more tasks to my colleague and involved bystanders earlier. McCartney and Parent (2015) highlight that early crowd management and effective delegation can increase scene stability and reduce the risk of further harm. Additionally, I should have applied a more structured approach to managing the scene beyond instinct and experience.</w:t>
      </w:r>
    </w:p>
    <w:p w14:paraId="1F2AB3FB" w14:textId="77777777" w:rsidR="006D5643" w:rsidRPr="006D5643" w:rsidRDefault="006D5643" w:rsidP="006D5643">
      <w:pPr>
        <w:spacing w:line="276" w:lineRule="auto"/>
        <w:rPr>
          <w:sz w:val="24"/>
          <w:szCs w:val="24"/>
        </w:rPr>
      </w:pPr>
    </w:p>
    <w:p w14:paraId="48F9787B" w14:textId="4F2EA091" w:rsidR="006D5643" w:rsidRDefault="006D5643" w:rsidP="006D5643">
      <w:pPr>
        <w:spacing w:line="276" w:lineRule="auto"/>
        <w:rPr>
          <w:sz w:val="24"/>
          <w:szCs w:val="24"/>
        </w:rPr>
      </w:pPr>
      <w:r w:rsidRPr="006D5643">
        <w:rPr>
          <w:sz w:val="24"/>
          <w:szCs w:val="24"/>
        </w:rPr>
        <w:t>Applying the National Decision Model, I collected information, assessed risks, and made proportionate decisions. According to the College of Policing (2024), this model ensures ethical, transparent, and consistent decision-making in policing. However, I did not explicitly refer to the model during the incident, which may have resulted in some reactive decisions. Edwards (2021) argues that consciously applying structured decision-making frameworks enhances officer performance and accountability, particularly in high-stakes environments. Furthermore, integrating trauma-informed practices</w:t>
      </w:r>
      <w:r>
        <w:rPr>
          <w:sz w:val="24"/>
          <w:szCs w:val="24"/>
        </w:rPr>
        <w:t xml:space="preserve">, </w:t>
      </w:r>
      <w:r w:rsidRPr="006D5643">
        <w:rPr>
          <w:sz w:val="24"/>
          <w:szCs w:val="24"/>
        </w:rPr>
        <w:t>which consider the psychological and emotional impact of trauma on victims</w:t>
      </w:r>
      <w:r>
        <w:rPr>
          <w:sz w:val="24"/>
          <w:szCs w:val="24"/>
        </w:rPr>
        <w:t xml:space="preserve">, </w:t>
      </w:r>
      <w:r w:rsidRPr="006D5643">
        <w:rPr>
          <w:sz w:val="24"/>
          <w:szCs w:val="24"/>
        </w:rPr>
        <w:t>would have been beneficial, particularly when speaking with the child's family (</w:t>
      </w:r>
      <w:proofErr w:type="spellStart"/>
      <w:r w:rsidRPr="006D5643">
        <w:rPr>
          <w:sz w:val="24"/>
          <w:szCs w:val="24"/>
        </w:rPr>
        <w:t>Walklate</w:t>
      </w:r>
      <w:proofErr w:type="spellEnd"/>
      <w:r w:rsidRPr="006D5643">
        <w:rPr>
          <w:sz w:val="24"/>
          <w:szCs w:val="24"/>
        </w:rPr>
        <w:t xml:space="preserve"> et al., 2020).</w:t>
      </w:r>
    </w:p>
    <w:p w14:paraId="4801A135" w14:textId="77777777" w:rsidR="006D5643" w:rsidRPr="006D5643" w:rsidRDefault="006D5643" w:rsidP="006D5643">
      <w:pPr>
        <w:spacing w:line="276" w:lineRule="auto"/>
        <w:rPr>
          <w:sz w:val="24"/>
          <w:szCs w:val="24"/>
        </w:rPr>
      </w:pPr>
    </w:p>
    <w:p w14:paraId="258FE552" w14:textId="77777777" w:rsidR="006D5643" w:rsidRDefault="006D5643" w:rsidP="006D5643">
      <w:pPr>
        <w:spacing w:line="276" w:lineRule="auto"/>
        <w:rPr>
          <w:sz w:val="24"/>
          <w:szCs w:val="24"/>
        </w:rPr>
      </w:pPr>
      <w:r w:rsidRPr="006D5643">
        <w:rPr>
          <w:sz w:val="24"/>
          <w:szCs w:val="24"/>
        </w:rPr>
        <w:t>The incident reinforced the importance of clear thinking, structured frameworks such as the National Decision Model, and collaboration. I recognised that while my instinct and training enabled me to perform well, I had not systematically applied the decision-making model. This limited my ability to evaluate the situation holistically and adapt dynamically.</w:t>
      </w:r>
    </w:p>
    <w:p w14:paraId="62FE9CBC" w14:textId="77777777" w:rsidR="006D5643" w:rsidRPr="006D5643" w:rsidRDefault="006D5643" w:rsidP="006D5643">
      <w:pPr>
        <w:spacing w:line="276" w:lineRule="auto"/>
        <w:rPr>
          <w:sz w:val="24"/>
          <w:szCs w:val="24"/>
        </w:rPr>
      </w:pPr>
    </w:p>
    <w:p w14:paraId="1C5D3E14" w14:textId="77777777" w:rsidR="006D5643" w:rsidRDefault="006D5643" w:rsidP="006D5643">
      <w:pPr>
        <w:spacing w:line="276" w:lineRule="auto"/>
        <w:rPr>
          <w:sz w:val="24"/>
          <w:szCs w:val="24"/>
        </w:rPr>
      </w:pPr>
      <w:r w:rsidRPr="006D5643">
        <w:rPr>
          <w:sz w:val="24"/>
          <w:szCs w:val="24"/>
        </w:rPr>
        <w:t>Moving forward, I aim to apply the National Decision Model more consciously in high-pressure situations. I will also undertake additional training in trauma-informed communication and refresh my knowledge of scene management protocols. This aligns with best practices recommended by the College of Policing (2022) and contributes to ongoing professional development.</w:t>
      </w:r>
    </w:p>
    <w:p w14:paraId="2A4A5F50" w14:textId="77777777" w:rsidR="006D5643" w:rsidRPr="006D5643" w:rsidRDefault="006D5643" w:rsidP="006D5643">
      <w:pPr>
        <w:spacing w:line="276" w:lineRule="auto"/>
        <w:rPr>
          <w:sz w:val="24"/>
          <w:szCs w:val="24"/>
        </w:rPr>
      </w:pPr>
    </w:p>
    <w:p w14:paraId="40233D16" w14:textId="77777777" w:rsidR="006D5643" w:rsidRDefault="006D5643" w:rsidP="006D5643">
      <w:pPr>
        <w:spacing w:line="276" w:lineRule="auto"/>
        <w:rPr>
          <w:sz w:val="24"/>
          <w:szCs w:val="24"/>
        </w:rPr>
      </w:pPr>
      <w:r w:rsidRPr="006D5643">
        <w:rPr>
          <w:sz w:val="24"/>
          <w:szCs w:val="24"/>
        </w:rPr>
        <w:lastRenderedPageBreak/>
        <w:t>The College of Policing plays a central role in the strategic development of modern professional policing in the United Kingdom. It is responsible for setting national standards, developing leadership, promoting ethical practice, and ensuring the delivery of evidence-based policing. The College operates as a professional body that supports officers in meeting evolving public expectations and complex operational demands.</w:t>
      </w:r>
    </w:p>
    <w:p w14:paraId="046A43FD" w14:textId="77777777" w:rsidR="006D5643" w:rsidRPr="006D5643" w:rsidRDefault="006D5643" w:rsidP="006D5643">
      <w:pPr>
        <w:spacing w:line="276" w:lineRule="auto"/>
        <w:rPr>
          <w:sz w:val="24"/>
          <w:szCs w:val="24"/>
        </w:rPr>
      </w:pPr>
    </w:p>
    <w:p w14:paraId="22EB5B32" w14:textId="77777777" w:rsidR="006D5643" w:rsidRDefault="006D5643" w:rsidP="006D5643">
      <w:pPr>
        <w:spacing w:line="276" w:lineRule="auto"/>
        <w:rPr>
          <w:sz w:val="24"/>
          <w:szCs w:val="24"/>
        </w:rPr>
      </w:pPr>
      <w:r w:rsidRPr="006D5643">
        <w:rPr>
          <w:sz w:val="24"/>
          <w:szCs w:val="24"/>
        </w:rPr>
        <w:t>A significant contribution of the College is the Police Education Qualifications Framework, which aims to embed reflective practice and academic rigour into policing. As outlined in the College's Five-Year Strategy (2018), this initiative enhances knowledge and promotes lifelong learning. Charman (2017) supports this by arguing that structured academic training helps bridge the gap between theoretical understanding and frontline practice. Further research by Rowe and Garland (2020) highlights how education in policing improves both procedural justice and legitimacy in community relationships.</w:t>
      </w:r>
    </w:p>
    <w:p w14:paraId="6989B66D" w14:textId="77777777" w:rsidR="006D5643" w:rsidRPr="006D5643" w:rsidRDefault="006D5643" w:rsidP="006D5643">
      <w:pPr>
        <w:spacing w:line="276" w:lineRule="auto"/>
        <w:rPr>
          <w:sz w:val="24"/>
          <w:szCs w:val="24"/>
        </w:rPr>
      </w:pPr>
    </w:p>
    <w:p w14:paraId="3A165DB6" w14:textId="77777777" w:rsidR="006D5643" w:rsidRPr="006D5643" w:rsidRDefault="006D5643" w:rsidP="006D5643">
      <w:pPr>
        <w:spacing w:line="276" w:lineRule="auto"/>
        <w:rPr>
          <w:sz w:val="24"/>
          <w:szCs w:val="24"/>
        </w:rPr>
      </w:pPr>
      <w:r w:rsidRPr="006D5643">
        <w:rPr>
          <w:sz w:val="24"/>
          <w:szCs w:val="24"/>
        </w:rPr>
        <w:t>The College's Code of Ethics forms the moral backbone of policing, outlining principles such as integrity, fairness, and accountability. These values are embedded in daily operations through decision-making models and training programmes. The College of Policing (2021) states that the Code of Ethics supports officers in building public trust and maintaining legitimacy. This ethical foundation is reinforced through practical guidance such as the National Decision Model, which supports transparent and justifiable decision-making in varied scenarios (College of Policing, 2024).</w:t>
      </w:r>
    </w:p>
    <w:p w14:paraId="0715F313" w14:textId="77777777" w:rsidR="006D5643" w:rsidRDefault="006D5643" w:rsidP="006D5643">
      <w:pPr>
        <w:spacing w:line="276" w:lineRule="auto"/>
        <w:rPr>
          <w:sz w:val="24"/>
          <w:szCs w:val="24"/>
        </w:rPr>
      </w:pPr>
      <w:r w:rsidRPr="006D5643">
        <w:rPr>
          <w:sz w:val="24"/>
          <w:szCs w:val="24"/>
        </w:rPr>
        <w:t>In addition to ethics and training, the College contributes to long-term strategic goals. The Policing Vision 2025, developed with the National Police Chiefs Council, focuses on building a digitally capable, collaborative, and skilled police workforce (National Police Chiefs Council, 2016). This vision encourages innovation, community partnership, and a stronger emphasis on vulnerability. The Workforce Transformation 2018 agenda builds on this, advocating for a culture of continuous improvement, emotional intelligence, and leadership at all levels (Sanders et al., 2024).</w:t>
      </w:r>
    </w:p>
    <w:p w14:paraId="1E51BACA" w14:textId="77777777" w:rsidR="006D5643" w:rsidRPr="006D5643" w:rsidRDefault="006D5643" w:rsidP="006D5643">
      <w:pPr>
        <w:spacing w:line="276" w:lineRule="auto"/>
        <w:rPr>
          <w:sz w:val="24"/>
          <w:szCs w:val="24"/>
        </w:rPr>
      </w:pPr>
    </w:p>
    <w:p w14:paraId="701ADF37" w14:textId="77777777" w:rsidR="006D5643" w:rsidRDefault="006D5643" w:rsidP="006D5643">
      <w:pPr>
        <w:spacing w:line="276" w:lineRule="auto"/>
        <w:rPr>
          <w:sz w:val="24"/>
          <w:szCs w:val="24"/>
        </w:rPr>
      </w:pPr>
      <w:r w:rsidRPr="006D5643">
        <w:rPr>
          <w:sz w:val="24"/>
          <w:szCs w:val="24"/>
        </w:rPr>
        <w:t>Academic literature supports the need for this transformation. Brown and Newburn (2017) argue that true professionalisation in policing must involve critical thinking, moral reasoning, and evidence-based practice, not merely technical competence. The College's efforts to embed these traits within training and career development demonstrate its essential role in shaping modern policing.</w:t>
      </w:r>
    </w:p>
    <w:p w14:paraId="4869C550" w14:textId="108F8DEB" w:rsidR="006D5643" w:rsidRPr="006D5643" w:rsidRDefault="006D5643" w:rsidP="006D5643">
      <w:pPr>
        <w:spacing w:line="276" w:lineRule="auto"/>
        <w:rPr>
          <w:sz w:val="24"/>
          <w:szCs w:val="24"/>
        </w:rPr>
      </w:pPr>
    </w:p>
    <w:p w14:paraId="51F22D7A" w14:textId="77777777" w:rsidR="006D5643" w:rsidRDefault="006D5643" w:rsidP="006D5643">
      <w:pPr>
        <w:spacing w:line="276" w:lineRule="auto"/>
        <w:rPr>
          <w:sz w:val="24"/>
          <w:szCs w:val="24"/>
        </w:rPr>
      </w:pPr>
      <w:r w:rsidRPr="006D5643">
        <w:rPr>
          <w:sz w:val="24"/>
          <w:szCs w:val="24"/>
        </w:rPr>
        <w:t xml:space="preserve">Furthermore, the College facilitates access to the Knowledge Hub, where officers can review current research, case studies, and data to inform their decisions. According to Fleming and Rhodes (2018), evidence-based policing enhances the legitimacy and efficiency of police work by aligning practice with proven outcomes. In this sense, the College dictates standards and provides the tools and resources for officers to meet them. Similarly, </w:t>
      </w:r>
      <w:proofErr w:type="spellStart"/>
      <w:r w:rsidRPr="006D5643">
        <w:rPr>
          <w:sz w:val="24"/>
          <w:szCs w:val="24"/>
        </w:rPr>
        <w:t>Neyroud</w:t>
      </w:r>
      <w:proofErr w:type="spellEnd"/>
      <w:r w:rsidRPr="006D5643">
        <w:rPr>
          <w:sz w:val="24"/>
          <w:szCs w:val="24"/>
        </w:rPr>
        <w:t xml:space="preserve"> (2011) argues that continuous learning </w:t>
      </w:r>
      <w:r w:rsidRPr="006D5643">
        <w:rPr>
          <w:sz w:val="24"/>
          <w:szCs w:val="24"/>
        </w:rPr>
        <w:lastRenderedPageBreak/>
        <w:t>through institutional knowledge sharing leads to more responsive and accountable policing.</w:t>
      </w:r>
    </w:p>
    <w:p w14:paraId="49C66EFC" w14:textId="77777777" w:rsidR="006D5643" w:rsidRPr="006D5643" w:rsidRDefault="006D5643" w:rsidP="006D5643">
      <w:pPr>
        <w:spacing w:line="276" w:lineRule="auto"/>
        <w:rPr>
          <w:sz w:val="24"/>
          <w:szCs w:val="24"/>
        </w:rPr>
      </w:pPr>
    </w:p>
    <w:p w14:paraId="52C77BC2" w14:textId="77777777" w:rsidR="006D5643" w:rsidRDefault="006D5643" w:rsidP="006D5643">
      <w:pPr>
        <w:spacing w:line="276" w:lineRule="auto"/>
        <w:rPr>
          <w:sz w:val="24"/>
          <w:szCs w:val="24"/>
        </w:rPr>
      </w:pPr>
      <w:r w:rsidRPr="006D5643">
        <w:rPr>
          <w:sz w:val="24"/>
          <w:szCs w:val="24"/>
        </w:rPr>
        <w:t>During my final year of probation, I have actively sought to align my practice with the principles of modern professional policing. This has required a shift from a task-oriented mindset to one that values reflection, ethics, and continual learning. The expectations set out by the College of Policing and national strategy documents have been instrumental in shaping my development.</w:t>
      </w:r>
    </w:p>
    <w:p w14:paraId="7BB866B0" w14:textId="77777777" w:rsidR="006D5643" w:rsidRPr="006D5643" w:rsidRDefault="006D5643" w:rsidP="006D5643">
      <w:pPr>
        <w:spacing w:line="276" w:lineRule="auto"/>
        <w:rPr>
          <w:sz w:val="24"/>
          <w:szCs w:val="24"/>
        </w:rPr>
      </w:pPr>
    </w:p>
    <w:p w14:paraId="3AD3C8D2" w14:textId="77777777" w:rsidR="006D5643" w:rsidRDefault="006D5643" w:rsidP="006D5643">
      <w:pPr>
        <w:spacing w:line="276" w:lineRule="auto"/>
        <w:rPr>
          <w:sz w:val="24"/>
          <w:szCs w:val="24"/>
        </w:rPr>
      </w:pPr>
      <w:r w:rsidRPr="006D5643">
        <w:rPr>
          <w:sz w:val="24"/>
          <w:szCs w:val="24"/>
        </w:rPr>
        <w:t xml:space="preserve">I have participated in training on public engagement, de-escalation, and vulnerability assessment, all of which are core to the Workforce Transformation agenda. </w:t>
      </w:r>
    </w:p>
    <w:p w14:paraId="514D5567" w14:textId="77777777" w:rsidR="006D5643" w:rsidRDefault="006D5643" w:rsidP="006D5643">
      <w:pPr>
        <w:spacing w:line="276" w:lineRule="auto"/>
        <w:rPr>
          <w:sz w:val="24"/>
          <w:szCs w:val="24"/>
        </w:rPr>
      </w:pPr>
    </w:p>
    <w:p w14:paraId="49E3A488" w14:textId="69CBFA47" w:rsidR="006D5643" w:rsidRDefault="006D5643" w:rsidP="006D5643">
      <w:pPr>
        <w:spacing w:line="276" w:lineRule="auto"/>
        <w:rPr>
          <w:sz w:val="24"/>
          <w:szCs w:val="24"/>
        </w:rPr>
      </w:pPr>
      <w:r w:rsidRPr="006D5643">
        <w:rPr>
          <w:sz w:val="24"/>
          <w:szCs w:val="24"/>
        </w:rPr>
        <w:t>Chatterton (2008) emphasises that emotional intelligence and communication skills are fundamental in managing conflict and engaging communities. I have applied these skills in situations ranging from neighbourhood disputes to critical incident management. Furthermore, the findings of Bullock and Garland (2023) suggest that officers with higher emotional intelligence experience better outcomes in community-led policing initiatives.</w:t>
      </w:r>
    </w:p>
    <w:p w14:paraId="31882EE5" w14:textId="77777777" w:rsidR="006D5643" w:rsidRPr="006D5643" w:rsidRDefault="006D5643" w:rsidP="006D5643">
      <w:pPr>
        <w:spacing w:line="276" w:lineRule="auto"/>
        <w:rPr>
          <w:sz w:val="24"/>
          <w:szCs w:val="24"/>
        </w:rPr>
      </w:pPr>
    </w:p>
    <w:p w14:paraId="3D2BD431" w14:textId="77777777" w:rsidR="006D5643" w:rsidRPr="006D5643" w:rsidRDefault="006D5643" w:rsidP="006D5643">
      <w:pPr>
        <w:spacing w:line="276" w:lineRule="auto"/>
        <w:rPr>
          <w:sz w:val="24"/>
          <w:szCs w:val="24"/>
        </w:rPr>
      </w:pPr>
      <w:r w:rsidRPr="006D5643">
        <w:rPr>
          <w:sz w:val="24"/>
          <w:szCs w:val="24"/>
        </w:rPr>
        <w:t xml:space="preserve">An example of this transformation is my approach to victims of domestic abuse. Initially, I focused primarily on procedural requirements. However, I now engage in trauma-informed communication, recognising the psychological impact of abuse. </w:t>
      </w:r>
      <w:proofErr w:type="spellStart"/>
      <w:r w:rsidRPr="006D5643">
        <w:rPr>
          <w:sz w:val="24"/>
          <w:szCs w:val="24"/>
        </w:rPr>
        <w:t>Walklate</w:t>
      </w:r>
      <w:proofErr w:type="spellEnd"/>
      <w:r w:rsidRPr="006D5643">
        <w:rPr>
          <w:sz w:val="24"/>
          <w:szCs w:val="24"/>
        </w:rPr>
        <w:t xml:space="preserve"> et al. (2020) highlight the importance of empathy and survivor-centred communication in building trust and supporting victims effectively. I also ensure that safeguarding protocols are followed and referrals to partner agencies are made.</w:t>
      </w:r>
    </w:p>
    <w:p w14:paraId="55782D06" w14:textId="77777777" w:rsidR="006D5643" w:rsidRDefault="006D5643" w:rsidP="006D5643">
      <w:pPr>
        <w:spacing w:line="276" w:lineRule="auto"/>
        <w:rPr>
          <w:sz w:val="24"/>
          <w:szCs w:val="24"/>
        </w:rPr>
      </w:pPr>
      <w:r w:rsidRPr="006D5643">
        <w:rPr>
          <w:sz w:val="24"/>
          <w:szCs w:val="24"/>
        </w:rPr>
        <w:t>Leadership has been another area of development. I have led small teams during community events and public order situations. The College of Policing's Leadership Review (2015) promotes values-based leadership that is not confined to rank but based on behaviour and ethics. I now view leadership as a shared responsibility and an opportunity to model professional behaviour.</w:t>
      </w:r>
    </w:p>
    <w:p w14:paraId="7E5E86A6" w14:textId="77777777" w:rsidR="006D5643" w:rsidRPr="006D5643" w:rsidRDefault="006D5643" w:rsidP="006D5643">
      <w:pPr>
        <w:spacing w:line="276" w:lineRule="auto"/>
        <w:rPr>
          <w:sz w:val="24"/>
          <w:szCs w:val="24"/>
        </w:rPr>
      </w:pPr>
    </w:p>
    <w:p w14:paraId="7E64151E" w14:textId="77777777" w:rsidR="006D5643" w:rsidRDefault="006D5643" w:rsidP="006D5643">
      <w:pPr>
        <w:spacing w:line="276" w:lineRule="auto"/>
        <w:rPr>
          <w:sz w:val="24"/>
          <w:szCs w:val="24"/>
        </w:rPr>
      </w:pPr>
      <w:r w:rsidRPr="006D5643">
        <w:rPr>
          <w:sz w:val="24"/>
          <w:szCs w:val="24"/>
        </w:rPr>
        <w:t>I have also integrated academic research into my practice. Engaging with journals, attending webinars, and using the Knowledge Hub has enabled me to make more informed decisions. Fleming and Rhodes (2018) argue that officers who incorporate research into their practice are better equipped to adapt and innovate. I used academic literature to improve my handling of stop and search, ensuring fairness and legal compliance while reducing negative perceptions.</w:t>
      </w:r>
    </w:p>
    <w:p w14:paraId="0F1D4772" w14:textId="77777777" w:rsidR="006D5643" w:rsidRPr="006D5643" w:rsidRDefault="006D5643" w:rsidP="006D5643">
      <w:pPr>
        <w:spacing w:line="276" w:lineRule="auto"/>
        <w:rPr>
          <w:sz w:val="24"/>
          <w:szCs w:val="24"/>
        </w:rPr>
      </w:pPr>
    </w:p>
    <w:p w14:paraId="608B2D36" w14:textId="77777777" w:rsidR="006D5643" w:rsidRDefault="006D5643" w:rsidP="006D5643">
      <w:pPr>
        <w:spacing w:line="276" w:lineRule="auto"/>
        <w:rPr>
          <w:sz w:val="24"/>
          <w:szCs w:val="24"/>
        </w:rPr>
      </w:pPr>
      <w:r w:rsidRPr="006D5643">
        <w:rPr>
          <w:sz w:val="24"/>
          <w:szCs w:val="24"/>
        </w:rPr>
        <w:t>Furthermore, I have begun mentoring junior colleagues and contributing to team debriefings, creating space for shared learning. Kolb's experiential learning theory (1984) supports the idea that reflection, discussion, and feedback enhance both individual and collective performance. Through this approach, I am helping to foster a learning culture within my team.</w:t>
      </w:r>
    </w:p>
    <w:p w14:paraId="57C1A4D9" w14:textId="72C15EFA" w:rsidR="006D5643" w:rsidRPr="006D5643" w:rsidRDefault="006D5643" w:rsidP="006D5643">
      <w:pPr>
        <w:spacing w:line="276" w:lineRule="auto"/>
        <w:rPr>
          <w:sz w:val="24"/>
          <w:szCs w:val="24"/>
        </w:rPr>
      </w:pPr>
    </w:p>
    <w:p w14:paraId="5652607C" w14:textId="77777777" w:rsidR="006D5643" w:rsidRDefault="006D5643" w:rsidP="006D5643">
      <w:pPr>
        <w:spacing w:line="276" w:lineRule="auto"/>
        <w:rPr>
          <w:sz w:val="24"/>
          <w:szCs w:val="24"/>
        </w:rPr>
      </w:pPr>
      <w:r w:rsidRPr="006D5643">
        <w:rPr>
          <w:sz w:val="24"/>
          <w:szCs w:val="24"/>
        </w:rPr>
        <w:lastRenderedPageBreak/>
        <w:t>My final probationary year has significantly grown, shaped by experience, structured reflection, and academic learning. I entered this stage of my career focused on procedural compliance and building confidence. However, the influence of the College of Policing's emphasis on critical reflection has helped me evolve into a more thoughtful and adaptable officer.</w:t>
      </w:r>
    </w:p>
    <w:p w14:paraId="76F2902F" w14:textId="77777777" w:rsidR="006D5643" w:rsidRPr="006D5643" w:rsidRDefault="006D5643" w:rsidP="006D5643">
      <w:pPr>
        <w:spacing w:line="276" w:lineRule="auto"/>
        <w:rPr>
          <w:sz w:val="24"/>
          <w:szCs w:val="24"/>
        </w:rPr>
      </w:pPr>
    </w:p>
    <w:p w14:paraId="314C5628" w14:textId="77777777" w:rsidR="006D5643" w:rsidRDefault="006D5643" w:rsidP="006D5643">
      <w:pPr>
        <w:spacing w:line="276" w:lineRule="auto"/>
        <w:rPr>
          <w:sz w:val="24"/>
          <w:szCs w:val="24"/>
        </w:rPr>
      </w:pPr>
      <w:r w:rsidRPr="006D5643">
        <w:rPr>
          <w:sz w:val="24"/>
          <w:szCs w:val="24"/>
        </w:rPr>
        <w:t>Initially, I struggled with emotionally complex situations, such as death notifications and serious assaults. These incidents had a lasting emotional impact and tested my resilience. Over time, I accessed peer support and formal debriefs, which allowed me to process these experiences. Emotional resilience is prioritised in the Workforce Transformation agenda (2018), recognising its importance in officer wellbeing and performance.</w:t>
      </w:r>
    </w:p>
    <w:p w14:paraId="52E44EA0" w14:textId="77777777" w:rsidR="006D5643" w:rsidRPr="006D5643" w:rsidRDefault="006D5643" w:rsidP="006D5643">
      <w:pPr>
        <w:spacing w:line="276" w:lineRule="auto"/>
        <w:rPr>
          <w:sz w:val="24"/>
          <w:szCs w:val="24"/>
        </w:rPr>
      </w:pPr>
    </w:p>
    <w:p w14:paraId="5891FF97" w14:textId="77777777" w:rsidR="006D5643" w:rsidRDefault="006D5643" w:rsidP="006D5643">
      <w:pPr>
        <w:spacing w:line="276" w:lineRule="auto"/>
        <w:rPr>
          <w:sz w:val="24"/>
          <w:szCs w:val="24"/>
        </w:rPr>
      </w:pPr>
      <w:r w:rsidRPr="006D5643">
        <w:rPr>
          <w:sz w:val="24"/>
          <w:szCs w:val="24"/>
        </w:rPr>
        <w:t>Gibbs' Reflective Cycle has been instrumental in my growth. It has provided a structured way to analyse experiences, identify strengths and weaknesses, and plan improvements. This has helped me shift from reactive to proactive decision-making. As Kolb (1984) suggests, learning from experience is key to professional development.</w:t>
      </w:r>
    </w:p>
    <w:p w14:paraId="46E37610" w14:textId="77777777" w:rsidR="006D5643" w:rsidRPr="006D5643" w:rsidRDefault="006D5643" w:rsidP="006D5643">
      <w:pPr>
        <w:spacing w:line="276" w:lineRule="auto"/>
        <w:rPr>
          <w:sz w:val="24"/>
          <w:szCs w:val="24"/>
        </w:rPr>
      </w:pPr>
    </w:p>
    <w:p w14:paraId="7407337F" w14:textId="77777777" w:rsidR="006D5643" w:rsidRDefault="006D5643" w:rsidP="006D5643">
      <w:pPr>
        <w:spacing w:line="276" w:lineRule="auto"/>
        <w:rPr>
          <w:sz w:val="24"/>
          <w:szCs w:val="24"/>
        </w:rPr>
      </w:pPr>
      <w:r w:rsidRPr="006D5643">
        <w:rPr>
          <w:sz w:val="24"/>
          <w:szCs w:val="24"/>
        </w:rPr>
        <w:t>I have also improved my understanding of procedural justice, ensuring fairness, transparency, and respectful engagement in all public interactions. Tyler (2004) notes that when individuals perceive fairness in policing, they are more likely to cooperate and comply. Applying these principles has reduced conflict and improved community relationships.</w:t>
      </w:r>
    </w:p>
    <w:p w14:paraId="529D0E67" w14:textId="77777777" w:rsidR="006D5643" w:rsidRPr="006D5643" w:rsidRDefault="006D5643" w:rsidP="006D5643">
      <w:pPr>
        <w:spacing w:line="276" w:lineRule="auto"/>
        <w:rPr>
          <w:sz w:val="24"/>
          <w:szCs w:val="24"/>
        </w:rPr>
      </w:pPr>
    </w:p>
    <w:p w14:paraId="534F81B4" w14:textId="77777777" w:rsidR="006D5643" w:rsidRDefault="006D5643" w:rsidP="006D5643">
      <w:pPr>
        <w:spacing w:line="276" w:lineRule="auto"/>
        <w:rPr>
          <w:sz w:val="24"/>
          <w:szCs w:val="24"/>
        </w:rPr>
      </w:pPr>
      <w:r w:rsidRPr="006D5643">
        <w:rPr>
          <w:sz w:val="24"/>
          <w:szCs w:val="24"/>
        </w:rPr>
        <w:t>Another challenge has been overcoming cultural norms within the workplace that discourage reflection or openness about mistakes. Loftus (2009) argues that traditional police culture often resists change and self-analysis. However, I now understand that challenging these norms is part of being a professional. I actively encourage reflective practice within my team and seek feedback from supervisors and peers.</w:t>
      </w:r>
    </w:p>
    <w:p w14:paraId="68EAA361" w14:textId="77777777" w:rsidR="006D5643" w:rsidRPr="006D5643" w:rsidRDefault="006D5643" w:rsidP="006D5643">
      <w:pPr>
        <w:spacing w:line="276" w:lineRule="auto"/>
        <w:rPr>
          <w:sz w:val="24"/>
          <w:szCs w:val="24"/>
        </w:rPr>
      </w:pPr>
    </w:p>
    <w:p w14:paraId="2C2FA5E4" w14:textId="77777777" w:rsidR="006D5643" w:rsidRDefault="006D5643" w:rsidP="006D5643">
      <w:pPr>
        <w:spacing w:line="276" w:lineRule="auto"/>
        <w:rPr>
          <w:sz w:val="24"/>
          <w:szCs w:val="24"/>
        </w:rPr>
      </w:pPr>
      <w:r w:rsidRPr="006D5643">
        <w:rPr>
          <w:sz w:val="24"/>
          <w:szCs w:val="24"/>
        </w:rPr>
        <w:t>Perhaps most importantly, I value academic literacy. I now see research not as a requirement for assignments but as a tool for better policing. This shift in mindset has increased my motivation for professional development and improved the quality of my decision-making. As Reiner (2010) emphasises, modern policing demands intellectual flexibility, ethical judgment, and adaptability.</w:t>
      </w:r>
    </w:p>
    <w:p w14:paraId="417B86EE" w14:textId="77777777" w:rsidR="006D5643" w:rsidRPr="006D5643" w:rsidRDefault="006D5643" w:rsidP="006D5643">
      <w:pPr>
        <w:spacing w:line="276" w:lineRule="auto"/>
        <w:rPr>
          <w:sz w:val="24"/>
          <w:szCs w:val="24"/>
        </w:rPr>
      </w:pPr>
    </w:p>
    <w:p w14:paraId="5D1C9E57" w14:textId="77777777" w:rsidR="006F2E9A" w:rsidRPr="006F2E9A" w:rsidRDefault="006F2E9A" w:rsidP="006F2E9A">
      <w:pPr>
        <w:spacing w:line="276" w:lineRule="auto"/>
        <w:rPr>
          <w:sz w:val="24"/>
          <w:szCs w:val="24"/>
        </w:rPr>
      </w:pPr>
      <w:r w:rsidRPr="006F2E9A">
        <w:rPr>
          <w:sz w:val="24"/>
          <w:szCs w:val="24"/>
        </w:rPr>
        <w:t xml:space="preserve">This essay has critically reflected on a significant policing incident using Gibbs' Reflective Cycle and has integrated best practice guidance from the College of Policing. It has demonstrated how my development aligns with strategic aims such as the Strategic Policing Requirement, Policing Vision 2025, Workforce Transformation 2018, and the College of Policing's Five-Year Strategy. The College </w:t>
      </w:r>
      <w:r w:rsidRPr="006F2E9A">
        <w:rPr>
          <w:sz w:val="24"/>
          <w:szCs w:val="24"/>
        </w:rPr>
        <w:lastRenderedPageBreak/>
        <w:t>continues to play a vital role in professionalising policing through ethical leadership, reflective practice, and structured frameworks such as the National Decision Model.</w:t>
      </w:r>
    </w:p>
    <w:p w14:paraId="460F3C13" w14:textId="2DF352BD" w:rsidR="006D5643" w:rsidRDefault="006F2E9A" w:rsidP="006F2E9A">
      <w:pPr>
        <w:spacing w:line="276" w:lineRule="auto"/>
        <w:rPr>
          <w:sz w:val="24"/>
          <w:szCs w:val="24"/>
        </w:rPr>
      </w:pPr>
      <w:r w:rsidRPr="006F2E9A">
        <w:rPr>
          <w:sz w:val="24"/>
          <w:szCs w:val="24"/>
        </w:rPr>
        <w:t>Throughout my final year of probation, these strategic and ethical frameworks have shaped my growth into a more adaptive, emotionally intelligent, and research-informed officer. I have moved beyond procedural compliance to embrace critical reflection, trauma-informed approaches, and values-led leadership. This year has shown me that professionalisation is not a fixed goal but an evolving process requiring continual learning and ethical judgment. Integrating academic research, reflective models, and national strategy has improved my resilience, confidence, and decision-making. I have developed leadership capability, contributed to team learning, and strengthened my understanding of procedural justice. As I transition from probation to a fully warranted officer, I remain committed to upholding the values, integrity, and learning culture championed by the College of Policing. This journey has reshaped not just how I police but how I think about policing, and I intend to contribute to a professional service that inspires public trust and delivers effective, ethical policing.</w:t>
      </w:r>
    </w:p>
    <w:p w14:paraId="773BABD2" w14:textId="77777777" w:rsidR="006F2E9A" w:rsidRPr="006D5643" w:rsidRDefault="006F2E9A" w:rsidP="006F2E9A">
      <w:pPr>
        <w:spacing w:line="276" w:lineRule="auto"/>
        <w:rPr>
          <w:sz w:val="24"/>
          <w:szCs w:val="24"/>
        </w:rPr>
      </w:pPr>
    </w:p>
    <w:p w14:paraId="6D716549" w14:textId="7288E787" w:rsidR="006D5643" w:rsidRPr="006D5643" w:rsidRDefault="006D5643" w:rsidP="006D5643">
      <w:pPr>
        <w:spacing w:line="276" w:lineRule="auto"/>
        <w:rPr>
          <w:b/>
          <w:bCs/>
          <w:color w:val="FF0000"/>
          <w:sz w:val="24"/>
          <w:szCs w:val="24"/>
        </w:rPr>
      </w:pPr>
      <w:r w:rsidRPr="006D5643">
        <w:rPr>
          <w:b/>
          <w:bCs/>
          <w:color w:val="FF0000"/>
          <w:sz w:val="24"/>
          <w:szCs w:val="24"/>
        </w:rPr>
        <w:t>19</w:t>
      </w:r>
      <w:r w:rsidR="006F2E9A">
        <w:rPr>
          <w:b/>
          <w:bCs/>
          <w:color w:val="FF0000"/>
          <w:sz w:val="24"/>
          <w:szCs w:val="24"/>
        </w:rPr>
        <w:t>46</w:t>
      </w:r>
      <w:r w:rsidRPr="006D5643">
        <w:rPr>
          <w:b/>
          <w:bCs/>
          <w:color w:val="FF0000"/>
          <w:sz w:val="24"/>
          <w:szCs w:val="24"/>
        </w:rPr>
        <w:t xml:space="preserve"> words</w:t>
      </w:r>
    </w:p>
    <w:p w14:paraId="324788C6" w14:textId="77777777" w:rsidR="006D5643" w:rsidRPr="006D5643" w:rsidRDefault="006D5643" w:rsidP="006D5643">
      <w:pPr>
        <w:spacing w:line="276" w:lineRule="auto"/>
        <w:rPr>
          <w:sz w:val="24"/>
          <w:szCs w:val="24"/>
        </w:rPr>
      </w:pPr>
    </w:p>
    <w:p w14:paraId="7D56D2F1" w14:textId="77777777" w:rsidR="006D5643" w:rsidRPr="006D5643" w:rsidRDefault="006D5643" w:rsidP="006D5643">
      <w:pPr>
        <w:spacing w:line="276" w:lineRule="auto"/>
        <w:rPr>
          <w:sz w:val="24"/>
          <w:szCs w:val="24"/>
        </w:rPr>
      </w:pPr>
    </w:p>
    <w:p w14:paraId="06E75E8A" w14:textId="77777777" w:rsidR="006D5643" w:rsidRPr="006D5643" w:rsidRDefault="006D5643" w:rsidP="006D5643">
      <w:pPr>
        <w:spacing w:line="276" w:lineRule="auto"/>
        <w:rPr>
          <w:sz w:val="24"/>
          <w:szCs w:val="24"/>
        </w:rPr>
      </w:pPr>
    </w:p>
    <w:p w14:paraId="752298B0" w14:textId="77777777" w:rsidR="006D5643" w:rsidRPr="006D5643" w:rsidRDefault="006D5643" w:rsidP="006D5643">
      <w:pPr>
        <w:spacing w:line="276" w:lineRule="auto"/>
        <w:rPr>
          <w:sz w:val="24"/>
          <w:szCs w:val="24"/>
        </w:rPr>
      </w:pPr>
    </w:p>
    <w:p w14:paraId="4B489FDB" w14:textId="77777777" w:rsidR="006D5643" w:rsidRPr="006D5643" w:rsidRDefault="006D5643" w:rsidP="006D5643">
      <w:pPr>
        <w:spacing w:line="276" w:lineRule="auto"/>
        <w:rPr>
          <w:sz w:val="24"/>
          <w:szCs w:val="24"/>
        </w:rPr>
      </w:pPr>
    </w:p>
    <w:p w14:paraId="3C29816E" w14:textId="77777777" w:rsidR="006D5643" w:rsidRPr="006D5643" w:rsidRDefault="006D5643" w:rsidP="006D5643">
      <w:pPr>
        <w:spacing w:line="276" w:lineRule="auto"/>
        <w:rPr>
          <w:sz w:val="24"/>
          <w:szCs w:val="24"/>
        </w:rPr>
      </w:pPr>
    </w:p>
    <w:p w14:paraId="1F572FE1" w14:textId="77777777" w:rsidR="006D5643" w:rsidRPr="006D5643" w:rsidRDefault="006D5643" w:rsidP="006D5643">
      <w:pPr>
        <w:spacing w:line="276" w:lineRule="auto"/>
        <w:rPr>
          <w:sz w:val="24"/>
          <w:szCs w:val="24"/>
        </w:rPr>
      </w:pPr>
    </w:p>
    <w:p w14:paraId="6ED49930" w14:textId="77777777" w:rsidR="006D5643" w:rsidRPr="006D5643" w:rsidRDefault="006D5643" w:rsidP="006D5643">
      <w:pPr>
        <w:spacing w:line="276" w:lineRule="auto"/>
        <w:rPr>
          <w:sz w:val="24"/>
          <w:szCs w:val="24"/>
        </w:rPr>
      </w:pPr>
    </w:p>
    <w:p w14:paraId="6D05A718" w14:textId="77777777" w:rsidR="006D5643" w:rsidRPr="006D5643" w:rsidRDefault="006D5643" w:rsidP="006D5643">
      <w:pPr>
        <w:spacing w:line="276" w:lineRule="auto"/>
        <w:rPr>
          <w:sz w:val="24"/>
          <w:szCs w:val="24"/>
        </w:rPr>
      </w:pPr>
    </w:p>
    <w:p w14:paraId="0CE829B3" w14:textId="77777777" w:rsidR="006D5643" w:rsidRPr="006D5643" w:rsidRDefault="006D5643" w:rsidP="006D5643">
      <w:pPr>
        <w:spacing w:line="276" w:lineRule="auto"/>
        <w:rPr>
          <w:sz w:val="24"/>
          <w:szCs w:val="24"/>
        </w:rPr>
      </w:pPr>
    </w:p>
    <w:p w14:paraId="419473BF" w14:textId="77777777" w:rsidR="006D5643" w:rsidRPr="006D5643" w:rsidRDefault="006D5643" w:rsidP="006D5643">
      <w:pPr>
        <w:spacing w:line="276" w:lineRule="auto"/>
        <w:rPr>
          <w:sz w:val="24"/>
          <w:szCs w:val="24"/>
        </w:rPr>
      </w:pPr>
    </w:p>
    <w:p w14:paraId="7729374E" w14:textId="77777777" w:rsidR="006D5643" w:rsidRPr="006D5643" w:rsidRDefault="006D5643" w:rsidP="006D5643">
      <w:pPr>
        <w:spacing w:line="276" w:lineRule="auto"/>
        <w:rPr>
          <w:sz w:val="24"/>
          <w:szCs w:val="24"/>
        </w:rPr>
      </w:pPr>
    </w:p>
    <w:p w14:paraId="033BB223" w14:textId="77777777" w:rsidR="006D5643" w:rsidRPr="006D5643" w:rsidRDefault="006D5643" w:rsidP="006D5643">
      <w:pPr>
        <w:spacing w:line="276" w:lineRule="auto"/>
        <w:rPr>
          <w:sz w:val="24"/>
          <w:szCs w:val="24"/>
        </w:rPr>
      </w:pPr>
    </w:p>
    <w:p w14:paraId="242D9380" w14:textId="77777777" w:rsidR="006D5643" w:rsidRPr="006D5643" w:rsidRDefault="006D5643" w:rsidP="006D5643">
      <w:pPr>
        <w:spacing w:line="276" w:lineRule="auto"/>
        <w:rPr>
          <w:sz w:val="24"/>
          <w:szCs w:val="24"/>
        </w:rPr>
      </w:pPr>
    </w:p>
    <w:p w14:paraId="0380647B" w14:textId="77777777" w:rsidR="006D5643" w:rsidRPr="006D5643" w:rsidRDefault="006D5643" w:rsidP="006D5643">
      <w:pPr>
        <w:spacing w:line="276" w:lineRule="auto"/>
        <w:rPr>
          <w:sz w:val="24"/>
          <w:szCs w:val="24"/>
        </w:rPr>
      </w:pPr>
    </w:p>
    <w:p w14:paraId="5639E84D" w14:textId="77777777" w:rsidR="006D5643" w:rsidRPr="00F421ED" w:rsidRDefault="006D5643" w:rsidP="006D5643"/>
    <w:p w14:paraId="71AC19BF" w14:textId="77777777" w:rsidR="002C31E1" w:rsidRPr="002C31E1" w:rsidRDefault="002C31E1" w:rsidP="002C31E1">
      <w:pPr>
        <w:rPr>
          <w:rFonts w:ascii="Calibri" w:hAnsi="Calibri" w:cs="Calibri"/>
          <w:sz w:val="24"/>
          <w:szCs w:val="24"/>
        </w:rPr>
      </w:pPr>
    </w:p>
    <w:p w14:paraId="670E1FB9" w14:textId="77777777" w:rsidR="00FF7784" w:rsidRPr="002C31E1"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F287FFB" w14:textId="7487A589" w:rsidR="001442C6" w:rsidRDefault="001442C6" w:rsidP="001442C6">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7F49BBC" w14:textId="77777777" w:rsidR="001442C6" w:rsidRDefault="001442C6"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3A8D05E9"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2F5142ED" w14:textId="5951678A"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 xml:space="preserve">Today's Policing is as much about genuine human communication as it is about using modern digital tools. While the fundamentals of face‐to‐face engagement remain essential, digital platforms such as Facebook, Twitter (now X), Instagram, and TikTok have transformed how we connect with communities and share crucial information. Over the past decade, research has highlighted the promise and complexities of these digital channels. For instance, Jones et al. (2013) illustrate how Police agencies create digital visibility by using rich visual content, while Bullock (2017) discusses the transformative </w:t>
      </w:r>
      <w:proofErr w:type="gramStart"/>
      <w:r w:rsidRPr="001442C6">
        <w:rPr>
          <w:rFonts w:ascii="Calibri" w:hAnsi="Calibri" w:cs="Calibri"/>
          <w:sz w:val="24"/>
          <w:szCs w:val="24"/>
        </w:rPr>
        <w:t>potential</w:t>
      </w:r>
      <w:proofErr w:type="gramEnd"/>
      <w:r w:rsidRPr="001442C6">
        <w:rPr>
          <w:rFonts w:ascii="Calibri" w:hAnsi="Calibri" w:cs="Calibri"/>
          <w:sz w:val="24"/>
          <w:szCs w:val="24"/>
        </w:rPr>
        <w:t xml:space="preserve"> and the caution needed when engaging online. </w:t>
      </w:r>
      <w:proofErr w:type="spellStart"/>
      <w:r w:rsidRPr="001442C6">
        <w:rPr>
          <w:rFonts w:ascii="Calibri" w:hAnsi="Calibri" w:cs="Calibri"/>
          <w:sz w:val="24"/>
          <w:szCs w:val="24"/>
        </w:rPr>
        <w:t>Mawby</w:t>
      </w:r>
      <w:proofErr w:type="spellEnd"/>
      <w:r w:rsidRPr="001442C6">
        <w:rPr>
          <w:rFonts w:ascii="Calibri" w:hAnsi="Calibri" w:cs="Calibri"/>
          <w:sz w:val="24"/>
          <w:szCs w:val="24"/>
        </w:rPr>
        <w:t xml:space="preserve"> (2020) highlights the need for a balance between professional judgment and public relations in the use of social media. Meijer and </w:t>
      </w:r>
      <w:proofErr w:type="spellStart"/>
      <w:r w:rsidRPr="001442C6">
        <w:rPr>
          <w:rFonts w:ascii="Calibri" w:hAnsi="Calibri" w:cs="Calibri"/>
          <w:sz w:val="24"/>
          <w:szCs w:val="24"/>
        </w:rPr>
        <w:t>Torenvlied</w:t>
      </w:r>
      <w:proofErr w:type="spellEnd"/>
      <w:r w:rsidRPr="001442C6">
        <w:rPr>
          <w:rFonts w:ascii="Calibri" w:hAnsi="Calibri" w:cs="Calibri"/>
          <w:sz w:val="24"/>
          <w:szCs w:val="24"/>
        </w:rPr>
        <w:t xml:space="preserve"> (2016) contend that being responsive and transparent is crucial for fostering public trust. These changing dynamics illustrate that the digital landscape has become an operational environment of its own, necessitating both tactical and ethical understanding.</w:t>
      </w:r>
    </w:p>
    <w:p w14:paraId="5B815876" w14:textId="77777777" w:rsidR="001442C6" w:rsidRPr="001442C6" w:rsidRDefault="001442C6" w:rsidP="001442C6">
      <w:pPr>
        <w:spacing w:line="276" w:lineRule="auto"/>
        <w:rPr>
          <w:rFonts w:ascii="Calibri" w:hAnsi="Calibri" w:cs="Calibri"/>
          <w:sz w:val="24"/>
          <w:szCs w:val="24"/>
        </w:rPr>
      </w:pPr>
    </w:p>
    <w:p w14:paraId="0C2B82F5"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 xml:space="preserve">This essay critically reflects on an incident involving a missing teenager in Caerphilly, using Gibbs' Reflective Cycle to explore the professional, strategic, and ethical dimensions of digital communication in Policing. It evaluates the role of Facebook in the incident, but also considers how other platforms are used across the UK Police forces. Drawing on force policy </w:t>
      </w:r>
      <w:r w:rsidRPr="001442C6">
        <w:rPr>
          <w:rFonts w:ascii="Calibri" w:hAnsi="Calibri" w:cs="Calibri"/>
          <w:sz w:val="24"/>
          <w:szCs w:val="24"/>
        </w:rPr>
        <w:lastRenderedPageBreak/>
        <w:t>and academic literature, it assesses both the benefits and risks of using social media. It also considers the training and organisational structures that shape police communication strategies. The essay concludes with a summary of the key learning points and future implications for practice.</w:t>
      </w:r>
    </w:p>
    <w:p w14:paraId="7C4BAD8B" w14:textId="77777777" w:rsidR="001442C6" w:rsidRPr="001442C6" w:rsidRDefault="001442C6" w:rsidP="001442C6">
      <w:pPr>
        <w:spacing w:line="276" w:lineRule="auto"/>
        <w:rPr>
          <w:rFonts w:ascii="Calibri" w:hAnsi="Calibri" w:cs="Calibri"/>
          <w:sz w:val="24"/>
          <w:szCs w:val="24"/>
        </w:rPr>
      </w:pPr>
    </w:p>
    <w:p w14:paraId="7E4DA4B4"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During a shift in Caerphilly, I responded to a report of a missing teenage boy. His mother informed us that he had left a note indicating self-harm and disappeared shortly afterwards. I gathered intelligence on his emotional state, likely locations, and behaviour patterns. A Facebook appeal was posted, which resulted in a member of the public quickly locating him near an old railway line. I engaged with the boy directly, offering calm and compassionate conversation, and he ultimately accepted help. Emotionally, I felt a strong sense of urgency and concern. These feelings drove a quick but measured response. It was a profoundly human moment, balanced by the need for procedural professionalism and digital awareness. Applying Gibbs' model to this experience allows a more structured reflection on its implications.</w:t>
      </w:r>
    </w:p>
    <w:p w14:paraId="03B48D4C" w14:textId="77777777" w:rsidR="001442C6" w:rsidRPr="001442C6" w:rsidRDefault="001442C6" w:rsidP="001442C6">
      <w:pPr>
        <w:spacing w:line="276" w:lineRule="auto"/>
        <w:rPr>
          <w:rFonts w:ascii="Calibri" w:hAnsi="Calibri" w:cs="Calibri"/>
          <w:sz w:val="24"/>
          <w:szCs w:val="24"/>
        </w:rPr>
      </w:pPr>
    </w:p>
    <w:p w14:paraId="409D527C"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 xml:space="preserve">From the descriptive phase, the factual aspects of the incident were straightforward, but the emotional impact was significant. During the evaluation phase, I recognised the successful outcome was not just a matter of operational procedure but hinged on social media's practical, timely use. </w:t>
      </w:r>
      <w:proofErr w:type="spellStart"/>
      <w:r w:rsidRPr="001442C6">
        <w:rPr>
          <w:rFonts w:ascii="Calibri" w:hAnsi="Calibri" w:cs="Calibri"/>
          <w:sz w:val="24"/>
          <w:szCs w:val="24"/>
        </w:rPr>
        <w:t>Jeanis</w:t>
      </w:r>
      <w:proofErr w:type="spellEnd"/>
      <w:r w:rsidRPr="001442C6">
        <w:rPr>
          <w:rFonts w:ascii="Calibri" w:hAnsi="Calibri" w:cs="Calibri"/>
          <w:sz w:val="24"/>
          <w:szCs w:val="24"/>
        </w:rPr>
        <w:t xml:space="preserve"> et al. (2019) </w:t>
      </w:r>
      <w:proofErr w:type="gramStart"/>
      <w:r w:rsidRPr="001442C6">
        <w:rPr>
          <w:rFonts w:ascii="Calibri" w:hAnsi="Calibri" w:cs="Calibri"/>
          <w:sz w:val="24"/>
          <w:szCs w:val="24"/>
        </w:rPr>
        <w:t>argue</w:t>
      </w:r>
      <w:proofErr w:type="gramEnd"/>
      <w:r w:rsidRPr="001442C6">
        <w:rPr>
          <w:rFonts w:ascii="Calibri" w:hAnsi="Calibri" w:cs="Calibri"/>
          <w:sz w:val="24"/>
          <w:szCs w:val="24"/>
        </w:rPr>
        <w:t xml:space="preserve"> that structured posts with visuals and concise information enhance public response rates, which aligns with my experience. However, reflection also highlights the broader policy and ethical implications. The incident illustrates how social media can help close gaps in traditional information chains and how easily it could have gone wrong had the message been inaccurate, insensitive, or unauthorised. Bullock (2017) and Crump (2011) emphasise that public trust hinges on responsible messaging. This event underscored that digital engagement must follow established ethical and procedural standards.</w:t>
      </w:r>
    </w:p>
    <w:p w14:paraId="6E722986" w14:textId="77777777" w:rsidR="001442C6" w:rsidRPr="001442C6" w:rsidRDefault="001442C6" w:rsidP="001442C6">
      <w:pPr>
        <w:spacing w:line="276" w:lineRule="auto"/>
        <w:rPr>
          <w:rFonts w:ascii="Calibri" w:hAnsi="Calibri" w:cs="Calibri"/>
          <w:sz w:val="24"/>
          <w:szCs w:val="24"/>
        </w:rPr>
      </w:pPr>
    </w:p>
    <w:p w14:paraId="2CAFE8A6"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 xml:space="preserve">The Facebook appeal activated community support, demonstrating the platform's capacity for real-time engagement. This immediate reaction was not coincidental but resulted from cultivating a page with high community engagement. Jones et al. (2013) support this by showing how digital visibility builds trust, mainly when visual content is used responsibly. As applied by Loader et al. (2021), social capital theory suggests that these online relationships serve as reservoirs of goodwill and action. Nonetheless, this positive effect is not universal or guaranteed. </w:t>
      </w:r>
      <w:proofErr w:type="spellStart"/>
      <w:r w:rsidRPr="001442C6">
        <w:rPr>
          <w:rFonts w:ascii="Calibri" w:hAnsi="Calibri" w:cs="Calibri"/>
          <w:sz w:val="24"/>
          <w:szCs w:val="24"/>
        </w:rPr>
        <w:t>Denef</w:t>
      </w:r>
      <w:proofErr w:type="spellEnd"/>
      <w:r w:rsidRPr="001442C6">
        <w:rPr>
          <w:rFonts w:ascii="Calibri" w:hAnsi="Calibri" w:cs="Calibri"/>
          <w:sz w:val="24"/>
          <w:szCs w:val="24"/>
        </w:rPr>
        <w:t xml:space="preserve"> et al. (2013) caution that inconsistent messaging or lack of coordination in social media efforts can harm credibility. McKay et al. (2020) found that trust can erode if interactions appear performative or one-sided. In this case, we mitigated such risks through internal coordination, consent, and close liaison with the communications team.</w:t>
      </w:r>
    </w:p>
    <w:p w14:paraId="737D0297" w14:textId="77777777" w:rsidR="001442C6" w:rsidRPr="001442C6" w:rsidRDefault="001442C6" w:rsidP="001442C6">
      <w:pPr>
        <w:spacing w:line="276" w:lineRule="auto"/>
        <w:rPr>
          <w:rFonts w:ascii="Calibri" w:hAnsi="Calibri" w:cs="Calibri"/>
          <w:sz w:val="24"/>
          <w:szCs w:val="24"/>
        </w:rPr>
      </w:pPr>
    </w:p>
    <w:p w14:paraId="1DD95657" w14:textId="40D6562D"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lastRenderedPageBreak/>
        <w:t xml:space="preserve">Notably, this case only used Facebook. UK Police forces also widely use other platforms like X (formerly Twitter), Instagram, TikTok, and </w:t>
      </w:r>
      <w:r w:rsidR="00CF1D45" w:rsidRPr="001442C6">
        <w:rPr>
          <w:rFonts w:ascii="Calibri" w:hAnsi="Calibri" w:cs="Calibri"/>
          <w:sz w:val="24"/>
          <w:szCs w:val="24"/>
        </w:rPr>
        <w:t>YouTube</w:t>
      </w:r>
      <w:r w:rsidR="00CF1D45" w:rsidRPr="001442C6">
        <w:rPr>
          <w:rFonts w:ascii="Calibri" w:hAnsi="Calibri" w:cs="Calibri"/>
          <w:sz w:val="24"/>
          <w:szCs w:val="24"/>
        </w:rPr>
        <w:t xml:space="preserve"> </w:t>
      </w:r>
      <w:r w:rsidRPr="001442C6">
        <w:rPr>
          <w:rFonts w:ascii="Calibri" w:hAnsi="Calibri" w:cs="Calibri"/>
          <w:sz w:val="24"/>
          <w:szCs w:val="24"/>
        </w:rPr>
        <w:t>(HMICFRS, 2022). X is preferred for rapid bulletins, traffic updates, and appeals during emergencies. Instagram and TikTok cater more to youth engagement and proactive messaging, such as myth-busting or crime prevention campaigns. YouTube offers scope for longer-form public education videos, like explainers on police powers or behind-the-scenes tours. Each platform has its own audience demographics, and forces must tailor their tone, visuals, and content accordingly (Trottier, 2018; Bramhall, 2020). Forces such as Greater Manchester Police have used Instagram stories to highlight missing persons, while Surrey Police have experimented with TikTok to dispel myths around stop-and-search. These strategic deployments demonstrate growing platform literacy within Policing.</w:t>
      </w:r>
    </w:p>
    <w:p w14:paraId="35D20845" w14:textId="77777777" w:rsidR="001442C6" w:rsidRPr="001442C6" w:rsidRDefault="001442C6" w:rsidP="001442C6">
      <w:pPr>
        <w:spacing w:line="276" w:lineRule="auto"/>
        <w:rPr>
          <w:rFonts w:ascii="Calibri" w:hAnsi="Calibri" w:cs="Calibri"/>
          <w:sz w:val="24"/>
          <w:szCs w:val="24"/>
        </w:rPr>
      </w:pPr>
    </w:p>
    <w:p w14:paraId="55940F8A"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 xml:space="preserve">To illustrate this further, West Midlands Police implemented a Twitter/X campaign during the 2022 Commonwealth Games, disseminating safety messages and managing crowd expectations. Real-time updates with hashtags increased public awareness and enabled the force to counter rumours during incidents. Similarly, Merseyside Police ran a domestic abuse awareness campaign on TikTok, which received mixed reactions: while engagement was high, some content was criticised as overly simplistic for a serious issue. These examples highlight that while social media </w:t>
      </w:r>
      <w:proofErr w:type="gramStart"/>
      <w:r w:rsidRPr="001442C6">
        <w:rPr>
          <w:rFonts w:ascii="Calibri" w:hAnsi="Calibri" w:cs="Calibri"/>
          <w:sz w:val="24"/>
          <w:szCs w:val="24"/>
        </w:rPr>
        <w:t>opens up</w:t>
      </w:r>
      <w:proofErr w:type="gramEnd"/>
      <w:r w:rsidRPr="001442C6">
        <w:rPr>
          <w:rFonts w:ascii="Calibri" w:hAnsi="Calibri" w:cs="Calibri"/>
          <w:sz w:val="24"/>
          <w:szCs w:val="24"/>
        </w:rPr>
        <w:t xml:space="preserve"> new avenues for engagement, it also introduces reputational risks and the potential for messages to be misunderstood or repurposed in unintended ways (Waller, 2020).</w:t>
      </w:r>
    </w:p>
    <w:p w14:paraId="2C24FE1F" w14:textId="77777777" w:rsidR="001442C6" w:rsidRPr="001442C6" w:rsidRDefault="001442C6" w:rsidP="001442C6">
      <w:pPr>
        <w:spacing w:line="276" w:lineRule="auto"/>
        <w:rPr>
          <w:rFonts w:ascii="Calibri" w:hAnsi="Calibri" w:cs="Calibri"/>
          <w:sz w:val="24"/>
          <w:szCs w:val="24"/>
        </w:rPr>
      </w:pPr>
    </w:p>
    <w:p w14:paraId="2235AEB3" w14:textId="77777777" w:rsidR="001442C6" w:rsidRPr="001442C6" w:rsidRDefault="001442C6" w:rsidP="001442C6">
      <w:pPr>
        <w:spacing w:line="276" w:lineRule="auto"/>
        <w:rPr>
          <w:rFonts w:ascii="Calibri" w:hAnsi="Calibri" w:cs="Calibri"/>
          <w:sz w:val="24"/>
          <w:szCs w:val="24"/>
        </w:rPr>
      </w:pPr>
      <w:proofErr w:type="gramStart"/>
      <w:r w:rsidRPr="001442C6">
        <w:rPr>
          <w:rFonts w:ascii="Calibri" w:hAnsi="Calibri" w:cs="Calibri"/>
          <w:sz w:val="24"/>
          <w:szCs w:val="24"/>
        </w:rPr>
        <w:t>In particular, TikTok</w:t>
      </w:r>
      <w:proofErr w:type="gramEnd"/>
      <w:r w:rsidRPr="001442C6">
        <w:rPr>
          <w:rFonts w:ascii="Calibri" w:hAnsi="Calibri" w:cs="Calibri"/>
          <w:sz w:val="24"/>
          <w:szCs w:val="24"/>
        </w:rPr>
        <w:t xml:space="preserve"> has gained traction for countering misinformation and building relatability with young people. However, it remains controversial due to concerns over data use and the trivialisation of serious content. West Midlands Police and Greater Manchester Police have piloted innovative uses of Instagram Reels and TikTok challenges to engage youth in discussions about knife crime and online safety (Waller, 2020). These initiatives are not without risk. Bramhall (2020) warns that algorithmic biases and platform cultures may skew message reception or distort intended meanings. Moreover, not all communities engage equally online, raising questions about digital exclusion and representativeness, which means forces must maintain traditional communication routes in parallel, as part of an inclusive engagement strategy.</w:t>
      </w:r>
    </w:p>
    <w:p w14:paraId="007BCECA" w14:textId="77777777" w:rsidR="001442C6" w:rsidRPr="001442C6" w:rsidRDefault="001442C6" w:rsidP="001442C6">
      <w:pPr>
        <w:spacing w:line="276" w:lineRule="auto"/>
        <w:rPr>
          <w:rFonts w:ascii="Calibri" w:hAnsi="Calibri" w:cs="Calibri"/>
          <w:sz w:val="24"/>
          <w:szCs w:val="24"/>
        </w:rPr>
      </w:pPr>
    </w:p>
    <w:p w14:paraId="28B8D2FB"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The benefits of social media are numerous. It enables rapid public engagement, enhances police visibility, and facilitates user-generated leads in time-critical investigations (</w:t>
      </w:r>
      <w:proofErr w:type="spellStart"/>
      <w:r w:rsidRPr="001442C6">
        <w:rPr>
          <w:rFonts w:ascii="Calibri" w:hAnsi="Calibri" w:cs="Calibri"/>
          <w:sz w:val="24"/>
          <w:szCs w:val="24"/>
        </w:rPr>
        <w:t>Jeanis</w:t>
      </w:r>
      <w:proofErr w:type="spellEnd"/>
      <w:r w:rsidRPr="001442C6">
        <w:rPr>
          <w:rFonts w:ascii="Calibri" w:hAnsi="Calibri" w:cs="Calibri"/>
          <w:sz w:val="24"/>
          <w:szCs w:val="24"/>
        </w:rPr>
        <w:t xml:space="preserve"> et al., 2019). When used appropriately, it builds trust, conveys transparency, and can help humanise the police (</w:t>
      </w:r>
      <w:proofErr w:type="spellStart"/>
      <w:r w:rsidRPr="001442C6">
        <w:rPr>
          <w:rFonts w:ascii="Calibri" w:hAnsi="Calibri" w:cs="Calibri"/>
          <w:sz w:val="24"/>
          <w:szCs w:val="24"/>
        </w:rPr>
        <w:t>Mawby</w:t>
      </w:r>
      <w:proofErr w:type="spellEnd"/>
      <w:r w:rsidRPr="001442C6">
        <w:rPr>
          <w:rFonts w:ascii="Calibri" w:hAnsi="Calibri" w:cs="Calibri"/>
          <w:sz w:val="24"/>
          <w:szCs w:val="24"/>
        </w:rPr>
        <w:t xml:space="preserve">, 2020). Real-time communication fosters the perception of accessibility and responsiveness, which is central to procedural justice (Meijer &amp; </w:t>
      </w:r>
      <w:proofErr w:type="spellStart"/>
      <w:r w:rsidRPr="001442C6">
        <w:rPr>
          <w:rFonts w:ascii="Calibri" w:hAnsi="Calibri" w:cs="Calibri"/>
          <w:sz w:val="24"/>
          <w:szCs w:val="24"/>
        </w:rPr>
        <w:t>Torenvlied</w:t>
      </w:r>
      <w:proofErr w:type="spellEnd"/>
      <w:r w:rsidRPr="001442C6">
        <w:rPr>
          <w:rFonts w:ascii="Calibri" w:hAnsi="Calibri" w:cs="Calibri"/>
          <w:sz w:val="24"/>
          <w:szCs w:val="24"/>
        </w:rPr>
        <w:t xml:space="preserve">, 2016). Studies by McKay et al. (2020) show that community confidence can rise when police interact rather than just broadcast. Loader et al. (2021) also argue that social media can </w:t>
      </w:r>
      <w:r w:rsidRPr="001442C6">
        <w:rPr>
          <w:rFonts w:ascii="Calibri" w:hAnsi="Calibri" w:cs="Calibri"/>
          <w:sz w:val="24"/>
          <w:szCs w:val="24"/>
        </w:rPr>
        <w:lastRenderedPageBreak/>
        <w:t>serve as a performance of legitimacy, a form of 'everyday visibility' where policing becomes transparent, relatable, and continuously accountable.</w:t>
      </w:r>
    </w:p>
    <w:p w14:paraId="5582B87B" w14:textId="77777777" w:rsidR="001442C6" w:rsidRPr="001442C6" w:rsidRDefault="001442C6" w:rsidP="001442C6">
      <w:pPr>
        <w:spacing w:line="276" w:lineRule="auto"/>
        <w:rPr>
          <w:rFonts w:ascii="Calibri" w:hAnsi="Calibri" w:cs="Calibri"/>
          <w:sz w:val="24"/>
          <w:szCs w:val="24"/>
        </w:rPr>
      </w:pPr>
    </w:p>
    <w:p w14:paraId="12EC2F19"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 xml:space="preserve">Conversely, the risks are substantial. Misinformation can spread quickly, undermining police credibility and confusing the public. Misinterpretation of tone or language can provoke unintended backlash. Bullock (2017) and </w:t>
      </w:r>
      <w:proofErr w:type="spellStart"/>
      <w:r w:rsidRPr="001442C6">
        <w:rPr>
          <w:rFonts w:ascii="Calibri" w:hAnsi="Calibri" w:cs="Calibri"/>
          <w:sz w:val="24"/>
          <w:szCs w:val="24"/>
        </w:rPr>
        <w:t>Denef</w:t>
      </w:r>
      <w:proofErr w:type="spellEnd"/>
      <w:r w:rsidRPr="001442C6">
        <w:rPr>
          <w:rFonts w:ascii="Calibri" w:hAnsi="Calibri" w:cs="Calibri"/>
          <w:sz w:val="24"/>
          <w:szCs w:val="24"/>
        </w:rPr>
        <w:t xml:space="preserve"> et al. (2013) highlight that poorly coordinated messaging can damage legitimacy. Privacy breaches, especially concerning children or victims of crime, can carry legal and reputational consequences (Horgan et al., 2024).</w:t>
      </w:r>
    </w:p>
    <w:p w14:paraId="09D79D3D" w14:textId="77777777" w:rsidR="001442C6" w:rsidRPr="001442C6" w:rsidRDefault="001442C6" w:rsidP="001442C6">
      <w:pPr>
        <w:spacing w:line="276" w:lineRule="auto"/>
        <w:rPr>
          <w:rFonts w:ascii="Calibri" w:hAnsi="Calibri" w:cs="Calibri"/>
          <w:sz w:val="24"/>
          <w:szCs w:val="24"/>
        </w:rPr>
      </w:pPr>
    </w:p>
    <w:p w14:paraId="2FB7E7C1" w14:textId="5242747A"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Furthermore, platforms can become hostile spaces</w:t>
      </w:r>
      <w:r w:rsidR="00CF1D45">
        <w:rPr>
          <w:rFonts w:ascii="Calibri" w:hAnsi="Calibri" w:cs="Calibri"/>
          <w:sz w:val="24"/>
          <w:szCs w:val="24"/>
        </w:rPr>
        <w:t xml:space="preserve">, and </w:t>
      </w:r>
      <w:r w:rsidRPr="001442C6">
        <w:rPr>
          <w:rFonts w:ascii="Calibri" w:hAnsi="Calibri" w:cs="Calibri"/>
          <w:sz w:val="24"/>
          <w:szCs w:val="24"/>
        </w:rPr>
        <w:t xml:space="preserve">officers have faced trolling or abuse when engaging in controversial topics (Loader et al., 2021). There is also the challenge of 'surveillance creep', where the boundaries between intelligence gathering and public monitoring blur (Trottier, 2018). </w:t>
      </w:r>
      <w:proofErr w:type="gramStart"/>
      <w:r w:rsidRPr="001442C6">
        <w:rPr>
          <w:rFonts w:ascii="Calibri" w:hAnsi="Calibri" w:cs="Calibri"/>
          <w:sz w:val="24"/>
          <w:szCs w:val="24"/>
        </w:rPr>
        <w:t>All of</w:t>
      </w:r>
      <w:proofErr w:type="gramEnd"/>
      <w:r w:rsidRPr="001442C6">
        <w:rPr>
          <w:rFonts w:ascii="Calibri" w:hAnsi="Calibri" w:cs="Calibri"/>
          <w:sz w:val="24"/>
          <w:szCs w:val="24"/>
        </w:rPr>
        <w:t xml:space="preserve"> these risks necessitate cautious, trained, and ethically informed engagement.</w:t>
      </w:r>
    </w:p>
    <w:p w14:paraId="3D42B29A" w14:textId="77777777" w:rsidR="001442C6" w:rsidRPr="001442C6" w:rsidRDefault="001442C6" w:rsidP="001442C6">
      <w:pPr>
        <w:spacing w:line="276" w:lineRule="auto"/>
        <w:rPr>
          <w:rFonts w:ascii="Calibri" w:hAnsi="Calibri" w:cs="Calibri"/>
          <w:sz w:val="24"/>
          <w:szCs w:val="24"/>
        </w:rPr>
      </w:pPr>
    </w:p>
    <w:p w14:paraId="42CA8F78"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Training is therefore essential. Officers must understand not only platform functionality, but also the ethical, legal, and strategic frameworks that guide professional engagement online. The College of Policing (2021) encourages forces to embed digital communication modules into CPD programmes. Lee and McGovern (2013) argue that effective social media use requires not only clear policy but also continuous capacity-building and reflective practice. The College of Policing (2021) and Gwent Police guidelines emphasise factual accuracy, ethical compliance, and transparent approval processes. Our post followed policy: content was verified, minimal, and lawful. Communications teams ensured the tone was appropriate, which aligns with Bullock's (2017) emphasis on controlled messaging. Horgan et al. (2024) also advocate for strategically using algorithms and data in crafting posts that ethically shape public behaviour. In practical terms, this means that frontline officers must liaise with corporate communications teams to meet the dual goals of operational impact and public reassurance.</w:t>
      </w:r>
    </w:p>
    <w:p w14:paraId="6FEEBA0B" w14:textId="77777777" w:rsidR="001442C6" w:rsidRPr="001442C6" w:rsidRDefault="001442C6" w:rsidP="001442C6">
      <w:pPr>
        <w:spacing w:line="276" w:lineRule="auto"/>
        <w:rPr>
          <w:rFonts w:ascii="Calibri" w:hAnsi="Calibri" w:cs="Calibri"/>
          <w:sz w:val="24"/>
          <w:szCs w:val="24"/>
        </w:rPr>
      </w:pPr>
    </w:p>
    <w:p w14:paraId="346434D4" w14:textId="77777777" w:rsidR="001442C6" w:rsidRDefault="001442C6" w:rsidP="001442C6">
      <w:pPr>
        <w:spacing w:line="276" w:lineRule="auto"/>
        <w:rPr>
          <w:rFonts w:ascii="Calibri" w:hAnsi="Calibri" w:cs="Calibri"/>
          <w:sz w:val="24"/>
          <w:szCs w:val="24"/>
        </w:rPr>
      </w:pPr>
      <w:r w:rsidRPr="001442C6">
        <w:rPr>
          <w:rFonts w:ascii="Calibri" w:hAnsi="Calibri" w:cs="Calibri"/>
          <w:sz w:val="24"/>
          <w:szCs w:val="24"/>
        </w:rPr>
        <w:t>Case studies from Police Scotland's social media engagement strategy further reinforce this. Their use of Facebook Live during community safety Q&amp;A sessions created a direct two-way communication channel, reducing barriers to engagement and building transparency. Evaluation reports (Police Scotland, 2021) found that officers who regularly engaged through these channels developed stronger community relationships, though they also faced more scrutiny. This duality reflects the broader theme that greater visibility requires greater resilience, clarity, and accountability.</w:t>
      </w:r>
    </w:p>
    <w:p w14:paraId="47D1D276" w14:textId="77777777" w:rsidR="00CF1D45" w:rsidRPr="001442C6" w:rsidRDefault="00CF1D45" w:rsidP="001442C6">
      <w:pPr>
        <w:spacing w:line="276" w:lineRule="auto"/>
        <w:rPr>
          <w:rFonts w:ascii="Calibri" w:hAnsi="Calibri" w:cs="Calibri"/>
          <w:sz w:val="24"/>
          <w:szCs w:val="24"/>
        </w:rPr>
      </w:pPr>
    </w:p>
    <w:p w14:paraId="034B7406"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 xml:space="preserve">Policy frameworks must also be adaptive. Lee and McGovern (2013) argue that social media policies must evolve to remain relevant and practical with emerging platforms. Moreover, Police Scotland (2021) stresses the importance of proactive monitoring and engagement </w:t>
      </w:r>
      <w:r w:rsidRPr="001442C6">
        <w:rPr>
          <w:rFonts w:ascii="Calibri" w:hAnsi="Calibri" w:cs="Calibri"/>
          <w:sz w:val="24"/>
          <w:szCs w:val="24"/>
        </w:rPr>
        <w:lastRenderedPageBreak/>
        <w:t>rather than reactive damage control. Internal governance structures, including digital communications oversight panels, can help ensure consistency and accountability. There is also a role for independent scrutiny and community input into how forces present themselves online. Transparency in content and intent is essential if legitimacy is maintained in this obvious domain.</w:t>
      </w:r>
    </w:p>
    <w:p w14:paraId="00AEB6D7" w14:textId="77777777" w:rsidR="001442C6" w:rsidRPr="001442C6" w:rsidRDefault="001442C6" w:rsidP="001442C6">
      <w:pPr>
        <w:spacing w:line="276" w:lineRule="auto"/>
        <w:rPr>
          <w:rFonts w:ascii="Calibri" w:hAnsi="Calibri" w:cs="Calibri"/>
          <w:sz w:val="24"/>
          <w:szCs w:val="24"/>
        </w:rPr>
      </w:pPr>
    </w:p>
    <w:p w14:paraId="49A91379" w14:textId="77777777" w:rsidR="001442C6" w:rsidRPr="001442C6" w:rsidRDefault="001442C6" w:rsidP="001442C6">
      <w:pPr>
        <w:spacing w:line="276" w:lineRule="auto"/>
        <w:rPr>
          <w:rFonts w:ascii="Calibri" w:hAnsi="Calibri" w:cs="Calibri"/>
          <w:sz w:val="24"/>
          <w:szCs w:val="24"/>
        </w:rPr>
      </w:pPr>
      <w:r w:rsidRPr="001442C6">
        <w:rPr>
          <w:rFonts w:ascii="Calibri" w:hAnsi="Calibri" w:cs="Calibri"/>
          <w:sz w:val="24"/>
          <w:szCs w:val="24"/>
        </w:rPr>
        <w:t xml:space="preserve">Reflecting on this incident, I recognise that digital tools, when used with empathy and discipline, are vital to modern Policing. The key takeaway is that social media must be integrated with core communication skills and policy awareness. I learned the importance of getting swift consent, verifying content, and trusting our digital communication team. My more profound understanding of platform-specific strategies and risks will benefit future incidents. Equally, I have gained appreciation for the complexity of online interactions and the necessity of officer training in digital engagement practices. As platforms evolve, so do our methods. Gibbs' final phase—action planning—suggests that these reflections must lead to future behavioural changes. I intend to advocate for deeper integration of digital media awareness in team briefings and </w:t>
      </w:r>
      <w:proofErr w:type="gramStart"/>
      <w:r w:rsidRPr="001442C6">
        <w:rPr>
          <w:rFonts w:ascii="Calibri" w:hAnsi="Calibri" w:cs="Calibri"/>
          <w:sz w:val="24"/>
          <w:szCs w:val="24"/>
        </w:rPr>
        <w:t>debriefings, and</w:t>
      </w:r>
      <w:proofErr w:type="gramEnd"/>
      <w:r w:rsidRPr="001442C6">
        <w:rPr>
          <w:rFonts w:ascii="Calibri" w:hAnsi="Calibri" w:cs="Calibri"/>
          <w:sz w:val="24"/>
          <w:szCs w:val="24"/>
        </w:rPr>
        <w:t xml:space="preserve"> will actively share these insights with newer officers.</w:t>
      </w:r>
    </w:p>
    <w:p w14:paraId="765CF0B9" w14:textId="77777777" w:rsidR="001442C6" w:rsidRPr="001442C6" w:rsidRDefault="001442C6" w:rsidP="001442C6">
      <w:pPr>
        <w:spacing w:line="276" w:lineRule="auto"/>
        <w:rPr>
          <w:rFonts w:ascii="Calibri" w:hAnsi="Calibri" w:cs="Calibri"/>
          <w:sz w:val="24"/>
          <w:szCs w:val="24"/>
        </w:rPr>
      </w:pPr>
    </w:p>
    <w:p w14:paraId="700DF341" w14:textId="668BEC41" w:rsidR="001442C6" w:rsidRDefault="001442C6" w:rsidP="001442C6">
      <w:pPr>
        <w:spacing w:line="276" w:lineRule="auto"/>
        <w:rPr>
          <w:rFonts w:ascii="Calibri" w:hAnsi="Calibri" w:cs="Calibri"/>
          <w:sz w:val="24"/>
          <w:szCs w:val="24"/>
        </w:rPr>
      </w:pPr>
      <w:r w:rsidRPr="001442C6">
        <w:rPr>
          <w:rFonts w:ascii="Calibri" w:hAnsi="Calibri" w:cs="Calibri"/>
          <w:sz w:val="24"/>
          <w:szCs w:val="24"/>
        </w:rPr>
        <w:t>This essay has explored the integration of social media into frontline Policing through the lens of a real incident involving a missing teenager. Using Gibbs' model, it reflected on the emotional and procedural dimensions of the event. It demonstrated the value of social media, especially Facebook, while recognising the growing use of platforms like X, Instagram, TikTok, and YouTube for targeted engagement. The importance of clear policy guidance, officer training, and ethical safeguards was highlighted, along with the risks of misinformation, misinterpretation, and privacy breaches. Additionally, the essay argued for an adaptive, reflexive approach to policy and practice that matches the evolving digital landscape. By incorporating additional case studies, strategic insights, and ethical considerations, it becomes clear that effective Policing today requires a blend of human empathy, digital fluency, and policy literacy. As future challenges arise in the digital domain, reflective and strategic approaches to social media will be essential for maintaining legitimacy and public trust.</w:t>
      </w:r>
    </w:p>
    <w:p w14:paraId="659885F3" w14:textId="77777777" w:rsidR="001442C6" w:rsidRDefault="001442C6" w:rsidP="001442C6">
      <w:pPr>
        <w:spacing w:line="276" w:lineRule="auto"/>
        <w:rPr>
          <w:rFonts w:ascii="Calibri" w:hAnsi="Calibri" w:cs="Calibri"/>
          <w:sz w:val="24"/>
          <w:szCs w:val="24"/>
        </w:rPr>
      </w:pPr>
    </w:p>
    <w:p w14:paraId="6B3ED52C" w14:textId="18BCCCF0" w:rsidR="001442C6" w:rsidRPr="001442C6" w:rsidRDefault="001442C6" w:rsidP="001442C6">
      <w:pPr>
        <w:spacing w:line="276" w:lineRule="auto"/>
        <w:rPr>
          <w:rFonts w:ascii="Calibri" w:hAnsi="Calibri" w:cs="Calibri"/>
          <w:b/>
          <w:bCs/>
          <w:sz w:val="24"/>
          <w:szCs w:val="24"/>
        </w:rPr>
      </w:pPr>
      <w:r w:rsidRPr="001442C6">
        <w:rPr>
          <w:rFonts w:ascii="Calibri" w:hAnsi="Calibri" w:cs="Calibri"/>
          <w:b/>
          <w:bCs/>
          <w:color w:val="FF0000"/>
          <w:sz w:val="24"/>
          <w:szCs w:val="24"/>
        </w:rPr>
        <w:t>18</w:t>
      </w:r>
      <w:r w:rsidR="00CF1D45">
        <w:rPr>
          <w:rFonts w:ascii="Calibri" w:hAnsi="Calibri" w:cs="Calibri"/>
          <w:b/>
          <w:bCs/>
          <w:color w:val="FF0000"/>
          <w:sz w:val="24"/>
          <w:szCs w:val="24"/>
        </w:rPr>
        <w:t>08</w:t>
      </w:r>
      <w:r w:rsidRPr="001442C6">
        <w:rPr>
          <w:rFonts w:ascii="Calibri" w:hAnsi="Calibri" w:cs="Calibri"/>
          <w:b/>
          <w:bCs/>
          <w:color w:val="FF0000"/>
          <w:sz w:val="24"/>
          <w:szCs w:val="24"/>
        </w:rPr>
        <w:t xml:space="preserve"> words</w:t>
      </w:r>
    </w:p>
    <w:p w14:paraId="5B52E3E0" w14:textId="77777777" w:rsidR="001442C6" w:rsidRDefault="001442C6" w:rsidP="001442C6">
      <w:pPr>
        <w:spacing w:line="276" w:lineRule="auto"/>
        <w:rPr>
          <w:rFonts w:ascii="Calibri" w:hAnsi="Calibri" w:cs="Calibri"/>
          <w:sz w:val="24"/>
          <w:szCs w:val="24"/>
        </w:rPr>
      </w:pPr>
    </w:p>
    <w:p w14:paraId="25E31716" w14:textId="77777777" w:rsidR="001442C6" w:rsidRDefault="001442C6" w:rsidP="001442C6">
      <w:pPr>
        <w:spacing w:line="276" w:lineRule="auto"/>
        <w:rPr>
          <w:rFonts w:ascii="Calibri" w:hAnsi="Calibri" w:cs="Calibri"/>
          <w:sz w:val="24"/>
          <w:szCs w:val="24"/>
        </w:rPr>
      </w:pPr>
    </w:p>
    <w:p w14:paraId="35CEED08" w14:textId="77777777" w:rsidR="001442C6" w:rsidRDefault="001442C6" w:rsidP="001442C6">
      <w:pPr>
        <w:spacing w:line="276" w:lineRule="auto"/>
        <w:rPr>
          <w:rFonts w:ascii="Calibri" w:hAnsi="Calibri" w:cs="Calibri"/>
          <w:sz w:val="24"/>
          <w:szCs w:val="24"/>
        </w:rPr>
      </w:pPr>
    </w:p>
    <w:p w14:paraId="5C4364A5" w14:textId="77777777" w:rsidR="001442C6" w:rsidRDefault="001442C6" w:rsidP="001442C6">
      <w:pPr>
        <w:spacing w:line="276" w:lineRule="auto"/>
        <w:rPr>
          <w:rFonts w:ascii="Calibri" w:hAnsi="Calibri" w:cs="Calibri"/>
          <w:sz w:val="24"/>
          <w:szCs w:val="24"/>
        </w:rPr>
      </w:pPr>
    </w:p>
    <w:p w14:paraId="5A29EC46" w14:textId="77777777" w:rsidR="001442C6" w:rsidRDefault="001442C6" w:rsidP="001442C6">
      <w:pPr>
        <w:spacing w:line="276" w:lineRule="auto"/>
        <w:rPr>
          <w:rFonts w:ascii="Calibri" w:hAnsi="Calibri" w:cs="Calibri"/>
          <w:sz w:val="24"/>
          <w:szCs w:val="24"/>
        </w:rPr>
      </w:pPr>
    </w:p>
    <w:p w14:paraId="3E53F0B3" w14:textId="77777777" w:rsidR="001442C6" w:rsidRDefault="001442C6" w:rsidP="001442C6">
      <w:pPr>
        <w:spacing w:line="276" w:lineRule="auto"/>
        <w:rPr>
          <w:rFonts w:ascii="Calibri" w:hAnsi="Calibri" w:cs="Calibri"/>
          <w:sz w:val="24"/>
          <w:szCs w:val="24"/>
        </w:rPr>
      </w:pPr>
    </w:p>
    <w:p w14:paraId="3B3526AE" w14:textId="78844E9B" w:rsidR="00025650" w:rsidRDefault="00025650" w:rsidP="00340E9A">
      <w:pPr>
        <w:ind w:right="237"/>
        <w:rPr>
          <w:rFonts w:ascii="Calibri" w:hAnsi="Calibri" w:cs="Calibri"/>
          <w:sz w:val="24"/>
          <w:szCs w:val="24"/>
        </w:rPr>
      </w:pPr>
    </w:p>
    <w:p w14:paraId="587C3667" w14:textId="77777777" w:rsidR="00AD2CF5" w:rsidRDefault="00AD2CF5" w:rsidP="00340E9A">
      <w:pPr>
        <w:ind w:right="237"/>
        <w:rPr>
          <w:rFonts w:ascii="Calibri" w:hAnsi="Calibri" w:cs="Calibri"/>
          <w:sz w:val="24"/>
          <w:szCs w:val="24"/>
        </w:rPr>
      </w:pPr>
    </w:p>
    <w:p w14:paraId="210D2454" w14:textId="77777777" w:rsidR="00AD2CF5" w:rsidRDefault="00AD2CF5"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C41E73D" w14:textId="77777777" w:rsidR="002C31E1" w:rsidRDefault="002C31E1" w:rsidP="002C31E1">
      <w:pPr>
        <w:rPr>
          <w:sz w:val="24"/>
          <w:szCs w:val="24"/>
        </w:rPr>
      </w:pPr>
    </w:p>
    <w:p w14:paraId="61B70BB7" w14:textId="587CA416"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This essay critically reflects on a high-risk domestic violence incident in which I assumed a leadership role as a Police officer. The incident involved a suspect breaching a court-imposed restraining order and threatening the life of the victim. Throughout the event, I applied structured decision-making frameworks, including the National Decision Model (NDM) (College of Policing, 2017) and the Human Rights-based JPLANE framework</w:t>
      </w:r>
      <w:r>
        <w:rPr>
          <w:rFonts w:asciiTheme="minorHAnsi" w:hAnsiTheme="minorHAnsi" w:cstheme="minorHAnsi"/>
          <w:sz w:val="24"/>
          <w:szCs w:val="24"/>
        </w:rPr>
        <w:t xml:space="preserve">, </w:t>
      </w:r>
      <w:r w:rsidRPr="00CF1D45">
        <w:rPr>
          <w:rFonts w:asciiTheme="minorHAnsi" w:hAnsiTheme="minorHAnsi" w:cstheme="minorHAnsi"/>
          <w:sz w:val="24"/>
          <w:szCs w:val="24"/>
        </w:rPr>
        <w:t>which stands for Justifiable, Proportionate, Legal, Accountable, Necessary, and Ethical (Jones, 2016)</w:t>
      </w:r>
      <w:r>
        <w:rPr>
          <w:rFonts w:asciiTheme="minorHAnsi" w:hAnsiTheme="minorHAnsi" w:cstheme="minorHAnsi"/>
          <w:sz w:val="24"/>
          <w:szCs w:val="24"/>
        </w:rPr>
        <w:t xml:space="preserve">, </w:t>
      </w:r>
      <w:r w:rsidRPr="00CF1D45">
        <w:rPr>
          <w:rFonts w:asciiTheme="minorHAnsi" w:hAnsiTheme="minorHAnsi" w:cstheme="minorHAnsi"/>
          <w:sz w:val="24"/>
          <w:szCs w:val="24"/>
        </w:rPr>
        <w:t>to ensure that my actions remained lawful and ethical. These frameworks, widely used in Police practice to guide ethical and lawful conduct, are explained briefly here for the benefit of general readers. I will explore these frameworks to show how they guided my decisions during the incident. Drawing on leadership theories such as situational, transformational, servant, and authentic leadership, I critically evaluate my approach and explore how I adapted to the evolving demands of the incident. I use Gibbs' Reflective Cycle to structure my reflection, which provides a clear and systematic method for analysing experience, feelings, evaluation, and learning outcomes, ensuring that I critically engage with my leadership decisions.</w:t>
      </w:r>
    </w:p>
    <w:p w14:paraId="46496517" w14:textId="77777777" w:rsidR="00CF1D45" w:rsidRPr="00CF1D45" w:rsidRDefault="00CF1D45" w:rsidP="00CF1D45">
      <w:pPr>
        <w:ind w:right="237"/>
        <w:jc w:val="both"/>
        <w:rPr>
          <w:rFonts w:asciiTheme="minorHAnsi" w:hAnsiTheme="minorHAnsi" w:cstheme="minorHAnsi"/>
          <w:sz w:val="24"/>
          <w:szCs w:val="24"/>
        </w:rPr>
      </w:pPr>
    </w:p>
    <w:p w14:paraId="08B7F5A1" w14:textId="41C6DA8E"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 xml:space="preserve">The incident began when a control room operator informed </w:t>
      </w:r>
      <w:r>
        <w:rPr>
          <w:rFonts w:asciiTheme="minorHAnsi" w:hAnsiTheme="minorHAnsi" w:cstheme="minorHAnsi"/>
          <w:sz w:val="24"/>
          <w:szCs w:val="24"/>
        </w:rPr>
        <w:t>me</w:t>
      </w:r>
      <w:r w:rsidRPr="00CF1D45">
        <w:rPr>
          <w:rFonts w:asciiTheme="minorHAnsi" w:hAnsiTheme="minorHAnsi" w:cstheme="minorHAnsi"/>
          <w:sz w:val="24"/>
          <w:szCs w:val="24"/>
        </w:rPr>
        <w:t xml:space="preserve"> of a suspected breach of a restraining order by a male subject at the victim's residence. On arrival, I observed the suspect through a ground-floor window, appearing intoxicated and agitated, shouting threats towards the victim. The victim, who was the suspect's partner, was visibly distressed and showed signs of injury consistent with previous reports of abuse, which </w:t>
      </w:r>
      <w:r w:rsidRPr="00CF1D45">
        <w:rPr>
          <w:rFonts w:asciiTheme="minorHAnsi" w:hAnsiTheme="minorHAnsi" w:cstheme="minorHAnsi"/>
          <w:sz w:val="24"/>
          <w:szCs w:val="24"/>
        </w:rPr>
        <w:lastRenderedPageBreak/>
        <w:t>immediately raised the threat level, especially given the suspect's documented history of violence towards the victim and prior confrontations with </w:t>
      </w:r>
      <w:r>
        <w:rPr>
          <w:rFonts w:asciiTheme="minorHAnsi" w:hAnsiTheme="minorHAnsi" w:cstheme="minorHAnsi"/>
          <w:sz w:val="24"/>
          <w:szCs w:val="24"/>
        </w:rPr>
        <w:t xml:space="preserve">the </w:t>
      </w:r>
      <w:r w:rsidRPr="00CF1D45">
        <w:rPr>
          <w:rFonts w:asciiTheme="minorHAnsi" w:hAnsiTheme="minorHAnsi" w:cstheme="minorHAnsi"/>
          <w:sz w:val="24"/>
          <w:szCs w:val="24"/>
        </w:rPr>
        <w:t>Police. The domestic context of the incident heightened the risk factors, necessitating a careful yet firm approach to prevent escalation. Domestic violence cases are particularly complex due to emotional volatility, power dynamics, and the risk of repeat victimisation</w:t>
      </w:r>
      <w:r>
        <w:rPr>
          <w:rFonts w:asciiTheme="minorHAnsi" w:hAnsiTheme="minorHAnsi" w:cstheme="minorHAnsi"/>
          <w:sz w:val="24"/>
          <w:szCs w:val="24"/>
        </w:rPr>
        <w:t xml:space="preserve">, </w:t>
      </w:r>
      <w:r w:rsidRPr="00CF1D45">
        <w:rPr>
          <w:rFonts w:asciiTheme="minorHAnsi" w:hAnsiTheme="minorHAnsi" w:cstheme="minorHAnsi"/>
          <w:sz w:val="24"/>
          <w:szCs w:val="24"/>
        </w:rPr>
        <w:t xml:space="preserve">all of which shaped my assessment and subsequent actions. </w:t>
      </w:r>
      <w:r>
        <w:rPr>
          <w:rFonts w:asciiTheme="minorHAnsi" w:hAnsiTheme="minorHAnsi" w:cstheme="minorHAnsi"/>
          <w:sz w:val="24"/>
          <w:szCs w:val="24"/>
        </w:rPr>
        <w:t xml:space="preserve">Reviewing work conducted by Mclean </w:t>
      </w:r>
      <w:r w:rsidRPr="00CF1D45">
        <w:rPr>
          <w:rFonts w:asciiTheme="minorHAnsi" w:hAnsiTheme="minorHAnsi" w:cstheme="minorHAnsi"/>
          <w:sz w:val="24"/>
          <w:szCs w:val="24"/>
        </w:rPr>
        <w:t>(McLean et al., 2009)</w:t>
      </w:r>
      <w:r>
        <w:rPr>
          <w:rFonts w:asciiTheme="minorHAnsi" w:hAnsiTheme="minorHAnsi" w:cstheme="minorHAnsi"/>
          <w:sz w:val="24"/>
          <w:szCs w:val="24"/>
        </w:rPr>
        <w:t xml:space="preserve"> </w:t>
      </w:r>
      <w:r w:rsidRPr="00CF1D45">
        <w:rPr>
          <w:rFonts w:asciiTheme="minorHAnsi" w:hAnsiTheme="minorHAnsi" w:cstheme="minorHAnsi"/>
          <w:sz w:val="24"/>
          <w:szCs w:val="24"/>
        </w:rPr>
        <w:t>shows that many abusive relationships follow chaotic and unpredictable patterns, with frequent and severe emotional escalations, inconsistent behaviours by perpetrators, and high rates of recurrenc</w:t>
      </w:r>
      <w:r>
        <w:rPr>
          <w:rFonts w:asciiTheme="minorHAnsi" w:hAnsiTheme="minorHAnsi" w:cstheme="minorHAnsi"/>
          <w:sz w:val="24"/>
          <w:szCs w:val="24"/>
        </w:rPr>
        <w:t>e.</w:t>
      </w:r>
    </w:p>
    <w:p w14:paraId="1456E5E7" w14:textId="77777777" w:rsidR="00CF1D45" w:rsidRPr="00CF1D45" w:rsidRDefault="00CF1D45" w:rsidP="00CF1D45">
      <w:pPr>
        <w:ind w:right="237"/>
        <w:jc w:val="both"/>
        <w:rPr>
          <w:rFonts w:asciiTheme="minorHAnsi" w:hAnsiTheme="minorHAnsi" w:cstheme="minorHAnsi"/>
          <w:sz w:val="24"/>
          <w:szCs w:val="24"/>
        </w:rPr>
      </w:pPr>
    </w:p>
    <w:p w14:paraId="64BE7C2C"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 xml:space="preserve">Shortly after arrival, the situation escalated rapidly when the suspect brandished a kitchen knife and held it to the victim's throat. This dramatic escalation transformed the nature of the incident from a breach of court conditions to a hostage situation with an imminent threat to life. The location was a residential neighbourhood with houses in </w:t>
      </w:r>
      <w:proofErr w:type="gramStart"/>
      <w:r w:rsidRPr="00CF1D45">
        <w:rPr>
          <w:rFonts w:asciiTheme="minorHAnsi" w:hAnsiTheme="minorHAnsi" w:cstheme="minorHAnsi"/>
          <w:sz w:val="24"/>
          <w:szCs w:val="24"/>
        </w:rPr>
        <w:t>close proximity</w:t>
      </w:r>
      <w:proofErr w:type="gramEnd"/>
      <w:r w:rsidRPr="00CF1D45">
        <w:rPr>
          <w:rFonts w:asciiTheme="minorHAnsi" w:hAnsiTheme="minorHAnsi" w:cstheme="minorHAnsi"/>
          <w:sz w:val="24"/>
          <w:szCs w:val="24"/>
        </w:rPr>
        <w:t>, which increased the operational complexity due to the risk to neighbours and responders. Rapid yet measured decision-making is essential to preserve life and minimise harm in such high-stress, life-threatening scenarios.</w:t>
      </w:r>
    </w:p>
    <w:p w14:paraId="7AAE9918" w14:textId="77777777" w:rsidR="00CF1D45" w:rsidRPr="00CF1D45" w:rsidRDefault="00CF1D45" w:rsidP="00CF1D45">
      <w:pPr>
        <w:ind w:right="237"/>
        <w:jc w:val="both"/>
        <w:rPr>
          <w:rFonts w:asciiTheme="minorHAnsi" w:hAnsiTheme="minorHAnsi" w:cstheme="minorHAnsi"/>
          <w:sz w:val="24"/>
          <w:szCs w:val="24"/>
        </w:rPr>
      </w:pPr>
    </w:p>
    <w:p w14:paraId="17342A41"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To manage the situation's complexity, I applied the National Decision Model, a decision-making framework used widely in UK Policing to ensure rational and justifiable decisions under pressure. The model guides officers through a cyclical process, which includes gathering information, assessing threat and risk, considering options, making decisions, and reviewing outcomes. In this case, I gathered initial information from visual observation and control room intelligence, checked records for the suspect's prior behaviour, and assessed environmental factors such as the layout of the property, available exits, and hazards. I also evaluated available resources, including protective equipment and specialist units, noting that firearms support was necessary due to the knife threat. The NDM was instrumental in ensuring a structured and transparent approach that could be justified if questioned later.</w:t>
      </w:r>
    </w:p>
    <w:p w14:paraId="4745AEBE" w14:textId="77777777" w:rsidR="00CF1D45" w:rsidRPr="00CF1D45" w:rsidRDefault="00CF1D45" w:rsidP="00CF1D45">
      <w:pPr>
        <w:ind w:right="237"/>
        <w:jc w:val="both"/>
        <w:rPr>
          <w:rFonts w:asciiTheme="minorHAnsi" w:hAnsiTheme="minorHAnsi" w:cstheme="minorHAnsi"/>
          <w:sz w:val="24"/>
          <w:szCs w:val="24"/>
        </w:rPr>
      </w:pPr>
    </w:p>
    <w:p w14:paraId="574D9287" w14:textId="233928B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Alongside the National Decision Model, I used the JPLANE framework to ensure compliance with the Human Rights Act 1998, which underpins Police conduct in England and Wales (Jones, 2016). JPLANE requires that every action the Police take is Justifiable, Proportionate, Legal, Accountable, Necessary, and Ethical. This framework safeguards against abuse of power, ensuring respect for individual rights even under intense pressure. For example, although the Police have legal powers under Section 17 of the Police and Criminal Evidence Act 1984 to enter premises without a warrant to prevent harm, such powers must be balanced with proportionality to avoid unnecessary escalation or infringement of privacy. After assessing the situation, I concluded that immediate forced entry would be disproportionate and might provoke the suspect to harm the victim. Instead, I chose containment and negotiation, requesting firearms unit support and a trained Police negotiator while ensuring ambulance standby. This approach reflected a commitment</w:t>
      </w:r>
      <w:r>
        <w:rPr>
          <w:rFonts w:asciiTheme="minorHAnsi" w:hAnsiTheme="minorHAnsi" w:cstheme="minorHAnsi"/>
          <w:sz w:val="24"/>
          <w:szCs w:val="24"/>
        </w:rPr>
        <w:t xml:space="preserve"> </w:t>
      </w:r>
      <w:r w:rsidRPr="00CF1D45">
        <w:rPr>
          <w:rFonts w:asciiTheme="minorHAnsi" w:hAnsiTheme="minorHAnsi" w:cstheme="minorHAnsi"/>
          <w:sz w:val="24"/>
          <w:szCs w:val="24"/>
        </w:rPr>
        <w:t>to preserving life,</w:t>
      </w:r>
      <w:r>
        <w:rPr>
          <w:rFonts w:asciiTheme="minorHAnsi" w:hAnsiTheme="minorHAnsi" w:cstheme="minorHAnsi"/>
          <w:sz w:val="24"/>
          <w:szCs w:val="24"/>
        </w:rPr>
        <w:t xml:space="preserve"> </w:t>
      </w:r>
      <w:r w:rsidRPr="00CF1D45">
        <w:rPr>
          <w:rFonts w:asciiTheme="minorHAnsi" w:hAnsiTheme="minorHAnsi" w:cstheme="minorHAnsi"/>
          <w:sz w:val="24"/>
          <w:szCs w:val="24"/>
        </w:rPr>
        <w:t>respecting human rights, and applying ethical Policing principles, as emphasised by contemporary guidance and academic discourse on Policing ethics (Jones, 2016).</w:t>
      </w:r>
    </w:p>
    <w:p w14:paraId="55FB2746" w14:textId="77777777" w:rsidR="00CF1D45" w:rsidRPr="00CF1D45" w:rsidRDefault="00CF1D45" w:rsidP="00CF1D45">
      <w:pPr>
        <w:ind w:right="237"/>
        <w:jc w:val="both"/>
        <w:rPr>
          <w:rFonts w:asciiTheme="minorHAnsi" w:hAnsiTheme="minorHAnsi" w:cstheme="minorHAnsi"/>
          <w:sz w:val="24"/>
          <w:szCs w:val="24"/>
        </w:rPr>
      </w:pPr>
    </w:p>
    <w:p w14:paraId="1F1E874B"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lastRenderedPageBreak/>
        <w:t xml:space="preserve">Assuming command of the scene, I coordinated the establishment of a containment perimeter and delegated a colleague to secure rear access to prevent escape. I maintained communication with the control room to update the situation and coordinate specialist resource mobilisation. During this initial phase, I employed a directive leadership style, issuing clear and concise instructions to ensure rapid, coordinated action. Hersey and Blanchard's Situational Leadership Theory advocates the use of directive leadership in situations with high task urgency and low follower readiness, which was applicable given the volatile and dangerous nature of the incident (Hersey and Blanchard, 1969). Research into crisis leadership supports this approach as it reduces ambiguity, ensures unity of effort, and helps manage operational risk effectively (Royster </w:t>
      </w:r>
      <w:proofErr w:type="spellStart"/>
      <w:r w:rsidRPr="00CF1D45">
        <w:rPr>
          <w:rFonts w:asciiTheme="minorHAnsi" w:hAnsiTheme="minorHAnsi" w:cstheme="minorHAnsi"/>
          <w:sz w:val="24"/>
          <w:szCs w:val="24"/>
        </w:rPr>
        <w:t>Beito</w:t>
      </w:r>
      <w:proofErr w:type="spellEnd"/>
      <w:r w:rsidRPr="00CF1D45">
        <w:rPr>
          <w:rFonts w:asciiTheme="minorHAnsi" w:hAnsiTheme="minorHAnsi" w:cstheme="minorHAnsi"/>
          <w:sz w:val="24"/>
          <w:szCs w:val="24"/>
        </w:rPr>
        <w:t>, 2001).</w:t>
      </w:r>
    </w:p>
    <w:p w14:paraId="7138FA12" w14:textId="77777777" w:rsidR="00CF1D45" w:rsidRPr="00CF1D45" w:rsidRDefault="00CF1D45" w:rsidP="00CF1D45">
      <w:pPr>
        <w:ind w:right="237"/>
        <w:jc w:val="both"/>
        <w:rPr>
          <w:rFonts w:asciiTheme="minorHAnsi" w:hAnsiTheme="minorHAnsi" w:cstheme="minorHAnsi"/>
          <w:sz w:val="24"/>
          <w:szCs w:val="24"/>
        </w:rPr>
      </w:pPr>
    </w:p>
    <w:p w14:paraId="31DE7CBA"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After establishing containment, I shifted my leadership approach to a more supportive and facilitative style. With the immediate threat contained, I engaged in communication efforts aimed at de-escalation. By using calm and empathetic language when speaking with the suspect, I sought to reduce tension and build rapport. This shift reflects the flexibility central to situational leadership, which emphasises adapting leadership style according to the readiness and needs of followers. De-escalation techniques align with trauma-informed Policing principles, recognising that empathetic communication can reduce violence and improve outcomes for victims and suspects alike. These strategies have been widely advocated in the literature as effective in managing domestic violence incidents safely (Miller et al., 2015; Wilson et al., 2017).</w:t>
      </w:r>
    </w:p>
    <w:p w14:paraId="3F63AC89" w14:textId="77777777" w:rsidR="00CF1D45" w:rsidRPr="00CF1D45" w:rsidRDefault="00CF1D45" w:rsidP="00CF1D45">
      <w:pPr>
        <w:ind w:right="237"/>
        <w:jc w:val="both"/>
        <w:rPr>
          <w:rFonts w:asciiTheme="minorHAnsi" w:hAnsiTheme="minorHAnsi" w:cstheme="minorHAnsi"/>
          <w:sz w:val="24"/>
          <w:szCs w:val="24"/>
        </w:rPr>
      </w:pPr>
    </w:p>
    <w:p w14:paraId="6DDEC9C0"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 xml:space="preserve">At this stage, elements of transformational leadership became apparent in my approach. According to Bass, transformational leaders exhibit idealised influence, inspirational motivation, intellectual stimulation, and individualised consideration. Maintaining composure and professionalism, I modelled idealised influence on my colleague, demonstrating calm under pressure. Inviting her to share observations and ideas encouraged intellectual stimulation and engagement, enhancing our operational effectiveness. This collaborative leadership fosters team cohesion and resilience, particularly valuable in stressful, dynamic environments such as Policing domestic violence incidents (Shim, Park and </w:t>
      </w:r>
      <w:proofErr w:type="spellStart"/>
      <w:r w:rsidRPr="00CF1D45">
        <w:rPr>
          <w:rFonts w:asciiTheme="minorHAnsi" w:hAnsiTheme="minorHAnsi" w:cstheme="minorHAnsi"/>
          <w:sz w:val="24"/>
          <w:szCs w:val="24"/>
        </w:rPr>
        <w:t>Eom</w:t>
      </w:r>
      <w:proofErr w:type="spellEnd"/>
      <w:r w:rsidRPr="00CF1D45">
        <w:rPr>
          <w:rFonts w:asciiTheme="minorHAnsi" w:hAnsiTheme="minorHAnsi" w:cstheme="minorHAnsi"/>
          <w:sz w:val="24"/>
          <w:szCs w:val="24"/>
        </w:rPr>
        <w:t>, 2015). Transformational leadership also promotes ethical conduct by inspiring followers to align with core organisational values such as integrity and service (Bass and Riggio, 2006).</w:t>
      </w:r>
    </w:p>
    <w:p w14:paraId="16EEBD9E" w14:textId="77777777" w:rsidR="00CF1D45" w:rsidRPr="00CF1D45" w:rsidRDefault="00CF1D45" w:rsidP="00CF1D45">
      <w:pPr>
        <w:ind w:right="237"/>
        <w:jc w:val="both"/>
        <w:rPr>
          <w:rFonts w:asciiTheme="minorHAnsi" w:hAnsiTheme="minorHAnsi" w:cstheme="minorHAnsi"/>
          <w:sz w:val="24"/>
          <w:szCs w:val="24"/>
        </w:rPr>
      </w:pPr>
    </w:p>
    <w:p w14:paraId="5FED1B68"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 xml:space="preserve">Throughout the incident, emotional intelligence was critical to my leadership effectiveness. Goleman conceptualises emotional intelligence as encompassing self-awareness, self-regulation, motivation, empathy, and social skills. I recognised signs of my own stress, such as increased heart rate and tension, and used controlled breathing and brief mindful pauses to maintain clarity of thought and avoid reactive decisions. This self-regulation was vital in maintaining authoritative but calm communication. Additionally, I was attuned to my colleagues' emotional state, providing reassurance and support consistent with the servant leadership model that prioritises the wellbeing and development of team members (Greenleaf, 1977). Servant leadership has been linked to increased job satisfaction and ethical behaviour within Policing organisations (Van </w:t>
      </w:r>
      <w:proofErr w:type="spellStart"/>
      <w:r w:rsidRPr="00CF1D45">
        <w:rPr>
          <w:rFonts w:asciiTheme="minorHAnsi" w:hAnsiTheme="minorHAnsi" w:cstheme="minorHAnsi"/>
          <w:sz w:val="24"/>
          <w:szCs w:val="24"/>
        </w:rPr>
        <w:t>Dierendonck</w:t>
      </w:r>
      <w:proofErr w:type="spellEnd"/>
      <w:r w:rsidRPr="00CF1D45">
        <w:rPr>
          <w:rFonts w:asciiTheme="minorHAnsi" w:hAnsiTheme="minorHAnsi" w:cstheme="minorHAnsi"/>
          <w:sz w:val="24"/>
          <w:szCs w:val="24"/>
        </w:rPr>
        <w:t xml:space="preserve">, 2011). Emotional intelligence thus enhanced both my team's operational command and welfare, a factor often emphasised in Policing leadership research (Mayer and Salovey, 1997; </w:t>
      </w:r>
      <w:proofErr w:type="spellStart"/>
      <w:r w:rsidRPr="00CF1D45">
        <w:rPr>
          <w:rFonts w:asciiTheme="minorHAnsi" w:hAnsiTheme="minorHAnsi" w:cstheme="minorHAnsi"/>
          <w:sz w:val="24"/>
          <w:szCs w:val="24"/>
        </w:rPr>
        <w:t>Côté</w:t>
      </w:r>
      <w:proofErr w:type="spellEnd"/>
      <w:r w:rsidRPr="00CF1D45">
        <w:rPr>
          <w:rFonts w:asciiTheme="minorHAnsi" w:hAnsiTheme="minorHAnsi" w:cstheme="minorHAnsi"/>
          <w:sz w:val="24"/>
          <w:szCs w:val="24"/>
        </w:rPr>
        <w:t>, 2014).</w:t>
      </w:r>
    </w:p>
    <w:p w14:paraId="264149C9" w14:textId="77777777" w:rsidR="00CF1D45" w:rsidRPr="00CF1D45" w:rsidRDefault="00CF1D45" w:rsidP="00CF1D45">
      <w:pPr>
        <w:ind w:right="237"/>
        <w:jc w:val="both"/>
        <w:rPr>
          <w:rFonts w:asciiTheme="minorHAnsi" w:hAnsiTheme="minorHAnsi" w:cstheme="minorHAnsi"/>
          <w:sz w:val="24"/>
          <w:szCs w:val="24"/>
        </w:rPr>
      </w:pPr>
    </w:p>
    <w:p w14:paraId="31B8782A"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lastRenderedPageBreak/>
        <w:t>Ethical leadership underpinned every action taken, and all decisions were continually scrutinised through the JPLANE framework. Treating both the suspect and victim with dignity, ensuring proportionality of force, and maintaining transparency were essential to uphold procedural justice and the public's trust in Policing. To this end, I documented all decisions and actions using the digital command system, reinforcing accountability and supporting later review if required. The importance of ethical leadership in Policing is well documented, as it enhances legitimacy and community cooperation, which are crucial for long-term crime prevention and public safety (</w:t>
      </w:r>
      <w:proofErr w:type="spellStart"/>
      <w:r w:rsidRPr="00CF1D45">
        <w:rPr>
          <w:rFonts w:asciiTheme="minorHAnsi" w:hAnsiTheme="minorHAnsi" w:cstheme="minorHAnsi"/>
          <w:sz w:val="24"/>
          <w:szCs w:val="24"/>
        </w:rPr>
        <w:t>Lasthuizen</w:t>
      </w:r>
      <w:proofErr w:type="spellEnd"/>
      <w:r w:rsidRPr="00CF1D45">
        <w:rPr>
          <w:rFonts w:asciiTheme="minorHAnsi" w:hAnsiTheme="minorHAnsi" w:cstheme="minorHAnsi"/>
          <w:sz w:val="24"/>
          <w:szCs w:val="24"/>
        </w:rPr>
        <w:t>, 2008; Tyler, 2006).</w:t>
      </w:r>
    </w:p>
    <w:p w14:paraId="0CE6BC6D" w14:textId="77777777" w:rsidR="00CF1D45" w:rsidRPr="00CF1D45" w:rsidRDefault="00CF1D45" w:rsidP="00CF1D45">
      <w:pPr>
        <w:ind w:right="237"/>
        <w:jc w:val="both"/>
        <w:rPr>
          <w:rFonts w:asciiTheme="minorHAnsi" w:hAnsiTheme="minorHAnsi" w:cstheme="minorHAnsi"/>
          <w:sz w:val="24"/>
          <w:szCs w:val="24"/>
        </w:rPr>
      </w:pPr>
    </w:p>
    <w:p w14:paraId="0AD75AEC"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After the suspect was safely arrested and the victim released, I ensured that the victim received timely medical assistance and psychological support. I also conducted a brief debrief with my colleague to reflect on operational decisions and provide emotional support. Such debriefing aligns with best practices in critical incident management, supporting resilience and continuous learning within Policing teams (Mitchell, 1983; Flannery and Everly, 2000).</w:t>
      </w:r>
    </w:p>
    <w:p w14:paraId="02C7C17E" w14:textId="77777777" w:rsidR="00CF1D45" w:rsidRPr="00CF1D45" w:rsidRDefault="00CF1D45" w:rsidP="00CF1D45">
      <w:pPr>
        <w:ind w:right="237"/>
        <w:jc w:val="both"/>
        <w:rPr>
          <w:rFonts w:asciiTheme="minorHAnsi" w:hAnsiTheme="minorHAnsi" w:cstheme="minorHAnsi"/>
          <w:sz w:val="24"/>
          <w:szCs w:val="24"/>
        </w:rPr>
      </w:pPr>
    </w:p>
    <w:p w14:paraId="4456A343"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Though the ambulance team did not need to intervene directly, I applied the Joint Emergency Services Interoperability Principles (JESIP) by coordinating effectively with ambulance control and maintaining clear communication. JESIP emphasises shared situational awareness, leadership clarity, and clear communication across emergency services to improve outcomes in complex incidents involving multiple agencies. Familiarity with JESIP principles is vital for Police leadership in multi-agency environments, especially in potentially lethal incidents (JESIP, 2013). This coordination highlights the importance of inter-agency collaboration in complex Policing situations, a theme widely supported in emergency management literature (Comfort, 2007).</w:t>
      </w:r>
    </w:p>
    <w:p w14:paraId="4AC22CCA" w14:textId="77777777" w:rsidR="00CF1D45" w:rsidRPr="00CF1D45" w:rsidRDefault="00CF1D45" w:rsidP="00CF1D45">
      <w:pPr>
        <w:ind w:right="237"/>
        <w:jc w:val="both"/>
        <w:rPr>
          <w:rFonts w:asciiTheme="minorHAnsi" w:hAnsiTheme="minorHAnsi" w:cstheme="minorHAnsi"/>
          <w:sz w:val="24"/>
          <w:szCs w:val="24"/>
        </w:rPr>
      </w:pPr>
    </w:p>
    <w:p w14:paraId="163D1DFF"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Using Gibbs' Reflective Cycle to structure this reflection has been valuable in systematically analysing the incident. Describing the event, I felt the intense pressure and emotional challenge of balancing rapid action with measured judgement. Evaluating the incident, I concluded that my decisions to contain and negotiate were appropriate and effective in preventing harm, demonstrating sound operational judgement under pressure. However, I identified that our limited access to tactical equipment could have posed challenges had the suspect escalated violence further, suggesting a need for improved resource allocation and training. This reflection aligns with the preparedness and capability development importance highlighted in Policing research (</w:t>
      </w:r>
      <w:proofErr w:type="spellStart"/>
      <w:r w:rsidRPr="00CF1D45">
        <w:rPr>
          <w:rFonts w:asciiTheme="minorHAnsi" w:hAnsiTheme="minorHAnsi" w:cstheme="minorHAnsi"/>
          <w:sz w:val="24"/>
          <w:szCs w:val="24"/>
        </w:rPr>
        <w:t>Myhill</w:t>
      </w:r>
      <w:proofErr w:type="spellEnd"/>
      <w:r w:rsidRPr="00CF1D45">
        <w:rPr>
          <w:rFonts w:asciiTheme="minorHAnsi" w:hAnsiTheme="minorHAnsi" w:cstheme="minorHAnsi"/>
          <w:sz w:val="24"/>
          <w:szCs w:val="24"/>
        </w:rPr>
        <w:t xml:space="preserve"> and Bradford, 2013; </w:t>
      </w:r>
      <w:proofErr w:type="spellStart"/>
      <w:r w:rsidRPr="00CF1D45">
        <w:rPr>
          <w:rFonts w:asciiTheme="minorHAnsi" w:hAnsiTheme="minorHAnsi" w:cstheme="minorHAnsi"/>
          <w:sz w:val="24"/>
          <w:szCs w:val="24"/>
        </w:rPr>
        <w:t>Denyer</w:t>
      </w:r>
      <w:proofErr w:type="spellEnd"/>
      <w:r w:rsidRPr="00CF1D45">
        <w:rPr>
          <w:rFonts w:asciiTheme="minorHAnsi" w:hAnsiTheme="minorHAnsi" w:cstheme="minorHAnsi"/>
          <w:sz w:val="24"/>
          <w:szCs w:val="24"/>
        </w:rPr>
        <w:t xml:space="preserve"> and </w:t>
      </w:r>
      <w:proofErr w:type="spellStart"/>
      <w:r w:rsidRPr="00CF1D45">
        <w:rPr>
          <w:rFonts w:asciiTheme="minorHAnsi" w:hAnsiTheme="minorHAnsi" w:cstheme="minorHAnsi"/>
          <w:sz w:val="24"/>
          <w:szCs w:val="24"/>
        </w:rPr>
        <w:t>Tranfield</w:t>
      </w:r>
      <w:proofErr w:type="spellEnd"/>
      <w:r w:rsidRPr="00CF1D45">
        <w:rPr>
          <w:rFonts w:asciiTheme="minorHAnsi" w:hAnsiTheme="minorHAnsi" w:cstheme="minorHAnsi"/>
          <w:sz w:val="24"/>
          <w:szCs w:val="24"/>
        </w:rPr>
        <w:t>, 2009).</w:t>
      </w:r>
    </w:p>
    <w:p w14:paraId="41B48698" w14:textId="77777777" w:rsidR="00CF1D45" w:rsidRPr="00CF1D45" w:rsidRDefault="00CF1D45" w:rsidP="00CF1D45">
      <w:pPr>
        <w:ind w:right="237"/>
        <w:jc w:val="both"/>
        <w:rPr>
          <w:rFonts w:asciiTheme="minorHAnsi" w:hAnsiTheme="minorHAnsi" w:cstheme="minorHAnsi"/>
          <w:sz w:val="24"/>
          <w:szCs w:val="24"/>
        </w:rPr>
      </w:pPr>
    </w:p>
    <w:p w14:paraId="459C4F95" w14:textId="77777777"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 xml:space="preserve">Analysing my leadership style, I found that situational leadership's adaptability was valuable but limited by team members' varying skill levels and confidence. Transformational leadership increases team morale but is less practical during the initial rapid response phase, where decisiveness is paramount. Servant leadership enhances team cohesion and </w:t>
      </w:r>
      <w:proofErr w:type="gramStart"/>
      <w:r w:rsidRPr="00CF1D45">
        <w:rPr>
          <w:rFonts w:asciiTheme="minorHAnsi" w:hAnsiTheme="minorHAnsi" w:cstheme="minorHAnsi"/>
          <w:sz w:val="24"/>
          <w:szCs w:val="24"/>
        </w:rPr>
        <w:t>well-being, but</w:t>
      </w:r>
      <w:proofErr w:type="gramEnd"/>
      <w:r w:rsidRPr="00CF1D45">
        <w:rPr>
          <w:rFonts w:asciiTheme="minorHAnsi" w:hAnsiTheme="minorHAnsi" w:cstheme="minorHAnsi"/>
          <w:sz w:val="24"/>
          <w:szCs w:val="24"/>
        </w:rPr>
        <w:t xml:space="preserve"> must be balanced with assertive command in crisis scenarios. These reflections align with Fiedler's Contingency Theory, which proposes that leadership effectiveness depends on the interplay between leadership style, situational control, and task structure (Fiedler, 1967). Understanding these dynamics is essential for developing effective Police leadership capable of adapting to varied operational contexts.</w:t>
      </w:r>
    </w:p>
    <w:p w14:paraId="18A5E338" w14:textId="77777777" w:rsidR="00CF1D45" w:rsidRPr="00CF1D45" w:rsidRDefault="00CF1D45" w:rsidP="00CF1D45">
      <w:pPr>
        <w:ind w:right="237"/>
        <w:jc w:val="both"/>
        <w:rPr>
          <w:rFonts w:asciiTheme="minorHAnsi" w:hAnsiTheme="minorHAnsi" w:cstheme="minorHAnsi"/>
          <w:sz w:val="24"/>
          <w:szCs w:val="24"/>
        </w:rPr>
      </w:pPr>
    </w:p>
    <w:p w14:paraId="2F0A97E3" w14:textId="04BB5142" w:rsidR="00CF1D45" w:rsidRP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lastRenderedPageBreak/>
        <w:t xml:space="preserve">I plan to attend advanced conflict resolution and critical incident training to develop my leadership and decision-making skills further. Introducing peer coaching and routine debriefs within my team can foster a reflective leadership culture that supports continuous learning. Mentoring junior officers on the use of decision-making frameworks and emotional intelligence will promote ethical, adaptable leadership in line with modern Policing standards. Research suggests that transformational and authentic leadership styles improve resilience, ethical standards, and operational effectiveness in contemporary Police organisations (Cho, Park and </w:t>
      </w:r>
      <w:proofErr w:type="spellStart"/>
      <w:r w:rsidRPr="00CF1D45">
        <w:rPr>
          <w:rFonts w:asciiTheme="minorHAnsi" w:hAnsiTheme="minorHAnsi" w:cstheme="minorHAnsi"/>
          <w:sz w:val="24"/>
          <w:szCs w:val="24"/>
        </w:rPr>
        <w:t>Eom</w:t>
      </w:r>
      <w:proofErr w:type="spellEnd"/>
      <w:r w:rsidRPr="00CF1D45">
        <w:rPr>
          <w:rFonts w:asciiTheme="minorHAnsi" w:hAnsiTheme="minorHAnsi" w:cstheme="minorHAnsi"/>
          <w:sz w:val="24"/>
          <w:szCs w:val="24"/>
        </w:rPr>
        <w:t>, 2023; Avolio and Gardner, 2005).</w:t>
      </w:r>
    </w:p>
    <w:p w14:paraId="4471B050" w14:textId="77777777" w:rsidR="00CF1D45" w:rsidRPr="00CF1D45" w:rsidRDefault="00CF1D45" w:rsidP="00CF1D45">
      <w:pPr>
        <w:ind w:right="237"/>
        <w:jc w:val="both"/>
        <w:rPr>
          <w:rFonts w:asciiTheme="minorHAnsi" w:hAnsiTheme="minorHAnsi" w:cstheme="minorHAnsi"/>
          <w:sz w:val="24"/>
          <w:szCs w:val="24"/>
        </w:rPr>
      </w:pPr>
    </w:p>
    <w:p w14:paraId="015B9DD4" w14:textId="5885C687" w:rsidR="00CF1D45" w:rsidRDefault="00CF1D45" w:rsidP="00CF1D45">
      <w:pPr>
        <w:ind w:right="237"/>
        <w:jc w:val="both"/>
        <w:rPr>
          <w:rFonts w:asciiTheme="minorHAnsi" w:hAnsiTheme="minorHAnsi" w:cstheme="minorHAnsi"/>
          <w:sz w:val="24"/>
          <w:szCs w:val="24"/>
        </w:rPr>
      </w:pPr>
      <w:r w:rsidRPr="00CF1D45">
        <w:rPr>
          <w:rFonts w:asciiTheme="minorHAnsi" w:hAnsiTheme="minorHAnsi" w:cstheme="minorHAnsi"/>
          <w:sz w:val="24"/>
          <w:szCs w:val="24"/>
        </w:rPr>
        <w:t>In conclusion, this incident highlighted that effective Police leadership requires adaptability, ethical grounding, and emotional intelligence. The National Decision Model and JPLANE framework guided lawful, ethical decisions that balanced operational necessity with human rights. Leadership styles, including situational, transformational, servant, and authentic leadership, enabled me to respond flexibly and ethically to the incident's demands. Emotional intelligence supported clear communication and team welfare throughout. The safe resolution without injury demonstrated the value of this reflective, multifaceted leadership approach. Continued professional development and critical reflection will ensure my leadership remains effective and aligned with the principles of justice, public service, and community trust.</w:t>
      </w:r>
    </w:p>
    <w:p w14:paraId="3AD987A1" w14:textId="77777777" w:rsidR="00CF1D45" w:rsidRDefault="00CF1D45" w:rsidP="00CF1D45">
      <w:pPr>
        <w:ind w:right="237"/>
        <w:jc w:val="both"/>
        <w:rPr>
          <w:rFonts w:asciiTheme="minorHAnsi" w:hAnsiTheme="minorHAnsi" w:cstheme="minorHAnsi"/>
          <w:sz w:val="24"/>
          <w:szCs w:val="24"/>
        </w:rPr>
      </w:pPr>
    </w:p>
    <w:p w14:paraId="77BBDFFB" w14:textId="0062DC09" w:rsidR="00CF1D45" w:rsidRPr="00CF1D45" w:rsidRDefault="00CF1D45" w:rsidP="00CF1D45">
      <w:pPr>
        <w:ind w:right="237"/>
        <w:jc w:val="both"/>
        <w:rPr>
          <w:rFonts w:asciiTheme="minorHAnsi" w:hAnsiTheme="minorHAnsi" w:cstheme="minorHAnsi"/>
          <w:b/>
          <w:bCs/>
          <w:color w:val="FF0000"/>
          <w:sz w:val="24"/>
          <w:szCs w:val="24"/>
        </w:rPr>
      </w:pPr>
      <w:r w:rsidRPr="00CF1D45">
        <w:rPr>
          <w:rFonts w:asciiTheme="minorHAnsi" w:hAnsiTheme="minorHAnsi" w:cstheme="minorHAnsi"/>
          <w:b/>
          <w:bCs/>
          <w:color w:val="FF0000"/>
          <w:sz w:val="24"/>
          <w:szCs w:val="24"/>
        </w:rPr>
        <w:t>1874 words</w:t>
      </w:r>
    </w:p>
    <w:p w14:paraId="223137DF" w14:textId="77777777" w:rsidR="00CF1D45" w:rsidRDefault="00CF1D45" w:rsidP="00CF1D45">
      <w:pPr>
        <w:ind w:right="237"/>
        <w:jc w:val="both"/>
        <w:rPr>
          <w:rFonts w:asciiTheme="minorHAnsi" w:hAnsiTheme="minorHAnsi" w:cstheme="minorHAnsi"/>
          <w:b/>
          <w:bCs/>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6DBE4C05" w14:textId="387759EC" w:rsidR="008D2CA1"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AD8571E" w14:textId="77777777" w:rsidR="00CF1D45" w:rsidRDefault="00CF1D45" w:rsidP="00CF1D45">
      <w:pPr>
        <w:rPr>
          <w:rFonts w:ascii="Calibri" w:hAnsi="Calibri" w:cs="Calibri"/>
          <w:sz w:val="24"/>
          <w:szCs w:val="24"/>
        </w:rPr>
      </w:pPr>
      <w:r w:rsidRPr="00CF1D45">
        <w:rPr>
          <w:rFonts w:ascii="Calibri" w:hAnsi="Calibri" w:cs="Calibri"/>
          <w:sz w:val="24"/>
          <w:szCs w:val="24"/>
        </w:rPr>
        <w:t>The formative probation period for a newly appointed Police Constable represents a critical phase of personal, professional, and organisational development. This essay offers a detailed and critical reflection on how coaching, mentoring, feedback, and formal assessment have shaped my development during my three-year probation with Gwent Police. Recognising the complexity and dynamic nature of contemporary policing, this reflection integrates relevant academic theories, empirical research, and national policing frameworks, including Policing Vision 2025 (NPCC, 2023), the National Police Chiefs' Council (NPCC) Strategic Plan (2023–2025), and guidance from the College of Policing (2022). The objective critically examines how structured developmental support has influenced my operational competence, professional identity, ethical practice, and resilience.</w:t>
      </w:r>
    </w:p>
    <w:p w14:paraId="60BC4118" w14:textId="77777777" w:rsidR="00CF1D45" w:rsidRPr="00CF1D45" w:rsidRDefault="00CF1D45" w:rsidP="00CF1D45">
      <w:pPr>
        <w:rPr>
          <w:rFonts w:ascii="Calibri" w:hAnsi="Calibri" w:cs="Calibri"/>
          <w:sz w:val="24"/>
          <w:szCs w:val="24"/>
        </w:rPr>
      </w:pPr>
    </w:p>
    <w:p w14:paraId="4892D757" w14:textId="77777777" w:rsidR="00CF1D45" w:rsidRPr="00CF1D45" w:rsidRDefault="00CF1D45" w:rsidP="00CF1D45">
      <w:pPr>
        <w:rPr>
          <w:rFonts w:ascii="Calibri" w:hAnsi="Calibri" w:cs="Calibri"/>
          <w:sz w:val="24"/>
          <w:szCs w:val="24"/>
        </w:rPr>
      </w:pPr>
      <w:r w:rsidRPr="00CF1D45">
        <w:rPr>
          <w:rFonts w:ascii="Calibri" w:hAnsi="Calibri" w:cs="Calibri"/>
          <w:sz w:val="24"/>
          <w:szCs w:val="24"/>
        </w:rPr>
        <w:t>The essay begins by clarifying and differentiating the concepts of coaching and mentoring, exploring their theoretical underpinnings and practical application within policing contexts. It then analyses the impact of these developmental approaches on my progress through probation, particularly highlighting how reflective models such as Kolb's Experiential Learning Cycle (1984), Gibbs' Reflective Cycle (1988), and Schön's (1983) reflection in action have underpinned my ongoing learning. Further sections reflect on the role of feedback and formal assessment in consolidating learning and ensuring accountability. Finally, the discussion situates my personal development within the strategic aims of Gwent Police and national policing priorities, concluding with reflections on future professional growth and contribution to the policing profession.</w:t>
      </w:r>
    </w:p>
    <w:p w14:paraId="445BFC59" w14:textId="77777777" w:rsidR="00CF1D45" w:rsidRDefault="00CF1D45" w:rsidP="00CF1D45">
      <w:pPr>
        <w:rPr>
          <w:rFonts w:ascii="Calibri" w:hAnsi="Calibri" w:cs="Calibri"/>
          <w:sz w:val="24"/>
          <w:szCs w:val="24"/>
        </w:rPr>
      </w:pPr>
      <w:r w:rsidRPr="00CF1D45">
        <w:rPr>
          <w:rFonts w:ascii="Calibri" w:hAnsi="Calibri" w:cs="Calibri"/>
          <w:sz w:val="24"/>
          <w:szCs w:val="24"/>
        </w:rPr>
        <w:lastRenderedPageBreak/>
        <w:t>Although frequently conflated, coaching and mentoring encompass distinct yet interrelated developmental practices, each offering unique contributions to police learning and professionalisation. According to Megginson and Clutterbuck (2005), mentoring involves a sustained relationship between a more experienced individual and a less experienced colleague, characterised by guidance, support, and encouragement that extends beyond task-oriented skill acquisition to encompass broader professional identity development. Mentoring is inherently relational and psychosocial, nurturing the mentee's reflective capacity, ethical reasoning, and resilience in complex operational challenges (Clutterbuck, 2014).</w:t>
      </w:r>
    </w:p>
    <w:p w14:paraId="53E443CE" w14:textId="77777777" w:rsidR="00CF1D45" w:rsidRPr="00CF1D45" w:rsidRDefault="00CF1D45" w:rsidP="00CF1D45">
      <w:pPr>
        <w:rPr>
          <w:rFonts w:ascii="Calibri" w:hAnsi="Calibri" w:cs="Calibri"/>
          <w:sz w:val="24"/>
          <w:szCs w:val="24"/>
        </w:rPr>
      </w:pPr>
    </w:p>
    <w:p w14:paraId="17ECB0B6" w14:textId="77777777" w:rsidR="00CF1D45" w:rsidRDefault="00CF1D45" w:rsidP="00CF1D45">
      <w:pPr>
        <w:rPr>
          <w:rFonts w:ascii="Calibri" w:hAnsi="Calibri" w:cs="Calibri"/>
          <w:sz w:val="24"/>
          <w:szCs w:val="24"/>
        </w:rPr>
      </w:pPr>
      <w:r w:rsidRPr="00CF1D45">
        <w:rPr>
          <w:rFonts w:ascii="Calibri" w:hAnsi="Calibri" w:cs="Calibri"/>
          <w:sz w:val="24"/>
          <w:szCs w:val="24"/>
        </w:rPr>
        <w:t xml:space="preserve">Conversely, coaching is typically more structured, time-limited, and focused on enhancing specific competencies or achieving targeted performance goals. Whitmore (2009) defines coaching as unlocking a person's potential through skilful questioning, active listening, and </w:t>
      </w:r>
      <w:proofErr w:type="gramStart"/>
      <w:r w:rsidRPr="00CF1D45">
        <w:rPr>
          <w:rFonts w:ascii="Calibri" w:hAnsi="Calibri" w:cs="Calibri"/>
          <w:sz w:val="24"/>
          <w:szCs w:val="24"/>
        </w:rPr>
        <w:t>goal-setting</w:t>
      </w:r>
      <w:proofErr w:type="gramEnd"/>
      <w:r w:rsidRPr="00CF1D45">
        <w:rPr>
          <w:rFonts w:ascii="Calibri" w:hAnsi="Calibri" w:cs="Calibri"/>
          <w:sz w:val="24"/>
          <w:szCs w:val="24"/>
        </w:rPr>
        <w:t>, enabling individuals to maximise their performance. This approach is underpinned by humanistic psychology and adult learning theories, emphasising autonomy, motivation, and self-directed growth (Knowles, Holton &amp; Swanson, 2015).</w:t>
      </w:r>
    </w:p>
    <w:p w14:paraId="589DAACB" w14:textId="77777777" w:rsidR="00CF1D45" w:rsidRPr="00CF1D45" w:rsidRDefault="00CF1D45" w:rsidP="00CF1D45">
      <w:pPr>
        <w:rPr>
          <w:rFonts w:ascii="Calibri" w:hAnsi="Calibri" w:cs="Calibri"/>
          <w:sz w:val="24"/>
          <w:szCs w:val="24"/>
        </w:rPr>
      </w:pPr>
    </w:p>
    <w:p w14:paraId="6E43E971" w14:textId="77777777" w:rsidR="00CF1D45" w:rsidRDefault="00CF1D45" w:rsidP="00CF1D45">
      <w:pPr>
        <w:rPr>
          <w:rFonts w:ascii="Calibri" w:hAnsi="Calibri" w:cs="Calibri"/>
          <w:sz w:val="24"/>
          <w:szCs w:val="24"/>
        </w:rPr>
      </w:pPr>
      <w:r w:rsidRPr="00CF1D45">
        <w:rPr>
          <w:rFonts w:ascii="Calibri" w:hAnsi="Calibri" w:cs="Calibri"/>
          <w:sz w:val="24"/>
          <w:szCs w:val="24"/>
        </w:rPr>
        <w:t>In the policing context, the distinction between coaching and mentoring is not merely academic but crucial for designing effective developmental interventions. The College of Policing's Competency and Values Framework (2022) explicitly incorporates both approaches as complementary pillars of continuous professional development. Coaching is particularly relevant for developing discrete operational skills and decision-making agility, while mentoring addresses the more holistic aspects of professional socialisation, ethical development, and emotional resilience.</w:t>
      </w:r>
    </w:p>
    <w:p w14:paraId="38B5FC86" w14:textId="77777777" w:rsidR="00CF1D45" w:rsidRPr="00CF1D45" w:rsidRDefault="00CF1D45" w:rsidP="00CF1D45">
      <w:pPr>
        <w:rPr>
          <w:rFonts w:ascii="Calibri" w:hAnsi="Calibri" w:cs="Calibri"/>
          <w:sz w:val="24"/>
          <w:szCs w:val="24"/>
        </w:rPr>
      </w:pPr>
    </w:p>
    <w:p w14:paraId="3E5F7E26" w14:textId="77777777" w:rsidR="00CF1D45" w:rsidRDefault="00CF1D45" w:rsidP="00CF1D45">
      <w:pPr>
        <w:rPr>
          <w:rFonts w:ascii="Calibri" w:hAnsi="Calibri" w:cs="Calibri"/>
          <w:sz w:val="24"/>
          <w:szCs w:val="24"/>
        </w:rPr>
      </w:pPr>
      <w:r w:rsidRPr="00CF1D45">
        <w:rPr>
          <w:rFonts w:ascii="Calibri" w:hAnsi="Calibri" w:cs="Calibri"/>
          <w:sz w:val="24"/>
          <w:szCs w:val="24"/>
        </w:rPr>
        <w:t>The National Policing Curriculum embeds these practices within probation programmes, recognising that new officers must rapidly assimilate diverse competencies, including legal knowledge, communication skills, ethical judgement, and community engagement. The integration of coaching and mentoring aligns with experiential and reflective learning theories (Kolb, 1984; Schön, 1983), which posit that adult learners develop best through active engagement, reflection, and supported experimentation in real-world contexts.</w:t>
      </w:r>
    </w:p>
    <w:p w14:paraId="0348F99A" w14:textId="77777777" w:rsidR="00CF1D45" w:rsidRPr="00CF1D45" w:rsidRDefault="00CF1D45" w:rsidP="00CF1D45">
      <w:pPr>
        <w:rPr>
          <w:rFonts w:ascii="Calibri" w:hAnsi="Calibri" w:cs="Calibri"/>
          <w:sz w:val="24"/>
          <w:szCs w:val="24"/>
        </w:rPr>
      </w:pPr>
    </w:p>
    <w:p w14:paraId="7077596F" w14:textId="77777777" w:rsidR="00CF1D45" w:rsidRDefault="00CF1D45" w:rsidP="00CF1D45">
      <w:pPr>
        <w:rPr>
          <w:rFonts w:ascii="Calibri" w:hAnsi="Calibri" w:cs="Calibri"/>
          <w:sz w:val="24"/>
          <w:szCs w:val="24"/>
        </w:rPr>
      </w:pPr>
      <w:r w:rsidRPr="00CF1D45">
        <w:rPr>
          <w:rFonts w:ascii="Calibri" w:hAnsi="Calibri" w:cs="Calibri"/>
          <w:sz w:val="24"/>
          <w:szCs w:val="24"/>
        </w:rPr>
        <w:t xml:space="preserve">Upon commencing probation, I was assigned a dedicated tutor constable, whose role extended well beyond the provision of procedural knowledge. This relationship exemplified </w:t>
      </w:r>
      <w:proofErr w:type="spellStart"/>
      <w:r w:rsidRPr="00CF1D45">
        <w:rPr>
          <w:rFonts w:ascii="Calibri" w:hAnsi="Calibri" w:cs="Calibri"/>
          <w:sz w:val="24"/>
          <w:szCs w:val="24"/>
        </w:rPr>
        <w:t>Kram's</w:t>
      </w:r>
      <w:proofErr w:type="spellEnd"/>
      <w:r w:rsidRPr="00CF1D45">
        <w:rPr>
          <w:rFonts w:ascii="Calibri" w:hAnsi="Calibri" w:cs="Calibri"/>
          <w:sz w:val="24"/>
          <w:szCs w:val="24"/>
        </w:rPr>
        <w:t xml:space="preserve"> (1985) mentor functions of career support and psychosocial guidance, fostering a psychologically safe environment conducive to candid reflection and developmental dialogue. The consistency and availability of my tutor enabled a trusting dynamic where I could openly discuss uncertainties, ethical dilemmas, and emotional challenges without fear of judgment.</w:t>
      </w:r>
    </w:p>
    <w:p w14:paraId="3E8B1B4D" w14:textId="77777777" w:rsidR="00CF1D45" w:rsidRPr="00CF1D45" w:rsidRDefault="00CF1D45" w:rsidP="00CF1D45">
      <w:pPr>
        <w:rPr>
          <w:rFonts w:ascii="Calibri" w:hAnsi="Calibri" w:cs="Calibri"/>
          <w:sz w:val="24"/>
          <w:szCs w:val="24"/>
        </w:rPr>
      </w:pPr>
    </w:p>
    <w:p w14:paraId="2DAEEB2A" w14:textId="77777777" w:rsidR="00CF1D45" w:rsidRDefault="00CF1D45" w:rsidP="00CF1D45">
      <w:pPr>
        <w:rPr>
          <w:rFonts w:ascii="Calibri" w:hAnsi="Calibri" w:cs="Calibri"/>
          <w:sz w:val="24"/>
          <w:szCs w:val="24"/>
        </w:rPr>
      </w:pPr>
      <w:r w:rsidRPr="00CF1D45">
        <w:rPr>
          <w:rFonts w:ascii="Calibri" w:hAnsi="Calibri" w:cs="Calibri"/>
          <w:sz w:val="24"/>
          <w:szCs w:val="24"/>
        </w:rPr>
        <w:t>Mentoring conversations were frequently centred on interpreting complex operational experiences and exploring their implications for my developing professional identity. Megginson and Clutterbuck (2005) emphasise that mentoring facilitates sense-making processes critical for navigating policing's moral ambiguities. My tutor encouraged me to examine what I did and why, drawing attention to organisational values, community expectations, and personal biases. This approach nurtured an ethical awareness that transcended rule-based compliance.</w:t>
      </w:r>
    </w:p>
    <w:p w14:paraId="032B3CE0" w14:textId="77777777" w:rsidR="00CF1D45" w:rsidRPr="00CF1D45" w:rsidRDefault="00CF1D45" w:rsidP="00CF1D45">
      <w:pPr>
        <w:rPr>
          <w:rFonts w:ascii="Calibri" w:hAnsi="Calibri" w:cs="Calibri"/>
          <w:sz w:val="24"/>
          <w:szCs w:val="24"/>
        </w:rPr>
      </w:pPr>
    </w:p>
    <w:p w14:paraId="2A807D0E" w14:textId="77777777" w:rsidR="00CF1D45" w:rsidRDefault="00CF1D45" w:rsidP="00CF1D45">
      <w:pPr>
        <w:rPr>
          <w:rFonts w:ascii="Calibri" w:hAnsi="Calibri" w:cs="Calibri"/>
          <w:sz w:val="24"/>
          <w:szCs w:val="24"/>
        </w:rPr>
      </w:pPr>
      <w:r w:rsidRPr="00CF1D45">
        <w:rPr>
          <w:rFonts w:ascii="Calibri" w:hAnsi="Calibri" w:cs="Calibri"/>
          <w:sz w:val="24"/>
          <w:szCs w:val="24"/>
        </w:rPr>
        <w:t>Simultaneously, coaching was utilised in targeted interventions focusing on specific operational tasks. For example, practical sessions on conducting searches, managing public disorder, or conflict de-escalation were framed within a scaffolded learning process consistent with Vygotsky's (1978) Zone of Proximal Development. This theory posits that learners achieve higher performance levels when supported by more knowledgeable others who gradually reduce assistance as competence grows. In practice, my tutor initially guided me closely through complex procedures but progressively encouraged independent problem-solving.</w:t>
      </w:r>
    </w:p>
    <w:p w14:paraId="06DC1B28" w14:textId="77777777" w:rsidR="00CF1D45" w:rsidRPr="00CF1D45" w:rsidRDefault="00CF1D45" w:rsidP="00CF1D45">
      <w:pPr>
        <w:rPr>
          <w:rFonts w:ascii="Calibri" w:hAnsi="Calibri" w:cs="Calibri"/>
          <w:sz w:val="24"/>
          <w:szCs w:val="24"/>
        </w:rPr>
      </w:pPr>
    </w:p>
    <w:p w14:paraId="1E4A50EA" w14:textId="3E4643EF" w:rsidR="00CF1D45" w:rsidRDefault="00CF1D45" w:rsidP="00CF1D45">
      <w:pPr>
        <w:rPr>
          <w:rFonts w:ascii="Calibri" w:hAnsi="Calibri" w:cs="Calibri"/>
          <w:sz w:val="24"/>
          <w:szCs w:val="24"/>
        </w:rPr>
      </w:pPr>
      <w:r w:rsidRPr="00CF1D45">
        <w:rPr>
          <w:rFonts w:ascii="Calibri" w:hAnsi="Calibri" w:cs="Calibri"/>
          <w:sz w:val="24"/>
          <w:szCs w:val="24"/>
        </w:rPr>
        <w:t>The coaching and mentoring process was closely interwoven with Kolb's Experiential Learning Cycle (1984). Each policing experience initiated a cycle of concrete experience, reflective observation, abstract conceptualisation, and active experimentation. For example, after attending a domestic abuse incident, my tutor facilitated a debrief focusing on what occurred, emotional reactions, legal considerations, and future approaches. These reflective dialogues transformed routine operational encounters into structured learning</w:t>
      </w:r>
      <w:r>
        <w:rPr>
          <w:rFonts w:ascii="Calibri" w:hAnsi="Calibri" w:cs="Calibri"/>
          <w:sz w:val="24"/>
          <w:szCs w:val="24"/>
        </w:rPr>
        <w:t xml:space="preserve"> </w:t>
      </w:r>
      <w:r w:rsidRPr="00CF1D45">
        <w:rPr>
          <w:rFonts w:ascii="Calibri" w:hAnsi="Calibri" w:cs="Calibri"/>
          <w:sz w:val="24"/>
          <w:szCs w:val="24"/>
        </w:rPr>
        <w:t>opportunities, enhancing my capacity to generalise and apply lessons to new contexts.</w:t>
      </w:r>
    </w:p>
    <w:p w14:paraId="7724A341" w14:textId="77777777" w:rsidR="00CF1D45" w:rsidRPr="00CF1D45" w:rsidRDefault="00CF1D45" w:rsidP="00CF1D45">
      <w:pPr>
        <w:rPr>
          <w:rFonts w:ascii="Calibri" w:hAnsi="Calibri" w:cs="Calibri"/>
          <w:sz w:val="24"/>
          <w:szCs w:val="24"/>
        </w:rPr>
      </w:pPr>
    </w:p>
    <w:p w14:paraId="240ED7C8" w14:textId="77777777" w:rsidR="00CF1D45" w:rsidRDefault="00CF1D45" w:rsidP="00CF1D45">
      <w:pPr>
        <w:rPr>
          <w:rFonts w:ascii="Calibri" w:hAnsi="Calibri" w:cs="Calibri"/>
          <w:sz w:val="24"/>
          <w:szCs w:val="24"/>
        </w:rPr>
      </w:pPr>
      <w:r w:rsidRPr="00CF1D45">
        <w:rPr>
          <w:rFonts w:ascii="Calibri" w:hAnsi="Calibri" w:cs="Calibri"/>
          <w:sz w:val="24"/>
          <w:szCs w:val="24"/>
        </w:rPr>
        <w:t>Reflection became integral to my professional development and identity construction throughout probation. I adopted Gibbs' Reflective Cycle (1988) as a practical tool for systematically exploring complex or troubling incidents. One illustrative case involved detaining an individual experiencing a mental health crisis. Although I adhered to statutory procedures under the Police and Criminal Evidence Act 1984, I was troubled by the person's distress and my emotional response. Applying Gibbs' model, I described the event, acknowledged discomfort, evaluated the outcomes, analysed </w:t>
      </w:r>
      <w:proofErr w:type="spellStart"/>
      <w:r w:rsidRPr="00CF1D45">
        <w:rPr>
          <w:rFonts w:ascii="Calibri" w:hAnsi="Calibri" w:cs="Calibri"/>
          <w:sz w:val="24"/>
          <w:szCs w:val="24"/>
        </w:rPr>
        <w:t>myactions</w:t>
      </w:r>
      <w:proofErr w:type="spellEnd"/>
      <w:r w:rsidRPr="00CF1D45">
        <w:rPr>
          <w:rFonts w:ascii="Calibri" w:hAnsi="Calibri" w:cs="Calibri"/>
          <w:sz w:val="24"/>
          <w:szCs w:val="24"/>
        </w:rPr>
        <w:t xml:space="preserve"> and context, drew conclusions, and formulated an action plan to improve future responses.</w:t>
      </w:r>
    </w:p>
    <w:p w14:paraId="05D19C1C" w14:textId="77777777" w:rsidR="00CF1D45" w:rsidRPr="00CF1D45" w:rsidRDefault="00CF1D45" w:rsidP="00CF1D45">
      <w:pPr>
        <w:rPr>
          <w:rFonts w:ascii="Calibri" w:hAnsi="Calibri" w:cs="Calibri"/>
          <w:sz w:val="24"/>
          <w:szCs w:val="24"/>
        </w:rPr>
      </w:pPr>
    </w:p>
    <w:p w14:paraId="6878E507" w14:textId="77777777" w:rsidR="00CF1D45" w:rsidRDefault="00CF1D45" w:rsidP="00CF1D45">
      <w:pPr>
        <w:rPr>
          <w:rFonts w:ascii="Calibri" w:hAnsi="Calibri" w:cs="Calibri"/>
          <w:sz w:val="24"/>
          <w:szCs w:val="24"/>
        </w:rPr>
      </w:pPr>
      <w:r w:rsidRPr="00CF1D45">
        <w:rPr>
          <w:rFonts w:ascii="Calibri" w:hAnsi="Calibri" w:cs="Calibri"/>
          <w:sz w:val="24"/>
          <w:szCs w:val="24"/>
        </w:rPr>
        <w:t>This structured reflection served dual purposes: enhancing my emotional intelligence and refining operational decision-making. Emotional intelligence—defined by Goleman (1996) as the capacity for self-awareness, empathy, and self-regulation—is essential in policing to maintain public trust and exercise ethical judgement. The College of Policing (2022) identifies reflective practice as central to legitimacy and effective engagement with vulnerable individuals, reinforcing the importance of such frameworks in professional development.</w:t>
      </w:r>
    </w:p>
    <w:p w14:paraId="28D8358A" w14:textId="77777777" w:rsidR="00CF1D45" w:rsidRPr="00CF1D45" w:rsidRDefault="00CF1D45" w:rsidP="00CF1D45">
      <w:pPr>
        <w:rPr>
          <w:rFonts w:ascii="Calibri" w:hAnsi="Calibri" w:cs="Calibri"/>
          <w:sz w:val="24"/>
          <w:szCs w:val="24"/>
        </w:rPr>
      </w:pPr>
    </w:p>
    <w:p w14:paraId="00F7216D" w14:textId="77777777" w:rsidR="00CF1D45" w:rsidRDefault="00CF1D45" w:rsidP="00CF1D45">
      <w:pPr>
        <w:rPr>
          <w:rFonts w:ascii="Calibri" w:hAnsi="Calibri" w:cs="Calibri"/>
          <w:sz w:val="24"/>
          <w:szCs w:val="24"/>
        </w:rPr>
      </w:pPr>
      <w:r w:rsidRPr="00CF1D45">
        <w:rPr>
          <w:rFonts w:ascii="Calibri" w:hAnsi="Calibri" w:cs="Calibri"/>
          <w:sz w:val="24"/>
          <w:szCs w:val="24"/>
        </w:rPr>
        <w:t xml:space="preserve">Moreover, Schön's (1983) concept of reflection in action became increasingly relevant as I encountered the unpredictability of frontline policing. Rather than reflecting solely after an event, I learned to reflect in the moment, adapting my communication and tactics dynamically based on real-time assessment of situational cues. For instance, when engaging a distressed subject, I would initially employ active listening and calm verbal techniques but pivot to alternative de-escalation strategies if the interaction deteriorated. Such reflective agility denotes technical </w:t>
      </w:r>
      <w:proofErr w:type="gramStart"/>
      <w:r w:rsidRPr="00CF1D45">
        <w:rPr>
          <w:rFonts w:ascii="Calibri" w:hAnsi="Calibri" w:cs="Calibri"/>
          <w:sz w:val="24"/>
          <w:szCs w:val="24"/>
        </w:rPr>
        <w:t>proficiency</w:t>
      </w:r>
      <w:proofErr w:type="gramEnd"/>
      <w:r w:rsidRPr="00CF1D45">
        <w:rPr>
          <w:rFonts w:ascii="Calibri" w:hAnsi="Calibri" w:cs="Calibri"/>
          <w:sz w:val="24"/>
          <w:szCs w:val="24"/>
        </w:rPr>
        <w:t xml:space="preserve"> and a mature professional judgement informed by experience.</w:t>
      </w:r>
    </w:p>
    <w:p w14:paraId="2764A2A5" w14:textId="77777777" w:rsidR="00CF1D45" w:rsidRPr="00CF1D45" w:rsidRDefault="00CF1D45" w:rsidP="00CF1D45">
      <w:pPr>
        <w:rPr>
          <w:rFonts w:ascii="Calibri" w:hAnsi="Calibri" w:cs="Calibri"/>
          <w:sz w:val="24"/>
          <w:szCs w:val="24"/>
        </w:rPr>
      </w:pPr>
    </w:p>
    <w:p w14:paraId="4B7D0A32" w14:textId="77777777" w:rsidR="00CF1D45" w:rsidRDefault="00CF1D45" w:rsidP="00CF1D45">
      <w:pPr>
        <w:rPr>
          <w:rFonts w:ascii="Calibri" w:hAnsi="Calibri" w:cs="Calibri"/>
          <w:sz w:val="24"/>
          <w:szCs w:val="24"/>
        </w:rPr>
      </w:pPr>
      <w:r w:rsidRPr="00CF1D45">
        <w:rPr>
          <w:rFonts w:ascii="Calibri" w:hAnsi="Calibri" w:cs="Calibri"/>
          <w:sz w:val="24"/>
          <w:szCs w:val="24"/>
        </w:rPr>
        <w:t>Together, these models emphasise the recursive and situated nature of learning in policing. Reflection is not an academic exercise but a vital operational skill supporting ethical, effective, and person-centred policing.</w:t>
      </w:r>
      <w:r>
        <w:rPr>
          <w:rFonts w:ascii="Calibri" w:hAnsi="Calibri" w:cs="Calibri"/>
          <w:sz w:val="24"/>
          <w:szCs w:val="24"/>
        </w:rPr>
        <w:t xml:space="preserve"> </w:t>
      </w:r>
      <w:r w:rsidRPr="00CF1D45">
        <w:rPr>
          <w:rFonts w:ascii="Calibri" w:hAnsi="Calibri" w:cs="Calibri"/>
          <w:sz w:val="24"/>
          <w:szCs w:val="24"/>
        </w:rPr>
        <w:t xml:space="preserve">Throughout probation, participation in specialist </w:t>
      </w:r>
      <w:r w:rsidRPr="00CF1D45">
        <w:rPr>
          <w:rFonts w:ascii="Calibri" w:hAnsi="Calibri" w:cs="Calibri"/>
          <w:sz w:val="24"/>
          <w:szCs w:val="24"/>
        </w:rPr>
        <w:lastRenderedPageBreak/>
        <w:t>training courses complemented my coaching and mentoring experiences,</w:t>
      </w:r>
      <w:r>
        <w:rPr>
          <w:rFonts w:ascii="Calibri" w:hAnsi="Calibri" w:cs="Calibri"/>
          <w:sz w:val="24"/>
          <w:szCs w:val="24"/>
        </w:rPr>
        <w:t xml:space="preserve"> </w:t>
      </w:r>
      <w:r w:rsidRPr="00CF1D45">
        <w:rPr>
          <w:rFonts w:ascii="Calibri" w:hAnsi="Calibri" w:cs="Calibri"/>
          <w:sz w:val="24"/>
          <w:szCs w:val="24"/>
        </w:rPr>
        <w:t xml:space="preserve">enhancing my operational capabilities and aligning with broader policing strategies. </w:t>
      </w:r>
    </w:p>
    <w:p w14:paraId="014972F6" w14:textId="77777777" w:rsidR="00CF1D45" w:rsidRDefault="00CF1D45" w:rsidP="00CF1D45">
      <w:pPr>
        <w:rPr>
          <w:rFonts w:ascii="Calibri" w:hAnsi="Calibri" w:cs="Calibri"/>
          <w:sz w:val="24"/>
          <w:szCs w:val="24"/>
        </w:rPr>
      </w:pPr>
    </w:p>
    <w:p w14:paraId="1912B02C" w14:textId="16FCF4D6" w:rsidR="00CF1D45" w:rsidRDefault="00CF1D45" w:rsidP="00CF1D45">
      <w:pPr>
        <w:rPr>
          <w:rFonts w:ascii="Calibri" w:hAnsi="Calibri" w:cs="Calibri"/>
          <w:sz w:val="24"/>
          <w:szCs w:val="24"/>
        </w:rPr>
      </w:pPr>
      <w:r w:rsidRPr="00CF1D45">
        <w:rPr>
          <w:rFonts w:ascii="Calibri" w:hAnsi="Calibri" w:cs="Calibri"/>
          <w:sz w:val="24"/>
          <w:szCs w:val="24"/>
        </w:rPr>
        <w:t>Completing the College of Policing-accredited Taser training programme was particularly impactful. This course emphasised ethical considerations in using force, situational risk assessment, and legal frameworks, reflecting Policing Vision 2025's (NPCC, 2023) focus on officer safety, ethical policing, and public confidence.</w:t>
      </w:r>
    </w:p>
    <w:p w14:paraId="23B047A2" w14:textId="77777777" w:rsidR="00CF1D45" w:rsidRPr="00CF1D45" w:rsidRDefault="00CF1D45" w:rsidP="00CF1D45">
      <w:pPr>
        <w:rPr>
          <w:rFonts w:ascii="Calibri" w:hAnsi="Calibri" w:cs="Calibri"/>
          <w:sz w:val="24"/>
          <w:szCs w:val="24"/>
        </w:rPr>
      </w:pPr>
    </w:p>
    <w:p w14:paraId="7CFD472F" w14:textId="77777777" w:rsidR="00CF1D45" w:rsidRDefault="00CF1D45" w:rsidP="00CF1D45">
      <w:pPr>
        <w:rPr>
          <w:rFonts w:ascii="Calibri" w:hAnsi="Calibri" w:cs="Calibri"/>
          <w:sz w:val="24"/>
          <w:szCs w:val="24"/>
        </w:rPr>
      </w:pPr>
      <w:r w:rsidRPr="00CF1D45">
        <w:rPr>
          <w:rFonts w:ascii="Calibri" w:hAnsi="Calibri" w:cs="Calibri"/>
          <w:sz w:val="24"/>
          <w:szCs w:val="24"/>
        </w:rPr>
        <w:t>Home Office data (2024) evidences a significant rise in assaults against police officers, underscoring the importance of proportionate defensive capabilities balanced with ethical restraint. The Taser training provided me with practical skills and a framework for judicious decision-making under pressure, which enhanced my confidence and safety while maintaining legitimacy in the eyes of the community.</w:t>
      </w:r>
    </w:p>
    <w:p w14:paraId="18FDE79A" w14:textId="77777777" w:rsidR="00CF1D45" w:rsidRPr="00CF1D45" w:rsidRDefault="00CF1D45" w:rsidP="00CF1D45">
      <w:pPr>
        <w:rPr>
          <w:rFonts w:ascii="Calibri" w:hAnsi="Calibri" w:cs="Calibri"/>
          <w:sz w:val="24"/>
          <w:szCs w:val="24"/>
        </w:rPr>
      </w:pPr>
    </w:p>
    <w:p w14:paraId="1BA0CB4D" w14:textId="77777777" w:rsidR="00CF1D45" w:rsidRDefault="00CF1D45" w:rsidP="00CF1D45">
      <w:pPr>
        <w:rPr>
          <w:rFonts w:ascii="Calibri" w:hAnsi="Calibri" w:cs="Calibri"/>
          <w:sz w:val="24"/>
          <w:szCs w:val="24"/>
        </w:rPr>
      </w:pPr>
      <w:r w:rsidRPr="00CF1D45">
        <w:rPr>
          <w:rFonts w:ascii="Calibri" w:hAnsi="Calibri" w:cs="Calibri"/>
          <w:sz w:val="24"/>
          <w:szCs w:val="24"/>
        </w:rPr>
        <w:t>Response driving training further developed my capacity to operate safely and decisively in high-stress scenarios. This intensive programme improved my spatial awareness, risk perception, and emotional regulation—skills transferable to various operational contexts. The ability to maintain composure and anticipate hazards while making rapid decisions supports the NPCC Strategic Plan goals around workforce resilience and operational effectiveness.</w:t>
      </w:r>
    </w:p>
    <w:p w14:paraId="34B951D1" w14:textId="77777777" w:rsidR="00CF1D45" w:rsidRPr="00CF1D45" w:rsidRDefault="00CF1D45" w:rsidP="00CF1D45">
      <w:pPr>
        <w:rPr>
          <w:rFonts w:ascii="Calibri" w:hAnsi="Calibri" w:cs="Calibri"/>
          <w:sz w:val="24"/>
          <w:szCs w:val="24"/>
        </w:rPr>
      </w:pPr>
    </w:p>
    <w:p w14:paraId="02A41661" w14:textId="77777777" w:rsidR="00CF1D45" w:rsidRDefault="00CF1D45" w:rsidP="00CF1D45">
      <w:pPr>
        <w:rPr>
          <w:rFonts w:ascii="Calibri" w:hAnsi="Calibri" w:cs="Calibri"/>
          <w:sz w:val="24"/>
          <w:szCs w:val="24"/>
        </w:rPr>
      </w:pPr>
      <w:r w:rsidRPr="00CF1D45">
        <w:rPr>
          <w:rFonts w:ascii="Calibri" w:hAnsi="Calibri" w:cs="Calibri"/>
          <w:sz w:val="24"/>
          <w:szCs w:val="24"/>
        </w:rPr>
        <w:t>A particularly transformative experience was the Chemical, Biological, Radiological, and Nuclear (CBRN) First Responder course delivered by the National CBRN Centre. This intensive four-day programme immersed me in simulated high-threat environments, demanding precise technical execution, interdisciplinary coordination, and mental resilience. Given evolving national security threats, such training aligns with the NPCC's aims to enhance emergency preparedness and workforce adaptability.</w:t>
      </w:r>
    </w:p>
    <w:p w14:paraId="2EBFDF0C" w14:textId="77777777" w:rsidR="00CF1D45" w:rsidRPr="00CF1D45" w:rsidRDefault="00CF1D45" w:rsidP="00CF1D45">
      <w:pPr>
        <w:rPr>
          <w:rFonts w:ascii="Calibri" w:hAnsi="Calibri" w:cs="Calibri"/>
          <w:sz w:val="24"/>
          <w:szCs w:val="24"/>
        </w:rPr>
      </w:pPr>
    </w:p>
    <w:p w14:paraId="6BFB2CB3" w14:textId="77777777" w:rsidR="00CF1D45" w:rsidRDefault="00CF1D45" w:rsidP="00CF1D45">
      <w:pPr>
        <w:rPr>
          <w:rFonts w:ascii="Calibri" w:hAnsi="Calibri" w:cs="Calibri"/>
          <w:sz w:val="24"/>
          <w:szCs w:val="24"/>
        </w:rPr>
      </w:pPr>
      <w:r w:rsidRPr="00CF1D45">
        <w:rPr>
          <w:rFonts w:ascii="Calibri" w:hAnsi="Calibri" w:cs="Calibri"/>
          <w:sz w:val="24"/>
          <w:szCs w:val="24"/>
        </w:rPr>
        <w:t>These courses collectively reflect a commitment to continuous professional development that balances technical proficiency, ethical awareness, and strategic readiness. They also demonstrate the integration of individual development with organisational capacity-building.</w:t>
      </w:r>
    </w:p>
    <w:p w14:paraId="585126D6" w14:textId="77777777" w:rsidR="00CF1D45" w:rsidRPr="00CF1D45" w:rsidRDefault="00CF1D45" w:rsidP="00CF1D45">
      <w:pPr>
        <w:rPr>
          <w:rFonts w:ascii="Calibri" w:hAnsi="Calibri" w:cs="Calibri"/>
          <w:sz w:val="24"/>
          <w:szCs w:val="24"/>
        </w:rPr>
      </w:pPr>
    </w:p>
    <w:p w14:paraId="1DEEC857" w14:textId="77777777" w:rsidR="00CF1D45" w:rsidRDefault="00CF1D45" w:rsidP="00CF1D45">
      <w:pPr>
        <w:rPr>
          <w:rFonts w:ascii="Calibri" w:hAnsi="Calibri" w:cs="Calibri"/>
          <w:sz w:val="24"/>
          <w:szCs w:val="24"/>
        </w:rPr>
      </w:pPr>
      <w:r w:rsidRPr="00CF1D45">
        <w:rPr>
          <w:rFonts w:ascii="Calibri" w:hAnsi="Calibri" w:cs="Calibri"/>
          <w:sz w:val="24"/>
          <w:szCs w:val="24"/>
        </w:rPr>
        <w:t>As my confidence and experience grew, I embraced opportunities to support newer colleagues through informal mentoring and peer coaching. This reciprocal mentoring reflects social learning theory (Bandura, 1977), which posits that individuals learn through observation, modelling, and social interaction.</w:t>
      </w:r>
    </w:p>
    <w:p w14:paraId="43E12F59" w14:textId="77777777" w:rsidR="00CF1D45" w:rsidRPr="00CF1D45" w:rsidRDefault="00CF1D45" w:rsidP="00CF1D45">
      <w:pPr>
        <w:rPr>
          <w:rFonts w:ascii="Calibri" w:hAnsi="Calibri" w:cs="Calibri"/>
          <w:sz w:val="24"/>
          <w:szCs w:val="24"/>
        </w:rPr>
      </w:pPr>
    </w:p>
    <w:p w14:paraId="6C887F01" w14:textId="77777777" w:rsidR="00CF1D45" w:rsidRDefault="00CF1D45" w:rsidP="00CF1D45">
      <w:pPr>
        <w:rPr>
          <w:rFonts w:ascii="Calibri" w:hAnsi="Calibri" w:cs="Calibri"/>
          <w:sz w:val="24"/>
          <w:szCs w:val="24"/>
        </w:rPr>
      </w:pPr>
      <w:r w:rsidRPr="00CF1D45">
        <w:rPr>
          <w:rFonts w:ascii="Calibri" w:hAnsi="Calibri" w:cs="Calibri"/>
          <w:sz w:val="24"/>
          <w:szCs w:val="24"/>
        </w:rPr>
        <w:t>Drawing inspiration from my tutor, I sought to create psychologically safe spaces where mentees could ask questions, express uncertainties, and engage in reflective dialogue without fear of negative judgment.</w:t>
      </w:r>
    </w:p>
    <w:p w14:paraId="729C87A3" w14:textId="77777777" w:rsidR="00CF1D45" w:rsidRPr="00CF1D45" w:rsidRDefault="00CF1D45" w:rsidP="00CF1D45">
      <w:pPr>
        <w:rPr>
          <w:rFonts w:ascii="Calibri" w:hAnsi="Calibri" w:cs="Calibri"/>
          <w:sz w:val="24"/>
          <w:szCs w:val="24"/>
        </w:rPr>
      </w:pPr>
    </w:p>
    <w:p w14:paraId="4B7D3B8E" w14:textId="77777777" w:rsidR="00CF1D45" w:rsidRDefault="00CF1D45" w:rsidP="00CF1D45">
      <w:pPr>
        <w:rPr>
          <w:rFonts w:ascii="Calibri" w:hAnsi="Calibri" w:cs="Calibri"/>
          <w:sz w:val="24"/>
          <w:szCs w:val="24"/>
        </w:rPr>
      </w:pPr>
      <w:r w:rsidRPr="00CF1D45">
        <w:rPr>
          <w:rFonts w:ascii="Calibri" w:hAnsi="Calibri" w:cs="Calibri"/>
          <w:sz w:val="24"/>
          <w:szCs w:val="24"/>
        </w:rPr>
        <w:t>This approach is consistent with the principles of relational leadership, which emphasise empathy, trust, and empowerment (</w:t>
      </w:r>
      <w:proofErr w:type="spellStart"/>
      <w:r w:rsidRPr="00CF1D45">
        <w:rPr>
          <w:rFonts w:ascii="Calibri" w:hAnsi="Calibri" w:cs="Calibri"/>
          <w:sz w:val="24"/>
          <w:szCs w:val="24"/>
        </w:rPr>
        <w:t>Uhl</w:t>
      </w:r>
      <w:proofErr w:type="spellEnd"/>
      <w:r w:rsidRPr="00CF1D45">
        <w:rPr>
          <w:rFonts w:ascii="Calibri" w:hAnsi="Calibri" w:cs="Calibri"/>
          <w:sz w:val="24"/>
          <w:szCs w:val="24"/>
        </w:rPr>
        <w:t>-Bien, 2006).</w:t>
      </w:r>
    </w:p>
    <w:p w14:paraId="4A3E0096" w14:textId="77777777" w:rsidR="00CF1D45" w:rsidRPr="00CF1D45" w:rsidRDefault="00CF1D45" w:rsidP="00CF1D45">
      <w:pPr>
        <w:rPr>
          <w:rFonts w:ascii="Calibri" w:hAnsi="Calibri" w:cs="Calibri"/>
          <w:sz w:val="24"/>
          <w:szCs w:val="24"/>
        </w:rPr>
      </w:pPr>
    </w:p>
    <w:p w14:paraId="1E628989" w14:textId="77777777" w:rsidR="00CF1D45" w:rsidRDefault="00CF1D45" w:rsidP="00CF1D45">
      <w:pPr>
        <w:rPr>
          <w:rFonts w:ascii="Calibri" w:hAnsi="Calibri" w:cs="Calibri"/>
          <w:sz w:val="24"/>
          <w:szCs w:val="24"/>
        </w:rPr>
      </w:pPr>
      <w:r w:rsidRPr="00CF1D45">
        <w:rPr>
          <w:rFonts w:ascii="Calibri" w:hAnsi="Calibri" w:cs="Calibri"/>
          <w:sz w:val="24"/>
          <w:szCs w:val="24"/>
        </w:rPr>
        <w:t xml:space="preserve">I also utilised the GROW coaching model (Whitmore, 2009) to structure developmental conversations around Goals, Reality, Options, and Way Forward. For example, I supported </w:t>
      </w:r>
      <w:r w:rsidRPr="00CF1D45">
        <w:rPr>
          <w:rFonts w:ascii="Calibri" w:hAnsi="Calibri" w:cs="Calibri"/>
          <w:sz w:val="24"/>
          <w:szCs w:val="24"/>
        </w:rPr>
        <w:lastRenderedPageBreak/>
        <w:t>probationers preparing for their first court appearance by helping clarify their objectives, assess current readiness, explore alternative strategies, and commit to actionable steps. This model fosters autonomous learning and accountability, reinforcing self-efficacy.</w:t>
      </w:r>
    </w:p>
    <w:p w14:paraId="44C7A18D" w14:textId="77777777" w:rsidR="00CF1D45" w:rsidRPr="00CF1D45" w:rsidRDefault="00CF1D45" w:rsidP="00CF1D45">
      <w:pPr>
        <w:rPr>
          <w:rFonts w:ascii="Calibri" w:hAnsi="Calibri" w:cs="Calibri"/>
          <w:sz w:val="24"/>
          <w:szCs w:val="24"/>
        </w:rPr>
      </w:pPr>
    </w:p>
    <w:p w14:paraId="4543032B" w14:textId="77777777" w:rsidR="00CF1D45" w:rsidRDefault="00CF1D45" w:rsidP="00CF1D45">
      <w:pPr>
        <w:rPr>
          <w:rFonts w:ascii="Calibri" w:hAnsi="Calibri" w:cs="Calibri"/>
          <w:sz w:val="24"/>
          <w:szCs w:val="24"/>
        </w:rPr>
      </w:pPr>
      <w:r w:rsidRPr="00CF1D45">
        <w:rPr>
          <w:rFonts w:ascii="Calibri" w:hAnsi="Calibri" w:cs="Calibri"/>
          <w:sz w:val="24"/>
          <w:szCs w:val="24"/>
        </w:rPr>
        <w:t>Mentoring others deepened my professional insight by enhancing empathy, communication skills, and leadership capacities. Goleman's (1996) emotional intelligence framework underscores the significance of self-awareness and social skills in effective leadership. Acting as a mentor challenged me to adopt multiple perspectives, reflect critically on </w:t>
      </w:r>
      <w:proofErr w:type="spellStart"/>
      <w:r w:rsidRPr="00CF1D45">
        <w:rPr>
          <w:rFonts w:ascii="Calibri" w:hAnsi="Calibri" w:cs="Calibri"/>
          <w:sz w:val="24"/>
          <w:szCs w:val="24"/>
        </w:rPr>
        <w:t>mypractice</w:t>
      </w:r>
      <w:proofErr w:type="spellEnd"/>
      <w:r w:rsidRPr="00CF1D45">
        <w:rPr>
          <w:rFonts w:ascii="Calibri" w:hAnsi="Calibri" w:cs="Calibri"/>
          <w:sz w:val="24"/>
          <w:szCs w:val="24"/>
        </w:rPr>
        <w:t>, and contribute actively to a supportive learning culture within Gwent Police.</w:t>
      </w:r>
    </w:p>
    <w:p w14:paraId="05D8F1BE" w14:textId="77777777" w:rsidR="00CF1D45" w:rsidRPr="00CF1D45" w:rsidRDefault="00CF1D45" w:rsidP="00CF1D45">
      <w:pPr>
        <w:rPr>
          <w:rFonts w:ascii="Calibri" w:hAnsi="Calibri" w:cs="Calibri"/>
          <w:sz w:val="24"/>
          <w:szCs w:val="24"/>
        </w:rPr>
      </w:pPr>
    </w:p>
    <w:p w14:paraId="36DD5D84" w14:textId="77777777" w:rsidR="00CF1D45" w:rsidRDefault="00CF1D45" w:rsidP="00CF1D45">
      <w:pPr>
        <w:rPr>
          <w:rFonts w:ascii="Calibri" w:hAnsi="Calibri" w:cs="Calibri"/>
          <w:sz w:val="24"/>
          <w:szCs w:val="24"/>
        </w:rPr>
      </w:pPr>
      <w:r w:rsidRPr="00CF1D45">
        <w:rPr>
          <w:rFonts w:ascii="Calibri" w:hAnsi="Calibri" w:cs="Calibri"/>
          <w:sz w:val="24"/>
          <w:szCs w:val="24"/>
        </w:rPr>
        <w:t>Feedback constituted a vital mechanism for learning, reflection, and continuous improvement throughout my probation. I valued specific, timely, and constructive feedback, recognising its potential to illuminate blind spots and reinforce strengths. Feedback came from various sources, including line managers, peers, community members, and formal performance reviews.</w:t>
      </w:r>
    </w:p>
    <w:p w14:paraId="277D228D" w14:textId="77777777" w:rsidR="00CF1D45" w:rsidRPr="00CF1D45" w:rsidRDefault="00CF1D45" w:rsidP="00CF1D45">
      <w:pPr>
        <w:rPr>
          <w:rFonts w:ascii="Calibri" w:hAnsi="Calibri" w:cs="Calibri"/>
          <w:sz w:val="24"/>
          <w:szCs w:val="24"/>
        </w:rPr>
      </w:pPr>
    </w:p>
    <w:p w14:paraId="65596313" w14:textId="77777777" w:rsidR="00CF1D45" w:rsidRDefault="00CF1D45" w:rsidP="00CF1D45">
      <w:pPr>
        <w:rPr>
          <w:rFonts w:ascii="Calibri" w:hAnsi="Calibri" w:cs="Calibri"/>
          <w:sz w:val="24"/>
          <w:szCs w:val="24"/>
        </w:rPr>
      </w:pPr>
      <w:r w:rsidRPr="00CF1D45">
        <w:rPr>
          <w:rFonts w:ascii="Calibri" w:hAnsi="Calibri" w:cs="Calibri"/>
          <w:sz w:val="24"/>
          <w:szCs w:val="24"/>
        </w:rPr>
        <w:t>Brookfield's (1995) model of critical reflection through four lenses—self-reflection, learner feedback, theoretical literature, and organisational context—provided a valuable framework for making sense of feedback. This approach encourages a balanced and multi-faceted appraisal, mitigating defensiveness and promoting developmental openness.</w:t>
      </w:r>
    </w:p>
    <w:p w14:paraId="0E573BFE" w14:textId="77777777" w:rsidR="00CF1D45" w:rsidRPr="00CF1D45" w:rsidRDefault="00CF1D45" w:rsidP="00CF1D45">
      <w:pPr>
        <w:rPr>
          <w:rFonts w:ascii="Calibri" w:hAnsi="Calibri" w:cs="Calibri"/>
          <w:sz w:val="24"/>
          <w:szCs w:val="24"/>
        </w:rPr>
      </w:pPr>
    </w:p>
    <w:p w14:paraId="313AACBD" w14:textId="71256555" w:rsidR="00CF1D45" w:rsidRDefault="00CF1D45" w:rsidP="00CF1D45">
      <w:pPr>
        <w:rPr>
          <w:rFonts w:ascii="Calibri" w:hAnsi="Calibri" w:cs="Calibri"/>
          <w:sz w:val="24"/>
          <w:szCs w:val="24"/>
        </w:rPr>
      </w:pPr>
      <w:r w:rsidRPr="00CF1D45">
        <w:rPr>
          <w:rFonts w:ascii="Calibri" w:hAnsi="Calibri" w:cs="Calibri"/>
          <w:sz w:val="24"/>
          <w:szCs w:val="24"/>
        </w:rPr>
        <w:t>When providing feedback to others, particularly in peer mentoring contexts, I adopted the Pendleton model (1984), which advocates beginning with positive observations, then identifying areas for improvement, followed by collaborative planning. This method fosters a supportive climate conducive to growth and maintains mutual respect.</w:t>
      </w:r>
    </w:p>
    <w:p w14:paraId="3242B0D0" w14:textId="77777777" w:rsidR="00CF1D45" w:rsidRPr="00CF1D45" w:rsidRDefault="00CF1D45" w:rsidP="00CF1D45">
      <w:pPr>
        <w:rPr>
          <w:rFonts w:ascii="Calibri" w:hAnsi="Calibri" w:cs="Calibri"/>
          <w:sz w:val="24"/>
          <w:szCs w:val="24"/>
        </w:rPr>
      </w:pPr>
    </w:p>
    <w:p w14:paraId="3301AA86" w14:textId="77777777" w:rsidR="00CF1D45" w:rsidRDefault="00CF1D45" w:rsidP="00CF1D45">
      <w:pPr>
        <w:rPr>
          <w:rFonts w:ascii="Calibri" w:hAnsi="Calibri" w:cs="Calibri"/>
          <w:sz w:val="24"/>
          <w:szCs w:val="24"/>
        </w:rPr>
      </w:pPr>
      <w:r w:rsidRPr="00CF1D45">
        <w:rPr>
          <w:rFonts w:ascii="Calibri" w:hAnsi="Calibri" w:cs="Calibri"/>
          <w:sz w:val="24"/>
          <w:szCs w:val="24"/>
        </w:rPr>
        <w:t>Formal assessments during probation, linked to the Integrated Competency Framework, offered structured milestones for measuring progress and ensuring compliance with professional standards. These assessments also situate individual development within organisational goals and public expectations, reinforcing the imperative of accountability in policing.</w:t>
      </w:r>
    </w:p>
    <w:p w14:paraId="03D3F13A" w14:textId="77777777" w:rsidR="00CF1D45" w:rsidRPr="00CF1D45" w:rsidRDefault="00CF1D45" w:rsidP="00CF1D45">
      <w:pPr>
        <w:rPr>
          <w:rFonts w:ascii="Calibri" w:hAnsi="Calibri" w:cs="Calibri"/>
          <w:sz w:val="24"/>
          <w:szCs w:val="24"/>
        </w:rPr>
      </w:pPr>
    </w:p>
    <w:p w14:paraId="61F7A4AE" w14:textId="74D9E089" w:rsidR="00CF1D45" w:rsidRDefault="00CF1D45" w:rsidP="00CF1D45">
      <w:pPr>
        <w:rPr>
          <w:rFonts w:ascii="Calibri" w:hAnsi="Calibri" w:cs="Calibri"/>
          <w:sz w:val="24"/>
          <w:szCs w:val="24"/>
        </w:rPr>
      </w:pPr>
      <w:r w:rsidRPr="00CF1D45">
        <w:rPr>
          <w:rFonts w:ascii="Calibri" w:hAnsi="Calibri" w:cs="Calibri"/>
          <w:sz w:val="24"/>
          <w:szCs w:val="24"/>
        </w:rPr>
        <w:t>My probationary development aligns closely with the strategic imperatives articulated in national policing frameworks. Policing Vision 2025 (NPCC, 2023) emphasises professionalisation, public legitimacy, ethical leadership, and adaptable skillsets—values reflected in my mentoring, coaching, and reflective practice engagement. The NPCC Strategic Plan 2023–2025 similarly foregrounds workforce resilience, inclusivity, and continuous learning, which have informed my</w:t>
      </w:r>
      <w:r>
        <w:rPr>
          <w:rFonts w:ascii="Calibri" w:hAnsi="Calibri" w:cs="Calibri"/>
          <w:sz w:val="24"/>
          <w:szCs w:val="24"/>
        </w:rPr>
        <w:t xml:space="preserve"> </w:t>
      </w:r>
      <w:r w:rsidRPr="00CF1D45">
        <w:rPr>
          <w:rFonts w:ascii="Calibri" w:hAnsi="Calibri" w:cs="Calibri"/>
          <w:sz w:val="24"/>
          <w:szCs w:val="24"/>
        </w:rPr>
        <w:t>approach to development and supporting colleagues.</w:t>
      </w:r>
    </w:p>
    <w:p w14:paraId="274BAAB1" w14:textId="77777777" w:rsidR="00CF1D45" w:rsidRPr="00CF1D45" w:rsidRDefault="00CF1D45" w:rsidP="00CF1D45">
      <w:pPr>
        <w:rPr>
          <w:rFonts w:ascii="Calibri" w:hAnsi="Calibri" w:cs="Calibri"/>
          <w:sz w:val="24"/>
          <w:szCs w:val="24"/>
        </w:rPr>
      </w:pPr>
    </w:p>
    <w:p w14:paraId="7475846B" w14:textId="77777777" w:rsidR="00CF1D45" w:rsidRDefault="00CF1D45" w:rsidP="00CF1D45">
      <w:pPr>
        <w:rPr>
          <w:rFonts w:ascii="Calibri" w:hAnsi="Calibri" w:cs="Calibri"/>
          <w:sz w:val="24"/>
          <w:szCs w:val="24"/>
        </w:rPr>
      </w:pPr>
      <w:r w:rsidRPr="00CF1D45">
        <w:rPr>
          <w:rFonts w:ascii="Calibri" w:hAnsi="Calibri" w:cs="Calibri"/>
          <w:sz w:val="24"/>
          <w:szCs w:val="24"/>
        </w:rPr>
        <w:t>Locally, Gwent Police's Strategic Equality Plan and Wellbeing Strategy underscore organisational commitments to fairness, psychological safety, and capacity building. These strategic documents translate national priorities into operational practice, creating an environment where developmental support mechanisms such as coaching and mentoring are valued and resourced.</w:t>
      </w:r>
    </w:p>
    <w:p w14:paraId="5B99471F" w14:textId="77777777" w:rsidR="00CF1D45" w:rsidRPr="00CF1D45" w:rsidRDefault="00CF1D45" w:rsidP="00CF1D45">
      <w:pPr>
        <w:rPr>
          <w:rFonts w:ascii="Calibri" w:hAnsi="Calibri" w:cs="Calibri"/>
          <w:sz w:val="24"/>
          <w:szCs w:val="24"/>
        </w:rPr>
      </w:pPr>
    </w:p>
    <w:p w14:paraId="5B65FB93" w14:textId="1A53D33A" w:rsidR="00CF1D45" w:rsidRDefault="00CF1D45" w:rsidP="00CF1D45">
      <w:pPr>
        <w:rPr>
          <w:rFonts w:ascii="Calibri" w:hAnsi="Calibri" w:cs="Calibri"/>
          <w:sz w:val="24"/>
          <w:szCs w:val="24"/>
        </w:rPr>
      </w:pPr>
      <w:r w:rsidRPr="00CF1D45">
        <w:rPr>
          <w:rFonts w:ascii="Calibri" w:hAnsi="Calibri" w:cs="Calibri"/>
          <w:sz w:val="24"/>
          <w:szCs w:val="24"/>
        </w:rPr>
        <w:lastRenderedPageBreak/>
        <w:t>Recognising the interconnectedness of personal growth and organisational mission has shaped my understanding of policing not merely as task execution but as a public service rooted in ethical practice, community engagement, and legitimacy. This perspective motivates ongoing commitment to lifelong learning and contribution to the policing profession.</w:t>
      </w:r>
    </w:p>
    <w:p w14:paraId="1D4AC985" w14:textId="77777777" w:rsidR="00CF1D45" w:rsidRPr="00CF1D45" w:rsidRDefault="00CF1D45" w:rsidP="00CF1D45">
      <w:pPr>
        <w:rPr>
          <w:rFonts w:ascii="Calibri" w:hAnsi="Calibri" w:cs="Calibri"/>
          <w:sz w:val="24"/>
          <w:szCs w:val="24"/>
        </w:rPr>
      </w:pPr>
    </w:p>
    <w:p w14:paraId="7F443AA9" w14:textId="2D0C68D8" w:rsidR="00CF1D45" w:rsidRDefault="006F2E9A" w:rsidP="00CF1D45">
      <w:pPr>
        <w:rPr>
          <w:rFonts w:ascii="Calibri" w:hAnsi="Calibri" w:cs="Calibri"/>
          <w:sz w:val="24"/>
          <w:szCs w:val="24"/>
        </w:rPr>
      </w:pPr>
      <w:r w:rsidRPr="006F2E9A">
        <w:rPr>
          <w:rFonts w:ascii="Calibri" w:hAnsi="Calibri" w:cs="Calibri"/>
          <w:sz w:val="24"/>
          <w:szCs w:val="24"/>
        </w:rPr>
        <w:t xml:space="preserve">Reflecting on my three-year probationary period with Gwent Police, </w:t>
      </w:r>
      <w:proofErr w:type="gramStart"/>
      <w:r w:rsidRPr="006F2E9A">
        <w:rPr>
          <w:rFonts w:ascii="Calibri" w:hAnsi="Calibri" w:cs="Calibri"/>
          <w:sz w:val="24"/>
          <w:szCs w:val="24"/>
        </w:rPr>
        <w:t>it is clear that coaching</w:t>
      </w:r>
      <w:proofErr w:type="gramEnd"/>
      <w:r w:rsidRPr="006F2E9A">
        <w:rPr>
          <w:rFonts w:ascii="Calibri" w:hAnsi="Calibri" w:cs="Calibri"/>
          <w:sz w:val="24"/>
          <w:szCs w:val="24"/>
        </w:rPr>
        <w:t xml:space="preserve">, mentoring, structured feedback, and formal assessment have shaped every aspect of my personal and professional development. Supported by models such as Kolb’s Experiential Learning Cycle, Gibbs’ Reflective Cycle, and Schön’s concept of reflection-in-action, I have developed the operational </w:t>
      </w:r>
      <w:proofErr w:type="gramStart"/>
      <w:r w:rsidRPr="006F2E9A">
        <w:rPr>
          <w:rFonts w:ascii="Calibri" w:hAnsi="Calibri" w:cs="Calibri"/>
          <w:sz w:val="24"/>
          <w:szCs w:val="24"/>
        </w:rPr>
        <w:t>competence</w:t>
      </w:r>
      <w:proofErr w:type="gramEnd"/>
      <w:r w:rsidRPr="006F2E9A">
        <w:rPr>
          <w:rFonts w:ascii="Calibri" w:hAnsi="Calibri" w:cs="Calibri"/>
          <w:sz w:val="24"/>
          <w:szCs w:val="24"/>
        </w:rPr>
        <w:t xml:space="preserve"> and the ethical foundation required for effective frontline policing. Engagement with strategic training, such as Taser, CBRN, and response driving, further embedded these learning principles in practice. Coaching and mentoring provided the structure and psychological safety to explore complex scenarios, strengthen emotional intelligence, and build confidence in decision-making. These experiences align closely with national priorities outlined in Policing Vision 2025 and the NPCC Strategic Plan, reinforcing the vital link between individual learning and organisational effectiveness. As I continue to contribute to a culture of ethical, resilient, and community-focused policing, I remain committed to lifelong learning, professional reflection, and supporting the development of others within the service.</w:t>
      </w:r>
    </w:p>
    <w:p w14:paraId="4EB51B62" w14:textId="77777777" w:rsidR="006F2E9A" w:rsidRDefault="006F2E9A" w:rsidP="00CF1D45">
      <w:pPr>
        <w:rPr>
          <w:rFonts w:ascii="Calibri" w:hAnsi="Calibri" w:cs="Calibri"/>
          <w:sz w:val="24"/>
          <w:szCs w:val="24"/>
        </w:rPr>
      </w:pPr>
    </w:p>
    <w:p w14:paraId="07890218" w14:textId="7606E088" w:rsidR="00CF1D45" w:rsidRPr="00CF1D45" w:rsidRDefault="006F2E9A" w:rsidP="002C31E1">
      <w:pPr>
        <w:rPr>
          <w:rFonts w:ascii="Calibri" w:hAnsi="Calibri" w:cs="Calibri"/>
          <w:b/>
          <w:bCs/>
          <w:color w:val="FF0000"/>
          <w:sz w:val="24"/>
          <w:szCs w:val="24"/>
        </w:rPr>
      </w:pPr>
      <w:r>
        <w:rPr>
          <w:rFonts w:ascii="Calibri" w:hAnsi="Calibri" w:cs="Calibri"/>
          <w:b/>
          <w:bCs/>
          <w:color w:val="FF0000"/>
          <w:sz w:val="24"/>
          <w:szCs w:val="24"/>
        </w:rPr>
        <w:t>2009</w:t>
      </w:r>
      <w:r w:rsidR="00CF1D45" w:rsidRPr="00CF1D45">
        <w:rPr>
          <w:rFonts w:ascii="Calibri" w:hAnsi="Calibri" w:cs="Calibri"/>
          <w:b/>
          <w:bCs/>
          <w:color w:val="FF0000"/>
          <w:sz w:val="24"/>
          <w:szCs w:val="24"/>
        </w:rPr>
        <w:t xml:space="preserve"> words</w:t>
      </w:r>
    </w:p>
    <w:p w14:paraId="6E6611B1" w14:textId="77777777" w:rsidR="002C31E1" w:rsidRDefault="002C31E1" w:rsidP="002C31E1">
      <w:pPr>
        <w:rPr>
          <w:rFonts w:ascii="Calibri" w:hAnsi="Calibri" w:cs="Calibri"/>
          <w:sz w:val="24"/>
          <w:szCs w:val="24"/>
        </w:rPr>
      </w:pPr>
    </w:p>
    <w:p w14:paraId="592CAEBA" w14:textId="48E4F5A5" w:rsidR="000F7ECD" w:rsidRPr="002C31E1" w:rsidRDefault="000F7ECD" w:rsidP="002C31E1">
      <w:pPr>
        <w:ind w:right="237"/>
        <w:sectPr w:rsidR="000F7ECD" w:rsidRPr="002C31E1" w:rsidSect="0022001B">
          <w:pgSz w:w="11906" w:h="16838" w:code="9"/>
          <w:pgMar w:top="1440" w:right="1440" w:bottom="1440" w:left="1440" w:header="720" w:footer="720" w:gutter="0"/>
          <w:cols w:space="720"/>
          <w:docGrid w:linePitch="272"/>
        </w:sectPr>
      </w:pPr>
    </w:p>
    <w:p w14:paraId="2B4DA333" w14:textId="3078C005" w:rsidR="004923DA" w:rsidRPr="00270EEB" w:rsidRDefault="004923DA" w:rsidP="002C31E1">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437C16" w14:textId="77777777" w:rsidR="00AD2CF5" w:rsidRDefault="00AD2CF5" w:rsidP="00340E9A">
      <w:pPr>
        <w:keepNext/>
        <w:spacing w:before="240" w:after="60"/>
        <w:ind w:right="237"/>
        <w:jc w:val="both"/>
        <w:rPr>
          <w:sz w:val="24"/>
          <w:szCs w:val="24"/>
        </w:rPr>
      </w:pPr>
    </w:p>
    <w:p w14:paraId="51E26AA5" w14:textId="3609210A" w:rsidR="00AD2CF5" w:rsidRPr="006F2E9A" w:rsidRDefault="00AD2CF5" w:rsidP="006F2E9A">
      <w:pPr>
        <w:keepNext/>
        <w:spacing w:after="60" w:line="360" w:lineRule="auto"/>
        <w:ind w:right="237"/>
        <w:rPr>
          <w:rFonts w:asciiTheme="minorHAnsi" w:hAnsiTheme="minorHAnsi" w:cstheme="minorHAnsi"/>
          <w:b/>
          <w:bCs/>
          <w:sz w:val="24"/>
          <w:szCs w:val="24"/>
          <w:u w:val="single"/>
        </w:rPr>
      </w:pPr>
      <w:r w:rsidRPr="006F2E9A">
        <w:rPr>
          <w:rFonts w:asciiTheme="minorHAnsi" w:hAnsiTheme="minorHAnsi" w:cstheme="minorHAnsi"/>
          <w:b/>
          <w:bCs/>
          <w:sz w:val="24"/>
          <w:szCs w:val="24"/>
          <w:u w:val="single"/>
        </w:rPr>
        <w:t>Task 1 references:</w:t>
      </w:r>
    </w:p>
    <w:p w14:paraId="05E87709"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Brown, J. and Newburn, T. (2017) Professionalising policing: The rise of reflective practice. Oxford: Oxford University Press.</w:t>
      </w:r>
    </w:p>
    <w:p w14:paraId="422B359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0EB49B5C"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Bullock, K. and Garland, J. (2023) ‘Emotional intelligence and public trust in policing’, Policing and Society, 33(2), pp. 145–160.</w:t>
      </w:r>
    </w:p>
    <w:p w14:paraId="41B8CB4C"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695C0942"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Charman, S. (2017) Police socialisation, identity and culture: Becoming Blue. London: Palgrave Macmillan.</w:t>
      </w:r>
    </w:p>
    <w:p w14:paraId="0ADC2357"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3A446579"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Chatterton, M. (2008) ‘Emotional labour in policing’, International Journal of Police Science &amp; Management, 10(2), pp. 105–117.</w:t>
      </w:r>
    </w:p>
    <w:p w14:paraId="6CF59484"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244F89AF"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College of Policing (2018) Five Year Strategy 2018–2023. Available at: </w:t>
      </w:r>
      <w:hyperlink r:id="rId15" w:history="1">
        <w:r w:rsidRPr="006F2E9A">
          <w:rPr>
            <w:rStyle w:val="Hyperlink"/>
            <w:rFonts w:asciiTheme="minorHAnsi" w:hAnsiTheme="minorHAnsi" w:cstheme="minorHAnsi"/>
            <w:sz w:val="24"/>
            <w:szCs w:val="24"/>
          </w:rPr>
          <w:t>https://www.college.police.uk/about/our-strategy</w:t>
        </w:r>
      </w:hyperlink>
      <w:r w:rsidRPr="006F2E9A">
        <w:rPr>
          <w:rFonts w:asciiTheme="minorHAnsi" w:hAnsiTheme="minorHAnsi" w:cstheme="minorHAnsi"/>
          <w:sz w:val="24"/>
          <w:szCs w:val="24"/>
        </w:rPr>
        <w:t>(Accessed: 21 June 2025).</w:t>
      </w:r>
    </w:p>
    <w:p w14:paraId="1A61D079"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358779E4"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College of Policing (2021) Code of Ethics. Available at: </w:t>
      </w:r>
      <w:hyperlink r:id="rId16" w:history="1">
        <w:r w:rsidRPr="006F2E9A">
          <w:rPr>
            <w:rStyle w:val="Hyperlink"/>
            <w:rFonts w:asciiTheme="minorHAnsi" w:hAnsiTheme="minorHAnsi" w:cstheme="minorHAnsi"/>
            <w:sz w:val="24"/>
            <w:szCs w:val="24"/>
          </w:rPr>
          <w:t>https://www.college.police.uk/ethics/code-of-ethics</w:t>
        </w:r>
      </w:hyperlink>
      <w:r w:rsidRPr="006F2E9A">
        <w:rPr>
          <w:rFonts w:asciiTheme="minorHAnsi" w:hAnsiTheme="minorHAnsi" w:cstheme="minorHAnsi"/>
          <w:sz w:val="24"/>
          <w:szCs w:val="24"/>
        </w:rPr>
        <w:t> (Accessed: 21 June 2025).</w:t>
      </w:r>
    </w:p>
    <w:p w14:paraId="295BE1B1"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44EE102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lastRenderedPageBreak/>
        <w:t>College of Policing (2022) Trauma-informed practice in policing. Available at: </w:t>
      </w:r>
      <w:hyperlink r:id="rId17" w:history="1">
        <w:r w:rsidRPr="006F2E9A">
          <w:rPr>
            <w:rStyle w:val="Hyperlink"/>
            <w:rFonts w:asciiTheme="minorHAnsi" w:hAnsiTheme="minorHAnsi" w:cstheme="minorHAnsi"/>
            <w:sz w:val="24"/>
            <w:szCs w:val="24"/>
          </w:rPr>
          <w:t>https://www.college.police.uk/guidance/trauma-informed-practice</w:t>
        </w:r>
      </w:hyperlink>
      <w:r w:rsidRPr="006F2E9A">
        <w:rPr>
          <w:rFonts w:asciiTheme="minorHAnsi" w:hAnsiTheme="minorHAnsi" w:cstheme="minorHAnsi"/>
          <w:sz w:val="24"/>
          <w:szCs w:val="24"/>
        </w:rPr>
        <w:t> (Accessed: 21 June 2025).</w:t>
      </w:r>
    </w:p>
    <w:p w14:paraId="7BEF761F"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2C93730E"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College of Policing (2024) National Decision Model (NDM) Guidance. Available at: </w:t>
      </w:r>
      <w:hyperlink r:id="rId18" w:history="1">
        <w:r w:rsidRPr="006F2E9A">
          <w:rPr>
            <w:rStyle w:val="Hyperlink"/>
            <w:rFonts w:asciiTheme="minorHAnsi" w:hAnsiTheme="minorHAnsi" w:cstheme="minorHAnsi"/>
            <w:sz w:val="24"/>
            <w:szCs w:val="24"/>
          </w:rPr>
          <w:t>https://www.college.police.uk/guidance/national-decision-model</w:t>
        </w:r>
      </w:hyperlink>
      <w:r w:rsidRPr="006F2E9A">
        <w:rPr>
          <w:rFonts w:asciiTheme="minorHAnsi" w:hAnsiTheme="minorHAnsi" w:cstheme="minorHAnsi"/>
          <w:sz w:val="24"/>
          <w:szCs w:val="24"/>
        </w:rPr>
        <w:t> (Accessed: 21 June 2025).</w:t>
      </w:r>
    </w:p>
    <w:p w14:paraId="2FB1BA3A"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50420A40"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Edwards, H. (2021) ‘Structured decision-making in critical incidents’, British Journal of Policing, 5(1), pp. 66–78.</w:t>
      </w:r>
    </w:p>
    <w:p w14:paraId="10902886"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056F460B"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Fleming, J. and Rhodes, R. A. W. (2018) Networked governance and the new professionalism in policing. Oxford: Oxford University Press.</w:t>
      </w:r>
    </w:p>
    <w:p w14:paraId="18DED1AA"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371E2D0B"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Kolb, D. A. (1984) Experiential learning: Experience as the source of learning and development. Englewood Cliffs, NJ: Prentice Hall.</w:t>
      </w:r>
    </w:p>
    <w:p w14:paraId="1BB2C103"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33A3448A"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Loftus, B. (2009) Police culture in a changing world. Oxford: Oxford University Press.</w:t>
      </w:r>
    </w:p>
    <w:p w14:paraId="198941AB"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41A9074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McCartney, S. and Parent, R. (2015) Ethics in law enforcement. Victoria: BC Campus.</w:t>
      </w:r>
    </w:p>
    <w:p w14:paraId="0C89E812"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2198BEE0"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National Police Chiefs Council (2016) Policing Vision 2025. Available at: </w:t>
      </w:r>
      <w:hyperlink r:id="rId19" w:history="1">
        <w:r w:rsidRPr="006F2E9A">
          <w:rPr>
            <w:rStyle w:val="Hyperlink"/>
            <w:rFonts w:asciiTheme="minorHAnsi" w:hAnsiTheme="minorHAnsi" w:cstheme="minorHAnsi"/>
            <w:sz w:val="24"/>
            <w:szCs w:val="24"/>
          </w:rPr>
          <w:t>https://www.npcc.police.uk/policingvision2025.pdf</w:t>
        </w:r>
      </w:hyperlink>
      <w:r w:rsidRPr="006F2E9A">
        <w:rPr>
          <w:rFonts w:asciiTheme="minorHAnsi" w:hAnsiTheme="minorHAnsi" w:cstheme="minorHAnsi"/>
          <w:sz w:val="24"/>
          <w:szCs w:val="24"/>
        </w:rPr>
        <w:t> (Accessed: 20 June 2025).</w:t>
      </w:r>
    </w:p>
    <w:p w14:paraId="7BDF6406"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440D336A"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roofErr w:type="spellStart"/>
      <w:r w:rsidRPr="006F2E9A">
        <w:rPr>
          <w:rFonts w:asciiTheme="minorHAnsi" w:hAnsiTheme="minorHAnsi" w:cstheme="minorHAnsi"/>
          <w:sz w:val="24"/>
          <w:szCs w:val="24"/>
        </w:rPr>
        <w:t>Neyroud</w:t>
      </w:r>
      <w:proofErr w:type="spellEnd"/>
      <w:r w:rsidRPr="006F2E9A">
        <w:rPr>
          <w:rFonts w:asciiTheme="minorHAnsi" w:hAnsiTheme="minorHAnsi" w:cstheme="minorHAnsi"/>
          <w:sz w:val="24"/>
          <w:szCs w:val="24"/>
        </w:rPr>
        <w:t>, P. (2011) Review of police leadership and training. London: Home Office.</w:t>
      </w:r>
    </w:p>
    <w:p w14:paraId="497A3F4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71DB45FC"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 xml:space="preserve">Reiner, R. (2010) The Politics of the Police. 4th </w:t>
      </w:r>
      <w:proofErr w:type="spellStart"/>
      <w:r w:rsidRPr="006F2E9A">
        <w:rPr>
          <w:rFonts w:asciiTheme="minorHAnsi" w:hAnsiTheme="minorHAnsi" w:cstheme="minorHAnsi"/>
          <w:sz w:val="24"/>
          <w:szCs w:val="24"/>
        </w:rPr>
        <w:t>edn</w:t>
      </w:r>
      <w:proofErr w:type="spellEnd"/>
      <w:r w:rsidRPr="006F2E9A">
        <w:rPr>
          <w:rFonts w:asciiTheme="minorHAnsi" w:hAnsiTheme="minorHAnsi" w:cstheme="minorHAnsi"/>
          <w:sz w:val="24"/>
          <w:szCs w:val="24"/>
        </w:rPr>
        <w:t>. Oxford: Oxford University Press.</w:t>
      </w:r>
    </w:p>
    <w:p w14:paraId="0418CCA9"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46702977"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Rowe, M. and Garland, J. (2020) Policing and society: Theory and practice. London: Sage.</w:t>
      </w:r>
    </w:p>
    <w:p w14:paraId="57F38B4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3533F758"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 xml:space="preserve">Sanders, A., Young, R. and Burton, M. (2024) Criminal justice. 6th </w:t>
      </w:r>
      <w:proofErr w:type="spellStart"/>
      <w:r w:rsidRPr="006F2E9A">
        <w:rPr>
          <w:rFonts w:asciiTheme="minorHAnsi" w:hAnsiTheme="minorHAnsi" w:cstheme="minorHAnsi"/>
          <w:sz w:val="24"/>
          <w:szCs w:val="24"/>
        </w:rPr>
        <w:t>edn</w:t>
      </w:r>
      <w:proofErr w:type="spellEnd"/>
      <w:r w:rsidRPr="006F2E9A">
        <w:rPr>
          <w:rFonts w:asciiTheme="minorHAnsi" w:hAnsiTheme="minorHAnsi" w:cstheme="minorHAnsi"/>
          <w:sz w:val="24"/>
          <w:szCs w:val="24"/>
        </w:rPr>
        <w:t>. Oxford: Oxford University Press.</w:t>
      </w:r>
    </w:p>
    <w:p w14:paraId="25A4B3C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3A92883B"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St John Ambulance (2023) Primary Survey: First Aid Advice. Available at: https://www.sja.org.uk/get-advice/first-aid-advice/how-to/primary-survey/ (Accessed: 1 August 2025).</w:t>
      </w:r>
    </w:p>
    <w:p w14:paraId="22810139"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4A18AD9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Tyler, T. R. (2004) ‘Enhancing police legitimacy’, The Annals of the American Academy of Political and Social Science, 593(1), pp. 84–99.</w:t>
      </w:r>
    </w:p>
    <w:p w14:paraId="2FC94BEF"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5872D8E1" w14:textId="4E4683C2"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roofErr w:type="spellStart"/>
      <w:r w:rsidRPr="006F2E9A">
        <w:rPr>
          <w:rFonts w:asciiTheme="minorHAnsi" w:hAnsiTheme="minorHAnsi" w:cstheme="minorHAnsi"/>
          <w:sz w:val="24"/>
          <w:szCs w:val="24"/>
        </w:rPr>
        <w:t>Walklate</w:t>
      </w:r>
      <w:proofErr w:type="spellEnd"/>
      <w:r w:rsidRPr="006F2E9A">
        <w:rPr>
          <w:rFonts w:asciiTheme="minorHAnsi" w:hAnsiTheme="minorHAnsi" w:cstheme="minorHAnsi"/>
          <w:sz w:val="24"/>
          <w:szCs w:val="24"/>
        </w:rPr>
        <w:t xml:space="preserve">, S., </w:t>
      </w:r>
      <w:proofErr w:type="gramStart"/>
      <w:r w:rsidRPr="006F2E9A">
        <w:rPr>
          <w:rFonts w:asciiTheme="minorHAnsi" w:hAnsiTheme="minorHAnsi" w:cstheme="minorHAnsi"/>
          <w:sz w:val="24"/>
          <w:szCs w:val="24"/>
        </w:rPr>
        <w:t>Fitz-Gibbon</w:t>
      </w:r>
      <w:proofErr w:type="gramEnd"/>
      <w:r w:rsidRPr="006F2E9A">
        <w:rPr>
          <w:rFonts w:asciiTheme="minorHAnsi" w:hAnsiTheme="minorHAnsi" w:cstheme="minorHAnsi"/>
          <w:sz w:val="24"/>
          <w:szCs w:val="24"/>
        </w:rPr>
        <w:t>, K. and McCulloch, J. (2020) Criminal justice responses to domestic and family violence. London: Routledge.</w:t>
      </w:r>
      <w:r w:rsidRPr="006F2E9A">
        <w:rPr>
          <w:rFonts w:asciiTheme="minorHAnsi" w:hAnsiTheme="minorHAnsi" w:cstheme="minorHAnsi"/>
          <w:sz w:val="24"/>
          <w:szCs w:val="24"/>
        </w:rPr>
        <w:t xml:space="preserve"> </w:t>
      </w:r>
    </w:p>
    <w:p w14:paraId="39C6EC4C"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56B0C19E" w14:textId="17FE9028" w:rsidR="00AD2CF5" w:rsidRPr="006F2E9A" w:rsidRDefault="00AD2CF5" w:rsidP="006F2E9A">
      <w:pPr>
        <w:overflowPunct/>
        <w:autoSpaceDE/>
        <w:autoSpaceDN/>
        <w:adjustRightInd/>
        <w:spacing w:after="160" w:line="360" w:lineRule="auto"/>
        <w:textAlignment w:val="auto"/>
        <w:rPr>
          <w:rFonts w:asciiTheme="minorHAnsi" w:hAnsiTheme="minorHAnsi" w:cstheme="minorHAnsi"/>
          <w:b/>
          <w:bCs/>
          <w:sz w:val="24"/>
          <w:szCs w:val="24"/>
          <w:u w:val="single"/>
        </w:rPr>
      </w:pPr>
      <w:r w:rsidRPr="006F2E9A">
        <w:rPr>
          <w:rFonts w:asciiTheme="minorHAnsi" w:hAnsiTheme="minorHAnsi" w:cstheme="minorHAnsi"/>
          <w:b/>
          <w:bCs/>
          <w:sz w:val="24"/>
          <w:szCs w:val="24"/>
          <w:u w:val="single"/>
        </w:rPr>
        <w:t xml:space="preserve">Task 2 references </w:t>
      </w:r>
    </w:p>
    <w:p w14:paraId="6ED773DF"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345390B3"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 xml:space="preserve">Bramhall, C. (2020). TikTok, policing, and platform culture: Engaging youth audiences. </w:t>
      </w:r>
    </w:p>
    <w:p w14:paraId="27FE45A7" w14:textId="77777777" w:rsidR="006F2E9A" w:rsidRPr="006F2E9A" w:rsidRDefault="006F2E9A" w:rsidP="006F2E9A">
      <w:pPr>
        <w:overflowPunct/>
        <w:autoSpaceDE/>
        <w:autoSpaceDN/>
        <w:adjustRightInd/>
        <w:spacing w:after="160" w:line="360" w:lineRule="auto"/>
        <w:textAlignment w:val="auto"/>
        <w:rPr>
          <w:rFonts w:asciiTheme="minorHAnsi" w:hAnsiTheme="minorHAnsi" w:cstheme="minorHAnsi"/>
          <w:sz w:val="24"/>
          <w:szCs w:val="24"/>
        </w:rPr>
      </w:pPr>
    </w:p>
    <w:p w14:paraId="04E30171"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Policing Insight. Available at: https://policinginsight.com/feature/tiktok-policing-and-platform-culture/ [Accessed 18 June 2025].</w:t>
      </w:r>
    </w:p>
    <w:p w14:paraId="13BAFA6F"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07263883"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lastRenderedPageBreak/>
        <w:t>Bullock, K. (2017). The police use of social media: Transformation or normalisation? Social Policy and Society, 17(2), pp.245–258.</w:t>
      </w:r>
    </w:p>
    <w:p w14:paraId="6052B84E"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60756372"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College of Policing. (2021). Digital communications: Social media engagement guidance. Available at: https://www.college.police.uk/guidance/digital-communications [Accessed 18 June 2025].</w:t>
      </w:r>
    </w:p>
    <w:p w14:paraId="127507D3"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2EB9E359"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Crump, J. (2011). What are the police doing on Twitter? Social media, the police and the public. Policy &amp; Internet, 3(4), pp.1–27.</w:t>
      </w:r>
    </w:p>
    <w:p w14:paraId="2C53A1E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1F77DDB6"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roofErr w:type="spellStart"/>
      <w:r w:rsidRPr="006F2E9A">
        <w:rPr>
          <w:rFonts w:asciiTheme="minorHAnsi" w:hAnsiTheme="minorHAnsi" w:cstheme="minorHAnsi"/>
          <w:sz w:val="24"/>
          <w:szCs w:val="24"/>
        </w:rPr>
        <w:t>Denef</w:t>
      </w:r>
      <w:proofErr w:type="spellEnd"/>
      <w:r w:rsidRPr="006F2E9A">
        <w:rPr>
          <w:rFonts w:asciiTheme="minorHAnsi" w:hAnsiTheme="minorHAnsi" w:cstheme="minorHAnsi"/>
          <w:sz w:val="24"/>
          <w:szCs w:val="24"/>
        </w:rPr>
        <w:t xml:space="preserve">, S., </w:t>
      </w:r>
      <w:proofErr w:type="spellStart"/>
      <w:r w:rsidRPr="006F2E9A">
        <w:rPr>
          <w:rFonts w:asciiTheme="minorHAnsi" w:hAnsiTheme="minorHAnsi" w:cstheme="minorHAnsi"/>
          <w:sz w:val="24"/>
          <w:szCs w:val="24"/>
        </w:rPr>
        <w:t>Bayerl</w:t>
      </w:r>
      <w:proofErr w:type="spellEnd"/>
      <w:r w:rsidRPr="006F2E9A">
        <w:rPr>
          <w:rFonts w:asciiTheme="minorHAnsi" w:hAnsiTheme="minorHAnsi" w:cstheme="minorHAnsi"/>
          <w:sz w:val="24"/>
          <w:szCs w:val="24"/>
        </w:rPr>
        <w:t xml:space="preserve">, P.S. and </w:t>
      </w:r>
      <w:proofErr w:type="spellStart"/>
      <w:r w:rsidRPr="006F2E9A">
        <w:rPr>
          <w:rFonts w:asciiTheme="minorHAnsi" w:hAnsiTheme="minorHAnsi" w:cstheme="minorHAnsi"/>
          <w:sz w:val="24"/>
          <w:szCs w:val="24"/>
        </w:rPr>
        <w:t>Kaptein</w:t>
      </w:r>
      <w:proofErr w:type="spellEnd"/>
      <w:r w:rsidRPr="006F2E9A">
        <w:rPr>
          <w:rFonts w:asciiTheme="minorHAnsi" w:hAnsiTheme="minorHAnsi" w:cstheme="minorHAnsi"/>
          <w:sz w:val="24"/>
          <w:szCs w:val="24"/>
        </w:rPr>
        <w:t>, N. (2013). Social media and the police: Tweeting practices of British police forces during the August 2011 riots. In: CHI '13 Extended Abstracts on Human Factors in Computing Systems. Paris: ACM, pp.3471–3476.</w:t>
      </w:r>
    </w:p>
    <w:p w14:paraId="54815613"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00CFF145"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HMICFRS. (2022). Disproportionate use of police powers: A spotlight on stop and search and the use of force. Available at: https://www.justiceinspectorates.gov.uk/hmicfrs/publications/disproportionate-use-of-police-powers/ [Accessed 18 June 2025].</w:t>
      </w:r>
    </w:p>
    <w:p w14:paraId="446799CA"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5583BD4A"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Horgan, S., Moloney, D. and O’Neill, M. (2024). Ethical social media strategies in modern policing: Algorithms, data, and public influence. Policing and Society, 34(1), pp.22–39.</w:t>
      </w:r>
    </w:p>
    <w:p w14:paraId="3A019C32"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6AD1FB9C"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roofErr w:type="spellStart"/>
      <w:r w:rsidRPr="006F2E9A">
        <w:rPr>
          <w:rFonts w:asciiTheme="minorHAnsi" w:hAnsiTheme="minorHAnsi" w:cstheme="minorHAnsi"/>
          <w:sz w:val="24"/>
          <w:szCs w:val="24"/>
        </w:rPr>
        <w:t>Jeanis</w:t>
      </w:r>
      <w:proofErr w:type="spellEnd"/>
      <w:r w:rsidRPr="006F2E9A">
        <w:rPr>
          <w:rFonts w:asciiTheme="minorHAnsi" w:hAnsiTheme="minorHAnsi" w:cstheme="minorHAnsi"/>
          <w:sz w:val="24"/>
          <w:szCs w:val="24"/>
        </w:rPr>
        <w:t xml:space="preserve">, M.N., Powers, R.A. and </w:t>
      </w:r>
      <w:proofErr w:type="spellStart"/>
      <w:r w:rsidRPr="006F2E9A">
        <w:rPr>
          <w:rFonts w:asciiTheme="minorHAnsi" w:hAnsiTheme="minorHAnsi" w:cstheme="minorHAnsi"/>
          <w:sz w:val="24"/>
          <w:szCs w:val="24"/>
        </w:rPr>
        <w:t>Miloslavich</w:t>
      </w:r>
      <w:proofErr w:type="spellEnd"/>
      <w:r w:rsidRPr="006F2E9A">
        <w:rPr>
          <w:rFonts w:asciiTheme="minorHAnsi" w:hAnsiTheme="minorHAnsi" w:cstheme="minorHAnsi"/>
          <w:sz w:val="24"/>
          <w:szCs w:val="24"/>
        </w:rPr>
        <w:t>, B.M. (2019). Social media and missing persons: What can we learn from a content analysis of Twitter data? Journal of Criminal Justice, 62, pp.1–9.</w:t>
      </w:r>
    </w:p>
    <w:p w14:paraId="14AE7A86"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049F1AE9"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lastRenderedPageBreak/>
        <w:t xml:space="preserve">Jones, R., Jones, C., Alix, T. and Bennett, R. (2013). Policing the net: </w:t>
      </w:r>
      <w:proofErr w:type="gramStart"/>
      <w:r w:rsidRPr="006F2E9A">
        <w:rPr>
          <w:rFonts w:asciiTheme="minorHAnsi" w:hAnsiTheme="minorHAnsi" w:cstheme="minorHAnsi"/>
          <w:sz w:val="24"/>
          <w:szCs w:val="24"/>
        </w:rPr>
        <w:t>Social media</w:t>
      </w:r>
      <w:proofErr w:type="gramEnd"/>
      <w:r w:rsidRPr="006F2E9A">
        <w:rPr>
          <w:rFonts w:asciiTheme="minorHAnsi" w:hAnsiTheme="minorHAnsi" w:cstheme="minorHAnsi"/>
          <w:sz w:val="24"/>
          <w:szCs w:val="24"/>
        </w:rPr>
        <w:t xml:space="preserve"> and public order. Policing, 7(1), pp.41–49.</w:t>
      </w:r>
    </w:p>
    <w:p w14:paraId="66D800E8"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07A7C131"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 xml:space="preserve">Lee, M. and McGovern, A. (2013). </w:t>
      </w:r>
      <w:proofErr w:type="spellStart"/>
      <w:r w:rsidRPr="006F2E9A">
        <w:rPr>
          <w:rFonts w:asciiTheme="minorHAnsi" w:hAnsiTheme="minorHAnsi" w:cstheme="minorHAnsi"/>
          <w:sz w:val="24"/>
          <w:szCs w:val="24"/>
        </w:rPr>
        <w:t>Forcebook</w:t>
      </w:r>
      <w:proofErr w:type="spellEnd"/>
      <w:r w:rsidRPr="006F2E9A">
        <w:rPr>
          <w:rFonts w:asciiTheme="minorHAnsi" w:hAnsiTheme="minorHAnsi" w:cstheme="minorHAnsi"/>
          <w:sz w:val="24"/>
          <w:szCs w:val="24"/>
        </w:rPr>
        <w:t>: Policing and the (re)imagining of police visibility on social media. Surveillance &amp; Society, 11(1/2), pp.230–248.</w:t>
      </w:r>
    </w:p>
    <w:p w14:paraId="49AB2069"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45072B0B"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 xml:space="preserve">Loader, I., Mulcahy, A. and </w:t>
      </w:r>
      <w:proofErr w:type="spellStart"/>
      <w:r w:rsidRPr="006F2E9A">
        <w:rPr>
          <w:rFonts w:asciiTheme="minorHAnsi" w:hAnsiTheme="minorHAnsi" w:cstheme="minorHAnsi"/>
          <w:sz w:val="24"/>
          <w:szCs w:val="24"/>
        </w:rPr>
        <w:t>Goold</w:t>
      </w:r>
      <w:proofErr w:type="spellEnd"/>
      <w:r w:rsidRPr="006F2E9A">
        <w:rPr>
          <w:rFonts w:asciiTheme="minorHAnsi" w:hAnsiTheme="minorHAnsi" w:cstheme="minorHAnsi"/>
          <w:sz w:val="24"/>
          <w:szCs w:val="24"/>
        </w:rPr>
        <w:t>, B. (2021). Policing and the public sphere in a digital age. British Journal of Criminology, 61(2), pp.275–292.</w:t>
      </w:r>
    </w:p>
    <w:p w14:paraId="3F0B291A"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2A3497B3"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roofErr w:type="spellStart"/>
      <w:r w:rsidRPr="006F2E9A">
        <w:rPr>
          <w:rFonts w:asciiTheme="minorHAnsi" w:hAnsiTheme="minorHAnsi" w:cstheme="minorHAnsi"/>
          <w:sz w:val="24"/>
          <w:szCs w:val="24"/>
        </w:rPr>
        <w:t>Mawby</w:t>
      </w:r>
      <w:proofErr w:type="spellEnd"/>
      <w:r w:rsidRPr="006F2E9A">
        <w:rPr>
          <w:rFonts w:asciiTheme="minorHAnsi" w:hAnsiTheme="minorHAnsi" w:cstheme="minorHAnsi"/>
          <w:sz w:val="24"/>
          <w:szCs w:val="24"/>
        </w:rPr>
        <w:t>, R.I. (2020). Police corporate communications, crime reporting and the shaping of news. Crime, Media, Culture, 16(3), pp.305–323.</w:t>
      </w:r>
    </w:p>
    <w:p w14:paraId="3EAC6BEB"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77B4F18E"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McKay, C., Rowe, M. and Lister, S. (2020). Police visibility, accountability and legitimacy: Public attitudes to CCTV in residential areas. Policing and Society, 30(8), pp.837–851.</w:t>
      </w:r>
    </w:p>
    <w:p w14:paraId="73A3D6F5"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6F7A774D"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 xml:space="preserve">Meijer, A. and </w:t>
      </w:r>
      <w:proofErr w:type="spellStart"/>
      <w:r w:rsidRPr="006F2E9A">
        <w:rPr>
          <w:rFonts w:asciiTheme="minorHAnsi" w:hAnsiTheme="minorHAnsi" w:cstheme="minorHAnsi"/>
          <w:sz w:val="24"/>
          <w:szCs w:val="24"/>
        </w:rPr>
        <w:t>Torenvlied</w:t>
      </w:r>
      <w:proofErr w:type="spellEnd"/>
      <w:r w:rsidRPr="006F2E9A">
        <w:rPr>
          <w:rFonts w:asciiTheme="minorHAnsi" w:hAnsiTheme="minorHAnsi" w:cstheme="minorHAnsi"/>
          <w:sz w:val="24"/>
          <w:szCs w:val="24"/>
        </w:rPr>
        <w:t>, R. (2016). Social media and the new responsiveness of government. Information Polity, 21(2), pp.117–130.</w:t>
      </w:r>
    </w:p>
    <w:p w14:paraId="483FC061"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50C4295F"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Police Scotland. (2021). Evaluation of community engagement through social media platforms. Available at: https://www.scotland.police.uk/about-us/social-media-strategy-evaluation [Accessed 19 June 2025].</w:t>
      </w:r>
    </w:p>
    <w:p w14:paraId="1073FD14"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4CC09A64"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t>Trottier, D. (2018). Digital surveillance and policing. In: Ball, K., Haggerty, K.D. and Lyon, D. (eds.) Routledge Handbook of Surveillance Studies. London: Routledge, pp.153–160.</w:t>
      </w:r>
    </w:p>
    <w:p w14:paraId="13EFDC07" w14:textId="77777777"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p>
    <w:p w14:paraId="3E74CCBD" w14:textId="73D8A905" w:rsidR="00AD2CF5" w:rsidRPr="006F2E9A" w:rsidRDefault="00AD2CF5" w:rsidP="006F2E9A">
      <w:pPr>
        <w:overflowPunct/>
        <w:autoSpaceDE/>
        <w:autoSpaceDN/>
        <w:adjustRightInd/>
        <w:spacing w:after="160" w:line="360" w:lineRule="auto"/>
        <w:textAlignment w:val="auto"/>
        <w:rPr>
          <w:rFonts w:asciiTheme="minorHAnsi" w:hAnsiTheme="minorHAnsi" w:cstheme="minorHAnsi"/>
          <w:sz w:val="24"/>
          <w:szCs w:val="24"/>
        </w:rPr>
      </w:pPr>
      <w:r w:rsidRPr="006F2E9A">
        <w:rPr>
          <w:rFonts w:asciiTheme="minorHAnsi" w:hAnsiTheme="minorHAnsi" w:cstheme="minorHAnsi"/>
          <w:sz w:val="24"/>
          <w:szCs w:val="24"/>
        </w:rPr>
        <w:lastRenderedPageBreak/>
        <w:t>Waller, L. (2020). TikTok and trust: Youth perspectives on policing in digital spaces. Media, Culture &amp; Society, 42(8), pp.1357–1373.</w:t>
      </w:r>
    </w:p>
    <w:p w14:paraId="30B6EB88" w14:textId="77777777" w:rsidR="00AD2CF5" w:rsidRPr="006F2E9A" w:rsidRDefault="00AD2CF5" w:rsidP="006F2E9A">
      <w:pPr>
        <w:keepNext/>
        <w:spacing w:after="60" w:line="360" w:lineRule="auto"/>
        <w:ind w:right="237"/>
        <w:rPr>
          <w:rFonts w:asciiTheme="minorHAnsi" w:hAnsiTheme="minorHAnsi" w:cstheme="minorHAnsi"/>
          <w:b/>
          <w:sz w:val="24"/>
          <w:szCs w:val="24"/>
        </w:rPr>
      </w:pPr>
    </w:p>
    <w:p w14:paraId="2AB1CA09" w14:textId="327061C7" w:rsidR="00AD2CF5" w:rsidRPr="006F2E9A" w:rsidRDefault="00AD2CF5" w:rsidP="006F2E9A">
      <w:pPr>
        <w:spacing w:line="360" w:lineRule="auto"/>
        <w:ind w:right="237"/>
        <w:rPr>
          <w:rFonts w:asciiTheme="minorHAnsi" w:hAnsiTheme="minorHAnsi" w:cstheme="minorHAnsi"/>
          <w:b/>
          <w:bCs/>
          <w:sz w:val="24"/>
          <w:szCs w:val="24"/>
          <w:u w:val="single"/>
        </w:rPr>
      </w:pPr>
      <w:r w:rsidRPr="006F2E9A">
        <w:rPr>
          <w:rFonts w:asciiTheme="minorHAnsi" w:hAnsiTheme="minorHAnsi" w:cstheme="minorHAnsi"/>
          <w:b/>
          <w:bCs/>
          <w:sz w:val="24"/>
          <w:szCs w:val="24"/>
          <w:u w:val="single"/>
        </w:rPr>
        <w:t>Task 3 r</w:t>
      </w:r>
      <w:r w:rsidRPr="00CF1D45">
        <w:rPr>
          <w:rFonts w:asciiTheme="minorHAnsi" w:hAnsiTheme="minorHAnsi" w:cstheme="minorHAnsi"/>
          <w:b/>
          <w:bCs/>
          <w:sz w:val="24"/>
          <w:szCs w:val="24"/>
          <w:u w:val="single"/>
        </w:rPr>
        <w:t>eferences</w:t>
      </w:r>
    </w:p>
    <w:p w14:paraId="01A0884D" w14:textId="77777777" w:rsidR="00AD2CF5" w:rsidRPr="00CF1D45" w:rsidRDefault="00AD2CF5" w:rsidP="006F2E9A">
      <w:pPr>
        <w:spacing w:line="360" w:lineRule="auto"/>
        <w:ind w:right="237"/>
        <w:rPr>
          <w:rFonts w:asciiTheme="minorHAnsi" w:hAnsiTheme="minorHAnsi" w:cstheme="minorHAnsi"/>
          <w:sz w:val="24"/>
          <w:szCs w:val="24"/>
        </w:rPr>
      </w:pPr>
    </w:p>
    <w:p w14:paraId="06999AF6"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Avolio, B.J. and Gardner, W.L., 2005. Authentic leadership development: Getting to the root of positive forms of leadership. </w:t>
      </w:r>
      <w:r w:rsidRPr="00CF1D45">
        <w:rPr>
          <w:rFonts w:asciiTheme="minorHAnsi" w:hAnsiTheme="minorHAnsi" w:cstheme="minorHAnsi"/>
          <w:i/>
          <w:iCs/>
          <w:sz w:val="24"/>
          <w:szCs w:val="24"/>
        </w:rPr>
        <w:t>The Leadership Quarterly</w:t>
      </w:r>
      <w:r w:rsidRPr="00CF1D45">
        <w:rPr>
          <w:rFonts w:asciiTheme="minorHAnsi" w:hAnsiTheme="minorHAnsi" w:cstheme="minorHAnsi"/>
          <w:sz w:val="24"/>
          <w:szCs w:val="24"/>
        </w:rPr>
        <w:t>, 16(3), pp.315–338.</w:t>
      </w:r>
    </w:p>
    <w:p w14:paraId="4DDA908E" w14:textId="77777777" w:rsidR="00AD2CF5" w:rsidRPr="00CF1D45" w:rsidRDefault="00AD2CF5" w:rsidP="006F2E9A">
      <w:pPr>
        <w:spacing w:line="360" w:lineRule="auto"/>
        <w:ind w:right="237"/>
        <w:rPr>
          <w:rFonts w:asciiTheme="minorHAnsi" w:hAnsiTheme="minorHAnsi" w:cstheme="minorHAnsi"/>
          <w:sz w:val="24"/>
          <w:szCs w:val="24"/>
        </w:rPr>
      </w:pPr>
    </w:p>
    <w:p w14:paraId="54E87DF9"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Bass, B.M., 1990. </w:t>
      </w:r>
      <w:r w:rsidRPr="00CF1D45">
        <w:rPr>
          <w:rFonts w:asciiTheme="minorHAnsi" w:hAnsiTheme="minorHAnsi" w:cstheme="minorHAnsi"/>
          <w:i/>
          <w:iCs/>
          <w:sz w:val="24"/>
          <w:szCs w:val="24"/>
        </w:rPr>
        <w:t>From transactional to transformational leadership: Learning to share the vision.</w:t>
      </w:r>
      <w:r w:rsidRPr="00CF1D45">
        <w:rPr>
          <w:rFonts w:asciiTheme="minorHAnsi" w:hAnsiTheme="minorHAnsi" w:cstheme="minorHAnsi"/>
          <w:sz w:val="24"/>
          <w:szCs w:val="24"/>
        </w:rPr>
        <w:t> </w:t>
      </w:r>
      <w:r w:rsidRPr="00CF1D45">
        <w:rPr>
          <w:rFonts w:asciiTheme="minorHAnsi" w:hAnsiTheme="minorHAnsi" w:cstheme="minorHAnsi"/>
          <w:i/>
          <w:iCs/>
          <w:sz w:val="24"/>
          <w:szCs w:val="24"/>
        </w:rPr>
        <w:t>Organizational Dynamics</w:t>
      </w:r>
      <w:r w:rsidRPr="00CF1D45">
        <w:rPr>
          <w:rFonts w:asciiTheme="minorHAnsi" w:hAnsiTheme="minorHAnsi" w:cstheme="minorHAnsi"/>
          <w:sz w:val="24"/>
          <w:szCs w:val="24"/>
        </w:rPr>
        <w:t>, 18(3), pp.19–31.</w:t>
      </w:r>
    </w:p>
    <w:p w14:paraId="7635AEA4" w14:textId="77777777" w:rsidR="00AD2CF5" w:rsidRPr="00CF1D45" w:rsidRDefault="00AD2CF5" w:rsidP="006F2E9A">
      <w:pPr>
        <w:spacing w:line="360" w:lineRule="auto"/>
        <w:ind w:right="237"/>
        <w:rPr>
          <w:rFonts w:asciiTheme="minorHAnsi" w:hAnsiTheme="minorHAnsi" w:cstheme="minorHAnsi"/>
          <w:sz w:val="24"/>
          <w:szCs w:val="24"/>
        </w:rPr>
      </w:pPr>
    </w:p>
    <w:p w14:paraId="0479CD15"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Bass, B.M. and Riggio, R.E., 2006. </w:t>
      </w:r>
      <w:r w:rsidRPr="00CF1D45">
        <w:rPr>
          <w:rFonts w:asciiTheme="minorHAnsi" w:hAnsiTheme="minorHAnsi" w:cstheme="minorHAnsi"/>
          <w:i/>
          <w:iCs/>
          <w:sz w:val="24"/>
          <w:szCs w:val="24"/>
        </w:rPr>
        <w:t>Transformational Leadership</w:t>
      </w:r>
      <w:r w:rsidRPr="00CF1D45">
        <w:rPr>
          <w:rFonts w:asciiTheme="minorHAnsi" w:hAnsiTheme="minorHAnsi" w:cstheme="minorHAnsi"/>
          <w:sz w:val="24"/>
          <w:szCs w:val="24"/>
        </w:rPr>
        <w:t>. 2nd ed. Mahwah, NJ: Lawrence Erlbaum Associates.</w:t>
      </w:r>
    </w:p>
    <w:p w14:paraId="4FBD49B6" w14:textId="77777777" w:rsidR="00AD2CF5" w:rsidRPr="00CF1D45" w:rsidRDefault="00AD2CF5" w:rsidP="006F2E9A">
      <w:pPr>
        <w:spacing w:line="360" w:lineRule="auto"/>
        <w:ind w:right="237"/>
        <w:rPr>
          <w:rFonts w:asciiTheme="minorHAnsi" w:hAnsiTheme="minorHAnsi" w:cstheme="minorHAnsi"/>
          <w:sz w:val="24"/>
          <w:szCs w:val="24"/>
        </w:rPr>
      </w:pPr>
    </w:p>
    <w:p w14:paraId="2BC1B5F7"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 xml:space="preserve">Cho, Y., Park, J. and </w:t>
      </w:r>
      <w:proofErr w:type="spellStart"/>
      <w:r w:rsidRPr="00CF1D45">
        <w:rPr>
          <w:rFonts w:asciiTheme="minorHAnsi" w:hAnsiTheme="minorHAnsi" w:cstheme="minorHAnsi"/>
          <w:sz w:val="24"/>
          <w:szCs w:val="24"/>
        </w:rPr>
        <w:t>Eom</w:t>
      </w:r>
      <w:proofErr w:type="spellEnd"/>
      <w:r w:rsidRPr="00CF1D45">
        <w:rPr>
          <w:rFonts w:asciiTheme="minorHAnsi" w:hAnsiTheme="minorHAnsi" w:cstheme="minorHAnsi"/>
          <w:sz w:val="24"/>
          <w:szCs w:val="24"/>
        </w:rPr>
        <w:t>, T.H., 2023. Leadership and resilience in public service: Evidence from Korean police organisations. </w:t>
      </w:r>
      <w:r w:rsidRPr="00CF1D45">
        <w:rPr>
          <w:rFonts w:asciiTheme="minorHAnsi" w:hAnsiTheme="minorHAnsi" w:cstheme="minorHAnsi"/>
          <w:i/>
          <w:iCs/>
          <w:sz w:val="24"/>
          <w:szCs w:val="24"/>
        </w:rPr>
        <w:t>Policing: An International Journal</w:t>
      </w:r>
      <w:r w:rsidRPr="00CF1D45">
        <w:rPr>
          <w:rFonts w:asciiTheme="minorHAnsi" w:hAnsiTheme="minorHAnsi" w:cstheme="minorHAnsi"/>
          <w:sz w:val="24"/>
          <w:szCs w:val="24"/>
        </w:rPr>
        <w:t>, 46(1), pp.44–59.</w:t>
      </w:r>
    </w:p>
    <w:p w14:paraId="416E9F52" w14:textId="77777777" w:rsidR="00AD2CF5" w:rsidRPr="00CF1D45" w:rsidRDefault="00AD2CF5" w:rsidP="006F2E9A">
      <w:pPr>
        <w:spacing w:line="360" w:lineRule="auto"/>
        <w:ind w:right="237"/>
        <w:rPr>
          <w:rFonts w:asciiTheme="minorHAnsi" w:hAnsiTheme="minorHAnsi" w:cstheme="minorHAnsi"/>
          <w:sz w:val="24"/>
          <w:szCs w:val="24"/>
        </w:rPr>
      </w:pPr>
    </w:p>
    <w:p w14:paraId="4BE2D76B"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College of Policing, 2020. </w:t>
      </w:r>
      <w:r w:rsidRPr="00CF1D45">
        <w:rPr>
          <w:rFonts w:asciiTheme="minorHAnsi" w:hAnsiTheme="minorHAnsi" w:cstheme="minorHAnsi"/>
          <w:i/>
          <w:iCs/>
          <w:sz w:val="24"/>
          <w:szCs w:val="24"/>
        </w:rPr>
        <w:t>National Decision Model</w:t>
      </w:r>
      <w:r w:rsidRPr="00CF1D45">
        <w:rPr>
          <w:rFonts w:asciiTheme="minorHAnsi" w:hAnsiTheme="minorHAnsi" w:cstheme="minorHAnsi"/>
          <w:sz w:val="24"/>
          <w:szCs w:val="24"/>
        </w:rPr>
        <w:t xml:space="preserve">. [online] Available at: https://www.college.police.uk/app/national-decision-model [Accessed </w:t>
      </w:r>
      <w:r w:rsidRPr="006F2E9A">
        <w:rPr>
          <w:rFonts w:asciiTheme="minorHAnsi" w:hAnsiTheme="minorHAnsi" w:cstheme="minorHAnsi"/>
          <w:sz w:val="24"/>
          <w:szCs w:val="24"/>
        </w:rPr>
        <w:t>1 August</w:t>
      </w:r>
      <w:r w:rsidRPr="00CF1D45">
        <w:rPr>
          <w:rFonts w:asciiTheme="minorHAnsi" w:hAnsiTheme="minorHAnsi" w:cstheme="minorHAnsi"/>
          <w:sz w:val="24"/>
          <w:szCs w:val="24"/>
        </w:rPr>
        <w:t xml:space="preserve"> 2025].</w:t>
      </w:r>
    </w:p>
    <w:p w14:paraId="586EFA69" w14:textId="77777777" w:rsidR="00AD2CF5" w:rsidRPr="00CF1D45" w:rsidRDefault="00AD2CF5" w:rsidP="006F2E9A">
      <w:pPr>
        <w:spacing w:line="360" w:lineRule="auto"/>
        <w:ind w:right="237"/>
        <w:rPr>
          <w:rFonts w:asciiTheme="minorHAnsi" w:hAnsiTheme="minorHAnsi" w:cstheme="minorHAnsi"/>
          <w:sz w:val="24"/>
          <w:szCs w:val="24"/>
        </w:rPr>
      </w:pPr>
    </w:p>
    <w:p w14:paraId="3489867B"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Comfort, L.K., 2007. Crisis management in hindsight: Cognition, communication, coordination, and control. </w:t>
      </w:r>
      <w:r w:rsidRPr="00CF1D45">
        <w:rPr>
          <w:rFonts w:asciiTheme="minorHAnsi" w:hAnsiTheme="minorHAnsi" w:cstheme="minorHAnsi"/>
          <w:i/>
          <w:iCs/>
          <w:sz w:val="24"/>
          <w:szCs w:val="24"/>
        </w:rPr>
        <w:t>Public Administration Review</w:t>
      </w:r>
      <w:r w:rsidRPr="00CF1D45">
        <w:rPr>
          <w:rFonts w:asciiTheme="minorHAnsi" w:hAnsiTheme="minorHAnsi" w:cstheme="minorHAnsi"/>
          <w:sz w:val="24"/>
          <w:szCs w:val="24"/>
        </w:rPr>
        <w:t>, 67, pp.189–197.</w:t>
      </w:r>
    </w:p>
    <w:p w14:paraId="1AF8EB96" w14:textId="77777777" w:rsidR="00AD2CF5" w:rsidRPr="00CF1D45" w:rsidRDefault="00AD2CF5" w:rsidP="006F2E9A">
      <w:pPr>
        <w:spacing w:line="360" w:lineRule="auto"/>
        <w:ind w:right="237"/>
        <w:rPr>
          <w:rFonts w:asciiTheme="minorHAnsi" w:hAnsiTheme="minorHAnsi" w:cstheme="minorHAnsi"/>
          <w:sz w:val="24"/>
          <w:szCs w:val="24"/>
        </w:rPr>
      </w:pPr>
    </w:p>
    <w:p w14:paraId="5A72973B" w14:textId="77777777" w:rsidR="00AD2CF5" w:rsidRPr="006F2E9A" w:rsidRDefault="00AD2CF5" w:rsidP="006F2E9A">
      <w:pPr>
        <w:spacing w:line="360" w:lineRule="auto"/>
        <w:ind w:right="237"/>
        <w:rPr>
          <w:rFonts w:asciiTheme="minorHAnsi" w:hAnsiTheme="minorHAnsi" w:cstheme="minorHAnsi"/>
          <w:sz w:val="24"/>
          <w:szCs w:val="24"/>
        </w:rPr>
      </w:pPr>
      <w:proofErr w:type="spellStart"/>
      <w:r w:rsidRPr="00CF1D45">
        <w:rPr>
          <w:rFonts w:asciiTheme="minorHAnsi" w:hAnsiTheme="minorHAnsi" w:cstheme="minorHAnsi"/>
          <w:sz w:val="24"/>
          <w:szCs w:val="24"/>
        </w:rPr>
        <w:t>Denyer</w:t>
      </w:r>
      <w:proofErr w:type="spellEnd"/>
      <w:r w:rsidRPr="00CF1D45">
        <w:rPr>
          <w:rFonts w:asciiTheme="minorHAnsi" w:hAnsiTheme="minorHAnsi" w:cstheme="minorHAnsi"/>
          <w:sz w:val="24"/>
          <w:szCs w:val="24"/>
        </w:rPr>
        <w:t xml:space="preserve">, D. and </w:t>
      </w:r>
      <w:proofErr w:type="spellStart"/>
      <w:r w:rsidRPr="00CF1D45">
        <w:rPr>
          <w:rFonts w:asciiTheme="minorHAnsi" w:hAnsiTheme="minorHAnsi" w:cstheme="minorHAnsi"/>
          <w:sz w:val="24"/>
          <w:szCs w:val="24"/>
        </w:rPr>
        <w:t>Tranfield</w:t>
      </w:r>
      <w:proofErr w:type="spellEnd"/>
      <w:r w:rsidRPr="00CF1D45">
        <w:rPr>
          <w:rFonts w:asciiTheme="minorHAnsi" w:hAnsiTheme="minorHAnsi" w:cstheme="minorHAnsi"/>
          <w:sz w:val="24"/>
          <w:szCs w:val="24"/>
        </w:rPr>
        <w:t>, D., 2009. Producing a systematic review. In D. A. Buchanan and A. Bryman (eds.) </w:t>
      </w:r>
      <w:r w:rsidRPr="00CF1D45">
        <w:rPr>
          <w:rFonts w:asciiTheme="minorHAnsi" w:hAnsiTheme="minorHAnsi" w:cstheme="minorHAnsi"/>
          <w:i/>
          <w:iCs/>
          <w:sz w:val="24"/>
          <w:szCs w:val="24"/>
        </w:rPr>
        <w:t>The Sage Handbook of Organizational Research Methods</w:t>
      </w:r>
      <w:r w:rsidRPr="00CF1D45">
        <w:rPr>
          <w:rFonts w:asciiTheme="minorHAnsi" w:hAnsiTheme="minorHAnsi" w:cstheme="minorHAnsi"/>
          <w:sz w:val="24"/>
          <w:szCs w:val="24"/>
        </w:rPr>
        <w:t>. London: Sage, pp.671–689.</w:t>
      </w:r>
    </w:p>
    <w:p w14:paraId="7920A60B" w14:textId="77777777" w:rsidR="00AD2CF5" w:rsidRPr="00CF1D45" w:rsidRDefault="00AD2CF5" w:rsidP="006F2E9A">
      <w:pPr>
        <w:spacing w:line="360" w:lineRule="auto"/>
        <w:ind w:right="237"/>
        <w:rPr>
          <w:rFonts w:asciiTheme="minorHAnsi" w:hAnsiTheme="minorHAnsi" w:cstheme="minorHAnsi"/>
          <w:sz w:val="24"/>
          <w:szCs w:val="24"/>
        </w:rPr>
      </w:pPr>
    </w:p>
    <w:p w14:paraId="748EFE9C"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Fiedler, F.E., 1967. </w:t>
      </w:r>
      <w:r w:rsidRPr="00CF1D45">
        <w:rPr>
          <w:rFonts w:asciiTheme="minorHAnsi" w:hAnsiTheme="minorHAnsi" w:cstheme="minorHAnsi"/>
          <w:i/>
          <w:iCs/>
          <w:sz w:val="24"/>
          <w:szCs w:val="24"/>
        </w:rPr>
        <w:t>A Theory of Leadership Effectiveness</w:t>
      </w:r>
      <w:r w:rsidRPr="00CF1D45">
        <w:rPr>
          <w:rFonts w:asciiTheme="minorHAnsi" w:hAnsiTheme="minorHAnsi" w:cstheme="minorHAnsi"/>
          <w:sz w:val="24"/>
          <w:szCs w:val="24"/>
        </w:rPr>
        <w:t>. New York: McGraw-Hill.</w:t>
      </w:r>
    </w:p>
    <w:p w14:paraId="2CCAA839" w14:textId="77777777" w:rsidR="00AD2CF5" w:rsidRPr="00CF1D45" w:rsidRDefault="00AD2CF5" w:rsidP="006F2E9A">
      <w:pPr>
        <w:spacing w:line="360" w:lineRule="auto"/>
        <w:ind w:right="237"/>
        <w:rPr>
          <w:rFonts w:asciiTheme="minorHAnsi" w:hAnsiTheme="minorHAnsi" w:cstheme="minorHAnsi"/>
          <w:sz w:val="24"/>
          <w:szCs w:val="24"/>
        </w:rPr>
      </w:pPr>
    </w:p>
    <w:p w14:paraId="75A46ECA"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lastRenderedPageBreak/>
        <w:t xml:space="preserve">Flannery, R.B. and Everly, G.S., 2000. Critical incident stress management: history, evolution, and </w:t>
      </w:r>
      <w:proofErr w:type="gramStart"/>
      <w:r w:rsidRPr="00CF1D45">
        <w:rPr>
          <w:rFonts w:asciiTheme="minorHAnsi" w:hAnsiTheme="minorHAnsi" w:cstheme="minorHAnsi"/>
          <w:sz w:val="24"/>
          <w:szCs w:val="24"/>
        </w:rPr>
        <w:t>current status</w:t>
      </w:r>
      <w:proofErr w:type="gramEnd"/>
      <w:r w:rsidRPr="00CF1D45">
        <w:rPr>
          <w:rFonts w:asciiTheme="minorHAnsi" w:hAnsiTheme="minorHAnsi" w:cstheme="minorHAnsi"/>
          <w:sz w:val="24"/>
          <w:szCs w:val="24"/>
        </w:rPr>
        <w:t>. </w:t>
      </w:r>
      <w:r w:rsidRPr="00CF1D45">
        <w:rPr>
          <w:rFonts w:asciiTheme="minorHAnsi" w:hAnsiTheme="minorHAnsi" w:cstheme="minorHAnsi"/>
          <w:i/>
          <w:iCs/>
          <w:sz w:val="24"/>
          <w:szCs w:val="24"/>
        </w:rPr>
        <w:t>International Journal of Emergency Mental Health</w:t>
      </w:r>
      <w:r w:rsidRPr="00CF1D45">
        <w:rPr>
          <w:rFonts w:asciiTheme="minorHAnsi" w:hAnsiTheme="minorHAnsi" w:cstheme="minorHAnsi"/>
          <w:sz w:val="24"/>
          <w:szCs w:val="24"/>
        </w:rPr>
        <w:t>, 2(4), pp.179–188.</w:t>
      </w:r>
    </w:p>
    <w:p w14:paraId="403B44A7" w14:textId="77777777" w:rsidR="00AD2CF5" w:rsidRPr="00CF1D45" w:rsidRDefault="00AD2CF5" w:rsidP="006F2E9A">
      <w:pPr>
        <w:spacing w:line="360" w:lineRule="auto"/>
        <w:ind w:right="237"/>
        <w:rPr>
          <w:rFonts w:asciiTheme="minorHAnsi" w:hAnsiTheme="minorHAnsi" w:cstheme="minorHAnsi"/>
          <w:sz w:val="24"/>
          <w:szCs w:val="24"/>
        </w:rPr>
      </w:pPr>
    </w:p>
    <w:p w14:paraId="3CC58B84"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Gibbs, G., 1988. </w:t>
      </w:r>
      <w:r w:rsidRPr="00CF1D45">
        <w:rPr>
          <w:rFonts w:asciiTheme="minorHAnsi" w:hAnsiTheme="minorHAnsi" w:cstheme="minorHAnsi"/>
          <w:i/>
          <w:iCs/>
          <w:sz w:val="24"/>
          <w:szCs w:val="24"/>
        </w:rPr>
        <w:t>Learning by Doing: A guide to teaching and learning methods</w:t>
      </w:r>
      <w:r w:rsidRPr="00CF1D45">
        <w:rPr>
          <w:rFonts w:asciiTheme="minorHAnsi" w:hAnsiTheme="minorHAnsi" w:cstheme="minorHAnsi"/>
          <w:sz w:val="24"/>
          <w:szCs w:val="24"/>
        </w:rPr>
        <w:t>. Oxford: Oxford Polytechnic.</w:t>
      </w:r>
    </w:p>
    <w:p w14:paraId="0186206C" w14:textId="77777777" w:rsidR="00AD2CF5" w:rsidRPr="00CF1D45" w:rsidRDefault="00AD2CF5" w:rsidP="006F2E9A">
      <w:pPr>
        <w:spacing w:line="360" w:lineRule="auto"/>
        <w:ind w:right="237"/>
        <w:rPr>
          <w:rFonts w:asciiTheme="minorHAnsi" w:hAnsiTheme="minorHAnsi" w:cstheme="minorHAnsi"/>
          <w:sz w:val="24"/>
          <w:szCs w:val="24"/>
        </w:rPr>
      </w:pPr>
    </w:p>
    <w:p w14:paraId="11967E11" w14:textId="77777777" w:rsidR="00AD2CF5" w:rsidRPr="00CF1D45"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Goleman, D., 1998. </w:t>
      </w:r>
      <w:r w:rsidRPr="00CF1D45">
        <w:rPr>
          <w:rFonts w:asciiTheme="minorHAnsi" w:hAnsiTheme="minorHAnsi" w:cstheme="minorHAnsi"/>
          <w:i/>
          <w:iCs/>
          <w:sz w:val="24"/>
          <w:szCs w:val="24"/>
        </w:rPr>
        <w:t>Working with Emotional Intelligence</w:t>
      </w:r>
      <w:r w:rsidRPr="00CF1D45">
        <w:rPr>
          <w:rFonts w:asciiTheme="minorHAnsi" w:hAnsiTheme="minorHAnsi" w:cstheme="minorHAnsi"/>
          <w:sz w:val="24"/>
          <w:szCs w:val="24"/>
        </w:rPr>
        <w:t>. London: Bloomsbury.</w:t>
      </w:r>
    </w:p>
    <w:p w14:paraId="556F19CF"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Greenleaf, R.K., 1977. </w:t>
      </w:r>
      <w:r w:rsidRPr="00CF1D45">
        <w:rPr>
          <w:rFonts w:asciiTheme="minorHAnsi" w:hAnsiTheme="minorHAnsi" w:cstheme="minorHAnsi"/>
          <w:i/>
          <w:iCs/>
          <w:sz w:val="24"/>
          <w:szCs w:val="24"/>
        </w:rPr>
        <w:t>Servant Leadership: A Journey into the Nature of Legitimate Power and Greatness</w:t>
      </w:r>
      <w:r w:rsidRPr="00CF1D45">
        <w:rPr>
          <w:rFonts w:asciiTheme="minorHAnsi" w:hAnsiTheme="minorHAnsi" w:cstheme="minorHAnsi"/>
          <w:sz w:val="24"/>
          <w:szCs w:val="24"/>
        </w:rPr>
        <w:t>. New York: Paulist Press.</w:t>
      </w:r>
    </w:p>
    <w:p w14:paraId="223DF20E" w14:textId="77777777" w:rsidR="00AD2CF5" w:rsidRPr="00CF1D45" w:rsidRDefault="00AD2CF5" w:rsidP="006F2E9A">
      <w:pPr>
        <w:spacing w:line="360" w:lineRule="auto"/>
        <w:ind w:right="237"/>
        <w:rPr>
          <w:rFonts w:asciiTheme="minorHAnsi" w:hAnsiTheme="minorHAnsi" w:cstheme="minorHAnsi"/>
          <w:sz w:val="24"/>
          <w:szCs w:val="24"/>
        </w:rPr>
      </w:pPr>
    </w:p>
    <w:p w14:paraId="3D7BC8C5"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Hersey, P. and Blanchard, K.H., 1969. Life cycle theory of leadership. </w:t>
      </w:r>
      <w:r w:rsidRPr="00CF1D45">
        <w:rPr>
          <w:rFonts w:asciiTheme="minorHAnsi" w:hAnsiTheme="minorHAnsi" w:cstheme="minorHAnsi"/>
          <w:i/>
          <w:iCs/>
          <w:sz w:val="24"/>
          <w:szCs w:val="24"/>
        </w:rPr>
        <w:t>Training and Development Journal</w:t>
      </w:r>
      <w:r w:rsidRPr="00CF1D45">
        <w:rPr>
          <w:rFonts w:asciiTheme="minorHAnsi" w:hAnsiTheme="minorHAnsi" w:cstheme="minorHAnsi"/>
          <w:sz w:val="24"/>
          <w:szCs w:val="24"/>
        </w:rPr>
        <w:t>, 23(5), pp.26–34.</w:t>
      </w:r>
    </w:p>
    <w:p w14:paraId="50D2048F" w14:textId="77777777" w:rsidR="00AD2CF5" w:rsidRPr="00CF1D45" w:rsidRDefault="00AD2CF5" w:rsidP="006F2E9A">
      <w:pPr>
        <w:spacing w:line="360" w:lineRule="auto"/>
        <w:ind w:right="237"/>
        <w:rPr>
          <w:rFonts w:asciiTheme="minorHAnsi" w:hAnsiTheme="minorHAnsi" w:cstheme="minorHAnsi"/>
          <w:sz w:val="24"/>
          <w:szCs w:val="24"/>
        </w:rPr>
      </w:pPr>
    </w:p>
    <w:p w14:paraId="2405B75F"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JESIP, 2013. </w:t>
      </w:r>
      <w:r w:rsidRPr="00CF1D45">
        <w:rPr>
          <w:rFonts w:asciiTheme="minorHAnsi" w:hAnsiTheme="minorHAnsi" w:cstheme="minorHAnsi"/>
          <w:i/>
          <w:iCs/>
          <w:sz w:val="24"/>
          <w:szCs w:val="24"/>
        </w:rPr>
        <w:t>Joint Doctrine: The Interoperability Framework</w:t>
      </w:r>
      <w:r w:rsidRPr="00CF1D45">
        <w:rPr>
          <w:rFonts w:asciiTheme="minorHAnsi" w:hAnsiTheme="minorHAnsi" w:cstheme="minorHAnsi"/>
          <w:sz w:val="24"/>
          <w:szCs w:val="24"/>
        </w:rPr>
        <w:t xml:space="preserve">. [online] Available at: https://www.jesip.org.uk/uploads/media/pdf/JESIP_Joint_Doctrine.pdf [Accessed </w:t>
      </w:r>
      <w:r w:rsidRPr="006F2E9A">
        <w:rPr>
          <w:rFonts w:asciiTheme="minorHAnsi" w:hAnsiTheme="minorHAnsi" w:cstheme="minorHAnsi"/>
          <w:sz w:val="24"/>
          <w:szCs w:val="24"/>
        </w:rPr>
        <w:t xml:space="preserve">21 June </w:t>
      </w:r>
      <w:r w:rsidRPr="00CF1D45">
        <w:rPr>
          <w:rFonts w:asciiTheme="minorHAnsi" w:hAnsiTheme="minorHAnsi" w:cstheme="minorHAnsi"/>
          <w:sz w:val="24"/>
          <w:szCs w:val="24"/>
        </w:rPr>
        <w:t>2025].</w:t>
      </w:r>
    </w:p>
    <w:p w14:paraId="0A586DB0" w14:textId="77777777" w:rsidR="00AD2CF5" w:rsidRPr="00CF1D45" w:rsidRDefault="00AD2CF5" w:rsidP="006F2E9A">
      <w:pPr>
        <w:spacing w:line="360" w:lineRule="auto"/>
        <w:ind w:right="237"/>
        <w:rPr>
          <w:rFonts w:asciiTheme="minorHAnsi" w:hAnsiTheme="minorHAnsi" w:cstheme="minorHAnsi"/>
          <w:sz w:val="24"/>
          <w:szCs w:val="24"/>
        </w:rPr>
      </w:pPr>
    </w:p>
    <w:p w14:paraId="7D74B8EC"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Jones, T., 2016. Policing, human rights and ethics. In R. Newburn (ed.) </w:t>
      </w:r>
      <w:r w:rsidRPr="00CF1D45">
        <w:rPr>
          <w:rFonts w:asciiTheme="minorHAnsi" w:hAnsiTheme="minorHAnsi" w:cstheme="minorHAnsi"/>
          <w:i/>
          <w:iCs/>
          <w:sz w:val="24"/>
          <w:szCs w:val="24"/>
        </w:rPr>
        <w:t>Handbook of Policing</w:t>
      </w:r>
      <w:r w:rsidRPr="00CF1D45">
        <w:rPr>
          <w:rFonts w:asciiTheme="minorHAnsi" w:hAnsiTheme="minorHAnsi" w:cstheme="minorHAnsi"/>
          <w:sz w:val="24"/>
          <w:szCs w:val="24"/>
        </w:rPr>
        <w:t>. 2nd ed. London: Routledge, pp.279–298.</w:t>
      </w:r>
    </w:p>
    <w:p w14:paraId="01E73A96" w14:textId="77777777" w:rsidR="00AD2CF5" w:rsidRPr="00CF1D45" w:rsidRDefault="00AD2CF5" w:rsidP="006F2E9A">
      <w:pPr>
        <w:spacing w:line="360" w:lineRule="auto"/>
        <w:ind w:right="237"/>
        <w:rPr>
          <w:rFonts w:asciiTheme="minorHAnsi" w:hAnsiTheme="minorHAnsi" w:cstheme="minorHAnsi"/>
          <w:sz w:val="24"/>
          <w:szCs w:val="24"/>
        </w:rPr>
      </w:pPr>
    </w:p>
    <w:p w14:paraId="1EBF41EB" w14:textId="77777777" w:rsidR="00AD2CF5" w:rsidRPr="006F2E9A" w:rsidRDefault="00AD2CF5" w:rsidP="006F2E9A">
      <w:pPr>
        <w:spacing w:line="360" w:lineRule="auto"/>
        <w:ind w:right="237"/>
        <w:rPr>
          <w:rFonts w:asciiTheme="minorHAnsi" w:hAnsiTheme="minorHAnsi" w:cstheme="minorHAnsi"/>
          <w:sz w:val="24"/>
          <w:szCs w:val="24"/>
        </w:rPr>
      </w:pPr>
      <w:proofErr w:type="spellStart"/>
      <w:r w:rsidRPr="00CF1D45">
        <w:rPr>
          <w:rFonts w:asciiTheme="minorHAnsi" w:hAnsiTheme="minorHAnsi" w:cstheme="minorHAnsi"/>
          <w:sz w:val="24"/>
          <w:szCs w:val="24"/>
        </w:rPr>
        <w:t>Lasthuizen</w:t>
      </w:r>
      <w:proofErr w:type="spellEnd"/>
      <w:r w:rsidRPr="00CF1D45">
        <w:rPr>
          <w:rFonts w:asciiTheme="minorHAnsi" w:hAnsiTheme="minorHAnsi" w:cstheme="minorHAnsi"/>
          <w:sz w:val="24"/>
          <w:szCs w:val="24"/>
        </w:rPr>
        <w:t>, K., 2008. </w:t>
      </w:r>
      <w:r w:rsidRPr="00CF1D45">
        <w:rPr>
          <w:rFonts w:asciiTheme="minorHAnsi" w:hAnsiTheme="minorHAnsi" w:cstheme="minorHAnsi"/>
          <w:i/>
          <w:iCs/>
          <w:sz w:val="24"/>
          <w:szCs w:val="24"/>
        </w:rPr>
        <w:t>Leading to Integrity: Empirical research into the effects of leadership on ethics and integrity</w:t>
      </w:r>
      <w:r w:rsidRPr="00CF1D45">
        <w:rPr>
          <w:rFonts w:asciiTheme="minorHAnsi" w:hAnsiTheme="minorHAnsi" w:cstheme="minorHAnsi"/>
          <w:sz w:val="24"/>
          <w:szCs w:val="24"/>
        </w:rPr>
        <w:t>. Amsterdam: Amsterdam University Press.</w:t>
      </w:r>
    </w:p>
    <w:p w14:paraId="2A509B68" w14:textId="77777777" w:rsidR="00AD2CF5" w:rsidRPr="00CF1D45" w:rsidRDefault="00AD2CF5" w:rsidP="006F2E9A">
      <w:pPr>
        <w:spacing w:line="360" w:lineRule="auto"/>
        <w:ind w:right="237"/>
        <w:rPr>
          <w:rFonts w:asciiTheme="minorHAnsi" w:hAnsiTheme="minorHAnsi" w:cstheme="minorHAnsi"/>
          <w:sz w:val="24"/>
          <w:szCs w:val="24"/>
        </w:rPr>
      </w:pPr>
    </w:p>
    <w:p w14:paraId="7166B6C0"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 xml:space="preserve">Mayer, J.D. and Salovey, P., 1997. What is emotional intelligence? In P. Salovey and D. </w:t>
      </w:r>
      <w:proofErr w:type="spellStart"/>
      <w:r w:rsidRPr="00CF1D45">
        <w:rPr>
          <w:rFonts w:asciiTheme="minorHAnsi" w:hAnsiTheme="minorHAnsi" w:cstheme="minorHAnsi"/>
          <w:sz w:val="24"/>
          <w:szCs w:val="24"/>
        </w:rPr>
        <w:t>Sluyter</w:t>
      </w:r>
      <w:proofErr w:type="spellEnd"/>
      <w:r w:rsidRPr="00CF1D45">
        <w:rPr>
          <w:rFonts w:asciiTheme="minorHAnsi" w:hAnsiTheme="minorHAnsi" w:cstheme="minorHAnsi"/>
          <w:sz w:val="24"/>
          <w:szCs w:val="24"/>
        </w:rPr>
        <w:t xml:space="preserve"> (eds.) </w:t>
      </w:r>
      <w:r w:rsidRPr="00CF1D45">
        <w:rPr>
          <w:rFonts w:asciiTheme="minorHAnsi" w:hAnsiTheme="minorHAnsi" w:cstheme="minorHAnsi"/>
          <w:i/>
          <w:iCs/>
          <w:sz w:val="24"/>
          <w:szCs w:val="24"/>
        </w:rPr>
        <w:t>Emotional development and emotional intelligence: Educational implications</w:t>
      </w:r>
      <w:r w:rsidRPr="00CF1D45">
        <w:rPr>
          <w:rFonts w:asciiTheme="minorHAnsi" w:hAnsiTheme="minorHAnsi" w:cstheme="minorHAnsi"/>
          <w:sz w:val="24"/>
          <w:szCs w:val="24"/>
        </w:rPr>
        <w:t>. New York: Basic Books.</w:t>
      </w:r>
    </w:p>
    <w:p w14:paraId="0C7DD904" w14:textId="77777777" w:rsidR="00AD2CF5" w:rsidRPr="006F2E9A" w:rsidRDefault="00AD2CF5" w:rsidP="006F2E9A">
      <w:pPr>
        <w:spacing w:line="360" w:lineRule="auto"/>
        <w:ind w:right="237"/>
        <w:rPr>
          <w:rFonts w:asciiTheme="minorHAnsi" w:hAnsiTheme="minorHAnsi" w:cstheme="minorHAnsi"/>
          <w:sz w:val="24"/>
          <w:szCs w:val="24"/>
        </w:rPr>
      </w:pPr>
    </w:p>
    <w:p w14:paraId="52FB2C45" w14:textId="77777777" w:rsidR="00AD2CF5" w:rsidRPr="006F2E9A" w:rsidRDefault="00AD2CF5" w:rsidP="006F2E9A">
      <w:pPr>
        <w:spacing w:line="360" w:lineRule="auto"/>
        <w:ind w:right="237"/>
        <w:rPr>
          <w:rFonts w:asciiTheme="minorHAnsi" w:hAnsiTheme="minorHAnsi" w:cstheme="minorHAnsi"/>
          <w:sz w:val="24"/>
          <w:szCs w:val="24"/>
        </w:rPr>
      </w:pPr>
      <w:r w:rsidRPr="006F2E9A">
        <w:rPr>
          <w:rFonts w:asciiTheme="minorHAnsi" w:hAnsiTheme="minorHAnsi" w:cstheme="minorHAnsi"/>
          <w:sz w:val="24"/>
          <w:szCs w:val="24"/>
        </w:rPr>
        <w:t>McLean, M., </w:t>
      </w:r>
      <w:r w:rsidRPr="006F2E9A">
        <w:rPr>
          <w:rFonts w:asciiTheme="minorHAnsi" w:hAnsiTheme="minorHAnsi" w:cstheme="minorHAnsi"/>
          <w:b/>
          <w:bCs/>
          <w:sz w:val="24"/>
          <w:szCs w:val="24"/>
        </w:rPr>
        <w:t>et al.</w:t>
      </w:r>
      <w:r w:rsidRPr="006F2E9A">
        <w:rPr>
          <w:rFonts w:asciiTheme="minorHAnsi" w:hAnsiTheme="minorHAnsi" w:cstheme="minorHAnsi"/>
          <w:sz w:val="24"/>
          <w:szCs w:val="24"/>
        </w:rPr>
        <w:t> (2009). Complex dynamics in intimate partner violence: A time series study of 16 women. </w:t>
      </w:r>
      <w:r w:rsidRPr="006F2E9A">
        <w:rPr>
          <w:rFonts w:asciiTheme="minorHAnsi" w:hAnsiTheme="minorHAnsi" w:cstheme="minorHAnsi"/>
          <w:i/>
          <w:iCs/>
          <w:sz w:val="24"/>
          <w:szCs w:val="24"/>
        </w:rPr>
        <w:t>Public Library of Science</w:t>
      </w:r>
      <w:r w:rsidRPr="006F2E9A">
        <w:rPr>
          <w:rFonts w:asciiTheme="minorHAnsi" w:hAnsiTheme="minorHAnsi" w:cstheme="minorHAnsi"/>
          <w:sz w:val="24"/>
          <w:szCs w:val="24"/>
        </w:rPr>
        <w:t>, </w:t>
      </w:r>
      <w:r w:rsidRPr="006F2E9A">
        <w:rPr>
          <w:rFonts w:asciiTheme="minorHAnsi" w:hAnsiTheme="minorHAnsi" w:cstheme="minorHAnsi"/>
          <w:b/>
          <w:bCs/>
          <w:sz w:val="24"/>
          <w:szCs w:val="24"/>
        </w:rPr>
        <w:t>6</w:t>
      </w:r>
      <w:r w:rsidRPr="006F2E9A">
        <w:rPr>
          <w:rFonts w:asciiTheme="minorHAnsi" w:hAnsiTheme="minorHAnsi" w:cstheme="minorHAnsi"/>
          <w:sz w:val="24"/>
          <w:szCs w:val="24"/>
        </w:rPr>
        <w:t xml:space="preserve">(11), e29839. </w:t>
      </w:r>
    </w:p>
    <w:p w14:paraId="08DE274A" w14:textId="77777777" w:rsidR="00AD2CF5" w:rsidRPr="00CF1D45" w:rsidRDefault="00AD2CF5" w:rsidP="006F2E9A">
      <w:pPr>
        <w:spacing w:line="360" w:lineRule="auto"/>
        <w:ind w:right="237"/>
        <w:rPr>
          <w:rFonts w:asciiTheme="minorHAnsi" w:hAnsiTheme="minorHAnsi" w:cstheme="minorHAnsi"/>
          <w:sz w:val="24"/>
          <w:szCs w:val="24"/>
        </w:rPr>
      </w:pPr>
    </w:p>
    <w:p w14:paraId="4D95FBA7"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lastRenderedPageBreak/>
        <w:t xml:space="preserve">Miller, L., Hess, K.M. and </w:t>
      </w:r>
      <w:proofErr w:type="spellStart"/>
      <w:r w:rsidRPr="00CF1D45">
        <w:rPr>
          <w:rFonts w:asciiTheme="minorHAnsi" w:hAnsiTheme="minorHAnsi" w:cstheme="minorHAnsi"/>
          <w:sz w:val="24"/>
          <w:szCs w:val="24"/>
        </w:rPr>
        <w:t>Orthmann</w:t>
      </w:r>
      <w:proofErr w:type="spellEnd"/>
      <w:r w:rsidRPr="00CF1D45">
        <w:rPr>
          <w:rFonts w:asciiTheme="minorHAnsi" w:hAnsiTheme="minorHAnsi" w:cstheme="minorHAnsi"/>
          <w:sz w:val="24"/>
          <w:szCs w:val="24"/>
        </w:rPr>
        <w:t>, C.H., 2015. </w:t>
      </w:r>
      <w:r w:rsidRPr="00CF1D45">
        <w:rPr>
          <w:rFonts w:asciiTheme="minorHAnsi" w:hAnsiTheme="minorHAnsi" w:cstheme="minorHAnsi"/>
          <w:i/>
          <w:iCs/>
          <w:sz w:val="24"/>
          <w:szCs w:val="24"/>
        </w:rPr>
        <w:t>Community policing: Partnerships for problem solving</w:t>
      </w:r>
      <w:r w:rsidRPr="00CF1D45">
        <w:rPr>
          <w:rFonts w:asciiTheme="minorHAnsi" w:hAnsiTheme="minorHAnsi" w:cstheme="minorHAnsi"/>
          <w:sz w:val="24"/>
          <w:szCs w:val="24"/>
        </w:rPr>
        <w:t>. 7th ed. Boston: Cengage Learning.</w:t>
      </w:r>
    </w:p>
    <w:p w14:paraId="0DE4113C" w14:textId="77777777" w:rsidR="00AD2CF5" w:rsidRPr="00CF1D45" w:rsidRDefault="00AD2CF5" w:rsidP="006F2E9A">
      <w:pPr>
        <w:spacing w:line="360" w:lineRule="auto"/>
        <w:ind w:right="237"/>
        <w:rPr>
          <w:rFonts w:asciiTheme="minorHAnsi" w:hAnsiTheme="minorHAnsi" w:cstheme="minorHAnsi"/>
          <w:sz w:val="24"/>
          <w:szCs w:val="24"/>
        </w:rPr>
      </w:pPr>
    </w:p>
    <w:p w14:paraId="0175DCEE"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Mitchell, J.T., 1983. When disaster strikes... The critical incident stress debriefing process. </w:t>
      </w:r>
      <w:r w:rsidRPr="00CF1D45">
        <w:rPr>
          <w:rFonts w:asciiTheme="minorHAnsi" w:hAnsiTheme="minorHAnsi" w:cstheme="minorHAnsi"/>
          <w:i/>
          <w:iCs/>
          <w:sz w:val="24"/>
          <w:szCs w:val="24"/>
        </w:rPr>
        <w:t>Journal of Emergency Medical Services</w:t>
      </w:r>
      <w:r w:rsidRPr="00CF1D45">
        <w:rPr>
          <w:rFonts w:asciiTheme="minorHAnsi" w:hAnsiTheme="minorHAnsi" w:cstheme="minorHAnsi"/>
          <w:sz w:val="24"/>
          <w:szCs w:val="24"/>
        </w:rPr>
        <w:t>, 8(1), pp.36–39.</w:t>
      </w:r>
    </w:p>
    <w:p w14:paraId="21A9376E" w14:textId="77777777" w:rsidR="00AD2CF5" w:rsidRPr="00CF1D45" w:rsidRDefault="00AD2CF5" w:rsidP="006F2E9A">
      <w:pPr>
        <w:spacing w:line="360" w:lineRule="auto"/>
        <w:ind w:right="237"/>
        <w:rPr>
          <w:rFonts w:asciiTheme="minorHAnsi" w:hAnsiTheme="minorHAnsi" w:cstheme="minorHAnsi"/>
          <w:sz w:val="24"/>
          <w:szCs w:val="24"/>
        </w:rPr>
      </w:pPr>
    </w:p>
    <w:p w14:paraId="73C04DCD" w14:textId="77777777" w:rsidR="00AD2CF5" w:rsidRPr="00CF1D45" w:rsidRDefault="00AD2CF5" w:rsidP="006F2E9A">
      <w:pPr>
        <w:spacing w:line="360" w:lineRule="auto"/>
        <w:ind w:right="237"/>
        <w:rPr>
          <w:rFonts w:asciiTheme="minorHAnsi" w:hAnsiTheme="minorHAnsi" w:cstheme="minorHAnsi"/>
          <w:sz w:val="24"/>
          <w:szCs w:val="24"/>
        </w:rPr>
      </w:pPr>
      <w:proofErr w:type="spellStart"/>
      <w:r w:rsidRPr="00CF1D45">
        <w:rPr>
          <w:rFonts w:asciiTheme="minorHAnsi" w:hAnsiTheme="minorHAnsi" w:cstheme="minorHAnsi"/>
          <w:sz w:val="24"/>
          <w:szCs w:val="24"/>
        </w:rPr>
        <w:t>Myhill</w:t>
      </w:r>
      <w:proofErr w:type="spellEnd"/>
      <w:r w:rsidRPr="00CF1D45">
        <w:rPr>
          <w:rFonts w:asciiTheme="minorHAnsi" w:hAnsiTheme="minorHAnsi" w:cstheme="minorHAnsi"/>
          <w:sz w:val="24"/>
          <w:szCs w:val="24"/>
        </w:rPr>
        <w:t>, A. and Bradford, B., 2013. Overcoming cop culture? Organizational justice and police officers’ attitudes toward the public. </w:t>
      </w:r>
      <w:r w:rsidRPr="00CF1D45">
        <w:rPr>
          <w:rFonts w:asciiTheme="minorHAnsi" w:hAnsiTheme="minorHAnsi" w:cstheme="minorHAnsi"/>
          <w:i/>
          <w:iCs/>
          <w:sz w:val="24"/>
          <w:szCs w:val="24"/>
        </w:rPr>
        <w:t>Policing: An International Journal</w:t>
      </w:r>
      <w:r w:rsidRPr="00CF1D45">
        <w:rPr>
          <w:rFonts w:asciiTheme="minorHAnsi" w:hAnsiTheme="minorHAnsi" w:cstheme="minorHAnsi"/>
          <w:sz w:val="24"/>
          <w:szCs w:val="24"/>
        </w:rPr>
        <w:t>, 36(2), pp.338–356.</w:t>
      </w:r>
    </w:p>
    <w:p w14:paraId="658F2EE0" w14:textId="77777777" w:rsidR="006F2E9A" w:rsidRDefault="006F2E9A" w:rsidP="006F2E9A">
      <w:pPr>
        <w:spacing w:line="360" w:lineRule="auto"/>
        <w:ind w:right="237"/>
        <w:rPr>
          <w:rFonts w:asciiTheme="minorHAnsi" w:hAnsiTheme="minorHAnsi" w:cstheme="minorHAnsi"/>
          <w:sz w:val="24"/>
          <w:szCs w:val="24"/>
        </w:rPr>
      </w:pPr>
    </w:p>
    <w:p w14:paraId="3375AAD2" w14:textId="3A22D69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 xml:space="preserve">Royster </w:t>
      </w:r>
      <w:proofErr w:type="spellStart"/>
      <w:r w:rsidRPr="00CF1D45">
        <w:rPr>
          <w:rFonts w:asciiTheme="minorHAnsi" w:hAnsiTheme="minorHAnsi" w:cstheme="minorHAnsi"/>
          <w:sz w:val="24"/>
          <w:szCs w:val="24"/>
        </w:rPr>
        <w:t>Beito</w:t>
      </w:r>
      <w:proofErr w:type="spellEnd"/>
      <w:r w:rsidRPr="00CF1D45">
        <w:rPr>
          <w:rFonts w:asciiTheme="minorHAnsi" w:hAnsiTheme="minorHAnsi" w:cstheme="minorHAnsi"/>
          <w:sz w:val="24"/>
          <w:szCs w:val="24"/>
        </w:rPr>
        <w:t>, L., 2001. Crisis leadership in law enforcement: A situational approach. </w:t>
      </w:r>
      <w:r w:rsidRPr="00CF1D45">
        <w:rPr>
          <w:rFonts w:asciiTheme="minorHAnsi" w:hAnsiTheme="minorHAnsi" w:cstheme="minorHAnsi"/>
          <w:i/>
          <w:iCs/>
          <w:sz w:val="24"/>
          <w:szCs w:val="24"/>
        </w:rPr>
        <w:t>Police Practice and Research</w:t>
      </w:r>
      <w:r w:rsidRPr="00CF1D45">
        <w:rPr>
          <w:rFonts w:asciiTheme="minorHAnsi" w:hAnsiTheme="minorHAnsi" w:cstheme="minorHAnsi"/>
          <w:sz w:val="24"/>
          <w:szCs w:val="24"/>
        </w:rPr>
        <w:t>, 2(3), pp.211–229.</w:t>
      </w:r>
    </w:p>
    <w:p w14:paraId="44270764" w14:textId="77777777" w:rsidR="00AD2CF5" w:rsidRPr="00CF1D45" w:rsidRDefault="00AD2CF5" w:rsidP="006F2E9A">
      <w:pPr>
        <w:spacing w:line="360" w:lineRule="auto"/>
        <w:ind w:right="237"/>
        <w:rPr>
          <w:rFonts w:asciiTheme="minorHAnsi" w:hAnsiTheme="minorHAnsi" w:cstheme="minorHAnsi"/>
          <w:sz w:val="24"/>
          <w:szCs w:val="24"/>
        </w:rPr>
      </w:pPr>
    </w:p>
    <w:p w14:paraId="28535DA6"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 xml:space="preserve">Shim, D.C., Park, H.H. and </w:t>
      </w:r>
      <w:proofErr w:type="spellStart"/>
      <w:r w:rsidRPr="00CF1D45">
        <w:rPr>
          <w:rFonts w:asciiTheme="minorHAnsi" w:hAnsiTheme="minorHAnsi" w:cstheme="minorHAnsi"/>
          <w:sz w:val="24"/>
          <w:szCs w:val="24"/>
        </w:rPr>
        <w:t>Eom</w:t>
      </w:r>
      <w:proofErr w:type="spellEnd"/>
      <w:r w:rsidRPr="00CF1D45">
        <w:rPr>
          <w:rFonts w:asciiTheme="minorHAnsi" w:hAnsiTheme="minorHAnsi" w:cstheme="minorHAnsi"/>
          <w:sz w:val="24"/>
          <w:szCs w:val="24"/>
        </w:rPr>
        <w:t>, T.H., 2015. Public service motivation and transformational leadership in police agencies. </w:t>
      </w:r>
      <w:r w:rsidRPr="00CF1D45">
        <w:rPr>
          <w:rFonts w:asciiTheme="minorHAnsi" w:hAnsiTheme="minorHAnsi" w:cstheme="minorHAnsi"/>
          <w:i/>
          <w:iCs/>
          <w:sz w:val="24"/>
          <w:szCs w:val="24"/>
        </w:rPr>
        <w:t>Policing: An International Journal</w:t>
      </w:r>
      <w:r w:rsidRPr="00CF1D45">
        <w:rPr>
          <w:rFonts w:asciiTheme="minorHAnsi" w:hAnsiTheme="minorHAnsi" w:cstheme="minorHAnsi"/>
          <w:sz w:val="24"/>
          <w:szCs w:val="24"/>
        </w:rPr>
        <w:t>, 38(3), pp.569–582.</w:t>
      </w:r>
    </w:p>
    <w:p w14:paraId="213C6660" w14:textId="77777777" w:rsidR="00AD2CF5" w:rsidRPr="00CF1D45" w:rsidRDefault="00AD2CF5" w:rsidP="006F2E9A">
      <w:pPr>
        <w:spacing w:line="360" w:lineRule="auto"/>
        <w:ind w:right="237"/>
        <w:rPr>
          <w:rFonts w:asciiTheme="minorHAnsi" w:hAnsiTheme="minorHAnsi" w:cstheme="minorHAnsi"/>
          <w:sz w:val="24"/>
          <w:szCs w:val="24"/>
        </w:rPr>
      </w:pPr>
    </w:p>
    <w:p w14:paraId="253025C7"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Tyler, T.R., 2006. Psychological perspectives on legitimacy and legitimation. </w:t>
      </w:r>
      <w:r w:rsidRPr="00CF1D45">
        <w:rPr>
          <w:rFonts w:asciiTheme="minorHAnsi" w:hAnsiTheme="minorHAnsi" w:cstheme="minorHAnsi"/>
          <w:i/>
          <w:iCs/>
          <w:sz w:val="24"/>
          <w:szCs w:val="24"/>
        </w:rPr>
        <w:t>Annual Review of Psychology</w:t>
      </w:r>
      <w:r w:rsidRPr="00CF1D45">
        <w:rPr>
          <w:rFonts w:asciiTheme="minorHAnsi" w:hAnsiTheme="minorHAnsi" w:cstheme="minorHAnsi"/>
          <w:sz w:val="24"/>
          <w:szCs w:val="24"/>
        </w:rPr>
        <w:t>, 57, pp.375–400.</w:t>
      </w:r>
    </w:p>
    <w:p w14:paraId="4325FFE9" w14:textId="77777777" w:rsidR="00AD2CF5" w:rsidRPr="00CF1D45" w:rsidRDefault="00AD2CF5" w:rsidP="006F2E9A">
      <w:pPr>
        <w:spacing w:line="360" w:lineRule="auto"/>
        <w:ind w:right="237"/>
        <w:rPr>
          <w:rFonts w:asciiTheme="minorHAnsi" w:hAnsiTheme="minorHAnsi" w:cstheme="minorHAnsi"/>
          <w:sz w:val="24"/>
          <w:szCs w:val="24"/>
        </w:rPr>
      </w:pPr>
    </w:p>
    <w:p w14:paraId="23D76576"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 xml:space="preserve">Van </w:t>
      </w:r>
      <w:proofErr w:type="spellStart"/>
      <w:r w:rsidRPr="00CF1D45">
        <w:rPr>
          <w:rFonts w:asciiTheme="minorHAnsi" w:hAnsiTheme="minorHAnsi" w:cstheme="minorHAnsi"/>
          <w:sz w:val="24"/>
          <w:szCs w:val="24"/>
        </w:rPr>
        <w:t>Dierendonck</w:t>
      </w:r>
      <w:proofErr w:type="spellEnd"/>
      <w:r w:rsidRPr="00CF1D45">
        <w:rPr>
          <w:rFonts w:asciiTheme="minorHAnsi" w:hAnsiTheme="minorHAnsi" w:cstheme="minorHAnsi"/>
          <w:sz w:val="24"/>
          <w:szCs w:val="24"/>
        </w:rPr>
        <w:t>, D., 2011. Servant leadership: A review and synthesis. </w:t>
      </w:r>
      <w:r w:rsidRPr="00CF1D45">
        <w:rPr>
          <w:rFonts w:asciiTheme="minorHAnsi" w:hAnsiTheme="minorHAnsi" w:cstheme="minorHAnsi"/>
          <w:i/>
          <w:iCs/>
          <w:sz w:val="24"/>
          <w:szCs w:val="24"/>
        </w:rPr>
        <w:t>Journal of Management</w:t>
      </w:r>
      <w:r w:rsidRPr="00CF1D45">
        <w:rPr>
          <w:rFonts w:asciiTheme="minorHAnsi" w:hAnsiTheme="minorHAnsi" w:cstheme="minorHAnsi"/>
          <w:sz w:val="24"/>
          <w:szCs w:val="24"/>
        </w:rPr>
        <w:t>, 37(4), pp.1228–1261.</w:t>
      </w:r>
    </w:p>
    <w:p w14:paraId="195C3537" w14:textId="77777777" w:rsidR="00AD2CF5" w:rsidRPr="00CF1D45" w:rsidRDefault="00AD2CF5" w:rsidP="006F2E9A">
      <w:pPr>
        <w:spacing w:line="360" w:lineRule="auto"/>
        <w:ind w:right="237"/>
        <w:rPr>
          <w:rFonts w:asciiTheme="minorHAnsi" w:hAnsiTheme="minorHAnsi" w:cstheme="minorHAnsi"/>
          <w:sz w:val="24"/>
          <w:szCs w:val="24"/>
        </w:rPr>
      </w:pPr>
    </w:p>
    <w:p w14:paraId="01722E30" w14:textId="77777777" w:rsidR="00AD2CF5" w:rsidRPr="00CF1D45"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 xml:space="preserve">Wilson, J.M., Dow, G.T. and Flick, M.A., 2017. Trauma-informed policing: An examination of police officers’ knowledge, attitudes, and </w:t>
      </w:r>
      <w:proofErr w:type="spellStart"/>
      <w:r w:rsidRPr="00CF1D45">
        <w:rPr>
          <w:rFonts w:asciiTheme="minorHAnsi" w:hAnsiTheme="minorHAnsi" w:cstheme="minorHAnsi"/>
          <w:sz w:val="24"/>
          <w:szCs w:val="24"/>
        </w:rPr>
        <w:t>behaviors</w:t>
      </w:r>
      <w:proofErr w:type="spellEnd"/>
      <w:r w:rsidRPr="00CF1D45">
        <w:rPr>
          <w:rFonts w:asciiTheme="minorHAnsi" w:hAnsiTheme="minorHAnsi" w:cstheme="minorHAnsi"/>
          <w:sz w:val="24"/>
          <w:szCs w:val="24"/>
        </w:rPr>
        <w:t>. </w:t>
      </w:r>
      <w:r w:rsidRPr="00CF1D45">
        <w:rPr>
          <w:rFonts w:asciiTheme="minorHAnsi" w:hAnsiTheme="minorHAnsi" w:cstheme="minorHAnsi"/>
          <w:i/>
          <w:iCs/>
          <w:sz w:val="24"/>
          <w:szCs w:val="24"/>
        </w:rPr>
        <w:t xml:space="preserve">Criminal Justice and </w:t>
      </w:r>
      <w:proofErr w:type="spellStart"/>
      <w:r w:rsidRPr="00CF1D45">
        <w:rPr>
          <w:rFonts w:asciiTheme="minorHAnsi" w:hAnsiTheme="minorHAnsi" w:cstheme="minorHAnsi"/>
          <w:i/>
          <w:iCs/>
          <w:sz w:val="24"/>
          <w:szCs w:val="24"/>
        </w:rPr>
        <w:t>Behavior</w:t>
      </w:r>
      <w:proofErr w:type="spellEnd"/>
      <w:r w:rsidRPr="00CF1D45">
        <w:rPr>
          <w:rFonts w:asciiTheme="minorHAnsi" w:hAnsiTheme="minorHAnsi" w:cstheme="minorHAnsi"/>
          <w:sz w:val="24"/>
          <w:szCs w:val="24"/>
        </w:rPr>
        <w:t>, 44(6), pp.812–829.</w:t>
      </w:r>
    </w:p>
    <w:p w14:paraId="1462AB8D" w14:textId="77777777" w:rsidR="00AD2CF5" w:rsidRPr="006F2E9A" w:rsidRDefault="00AD2CF5" w:rsidP="006F2E9A">
      <w:pPr>
        <w:spacing w:line="360" w:lineRule="auto"/>
        <w:ind w:right="237"/>
        <w:rPr>
          <w:rFonts w:asciiTheme="minorHAnsi" w:hAnsiTheme="minorHAnsi" w:cstheme="minorHAnsi"/>
          <w:sz w:val="24"/>
          <w:szCs w:val="24"/>
        </w:rPr>
      </w:pPr>
    </w:p>
    <w:p w14:paraId="6706116D" w14:textId="77777777" w:rsidR="00390074" w:rsidRPr="006F2E9A" w:rsidRDefault="00390074" w:rsidP="006F2E9A">
      <w:pPr>
        <w:spacing w:line="360" w:lineRule="auto"/>
        <w:ind w:right="237"/>
        <w:rPr>
          <w:rFonts w:asciiTheme="minorHAnsi" w:hAnsiTheme="minorHAnsi" w:cstheme="minorHAnsi"/>
          <w:b/>
          <w:sz w:val="24"/>
          <w:szCs w:val="24"/>
        </w:rPr>
      </w:pPr>
    </w:p>
    <w:p w14:paraId="56595665" w14:textId="789930E7" w:rsidR="00AD2CF5" w:rsidRPr="006F2E9A" w:rsidRDefault="00AD2CF5" w:rsidP="006F2E9A">
      <w:pPr>
        <w:spacing w:line="360" w:lineRule="auto"/>
        <w:rPr>
          <w:rFonts w:asciiTheme="minorHAnsi" w:hAnsiTheme="minorHAnsi" w:cstheme="minorHAnsi"/>
          <w:b/>
          <w:bCs/>
          <w:sz w:val="24"/>
          <w:szCs w:val="24"/>
          <w:u w:val="single"/>
        </w:rPr>
      </w:pPr>
      <w:r w:rsidRPr="006F2E9A">
        <w:rPr>
          <w:rFonts w:asciiTheme="minorHAnsi" w:hAnsiTheme="minorHAnsi" w:cstheme="minorHAnsi"/>
          <w:b/>
          <w:bCs/>
          <w:sz w:val="24"/>
          <w:szCs w:val="24"/>
          <w:u w:val="single"/>
        </w:rPr>
        <w:t>Task 4 r</w:t>
      </w:r>
      <w:r w:rsidRPr="006F2E9A">
        <w:rPr>
          <w:rFonts w:asciiTheme="minorHAnsi" w:hAnsiTheme="minorHAnsi" w:cstheme="minorHAnsi"/>
          <w:b/>
          <w:bCs/>
          <w:sz w:val="24"/>
          <w:szCs w:val="24"/>
          <w:u w:val="single"/>
        </w:rPr>
        <w:t>eferences</w:t>
      </w:r>
    </w:p>
    <w:p w14:paraId="3C545761" w14:textId="77777777" w:rsidR="00AD2CF5" w:rsidRPr="006F2E9A" w:rsidRDefault="00AD2CF5" w:rsidP="006F2E9A">
      <w:pPr>
        <w:spacing w:line="360" w:lineRule="auto"/>
        <w:rPr>
          <w:rFonts w:asciiTheme="minorHAnsi" w:hAnsiTheme="minorHAnsi" w:cstheme="minorHAnsi"/>
          <w:b/>
          <w:bCs/>
          <w:sz w:val="24"/>
          <w:szCs w:val="24"/>
        </w:rPr>
      </w:pPr>
    </w:p>
    <w:p w14:paraId="0AA8F34B" w14:textId="77777777" w:rsidR="00AD2CF5" w:rsidRPr="006F2E9A" w:rsidRDefault="00AD2CF5" w:rsidP="006F2E9A">
      <w:pPr>
        <w:spacing w:line="360" w:lineRule="auto"/>
        <w:rPr>
          <w:rFonts w:asciiTheme="minorHAnsi" w:hAnsiTheme="minorHAnsi" w:cstheme="minorHAnsi"/>
          <w:b/>
          <w:bCs/>
          <w:sz w:val="24"/>
          <w:szCs w:val="24"/>
        </w:rPr>
      </w:pPr>
    </w:p>
    <w:p w14:paraId="0E8A2990"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Brookfield, S.D., 1995. </w:t>
      </w:r>
      <w:r w:rsidRPr="00CF1D45">
        <w:rPr>
          <w:rFonts w:asciiTheme="minorHAnsi" w:hAnsiTheme="minorHAnsi" w:cstheme="minorHAnsi"/>
          <w:i/>
          <w:iCs/>
          <w:sz w:val="24"/>
          <w:szCs w:val="24"/>
        </w:rPr>
        <w:t>Becoming a Critically Reflective Teacher</w:t>
      </w:r>
      <w:r w:rsidRPr="00CF1D45">
        <w:rPr>
          <w:rFonts w:asciiTheme="minorHAnsi" w:hAnsiTheme="minorHAnsi" w:cstheme="minorHAnsi"/>
          <w:sz w:val="24"/>
          <w:szCs w:val="24"/>
        </w:rPr>
        <w:t>. San Francisco: Jossey-Bass.</w:t>
      </w:r>
    </w:p>
    <w:p w14:paraId="65693E52" w14:textId="77777777" w:rsidR="00AD2CF5" w:rsidRPr="00CF1D45" w:rsidRDefault="00AD2CF5" w:rsidP="006F2E9A">
      <w:pPr>
        <w:spacing w:line="360" w:lineRule="auto"/>
        <w:ind w:right="237"/>
        <w:rPr>
          <w:rFonts w:asciiTheme="minorHAnsi" w:hAnsiTheme="minorHAnsi" w:cstheme="minorHAnsi"/>
          <w:sz w:val="24"/>
          <w:szCs w:val="24"/>
        </w:rPr>
      </w:pPr>
    </w:p>
    <w:p w14:paraId="1188B4CC"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College of Policing, 2022. </w:t>
      </w:r>
      <w:r w:rsidRPr="00CF1D45">
        <w:rPr>
          <w:rFonts w:asciiTheme="minorHAnsi" w:hAnsiTheme="minorHAnsi" w:cstheme="minorHAnsi"/>
          <w:i/>
          <w:iCs/>
          <w:sz w:val="24"/>
          <w:szCs w:val="24"/>
        </w:rPr>
        <w:t>Professional Development Framework</w:t>
      </w:r>
      <w:r w:rsidRPr="00CF1D45">
        <w:rPr>
          <w:rFonts w:asciiTheme="minorHAnsi" w:hAnsiTheme="minorHAnsi" w:cstheme="minorHAnsi"/>
          <w:sz w:val="24"/>
          <w:szCs w:val="24"/>
        </w:rPr>
        <w:t xml:space="preserve">. Available at: https://www.college.police.uk/ (Accessed: </w:t>
      </w:r>
      <w:r w:rsidRPr="006F2E9A">
        <w:rPr>
          <w:rFonts w:asciiTheme="minorHAnsi" w:hAnsiTheme="minorHAnsi" w:cstheme="minorHAnsi"/>
          <w:sz w:val="24"/>
          <w:szCs w:val="24"/>
        </w:rPr>
        <w:t>3</w:t>
      </w:r>
      <w:r w:rsidRPr="00CF1D45">
        <w:rPr>
          <w:rFonts w:asciiTheme="minorHAnsi" w:hAnsiTheme="minorHAnsi" w:cstheme="minorHAnsi"/>
          <w:sz w:val="24"/>
          <w:szCs w:val="24"/>
        </w:rPr>
        <w:t xml:space="preserve"> August 2025).</w:t>
      </w:r>
    </w:p>
    <w:p w14:paraId="448CA3E4" w14:textId="77777777" w:rsidR="00AD2CF5" w:rsidRPr="00CF1D45" w:rsidRDefault="00AD2CF5" w:rsidP="006F2E9A">
      <w:pPr>
        <w:spacing w:line="360" w:lineRule="auto"/>
        <w:ind w:right="237"/>
        <w:rPr>
          <w:rFonts w:asciiTheme="minorHAnsi" w:hAnsiTheme="minorHAnsi" w:cstheme="minorHAnsi"/>
          <w:sz w:val="24"/>
          <w:szCs w:val="24"/>
        </w:rPr>
      </w:pPr>
    </w:p>
    <w:p w14:paraId="62783AFE"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College of Policing, 2025. </w:t>
      </w:r>
      <w:r w:rsidRPr="00CF1D45">
        <w:rPr>
          <w:rFonts w:asciiTheme="minorHAnsi" w:hAnsiTheme="minorHAnsi" w:cstheme="minorHAnsi"/>
          <w:i/>
          <w:iCs/>
          <w:sz w:val="24"/>
          <w:szCs w:val="24"/>
        </w:rPr>
        <w:t>Use of Taser Training Standards</w:t>
      </w:r>
      <w:r w:rsidRPr="00CF1D45">
        <w:rPr>
          <w:rFonts w:asciiTheme="minorHAnsi" w:hAnsiTheme="minorHAnsi" w:cstheme="minorHAnsi"/>
          <w:sz w:val="24"/>
          <w:szCs w:val="24"/>
        </w:rPr>
        <w:t xml:space="preserve">. Available at: https://www.college.police.uk/ (Accessed: </w:t>
      </w:r>
      <w:r w:rsidRPr="006F2E9A">
        <w:rPr>
          <w:rFonts w:asciiTheme="minorHAnsi" w:hAnsiTheme="minorHAnsi" w:cstheme="minorHAnsi"/>
          <w:sz w:val="24"/>
          <w:szCs w:val="24"/>
        </w:rPr>
        <w:t>3</w:t>
      </w:r>
      <w:r w:rsidRPr="00CF1D45">
        <w:rPr>
          <w:rFonts w:asciiTheme="minorHAnsi" w:hAnsiTheme="minorHAnsi" w:cstheme="minorHAnsi"/>
          <w:sz w:val="24"/>
          <w:szCs w:val="24"/>
        </w:rPr>
        <w:t xml:space="preserve"> August 2025).</w:t>
      </w:r>
    </w:p>
    <w:p w14:paraId="397C01F5" w14:textId="77777777" w:rsidR="00AD2CF5" w:rsidRPr="00CF1D45" w:rsidRDefault="00AD2CF5" w:rsidP="006F2E9A">
      <w:pPr>
        <w:spacing w:line="360" w:lineRule="auto"/>
        <w:ind w:right="237"/>
        <w:rPr>
          <w:rFonts w:asciiTheme="minorHAnsi" w:hAnsiTheme="minorHAnsi" w:cstheme="minorHAnsi"/>
          <w:sz w:val="24"/>
          <w:szCs w:val="24"/>
        </w:rPr>
      </w:pPr>
    </w:p>
    <w:p w14:paraId="6563EC1E"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Gibbs, G., 1988. </w:t>
      </w:r>
      <w:r w:rsidRPr="00CF1D45">
        <w:rPr>
          <w:rFonts w:asciiTheme="minorHAnsi" w:hAnsiTheme="minorHAnsi" w:cstheme="minorHAnsi"/>
          <w:i/>
          <w:iCs/>
          <w:sz w:val="24"/>
          <w:szCs w:val="24"/>
        </w:rPr>
        <w:t>Learning by Doing: A Guide to Teaching and Learning Methods</w:t>
      </w:r>
      <w:r w:rsidRPr="00CF1D45">
        <w:rPr>
          <w:rFonts w:asciiTheme="minorHAnsi" w:hAnsiTheme="minorHAnsi" w:cstheme="minorHAnsi"/>
          <w:sz w:val="24"/>
          <w:szCs w:val="24"/>
        </w:rPr>
        <w:t>. Oxford: Oxford Polytechnic.</w:t>
      </w:r>
    </w:p>
    <w:p w14:paraId="45662C1D" w14:textId="77777777" w:rsidR="00AD2CF5" w:rsidRPr="00CF1D45" w:rsidRDefault="00AD2CF5" w:rsidP="006F2E9A">
      <w:pPr>
        <w:spacing w:line="360" w:lineRule="auto"/>
        <w:ind w:right="237"/>
        <w:rPr>
          <w:rFonts w:asciiTheme="minorHAnsi" w:hAnsiTheme="minorHAnsi" w:cstheme="minorHAnsi"/>
          <w:sz w:val="24"/>
          <w:szCs w:val="24"/>
        </w:rPr>
      </w:pPr>
    </w:p>
    <w:p w14:paraId="7BB73FFB"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Goleman, D., 1996. </w:t>
      </w:r>
      <w:r w:rsidRPr="00CF1D45">
        <w:rPr>
          <w:rFonts w:asciiTheme="minorHAnsi" w:hAnsiTheme="minorHAnsi" w:cstheme="minorHAnsi"/>
          <w:i/>
          <w:iCs/>
          <w:sz w:val="24"/>
          <w:szCs w:val="24"/>
        </w:rPr>
        <w:t>Emotional Intelligence: Why It Can Matter More Than IQ</w:t>
      </w:r>
      <w:r w:rsidRPr="00CF1D45">
        <w:rPr>
          <w:rFonts w:asciiTheme="minorHAnsi" w:hAnsiTheme="minorHAnsi" w:cstheme="minorHAnsi"/>
          <w:sz w:val="24"/>
          <w:szCs w:val="24"/>
        </w:rPr>
        <w:t>. London: Bloomsbury.</w:t>
      </w:r>
    </w:p>
    <w:p w14:paraId="401E6C28" w14:textId="77777777" w:rsidR="00AD2CF5" w:rsidRPr="00CF1D45" w:rsidRDefault="00AD2CF5" w:rsidP="006F2E9A">
      <w:pPr>
        <w:spacing w:line="360" w:lineRule="auto"/>
        <w:ind w:right="237"/>
        <w:rPr>
          <w:rFonts w:asciiTheme="minorHAnsi" w:hAnsiTheme="minorHAnsi" w:cstheme="minorHAnsi"/>
          <w:sz w:val="24"/>
          <w:szCs w:val="24"/>
        </w:rPr>
      </w:pPr>
    </w:p>
    <w:p w14:paraId="6A280AA1"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Home Office, 2024. </w:t>
      </w:r>
      <w:r w:rsidRPr="00CF1D45">
        <w:rPr>
          <w:rFonts w:asciiTheme="minorHAnsi" w:hAnsiTheme="minorHAnsi" w:cstheme="minorHAnsi"/>
          <w:i/>
          <w:iCs/>
          <w:sz w:val="24"/>
          <w:szCs w:val="24"/>
        </w:rPr>
        <w:t>Police Workforce, England and Wales, 2023</w:t>
      </w:r>
      <w:r w:rsidRPr="00CF1D45">
        <w:rPr>
          <w:rFonts w:asciiTheme="minorHAnsi" w:hAnsiTheme="minorHAnsi" w:cstheme="minorHAnsi"/>
          <w:sz w:val="24"/>
          <w:szCs w:val="24"/>
        </w:rPr>
        <w:t xml:space="preserve">. Available at: https://www.gov.uk/government/statistics/police-workforce-england-and-wales-2023 (Accessed: </w:t>
      </w:r>
      <w:r w:rsidRPr="006F2E9A">
        <w:rPr>
          <w:rFonts w:asciiTheme="minorHAnsi" w:hAnsiTheme="minorHAnsi" w:cstheme="minorHAnsi"/>
          <w:sz w:val="24"/>
          <w:szCs w:val="24"/>
        </w:rPr>
        <w:t>3</w:t>
      </w:r>
      <w:r w:rsidRPr="00CF1D45">
        <w:rPr>
          <w:rFonts w:asciiTheme="minorHAnsi" w:hAnsiTheme="minorHAnsi" w:cstheme="minorHAnsi"/>
          <w:sz w:val="24"/>
          <w:szCs w:val="24"/>
        </w:rPr>
        <w:t xml:space="preserve"> August 2025).</w:t>
      </w:r>
    </w:p>
    <w:p w14:paraId="1D2CA300" w14:textId="77777777" w:rsidR="00AD2CF5" w:rsidRPr="00CF1D45" w:rsidRDefault="00AD2CF5" w:rsidP="006F2E9A">
      <w:pPr>
        <w:spacing w:line="360" w:lineRule="auto"/>
        <w:ind w:right="237"/>
        <w:rPr>
          <w:rFonts w:asciiTheme="minorHAnsi" w:hAnsiTheme="minorHAnsi" w:cstheme="minorHAnsi"/>
          <w:sz w:val="24"/>
          <w:szCs w:val="24"/>
        </w:rPr>
      </w:pPr>
    </w:p>
    <w:p w14:paraId="5475E8AD"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Kolb, D.A., 1984. </w:t>
      </w:r>
      <w:r w:rsidRPr="00CF1D45">
        <w:rPr>
          <w:rFonts w:asciiTheme="minorHAnsi" w:hAnsiTheme="minorHAnsi" w:cstheme="minorHAnsi"/>
          <w:i/>
          <w:iCs/>
          <w:sz w:val="24"/>
          <w:szCs w:val="24"/>
        </w:rPr>
        <w:t>Experiential Learning: Experience as the Source of Learning and Development</w:t>
      </w:r>
      <w:r w:rsidRPr="00CF1D45">
        <w:rPr>
          <w:rFonts w:asciiTheme="minorHAnsi" w:hAnsiTheme="minorHAnsi" w:cstheme="minorHAnsi"/>
          <w:sz w:val="24"/>
          <w:szCs w:val="24"/>
        </w:rPr>
        <w:t>. Englewood Cliffs, NJ: Prentice-Hall.</w:t>
      </w:r>
    </w:p>
    <w:p w14:paraId="4A6C1F18" w14:textId="77777777" w:rsidR="00AD2CF5" w:rsidRPr="00CF1D45" w:rsidRDefault="00AD2CF5" w:rsidP="006F2E9A">
      <w:pPr>
        <w:spacing w:line="360" w:lineRule="auto"/>
        <w:ind w:right="237"/>
        <w:rPr>
          <w:rFonts w:asciiTheme="minorHAnsi" w:hAnsiTheme="minorHAnsi" w:cstheme="minorHAnsi"/>
          <w:sz w:val="24"/>
          <w:szCs w:val="24"/>
        </w:rPr>
      </w:pPr>
    </w:p>
    <w:p w14:paraId="30F1CB4A"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Megginson, D. and Clutterbuck, D., 2005. </w:t>
      </w:r>
      <w:r w:rsidRPr="00CF1D45">
        <w:rPr>
          <w:rFonts w:asciiTheme="minorHAnsi" w:hAnsiTheme="minorHAnsi" w:cstheme="minorHAnsi"/>
          <w:i/>
          <w:iCs/>
          <w:sz w:val="24"/>
          <w:szCs w:val="24"/>
        </w:rPr>
        <w:t>Techniques for Coaching and Mentoring</w:t>
      </w:r>
      <w:r w:rsidRPr="00CF1D45">
        <w:rPr>
          <w:rFonts w:asciiTheme="minorHAnsi" w:hAnsiTheme="minorHAnsi" w:cstheme="minorHAnsi"/>
          <w:sz w:val="24"/>
          <w:szCs w:val="24"/>
        </w:rPr>
        <w:t>. 2nd ed. Oxford: Elsevier.</w:t>
      </w:r>
    </w:p>
    <w:p w14:paraId="47109B1E" w14:textId="77777777" w:rsidR="00AD2CF5" w:rsidRPr="00CF1D45" w:rsidRDefault="00AD2CF5" w:rsidP="006F2E9A">
      <w:pPr>
        <w:spacing w:line="360" w:lineRule="auto"/>
        <w:ind w:right="237"/>
        <w:rPr>
          <w:rFonts w:asciiTheme="minorHAnsi" w:hAnsiTheme="minorHAnsi" w:cstheme="minorHAnsi"/>
          <w:sz w:val="24"/>
          <w:szCs w:val="24"/>
        </w:rPr>
      </w:pPr>
    </w:p>
    <w:p w14:paraId="631BA171"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National Police Chiefs’ Council (NPCC), 2023. </w:t>
      </w:r>
      <w:r w:rsidRPr="00CF1D45">
        <w:rPr>
          <w:rFonts w:asciiTheme="minorHAnsi" w:hAnsiTheme="minorHAnsi" w:cstheme="minorHAnsi"/>
          <w:i/>
          <w:iCs/>
          <w:sz w:val="24"/>
          <w:szCs w:val="24"/>
        </w:rPr>
        <w:t>Strategic Plan 2023-2025</w:t>
      </w:r>
      <w:r w:rsidRPr="00CF1D45">
        <w:rPr>
          <w:rFonts w:asciiTheme="minorHAnsi" w:hAnsiTheme="minorHAnsi" w:cstheme="minorHAnsi"/>
          <w:sz w:val="24"/>
          <w:szCs w:val="24"/>
        </w:rPr>
        <w:t xml:space="preserve">. Available at: https://www.npcc.police.uk/(Accessed: </w:t>
      </w:r>
      <w:r w:rsidRPr="006F2E9A">
        <w:rPr>
          <w:rFonts w:asciiTheme="minorHAnsi" w:hAnsiTheme="minorHAnsi" w:cstheme="minorHAnsi"/>
          <w:sz w:val="24"/>
          <w:szCs w:val="24"/>
        </w:rPr>
        <w:t>3</w:t>
      </w:r>
      <w:r w:rsidRPr="00CF1D45">
        <w:rPr>
          <w:rFonts w:asciiTheme="minorHAnsi" w:hAnsiTheme="minorHAnsi" w:cstheme="minorHAnsi"/>
          <w:sz w:val="24"/>
          <w:szCs w:val="24"/>
        </w:rPr>
        <w:t xml:space="preserve"> August 2025).</w:t>
      </w:r>
    </w:p>
    <w:p w14:paraId="360D5A32" w14:textId="77777777" w:rsidR="00AD2CF5" w:rsidRPr="00CF1D45" w:rsidRDefault="00AD2CF5" w:rsidP="006F2E9A">
      <w:pPr>
        <w:spacing w:line="360" w:lineRule="auto"/>
        <w:ind w:right="237"/>
        <w:rPr>
          <w:rFonts w:asciiTheme="minorHAnsi" w:hAnsiTheme="minorHAnsi" w:cstheme="minorHAnsi"/>
          <w:sz w:val="24"/>
          <w:szCs w:val="24"/>
        </w:rPr>
      </w:pPr>
    </w:p>
    <w:p w14:paraId="394A0A74" w14:textId="77777777" w:rsidR="00AD2CF5" w:rsidRPr="006F2E9A" w:rsidRDefault="00AD2CF5" w:rsidP="006F2E9A">
      <w:pPr>
        <w:spacing w:line="360" w:lineRule="auto"/>
        <w:ind w:right="237"/>
        <w:rPr>
          <w:rFonts w:asciiTheme="minorHAnsi" w:hAnsiTheme="minorHAnsi" w:cstheme="minorHAnsi"/>
          <w:sz w:val="24"/>
          <w:szCs w:val="24"/>
        </w:rPr>
      </w:pPr>
      <w:proofErr w:type="spellStart"/>
      <w:r w:rsidRPr="00CF1D45">
        <w:rPr>
          <w:rFonts w:asciiTheme="minorHAnsi" w:hAnsiTheme="minorHAnsi" w:cstheme="minorHAnsi"/>
          <w:sz w:val="24"/>
          <w:szCs w:val="24"/>
        </w:rPr>
        <w:t>Parsloe</w:t>
      </w:r>
      <w:proofErr w:type="spellEnd"/>
      <w:r w:rsidRPr="00CF1D45">
        <w:rPr>
          <w:rFonts w:asciiTheme="minorHAnsi" w:hAnsiTheme="minorHAnsi" w:cstheme="minorHAnsi"/>
          <w:sz w:val="24"/>
          <w:szCs w:val="24"/>
        </w:rPr>
        <w:t xml:space="preserve">, E. and </w:t>
      </w:r>
      <w:proofErr w:type="spellStart"/>
      <w:r w:rsidRPr="00CF1D45">
        <w:rPr>
          <w:rFonts w:asciiTheme="minorHAnsi" w:hAnsiTheme="minorHAnsi" w:cstheme="minorHAnsi"/>
          <w:sz w:val="24"/>
          <w:szCs w:val="24"/>
        </w:rPr>
        <w:t>Leedham</w:t>
      </w:r>
      <w:proofErr w:type="spellEnd"/>
      <w:r w:rsidRPr="00CF1D45">
        <w:rPr>
          <w:rFonts w:asciiTheme="minorHAnsi" w:hAnsiTheme="minorHAnsi" w:cstheme="minorHAnsi"/>
          <w:sz w:val="24"/>
          <w:szCs w:val="24"/>
        </w:rPr>
        <w:t>, M., 2009. </w:t>
      </w:r>
      <w:r w:rsidRPr="00CF1D45">
        <w:rPr>
          <w:rFonts w:asciiTheme="minorHAnsi" w:hAnsiTheme="minorHAnsi" w:cstheme="minorHAnsi"/>
          <w:i/>
          <w:iCs/>
          <w:sz w:val="24"/>
          <w:szCs w:val="24"/>
        </w:rPr>
        <w:t>Coaching and Mentoring: Practical Techniques for Developing Learning and Performance</w:t>
      </w:r>
      <w:r w:rsidRPr="00CF1D45">
        <w:rPr>
          <w:rFonts w:asciiTheme="minorHAnsi" w:hAnsiTheme="minorHAnsi" w:cstheme="minorHAnsi"/>
          <w:sz w:val="24"/>
          <w:szCs w:val="24"/>
        </w:rPr>
        <w:t>. 2nd ed. London: Kogan Page.</w:t>
      </w:r>
    </w:p>
    <w:p w14:paraId="687FD942" w14:textId="77777777" w:rsidR="00AD2CF5" w:rsidRPr="00CF1D45" w:rsidRDefault="00AD2CF5" w:rsidP="006F2E9A">
      <w:pPr>
        <w:spacing w:line="360" w:lineRule="auto"/>
        <w:ind w:right="237"/>
        <w:rPr>
          <w:rFonts w:asciiTheme="minorHAnsi" w:hAnsiTheme="minorHAnsi" w:cstheme="minorHAnsi"/>
          <w:sz w:val="24"/>
          <w:szCs w:val="24"/>
        </w:rPr>
      </w:pPr>
    </w:p>
    <w:p w14:paraId="0BBEA002"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Schön, D.A., 1983. </w:t>
      </w:r>
      <w:r w:rsidRPr="00CF1D45">
        <w:rPr>
          <w:rFonts w:asciiTheme="minorHAnsi" w:hAnsiTheme="minorHAnsi" w:cstheme="minorHAnsi"/>
          <w:i/>
          <w:iCs/>
          <w:sz w:val="24"/>
          <w:szCs w:val="24"/>
        </w:rPr>
        <w:t>The Reflective Practitioner: How Professionals Think in Action</w:t>
      </w:r>
      <w:r w:rsidRPr="00CF1D45">
        <w:rPr>
          <w:rFonts w:asciiTheme="minorHAnsi" w:hAnsiTheme="minorHAnsi" w:cstheme="minorHAnsi"/>
          <w:sz w:val="24"/>
          <w:szCs w:val="24"/>
        </w:rPr>
        <w:t>. New York: Basic Books.</w:t>
      </w:r>
    </w:p>
    <w:p w14:paraId="2B0D16D6" w14:textId="77777777" w:rsidR="00AD2CF5" w:rsidRPr="00CF1D45" w:rsidRDefault="00AD2CF5" w:rsidP="006F2E9A">
      <w:pPr>
        <w:spacing w:line="360" w:lineRule="auto"/>
        <w:ind w:right="237"/>
        <w:rPr>
          <w:rFonts w:asciiTheme="minorHAnsi" w:hAnsiTheme="minorHAnsi" w:cstheme="minorHAnsi"/>
          <w:sz w:val="24"/>
          <w:szCs w:val="24"/>
        </w:rPr>
      </w:pPr>
    </w:p>
    <w:p w14:paraId="3031ECBB" w14:textId="77777777" w:rsidR="00AD2CF5" w:rsidRPr="006F2E9A"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lastRenderedPageBreak/>
        <w:t>Vygotsky, L.S., 1978. </w:t>
      </w:r>
      <w:r w:rsidRPr="00CF1D45">
        <w:rPr>
          <w:rFonts w:asciiTheme="minorHAnsi" w:hAnsiTheme="minorHAnsi" w:cstheme="minorHAnsi"/>
          <w:i/>
          <w:iCs/>
          <w:sz w:val="24"/>
          <w:szCs w:val="24"/>
        </w:rPr>
        <w:t>Mind in Society: The Development of Higher Psychological Processes</w:t>
      </w:r>
      <w:r w:rsidRPr="00CF1D45">
        <w:rPr>
          <w:rFonts w:asciiTheme="minorHAnsi" w:hAnsiTheme="minorHAnsi" w:cstheme="minorHAnsi"/>
          <w:sz w:val="24"/>
          <w:szCs w:val="24"/>
        </w:rPr>
        <w:t>. Cambridge, MA: Harvard University Press.</w:t>
      </w:r>
    </w:p>
    <w:p w14:paraId="0653855F" w14:textId="77777777" w:rsidR="00AD2CF5" w:rsidRPr="00CF1D45" w:rsidRDefault="00AD2CF5" w:rsidP="006F2E9A">
      <w:pPr>
        <w:spacing w:line="360" w:lineRule="auto"/>
        <w:ind w:right="237"/>
        <w:rPr>
          <w:rFonts w:asciiTheme="minorHAnsi" w:hAnsiTheme="minorHAnsi" w:cstheme="minorHAnsi"/>
          <w:sz w:val="24"/>
          <w:szCs w:val="24"/>
        </w:rPr>
      </w:pPr>
    </w:p>
    <w:p w14:paraId="4D305345" w14:textId="77777777" w:rsidR="00AD2CF5" w:rsidRPr="00CF1D45" w:rsidRDefault="00AD2CF5" w:rsidP="006F2E9A">
      <w:pPr>
        <w:spacing w:line="360" w:lineRule="auto"/>
        <w:ind w:right="237"/>
        <w:rPr>
          <w:rFonts w:asciiTheme="minorHAnsi" w:hAnsiTheme="minorHAnsi" w:cstheme="minorHAnsi"/>
          <w:sz w:val="24"/>
          <w:szCs w:val="24"/>
        </w:rPr>
      </w:pPr>
      <w:r w:rsidRPr="00CF1D45">
        <w:rPr>
          <w:rFonts w:asciiTheme="minorHAnsi" w:hAnsiTheme="minorHAnsi" w:cstheme="minorHAnsi"/>
          <w:sz w:val="24"/>
          <w:szCs w:val="24"/>
        </w:rPr>
        <w:t>Whitmore, J., 2009. </w:t>
      </w:r>
      <w:r w:rsidRPr="00CF1D45">
        <w:rPr>
          <w:rFonts w:asciiTheme="minorHAnsi" w:hAnsiTheme="minorHAnsi" w:cstheme="minorHAnsi"/>
          <w:i/>
          <w:iCs/>
          <w:sz w:val="24"/>
          <w:szCs w:val="24"/>
        </w:rPr>
        <w:t>Coaching for Performance: Growing People, Performance and Purpose</w:t>
      </w:r>
      <w:r w:rsidRPr="00CF1D45">
        <w:rPr>
          <w:rFonts w:asciiTheme="minorHAnsi" w:hAnsiTheme="minorHAnsi" w:cstheme="minorHAnsi"/>
          <w:sz w:val="24"/>
          <w:szCs w:val="24"/>
        </w:rPr>
        <w:t>. 4th ed. London: Nicholas Brealey Publishing.</w:t>
      </w:r>
    </w:p>
    <w:p w14:paraId="6B671663" w14:textId="77777777" w:rsidR="002C31E1" w:rsidRDefault="002C31E1" w:rsidP="002C31E1">
      <w:pPr>
        <w:keepNext/>
        <w:ind w:right="237"/>
        <w:rPr>
          <w:b/>
          <w:sz w:val="24"/>
          <w:szCs w:val="24"/>
        </w:rPr>
      </w:pPr>
    </w:p>
    <w:p w14:paraId="075F7B4F" w14:textId="77777777" w:rsidR="00AD2CF5" w:rsidRDefault="00AD2CF5" w:rsidP="002C31E1">
      <w:pPr>
        <w:keepNext/>
        <w:ind w:right="237"/>
        <w:rPr>
          <w:b/>
          <w:sz w:val="24"/>
          <w:szCs w:val="24"/>
        </w:rPr>
      </w:pPr>
    </w:p>
    <w:p w14:paraId="2576B70E" w14:textId="77777777" w:rsidR="00AD2CF5" w:rsidRDefault="00AD2CF5" w:rsidP="002C31E1">
      <w:pPr>
        <w:keepNext/>
        <w:ind w:right="237"/>
        <w:rPr>
          <w:b/>
          <w:sz w:val="24"/>
          <w:szCs w:val="24"/>
        </w:rPr>
      </w:pPr>
    </w:p>
    <w:p w14:paraId="6B62328F" w14:textId="77777777" w:rsidR="002C31E1" w:rsidRDefault="002C31E1" w:rsidP="002C31E1">
      <w:pPr>
        <w:keepNext/>
        <w:ind w:right="237"/>
        <w:rPr>
          <w:b/>
          <w:sz w:val="24"/>
          <w:szCs w:val="24"/>
        </w:rPr>
      </w:pPr>
    </w:p>
    <w:p w14:paraId="2B127369" w14:textId="6CD2BB24" w:rsidR="609B7D34" w:rsidRPr="002C31E1" w:rsidRDefault="609B7D34" w:rsidP="002C31E1">
      <w:pPr>
        <w:keepNext/>
        <w:ind w:right="237"/>
        <w:rPr>
          <w:b/>
          <w:sz w:val="24"/>
          <w:szCs w:val="24"/>
          <w:highlight w:val="yellow"/>
        </w:rPr>
      </w:pP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FB4CF0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C31E1">
        <w:rPr>
          <w:rFonts w:eastAsia="Arial"/>
          <w:b/>
          <w:bCs/>
          <w:color w:val="000000" w:themeColor="text1"/>
          <w:sz w:val="24"/>
          <w:szCs w:val="24"/>
          <w:highlight w:val="yellow"/>
        </w:rPr>
        <w:t xml:space="preserve">ed: </w:t>
      </w:r>
      <w:proofErr w:type="spellStart"/>
      <w:proofErr w:type="gramStart"/>
      <w:r w:rsidR="002C31E1">
        <w:rPr>
          <w:rFonts w:eastAsia="Arial"/>
          <w:b/>
          <w:bCs/>
          <w:color w:val="000000" w:themeColor="text1"/>
          <w:sz w:val="24"/>
          <w:szCs w:val="24"/>
          <w:highlight w:val="yellow"/>
        </w:rPr>
        <w:t>M.Olding</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3F66F82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C31E1">
        <w:rPr>
          <w:rFonts w:eastAsia="Arial"/>
          <w:b/>
          <w:bCs/>
          <w:color w:val="000000" w:themeColor="text1"/>
          <w:sz w:val="24"/>
          <w:szCs w:val="24"/>
          <w:highlight w:val="yellow"/>
        </w:rPr>
        <w:t xml:space="preserve">: </w:t>
      </w:r>
      <w:r w:rsidR="00CF1D45">
        <w:rPr>
          <w:rFonts w:eastAsia="Arial"/>
          <w:b/>
          <w:bCs/>
          <w:color w:val="000000" w:themeColor="text1"/>
          <w:sz w:val="24"/>
          <w:szCs w:val="24"/>
          <w:highlight w:val="yellow"/>
        </w:rPr>
        <w:t>04</w:t>
      </w:r>
      <w:r w:rsidR="005B2F78">
        <w:rPr>
          <w:rFonts w:eastAsia="Arial"/>
          <w:b/>
          <w:bCs/>
          <w:color w:val="000000" w:themeColor="text1"/>
          <w:sz w:val="24"/>
          <w:szCs w:val="24"/>
          <w:highlight w:val="yellow"/>
        </w:rPr>
        <w:t>/0</w:t>
      </w:r>
      <w:r w:rsidR="00CF1D45">
        <w:rPr>
          <w:rFonts w:eastAsia="Arial"/>
          <w:b/>
          <w:bCs/>
          <w:color w:val="000000" w:themeColor="text1"/>
          <w:sz w:val="24"/>
          <w:szCs w:val="24"/>
          <w:highlight w:val="yellow"/>
        </w:rPr>
        <w:t>8</w:t>
      </w:r>
      <w:r w:rsidR="005B2F78">
        <w:rPr>
          <w:rFonts w:eastAsia="Arial"/>
          <w:b/>
          <w:bCs/>
          <w:color w:val="000000" w:themeColor="text1"/>
          <w:sz w:val="24"/>
          <w:szCs w:val="24"/>
          <w:highlight w:val="yellow"/>
        </w:rPr>
        <w:t>/2025</w:t>
      </w:r>
    </w:p>
    <w:p w14:paraId="43C6D25D" w14:textId="39E31A37" w:rsidR="609B7D34" w:rsidRDefault="609B7D34" w:rsidP="28D1B5E1">
      <w:pPr>
        <w:ind w:right="237"/>
        <w:jc w:val="both"/>
        <w:rPr>
          <w:sz w:val="24"/>
          <w:szCs w:val="24"/>
          <w:highlight w:val="yellow"/>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761792" w14:textId="77777777" w:rsidR="00BF4BA7" w:rsidRDefault="00BF4BA7">
      <w:r>
        <w:separator/>
      </w:r>
    </w:p>
  </w:endnote>
  <w:endnote w:type="continuationSeparator" w:id="0">
    <w:p w14:paraId="6C73985C" w14:textId="77777777" w:rsidR="00BF4BA7" w:rsidRDefault="00BF4B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4B664" w14:textId="77777777" w:rsidR="00BF4BA7" w:rsidRDefault="00BF4BA7">
      <w:r>
        <w:separator/>
      </w:r>
    </w:p>
  </w:footnote>
  <w:footnote w:type="continuationSeparator" w:id="0">
    <w:p w14:paraId="2E102676" w14:textId="77777777" w:rsidR="00BF4BA7" w:rsidRDefault="00BF4B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82528D"/>
    <w:multiLevelType w:val="hybridMultilevel"/>
    <w:tmpl w:val="6332D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F717F"/>
    <w:multiLevelType w:val="hybridMultilevel"/>
    <w:tmpl w:val="BF7EC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32BE4"/>
    <w:multiLevelType w:val="multilevel"/>
    <w:tmpl w:val="EE003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E90E7E"/>
    <w:multiLevelType w:val="hybridMultilevel"/>
    <w:tmpl w:val="3F16B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8B7A2F"/>
    <w:multiLevelType w:val="hybridMultilevel"/>
    <w:tmpl w:val="5900A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3B6A03C1"/>
    <w:multiLevelType w:val="hybridMultilevel"/>
    <w:tmpl w:val="40BE2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76697D47"/>
    <w:multiLevelType w:val="hybridMultilevel"/>
    <w:tmpl w:val="C6F43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0"/>
  </w:num>
  <w:num w:numId="2" w16cid:durableId="458649193">
    <w:abstractNumId w:val="7"/>
  </w:num>
  <w:num w:numId="3" w16cid:durableId="1589077822">
    <w:abstractNumId w:val="8"/>
  </w:num>
  <w:num w:numId="4" w16cid:durableId="1226835170">
    <w:abstractNumId w:val="5"/>
  </w:num>
  <w:num w:numId="5" w16cid:durableId="24061585">
    <w:abstractNumId w:val="2"/>
  </w:num>
  <w:num w:numId="6" w16cid:durableId="1735395634">
    <w:abstractNumId w:val="9"/>
  </w:num>
  <w:num w:numId="7" w16cid:durableId="1160120951">
    <w:abstractNumId w:val="3"/>
  </w:num>
  <w:num w:numId="8" w16cid:durableId="1095172166">
    <w:abstractNumId w:val="0"/>
  </w:num>
  <w:num w:numId="9" w16cid:durableId="1628776121">
    <w:abstractNumId w:val="4"/>
  </w:num>
  <w:num w:numId="10" w16cid:durableId="1207253073">
    <w:abstractNumId w:val="6"/>
  </w:num>
  <w:num w:numId="11" w16cid:durableId="182978824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1C3"/>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2C6"/>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31E1"/>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2FAA"/>
    <w:rsid w:val="004C4959"/>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960E1"/>
    <w:rsid w:val="005A1B4C"/>
    <w:rsid w:val="005A1BA3"/>
    <w:rsid w:val="005A545C"/>
    <w:rsid w:val="005B1CF8"/>
    <w:rsid w:val="005B2F7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643"/>
    <w:rsid w:val="006D5970"/>
    <w:rsid w:val="006E481E"/>
    <w:rsid w:val="006E795F"/>
    <w:rsid w:val="006F2E9A"/>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3AAF"/>
    <w:rsid w:val="008A4576"/>
    <w:rsid w:val="008B07DE"/>
    <w:rsid w:val="008B0D0E"/>
    <w:rsid w:val="008B28E7"/>
    <w:rsid w:val="008B4AC8"/>
    <w:rsid w:val="008C14C7"/>
    <w:rsid w:val="008C2264"/>
    <w:rsid w:val="008C2FFB"/>
    <w:rsid w:val="008C6EEA"/>
    <w:rsid w:val="008D2CA1"/>
    <w:rsid w:val="008D5813"/>
    <w:rsid w:val="008D634E"/>
    <w:rsid w:val="008D778A"/>
    <w:rsid w:val="008F22BD"/>
    <w:rsid w:val="008F46CC"/>
    <w:rsid w:val="009079BD"/>
    <w:rsid w:val="00912BD9"/>
    <w:rsid w:val="00920E5B"/>
    <w:rsid w:val="00926436"/>
    <w:rsid w:val="00926A73"/>
    <w:rsid w:val="0093018C"/>
    <w:rsid w:val="00932CCA"/>
    <w:rsid w:val="00953E15"/>
    <w:rsid w:val="009544C0"/>
    <w:rsid w:val="00954FA4"/>
    <w:rsid w:val="00956AE9"/>
    <w:rsid w:val="00957C44"/>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CF5"/>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BA7"/>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47A9"/>
    <w:rsid w:val="00CD5D3F"/>
    <w:rsid w:val="00CD7CC5"/>
    <w:rsid w:val="00CF1D45"/>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40DC"/>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D45"/>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F1D4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C31E1"/>
    <w:rPr>
      <w:color w:val="605E5C"/>
      <w:shd w:val="clear" w:color="auto" w:fill="E1DFDD"/>
    </w:rPr>
  </w:style>
  <w:style w:type="paragraph" w:styleId="NormalWeb">
    <w:name w:val="Normal (Web)"/>
    <w:basedOn w:val="Normal"/>
    <w:uiPriority w:val="99"/>
    <w:semiHidden/>
    <w:unhideWhenUsed/>
    <w:rsid w:val="002C31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2C31E1"/>
  </w:style>
  <w:style w:type="character" w:styleId="Emphasis">
    <w:name w:val="Emphasis"/>
    <w:basedOn w:val="DefaultParagraphFont"/>
    <w:uiPriority w:val="20"/>
    <w:qFormat/>
    <w:rsid w:val="002C31E1"/>
    <w:rPr>
      <w:i/>
      <w:iCs/>
    </w:rPr>
  </w:style>
  <w:style w:type="character" w:customStyle="1" w:styleId="Heading3Char">
    <w:name w:val="Heading 3 Char"/>
    <w:basedOn w:val="DefaultParagraphFont"/>
    <w:link w:val="Heading3"/>
    <w:uiPriority w:val="9"/>
    <w:semiHidden/>
    <w:rsid w:val="00CF1D45"/>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382193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1995689">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485797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453881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3419540">
      <w:bodyDiv w:val="1"/>
      <w:marLeft w:val="0"/>
      <w:marRight w:val="0"/>
      <w:marTop w:val="0"/>
      <w:marBottom w:val="0"/>
      <w:divBdr>
        <w:top w:val="none" w:sz="0" w:space="0" w:color="auto"/>
        <w:left w:val="none" w:sz="0" w:space="0" w:color="auto"/>
        <w:bottom w:val="none" w:sz="0" w:space="0" w:color="auto"/>
        <w:right w:val="none" w:sz="0" w:space="0" w:color="auto"/>
      </w:divBdr>
    </w:div>
    <w:div w:id="247466163">
      <w:bodyDiv w:val="1"/>
      <w:marLeft w:val="0"/>
      <w:marRight w:val="0"/>
      <w:marTop w:val="0"/>
      <w:marBottom w:val="0"/>
      <w:divBdr>
        <w:top w:val="none" w:sz="0" w:space="0" w:color="auto"/>
        <w:left w:val="none" w:sz="0" w:space="0" w:color="auto"/>
        <w:bottom w:val="none" w:sz="0" w:space="0" w:color="auto"/>
        <w:right w:val="none" w:sz="0" w:space="0" w:color="auto"/>
      </w:divBdr>
    </w:div>
    <w:div w:id="26485110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289466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5613836">
      <w:bodyDiv w:val="1"/>
      <w:marLeft w:val="0"/>
      <w:marRight w:val="0"/>
      <w:marTop w:val="0"/>
      <w:marBottom w:val="0"/>
      <w:divBdr>
        <w:top w:val="none" w:sz="0" w:space="0" w:color="auto"/>
        <w:left w:val="none" w:sz="0" w:space="0" w:color="auto"/>
        <w:bottom w:val="none" w:sz="0" w:space="0" w:color="auto"/>
        <w:right w:val="none" w:sz="0" w:space="0" w:color="auto"/>
      </w:divBdr>
    </w:div>
    <w:div w:id="485441136">
      <w:bodyDiv w:val="1"/>
      <w:marLeft w:val="0"/>
      <w:marRight w:val="0"/>
      <w:marTop w:val="0"/>
      <w:marBottom w:val="0"/>
      <w:divBdr>
        <w:top w:val="none" w:sz="0" w:space="0" w:color="auto"/>
        <w:left w:val="none" w:sz="0" w:space="0" w:color="auto"/>
        <w:bottom w:val="none" w:sz="0" w:space="0" w:color="auto"/>
        <w:right w:val="none" w:sz="0" w:space="0" w:color="auto"/>
      </w:divBdr>
    </w:div>
    <w:div w:id="49430117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0818563">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0526010">
      <w:bodyDiv w:val="1"/>
      <w:marLeft w:val="0"/>
      <w:marRight w:val="0"/>
      <w:marTop w:val="0"/>
      <w:marBottom w:val="0"/>
      <w:divBdr>
        <w:top w:val="none" w:sz="0" w:space="0" w:color="auto"/>
        <w:left w:val="none" w:sz="0" w:space="0" w:color="auto"/>
        <w:bottom w:val="none" w:sz="0" w:space="0" w:color="auto"/>
        <w:right w:val="none" w:sz="0" w:space="0" w:color="auto"/>
      </w:divBdr>
    </w:div>
    <w:div w:id="68105437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389171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602488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506387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555628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385982">
      <w:bodyDiv w:val="1"/>
      <w:marLeft w:val="0"/>
      <w:marRight w:val="0"/>
      <w:marTop w:val="0"/>
      <w:marBottom w:val="0"/>
      <w:divBdr>
        <w:top w:val="none" w:sz="0" w:space="0" w:color="auto"/>
        <w:left w:val="none" w:sz="0" w:space="0" w:color="auto"/>
        <w:bottom w:val="none" w:sz="0" w:space="0" w:color="auto"/>
        <w:right w:val="none" w:sz="0" w:space="0" w:color="auto"/>
      </w:divBdr>
    </w:div>
    <w:div w:id="121870929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2028169">
      <w:bodyDiv w:val="1"/>
      <w:marLeft w:val="0"/>
      <w:marRight w:val="0"/>
      <w:marTop w:val="0"/>
      <w:marBottom w:val="0"/>
      <w:divBdr>
        <w:top w:val="none" w:sz="0" w:space="0" w:color="auto"/>
        <w:left w:val="none" w:sz="0" w:space="0" w:color="auto"/>
        <w:bottom w:val="none" w:sz="0" w:space="0" w:color="auto"/>
        <w:right w:val="none" w:sz="0" w:space="0" w:color="auto"/>
      </w:divBdr>
    </w:div>
    <w:div w:id="1413510496">
      <w:bodyDiv w:val="1"/>
      <w:marLeft w:val="0"/>
      <w:marRight w:val="0"/>
      <w:marTop w:val="0"/>
      <w:marBottom w:val="0"/>
      <w:divBdr>
        <w:top w:val="none" w:sz="0" w:space="0" w:color="auto"/>
        <w:left w:val="none" w:sz="0" w:space="0" w:color="auto"/>
        <w:bottom w:val="none" w:sz="0" w:space="0" w:color="auto"/>
        <w:right w:val="none" w:sz="0" w:space="0" w:color="auto"/>
      </w:divBdr>
    </w:div>
    <w:div w:id="1499468281">
      <w:bodyDiv w:val="1"/>
      <w:marLeft w:val="0"/>
      <w:marRight w:val="0"/>
      <w:marTop w:val="0"/>
      <w:marBottom w:val="0"/>
      <w:divBdr>
        <w:top w:val="none" w:sz="0" w:space="0" w:color="auto"/>
        <w:left w:val="none" w:sz="0" w:space="0" w:color="auto"/>
        <w:bottom w:val="none" w:sz="0" w:space="0" w:color="auto"/>
        <w:right w:val="none" w:sz="0" w:space="0" w:color="auto"/>
      </w:divBdr>
    </w:div>
    <w:div w:id="155492473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1773864">
      <w:bodyDiv w:val="1"/>
      <w:marLeft w:val="0"/>
      <w:marRight w:val="0"/>
      <w:marTop w:val="0"/>
      <w:marBottom w:val="0"/>
      <w:divBdr>
        <w:top w:val="none" w:sz="0" w:space="0" w:color="auto"/>
        <w:left w:val="none" w:sz="0" w:space="0" w:color="auto"/>
        <w:bottom w:val="none" w:sz="0" w:space="0" w:color="auto"/>
        <w:right w:val="none" w:sz="0" w:space="0" w:color="auto"/>
      </w:divBdr>
    </w:div>
    <w:div w:id="1641223567">
      <w:bodyDiv w:val="1"/>
      <w:marLeft w:val="0"/>
      <w:marRight w:val="0"/>
      <w:marTop w:val="0"/>
      <w:marBottom w:val="0"/>
      <w:divBdr>
        <w:top w:val="none" w:sz="0" w:space="0" w:color="auto"/>
        <w:left w:val="none" w:sz="0" w:space="0" w:color="auto"/>
        <w:bottom w:val="none" w:sz="0" w:space="0" w:color="auto"/>
        <w:right w:val="none" w:sz="0" w:space="0" w:color="auto"/>
      </w:divBdr>
    </w:div>
    <w:div w:id="1661882846">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52758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56459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267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national-decision-mode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trauma-informed-practice" TargetMode="External"/><Relationship Id="rId2" Type="http://schemas.openxmlformats.org/officeDocument/2006/relationships/customXml" Target="../customXml/item2.xml"/><Relationship Id="rId16" Type="http://schemas.openxmlformats.org/officeDocument/2006/relationships/hyperlink" Target="https://www.college.police.uk/ethics/code-of-eth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bout/our-strategy" TargetMode="External"/><Relationship Id="rId10" Type="http://schemas.openxmlformats.org/officeDocument/2006/relationships/endnotes" Target="endnotes.xml"/><Relationship Id="rId19" Type="http://schemas.openxmlformats.org/officeDocument/2006/relationships/hyperlink" Target="https://www.npcc.police.uk/policingvision202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37</Pages>
  <Words>11615</Words>
  <Characters>66209</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Miles Olding</cp:lastModifiedBy>
  <cp:revision>17</cp:revision>
  <cp:lastPrinted>2014-08-26T06:55:00Z</cp:lastPrinted>
  <dcterms:created xsi:type="dcterms:W3CDTF">2025-03-08T17:00:00Z</dcterms:created>
  <dcterms:modified xsi:type="dcterms:W3CDTF">2025-08-04T17:08:00Z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