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u w:val="single"/>
        </w:rPr>
      </w:pPr>
      <w:r>
        <w:rPr>
          <w:u w:val="single"/>
          <w:rtl w:val="0"/>
          <w:lang w:val="en-US"/>
        </w:rPr>
        <w:t>Diminished Responsibility</w:t>
      </w:r>
    </w:p>
    <w:p>
      <w:pPr>
        <w:pStyle w:val="Body"/>
        <w:jc w:val="center"/>
        <w:rPr>
          <w:b w:val="1"/>
          <w:bCs w:val="1"/>
          <w:sz w:val="18"/>
          <w:szCs w:val="18"/>
        </w:rPr>
      </w:pPr>
    </w:p>
    <w:p>
      <w:pPr>
        <w:pStyle w:val="Body"/>
        <w:jc w:val="center"/>
        <w:rPr>
          <w:b w:val="1"/>
          <w:bCs w:val="1"/>
        </w:rPr>
      </w:pPr>
      <w:r>
        <w:rPr>
          <w:b w:val="1"/>
          <w:bCs w:val="1"/>
          <w:rtl w:val="0"/>
          <w:lang w:val="en-US"/>
        </w:rPr>
        <w:t>What changes did the Coroners and Justice Act (2009) make to the defence of diminished responsibility? Did these amendments change the law in this area for the better?</w:t>
      </w:r>
    </w:p>
    <w:p>
      <w:pPr>
        <w:pStyle w:val="Body"/>
        <w:jc w:val="center"/>
        <w:rPr>
          <w:b w:val="1"/>
          <w:bCs w:val="1"/>
        </w:rPr>
      </w:pPr>
    </w:p>
    <w:p>
      <w:pPr>
        <w:pStyle w:val="Body"/>
      </w:pPr>
      <w:r>
        <w:rPr>
          <w:rtl w:val="0"/>
          <w:lang w:val="en-US"/>
        </w:rPr>
        <w:t xml:space="preserve">The Coroners and Justice Act 2009 made significant changes to the defence of diminished responsibility as it changed the definition that could be used in the defence of diminished responsibility to cut down on cases in which the accused was not as challenged as required for a lesser sentence. The amendments that were made to this law were for both the better and worse as it reduced the amount of people that could use this defence and only allowed for the people who suffered from more serious mental illnesses to use this defence. These changes were also for the worse as it widened the scope of what could be considered for the defence and which illness would be allowed to be used in the defence for diminished responsibility. </w:t>
      </w:r>
    </w:p>
    <w:p>
      <w:pPr>
        <w:pStyle w:val="Body"/>
      </w:pPr>
    </w:p>
    <w:p>
      <w:pPr>
        <w:pStyle w:val="Body"/>
      </w:pPr>
      <w:r>
        <w:rPr>
          <w:rtl w:val="0"/>
          <w:lang w:val="en-US"/>
        </w:rPr>
        <w:t xml:space="preserve">Before the Coroners and Justice Act 2009, Lord Parker CJ in Byrne 1960 defined </w:t>
      </w:r>
      <w:r>
        <w:rPr>
          <w:rtl w:val="1"/>
          <w:lang w:val="ar-SA" w:bidi="ar-SA"/>
        </w:rPr>
        <w:t>“</w:t>
      </w:r>
      <w:r>
        <w:rPr>
          <w:rtl w:val="0"/>
          <w:lang w:val="en-US"/>
        </w:rPr>
        <w:t>abnormality of mind</w:t>
      </w:r>
      <w:r>
        <w:rPr>
          <w:rtl w:val="0"/>
        </w:rPr>
        <w:t xml:space="preserve">” </w:t>
      </w:r>
      <w:r>
        <w:rPr>
          <w:rtl w:val="0"/>
          <w:lang w:val="en-US"/>
        </w:rPr>
        <w:t>as a state of mind so different from that of ordinary human beings that the reasonable man would term it abnormal (R v Bryne 1960). This imprecise language is exactly what led to the change in law as it is very vague and does not specify the seriousness of the mental illness needed to not be charged with murder (Ministry of Justice, 2010). The previous definition of the homicide act would have let suspects with minor mental illnesses get away with murder just the same as those who have lost almost all mental capability (Oxford 2009). Section 2 of the previous act, before the Coroners and Justice Act 2009, combined impaired capacity and reduced liability which made it more likely for a convict of manslaughter to be given instead of murder. The jury would be required to convict the defendant of manslaughter over murders because an impaired capacity had diminished their mental responsibility for their act. This often left juries deciding based on morals and if they believed that the defendant deserved a conviction of manslaughter or murder. The extent of sympathy from the jury and defendant was very important during these cases as that is what they would have to base their decision off to make the decision to convict with manslaughter or murder (Oxford University press 2021). The need for change came from the law being too wide ranged and not having proper definitions for what should be considered in diminished responsibility cases. Section 2 of the Coroners and Justice Act 2009 replaced section 2(1) with three new subsections, (1), (1A), and (1B) (Legislation government, 2012). Subsection 1A now states that there are three things that the defendant must have the impaired ability to understand which are: to understand the nature of the defendant's conduct, to form a rational judgement, and to exercise self-control. Instead of having to show that the defendant</w:t>
      </w:r>
      <w:r>
        <w:rPr>
          <w:rtl w:val="1"/>
        </w:rPr>
        <w:t>’</w:t>
      </w:r>
      <w:r>
        <w:rPr>
          <w:rtl w:val="0"/>
          <w:lang w:val="en-US"/>
        </w:rPr>
        <w:t xml:space="preserve">s mental ability was substantially impaired, the defendant will now have to show that their ability to do one or more of the things listed in this subsection was substantially impaired (UK government 2012). This subsection provides a more clear point of view in terms of what is needed from the defence to prove that the defendant does have diminished responsibility due to their own mental capabilities. The problems that can be seen from this amended subsection is that the defendant does not now need to prove that their mental responsibility was impaired but they were impaired to be able to do one or more of the things listed. This shows how the defence can make a case based upon a defendant not being able to not have self-control or an understanding of their actions, instead of showing that the defendant suffers from a serious mental illness. Subsection 1 of this act substitutes the phrase </w:t>
      </w:r>
      <w:r>
        <w:rPr>
          <w:rtl w:val="1"/>
          <w:lang w:val="ar-SA" w:bidi="ar-SA"/>
        </w:rPr>
        <w:t>“</w:t>
      </w:r>
      <w:r>
        <w:rPr>
          <w:rtl w:val="0"/>
          <w:lang w:val="en-US"/>
        </w:rPr>
        <w:t>abnormality of mind</w:t>
      </w:r>
      <w:r>
        <w:rPr>
          <w:rtl w:val="0"/>
        </w:rPr>
        <w:t xml:space="preserve">” </w:t>
      </w:r>
      <w:r>
        <w:rPr>
          <w:rtl w:val="0"/>
          <w:lang w:val="en-US"/>
        </w:rPr>
        <w:t xml:space="preserve">with </w:t>
      </w:r>
      <w:r>
        <w:rPr>
          <w:rtl w:val="1"/>
          <w:lang w:val="ar-SA" w:bidi="ar-SA"/>
        </w:rPr>
        <w:t>“</w:t>
      </w:r>
      <w:r>
        <w:rPr>
          <w:rtl w:val="0"/>
          <w:lang w:val="en-US"/>
        </w:rPr>
        <w:t>abnormality of mental functioning</w:t>
      </w:r>
      <w:r>
        <w:rPr>
          <w:rtl w:val="0"/>
        </w:rPr>
        <w:t xml:space="preserve">” </w:t>
      </w:r>
      <w:r>
        <w:rPr>
          <w:rtl w:val="0"/>
          <w:lang w:val="en-US"/>
        </w:rPr>
        <w:t xml:space="preserve">that must arise from a </w:t>
      </w:r>
      <w:r>
        <w:rPr>
          <w:rtl w:val="1"/>
          <w:lang w:val="ar-SA" w:bidi="ar-SA"/>
        </w:rPr>
        <w:t>“</w:t>
      </w:r>
      <w:r>
        <w:rPr>
          <w:rtl w:val="0"/>
          <w:lang w:val="en-US"/>
        </w:rPr>
        <w:t>recognised medical condition</w:t>
      </w:r>
      <w:r>
        <w:rPr>
          <w:rtl w:val="0"/>
        </w:rPr>
        <w:t xml:space="preserve">” </w:t>
      </w:r>
      <w:r>
        <w:rPr>
          <w:rtl w:val="0"/>
          <w:lang w:val="en-US"/>
        </w:rPr>
        <w:t xml:space="preserve">(Legislation government, 2012). This change in definition was for both the better and worse as it opens up to a wider defence that can be used. The reasoning behind changing this definition was that it was not made with medical experts in mind, even though they play a vital role in the evidence, and was changed to allow for medical experts to chime in and support the definition. However, this definition is not any narrower than the previous as abnormality of mental functioning is not defined in section 2 of this act, allowing for a wider use of medical conditions to potentially be used in the defence. In the amended section 2 the abnormality must have arisen from a recognised medical condition that would include psychiatric, psychological and physical conditions (Brook 2009). Even though this definition can be seen to be helpful, it also allows for a wider range of defences to be used and is more inclusive of conditions than before.   </w:t>
      </w:r>
    </w:p>
    <w:p>
      <w:pPr>
        <w:pStyle w:val="Body"/>
      </w:pPr>
    </w:p>
    <w:p>
      <w:pPr>
        <w:pStyle w:val="Body"/>
      </w:pPr>
      <w:r>
        <w:rPr>
          <w:rtl w:val="0"/>
          <w:lang w:val="en-US"/>
        </w:rPr>
        <w:t xml:space="preserve">Further reform that could take place for diminished responsibility is that the law is more accurate and concise in their definitions and also what can be considered as an abnormality of mental functioning. The law should state which conditions are to be considered in the cases of diminished responsibility and also how bad these conditions should be for it to be considered that they had no control over their actions. The definitions should also be more concise and accurate as they have too much room for interpretation and expand the scope of what can be considered when looking at diminished responsibility, allowing the defence to have more ground to build a case upon (House of commons library, 2016). Diminished responsibility is a law that is very serious as there are people who do not have complete control over their actions and so the law should be more clear as two people with the same condition with different severities should both not be able to use diminished responsibility as their defence (Brook 2009).   </w:t>
      </w:r>
    </w:p>
    <w:p>
      <w:pPr>
        <w:pStyle w:val="Body"/>
      </w:pPr>
    </w:p>
    <w:p>
      <w:pPr>
        <w:pStyle w:val="Body"/>
      </w:pPr>
      <w:r>
        <w:rPr>
          <w:rtl w:val="0"/>
          <w:lang w:val="en-US"/>
        </w:rPr>
        <w:t xml:space="preserve">To conclude, the changes that the Coroners and Justice Act 2009 made can be seen for the better and worse as they have advantages and disadvantages. The changes that were made were made with the intention of trying to make the law more concise and accurate so that it is more clear in the cases of diminished responsibility. However, the amended law is now more open and contains sections that have room for more cases to be made for the defence, making the outcome of murder less likely and a conviction of manslaughter to be the more likely outcome in a case of diminished responsibility. The Coroners and Justice Act 2009 is one that can be seen as an example for future acts that come into the power as this one has its flaws. The Act itself should have been constructed to be more accurate and not open the door for more cases to be made in favour of the defence. The purpose of the act was to make it more clear in cases of diminished responsibility what can be considered in these cases and what should not but that is not what has happened and instead there is more room for interpretation. </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jc w:val="center"/>
      </w:pPr>
      <w:r>
        <w:rPr>
          <w:rtl w:val="0"/>
          <w:lang w:val="pt-PT"/>
        </w:rPr>
        <w:t>Reference List</w:t>
      </w:r>
    </w:p>
    <w:p>
      <w:pPr>
        <w:pStyle w:val="Body"/>
        <w:rPr>
          <w:outline w:val="0"/>
          <w:color w:val="333333"/>
          <w:u w:color="333333"/>
          <w:shd w:val="clear" w:color="auto" w:fill="fbfbfb"/>
          <w14:textFill>
            <w14:solidFill>
              <w14:srgbClr w14:val="333333"/>
            </w14:solidFill>
          </w14:textFill>
        </w:rPr>
      </w:pPr>
    </w:p>
    <w:p>
      <w:pPr>
        <w:pStyle w:val="Body"/>
        <w:rPr>
          <w:outline w:val="0"/>
          <w:color w:val="333333"/>
          <w:sz w:val="23"/>
          <w:szCs w:val="23"/>
          <w:u w:color="333333"/>
          <w:shd w:val="clear" w:color="auto" w:fill="fbfbfb"/>
          <w14:textFill>
            <w14:solidFill>
              <w14:srgbClr w14:val="333333"/>
            </w14:solidFill>
          </w14:textFill>
        </w:rPr>
      </w:pPr>
      <w:r>
        <w:rPr>
          <w:outline w:val="0"/>
          <w:color w:val="333333"/>
          <w:sz w:val="23"/>
          <w:szCs w:val="23"/>
          <w:u w:color="333333"/>
          <w:shd w:val="clear" w:color="auto" w:fill="fbfbfb"/>
          <w:rtl w:val="0"/>
          <w:lang w:val="en-US"/>
          <w14:textFill>
            <w14:solidFill>
              <w14:srgbClr w14:val="333333"/>
            </w14:solidFill>
          </w14:textFill>
        </w:rPr>
        <w:t xml:space="preserve">Oxford University Press </w:t>
      </w:r>
      <w:r>
        <w:rPr>
          <w:i w:val="1"/>
          <w:iCs w:val="1"/>
          <w:outline w:val="0"/>
          <w:color w:val="333333"/>
          <w:sz w:val="23"/>
          <w:szCs w:val="23"/>
          <w:u w:color="333333"/>
          <w:shd w:val="clear" w:color="auto" w:fill="fbfbfb"/>
          <w:rtl w:val="0"/>
          <w:lang w:val="en-US"/>
          <w14:textFill>
            <w14:solidFill>
              <w14:srgbClr w14:val="333333"/>
            </w14:solidFill>
          </w14:textFill>
        </w:rPr>
        <w:t xml:space="preserve">Criminal Law: Texts, Cases &amp; Materials </w:t>
      </w:r>
      <w:r>
        <w:rPr>
          <w:outline w:val="0"/>
          <w:color w:val="333333"/>
          <w:sz w:val="23"/>
          <w:szCs w:val="23"/>
          <w:u w:color="333333"/>
          <w:shd w:val="clear" w:color="auto" w:fill="fbfbfb"/>
          <w:rtl w:val="0"/>
          <w14:textFill>
            <w14:solidFill>
              <w14:srgbClr w14:val="333333"/>
            </w14:solidFill>
          </w14:textFill>
        </w:rPr>
        <w:t xml:space="preserve">(2022) </w:t>
      </w:r>
    </w:p>
    <w:p>
      <w:pPr>
        <w:pStyle w:val="Body"/>
        <w:rPr>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outline w:val="0"/>
          <w:color w:val="333333"/>
          <w:sz w:val="23"/>
          <w:szCs w:val="23"/>
          <w:u w:color="333333"/>
          <w:shd w:val="clear" w:color="auto" w:fill="fbfbfb"/>
          <w:rtl w:val="0"/>
          <w:lang w:val="en-US"/>
          <w14:textFill>
            <w14:solidFill>
              <w14:srgbClr w14:val="333333"/>
            </w14:solidFill>
          </w14:textFill>
        </w:rPr>
        <w:t xml:space="preserve">House of Commons library (2016) </w:t>
      </w:r>
      <w:r>
        <w:rPr>
          <w:i w:val="1"/>
          <w:iCs w:val="1"/>
          <w:outline w:val="0"/>
          <w:color w:val="333333"/>
          <w:sz w:val="23"/>
          <w:szCs w:val="23"/>
          <w:u w:color="333333"/>
          <w:shd w:val="clear" w:color="auto" w:fill="fbfbfb"/>
          <w:rtl w:val="0"/>
          <w:lang w:val="en-US"/>
          <w14:textFill>
            <w14:solidFill>
              <w14:srgbClr w14:val="333333"/>
            </w14:solidFill>
          </w14:textFill>
        </w:rPr>
        <w:t xml:space="preserve">Reforming the Law on homicide </w:t>
      </w:r>
      <w:r>
        <w:rPr>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"https://researchbriefings.files.parliament.uk/documents/CDP-2016-0094/CDP-2016-0094.pdf"</w:instrText>
      </w:r>
      <w:r>
        <w:rPr>
          <w:rStyle w:val="Hyperlink.0"/>
        </w:rPr>
        <w:fldChar w:fldCharType="separate" w:fldLock="0"/>
      </w:r>
      <w:r>
        <w:rPr>
          <w:rStyle w:val="Hyperlink.0"/>
          <w:rtl w:val="0"/>
          <w:lang w:val="pt-PT"/>
        </w:rPr>
        <w:t>https://researchbriefings.files.parliament.uk/documents/CDP-2016-0094/CDP-2016-0094.pdf</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7th March).</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Legislation government (2012) </w:t>
      </w: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Coroners and Justice Act 2009 Explanatory Notes </w:t>
      </w:r>
      <w:r>
        <w:rPr>
          <w:rStyle w:val="None"/>
          <w:outline w:val="0"/>
          <w:color w:val="333333"/>
          <w:sz w:val="23"/>
          <w:szCs w:val="23"/>
          <w:u w:color="333333"/>
          <w:shd w:val="clear" w:color="auto" w:fill="fbfbfb"/>
          <w:rtl w:val="0"/>
          <w:lang w:val="en-US"/>
          <w14:textFill>
            <w14:solidFill>
              <w14:srgbClr w14:val="333333"/>
            </w14:solidFill>
          </w14:textFill>
        </w:rPr>
        <w:t xml:space="preserve">at: </w:t>
      </w:r>
      <w:r>
        <w:rPr>
          <w:rStyle w:val="Hyperlink.0"/>
        </w:rPr>
        <w:fldChar w:fldCharType="begin" w:fldLock="0"/>
      </w:r>
      <w:r>
        <w:rPr>
          <w:rStyle w:val="Hyperlink.0"/>
        </w:rPr>
        <w:instrText xml:space="preserve"> HYPERLINK "https://www.legislation.gov.uk/ukpga/2009/25/notes/division/5/1/2?type=en&amp;view=plain"</w:instrText>
      </w:r>
      <w:r>
        <w:rPr>
          <w:rStyle w:val="Hyperlink.0"/>
        </w:rPr>
        <w:fldChar w:fldCharType="separate" w:fldLock="0"/>
      </w:r>
      <w:r>
        <w:rPr>
          <w:rStyle w:val="Hyperlink.0"/>
          <w:rtl w:val="0"/>
        </w:rPr>
        <w:t>https://www.legislation.gov.uk/ukpga/2009/25/notes/division/5/1/2?type=en&amp;view=plain</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5th March).</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rStyle w:val="None"/>
          <w:outline w:val="0"/>
          <w:color w:val="333333"/>
          <w:u w:color="333333"/>
          <w:shd w:val="clear" w:color="auto" w:fill="fbfbfb"/>
          <w:rtl w:val="0"/>
          <w:lang w:val="en-US"/>
          <w14:textFill>
            <w14:solidFill>
              <w14:srgbClr w14:val="333333"/>
            </w14:solidFill>
          </w14:textFill>
        </w:rPr>
        <w:t xml:space="preserve">Ministry of Justice (2010) </w:t>
      </w:r>
      <w:r>
        <w:rPr>
          <w:rStyle w:val="None"/>
          <w:i w:val="1"/>
          <w:iCs w:val="1"/>
          <w:rtl w:val="0"/>
          <w:lang w:val="en-US"/>
        </w:rPr>
        <w:t>Partial defences to murder: loss of control and diminished responsibility; and infanticide: Implementation of Sections 52, and 54 to 57 of the Coroners and Justice Act 2009</w:t>
      </w:r>
      <w:r>
        <w:rPr>
          <w:rStyle w:val="None"/>
          <w:b w:val="1"/>
          <w:bCs w:val="1"/>
          <w:rtl w:val="0"/>
        </w:rPr>
        <w:t xml:space="preserve"> </w:t>
      </w:r>
      <w:r>
        <w:rPr>
          <w:rStyle w:val="None"/>
          <w:outline w:val="0"/>
          <w:color w:val="333333"/>
          <w:u w:color="333333"/>
          <w:shd w:val="clear" w:color="auto" w:fill="fbfbfb"/>
          <w:rtl w:val="0"/>
          <w:lang w:val="en-US"/>
          <w14:textFill>
            <w14:solidFill>
              <w14:srgbClr w14:val="333333"/>
            </w14:solidFill>
          </w14:textFill>
        </w:rPr>
        <w:t xml:space="preserve">Available at: </w:t>
      </w:r>
      <w:r>
        <w:rPr>
          <w:rStyle w:val="Hyperlink.1"/>
        </w:rPr>
        <w:fldChar w:fldCharType="begin" w:fldLock="0"/>
      </w:r>
      <w:r>
        <w:rPr>
          <w:rStyle w:val="Hyperlink.1"/>
        </w:rPr>
        <w:instrText xml:space="preserve"> HYPERLINK "https://www.justice.gov.uk/downloads/legislation/bills-acts/circulars/moj/2010/circular-12-2010-coroners-justice-act-homicide-provisions.pdf"</w:instrText>
      </w:r>
      <w:r>
        <w:rPr>
          <w:rStyle w:val="Hyperlink.1"/>
        </w:rPr>
        <w:fldChar w:fldCharType="separate" w:fldLock="0"/>
      </w:r>
      <w:r>
        <w:rPr>
          <w:rStyle w:val="Hyperlink.1"/>
          <w:rtl w:val="0"/>
        </w:rPr>
        <w:t>https://www.justice.gov.uk/downloads/legislation/bills-acts/circulars/moj/2010/circular-12-2010-coroners-justice-act-homicide-provisions.pdf</w:t>
      </w:r>
      <w:r>
        <w:rPr/>
        <w:fldChar w:fldCharType="end" w:fldLock="0"/>
      </w:r>
      <w:r>
        <w:rPr>
          <w:rStyle w:val="None"/>
          <w:outline w:val="0"/>
          <w:color w:val="333333"/>
          <w:u w:color="333333"/>
          <w:shd w:val="clear" w:color="auto" w:fill="fbfbfb"/>
          <w:rtl w:val="0"/>
          <w:lang w:val="en-US"/>
          <w14:textFill>
            <w14:solidFill>
              <w14:srgbClr w14:val="333333"/>
            </w14:solidFill>
          </w14:textFill>
        </w:rPr>
        <w:t xml:space="preserve"> (Accessed: 5th March).</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Ministry of Justice (2015) </w:t>
      </w: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Post-implementation review of the coroner reforms in the coroner and justice act 2009 </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"https://consult.justice.gov.uk/digital-communications/post-implementation-review-of-coroner-reforms/"</w:instrText>
      </w:r>
      <w:r>
        <w:rPr>
          <w:rStyle w:val="Hyperlink.0"/>
        </w:rPr>
        <w:fldChar w:fldCharType="separate" w:fldLock="0"/>
      </w:r>
      <w:r>
        <w:rPr>
          <w:rStyle w:val="Hyperlink.0"/>
          <w:rtl w:val="0"/>
        </w:rPr>
        <w:t>https://consult.justice.gov.uk/digital-communications/post-implementation-review-of-coroner-reforms/</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4th March). </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14:textFill>
            <w14:solidFill>
              <w14:srgbClr w14:val="333333"/>
            </w14:solidFill>
          </w14:textFill>
        </w:rPr>
        <w:t xml:space="preserve">Oxford University Press Ormerod, D.C. (2021) </w:t>
      </w:r>
      <w:r>
        <w:rPr>
          <w:rStyle w:val="None"/>
          <w:i w:val="1"/>
          <w:iCs w:val="1"/>
          <w:outline w:val="0"/>
          <w:color w:val="333333"/>
          <w:sz w:val="23"/>
          <w:szCs w:val="23"/>
          <w:u w:color="333333"/>
          <w:shd w:val="clear" w:color="auto" w:fill="fbfbfb"/>
          <w:rtl w:val="0"/>
          <w:lang w:val="en-US"/>
          <w14:textFill>
            <w14:solidFill>
              <w14:srgbClr w14:val="333333"/>
            </w14:solidFill>
          </w14:textFill>
        </w:rPr>
        <w:t>Smith, Hogan, and Ormerod's criminal law.</w:t>
      </w:r>
      <w:r>
        <w:rPr>
          <w:rStyle w:val="None"/>
          <w:outline w:val="0"/>
          <w:color w:val="333333"/>
          <w:sz w:val="23"/>
          <w:szCs w:val="23"/>
          <w:u w:color="333333"/>
          <w:shd w:val="clear" w:color="auto" w:fill="fbfbfb"/>
          <w:rtl w:val="0"/>
          <w14:textFill>
            <w14:solidFill>
              <w14:srgbClr w14:val="333333"/>
            </w14:solidFill>
          </w14:textFill>
        </w:rPr>
        <w:t xml:space="preserve"> Oxford. </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p>
    <w:p>
      <w:pPr>
        <w:pStyle w:val="Body"/>
      </w:pPr>
    </w:p>
    <w:p>
      <w:pPr>
        <w:pStyle w:val="Body"/>
      </w:pPr>
    </w:p>
    <w:p>
      <w:pPr>
        <w:pStyle w:val="Body"/>
      </w:pPr>
    </w:p>
    <w:p>
      <w:pPr>
        <w:pStyle w:val="Body"/>
      </w:pPr>
    </w:p>
    <w:p>
      <w:pPr>
        <w:pStyle w:val="Body"/>
      </w:pPr>
    </w:p>
    <w:p>
      <w:pPr>
        <w:pStyle w:val="Body"/>
      </w:p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sz w:val="23"/>
      <w:szCs w:val="23"/>
      <w:u w:val="single" w:color="1155cc"/>
      <w:shd w:val="clear" w:color="auto" w:fill="fbfbfb"/>
      <w14:textFill>
        <w14:solidFill>
          <w14:srgbClr w14:val="1155CC"/>
        </w14:solidFill>
      </w14:textFill>
    </w:rPr>
  </w:style>
  <w:style w:type="character" w:styleId="Hyperlink.1">
    <w:name w:val="Hyperlink.1"/>
    <w:basedOn w:val="None"/>
    <w:next w:val="Hyperlink.1"/>
    <w:rPr>
      <w:outline w:val="0"/>
      <w:color w:val="1155cc"/>
      <w:u w:val="single" w:color="1155cc"/>
      <w:shd w:val="clear" w:color="auto" w:fill="fbfbfb"/>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