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8F383" w14:textId="046E5962" w:rsidR="002271E6" w:rsidRDefault="002271E6" w:rsidP="002271E6">
      <w:pPr>
        <w:jc w:val="right"/>
      </w:pPr>
      <w:bookmarkStart w:id="0" w:name="_GoBack"/>
      <w:bookmarkEnd w:id="0"/>
      <w:r>
        <w:t>Rebecca Macfarlane</w:t>
      </w:r>
    </w:p>
    <w:p w14:paraId="3ECB9272" w14:textId="4400BE7F" w:rsidR="00110A31" w:rsidRDefault="001B6627" w:rsidP="00E86D6B">
      <w:pPr>
        <w:pStyle w:val="Heading1"/>
      </w:pPr>
      <w:proofErr w:type="spellStart"/>
      <w:r>
        <w:t>Varteg</w:t>
      </w:r>
      <w:proofErr w:type="spellEnd"/>
      <w:r>
        <w:t xml:space="preserve">, </w:t>
      </w:r>
      <w:proofErr w:type="spellStart"/>
      <w:r>
        <w:t>Blaenavon</w:t>
      </w:r>
      <w:proofErr w:type="spellEnd"/>
      <w:r>
        <w:t xml:space="preserve">: Block D </w:t>
      </w:r>
    </w:p>
    <w:p w14:paraId="71341353" w14:textId="30E28130" w:rsidR="001B6627" w:rsidRDefault="001B6627"/>
    <w:p w14:paraId="7C82D29E" w14:textId="0435EC6D" w:rsidR="0085382E" w:rsidRDefault="0085382E">
      <w:r>
        <w:t xml:space="preserve">This report will be analysing data for the remediation site based at </w:t>
      </w:r>
      <w:proofErr w:type="spellStart"/>
      <w:r>
        <w:t>Varteg</w:t>
      </w:r>
      <w:proofErr w:type="spellEnd"/>
      <w:r>
        <w:t xml:space="preserve"> in </w:t>
      </w:r>
      <w:proofErr w:type="spellStart"/>
      <w:r>
        <w:t>Blaenavon</w:t>
      </w:r>
      <w:proofErr w:type="spellEnd"/>
      <w:r>
        <w:t xml:space="preserve"> and exploring whether it is possible to determine any reasons or patterns for the behaviour and development that has taken place. </w:t>
      </w:r>
      <w:r w:rsidR="00AF3576">
        <w:t>M</w:t>
      </w:r>
      <w:r>
        <w:t xml:space="preserve">uch of the physical landscape of Wales </w:t>
      </w:r>
      <w:r w:rsidR="00AF3576">
        <w:t xml:space="preserve">is </w:t>
      </w:r>
      <w:r>
        <w:t xml:space="preserve">in the same condition as </w:t>
      </w:r>
      <w:proofErr w:type="spellStart"/>
      <w:r>
        <w:t>Varteg</w:t>
      </w:r>
      <w:proofErr w:type="spellEnd"/>
      <w:r>
        <w:t xml:space="preserve">, </w:t>
      </w:r>
      <w:r w:rsidR="00AF3576">
        <w:t xml:space="preserve">and so </w:t>
      </w:r>
      <w:r>
        <w:t xml:space="preserve">it is imperative to glean as much information as possible to promote </w:t>
      </w:r>
      <w:r w:rsidR="009338A4">
        <w:t xml:space="preserve">and support </w:t>
      </w:r>
      <w:r>
        <w:t>future reclamation work elsewhere.</w:t>
      </w:r>
    </w:p>
    <w:p w14:paraId="0DAC9526" w14:textId="77777777" w:rsidR="0085382E" w:rsidRDefault="0085382E"/>
    <w:p w14:paraId="2FAF88DC" w14:textId="1963F30B" w:rsidR="00DE383F" w:rsidRDefault="00DE383F" w:rsidP="00E86D6B">
      <w:pPr>
        <w:pStyle w:val="Heading2"/>
      </w:pPr>
      <w:r>
        <w:t>Site History</w:t>
      </w:r>
    </w:p>
    <w:p w14:paraId="3BBC85FA" w14:textId="46DC74B7" w:rsidR="001B6627" w:rsidRDefault="005B08C6">
      <w:r>
        <w:t xml:space="preserve">The multiple sites at </w:t>
      </w:r>
      <w:proofErr w:type="spellStart"/>
      <w:r>
        <w:t>Varteg</w:t>
      </w:r>
      <w:proofErr w:type="spellEnd"/>
      <w:r>
        <w:t xml:space="preserve"> date back as far as 1840</w:t>
      </w:r>
      <w:sdt>
        <w:sdtPr>
          <w:id w:val="659813481"/>
          <w:citation/>
        </w:sdtPr>
        <w:sdtEndPr/>
        <w:sdtContent>
          <w:r w:rsidR="0097186A">
            <w:fldChar w:fldCharType="begin"/>
          </w:r>
          <w:r w:rsidR="0097186A">
            <w:instrText xml:space="preserve">CITATION Welnd \l 2057 </w:instrText>
          </w:r>
          <w:r w:rsidR="0097186A">
            <w:fldChar w:fldCharType="separate"/>
          </w:r>
          <w:r w:rsidR="00065D5E">
            <w:rPr>
              <w:noProof/>
            </w:rPr>
            <w:t xml:space="preserve"> (Welsh Coal Mines, nd)</w:t>
          </w:r>
          <w:r w:rsidR="0097186A">
            <w:fldChar w:fldCharType="end"/>
          </w:r>
        </w:sdtContent>
      </w:sdt>
      <w:r>
        <w:t xml:space="preserve">, with extensive work being carried out up until </w:t>
      </w:r>
      <w:r w:rsidR="00EF27B0">
        <w:t>196</w:t>
      </w:r>
      <w:r w:rsidR="00171661">
        <w:t>3</w:t>
      </w:r>
      <w:r w:rsidR="00EF27B0">
        <w:t xml:space="preserve"> when the NCB closed down the main site, though minor works continued on </w:t>
      </w:r>
      <w:r w:rsidR="00171661">
        <w:t xml:space="preserve">nearby </w:t>
      </w:r>
      <w:r w:rsidR="00EF27B0">
        <w:t>into the early 1990’s</w:t>
      </w:r>
      <w:r w:rsidR="00270501">
        <w:t xml:space="preserve">. </w:t>
      </w:r>
      <w:r w:rsidR="008B46AF">
        <w:t>T</w:t>
      </w:r>
      <w:r w:rsidR="00270501">
        <w:t>he f</w:t>
      </w:r>
      <w:r w:rsidR="008B46AF">
        <w:t>ull</w:t>
      </w:r>
      <w:r w:rsidR="00270501">
        <w:t xml:space="preserve"> extent of the work carried isn’</w:t>
      </w:r>
      <w:r w:rsidR="008B46AF">
        <w:t>t</w:t>
      </w:r>
      <w:r w:rsidR="00270501">
        <w:t xml:space="preserve"> known as there are abandoned mines that were undocumented and only found when new mining routes came across old routes or chambers</w:t>
      </w:r>
      <w:sdt>
        <w:sdtPr>
          <w:id w:val="368883186"/>
          <w:citation/>
        </w:sdtPr>
        <w:sdtEndPr/>
        <w:sdtContent>
          <w:r w:rsidR="00270501">
            <w:fldChar w:fldCharType="begin"/>
          </w:r>
          <w:r w:rsidR="00EF27B0">
            <w:instrText xml:space="preserve">CITATION Ree16 \l 2057 </w:instrText>
          </w:r>
          <w:r w:rsidR="00270501">
            <w:fldChar w:fldCharType="separate"/>
          </w:r>
          <w:r w:rsidR="00065D5E">
            <w:rPr>
              <w:noProof/>
            </w:rPr>
            <w:t xml:space="preserve"> (Reed, 2016)</w:t>
          </w:r>
          <w:r w:rsidR="00270501">
            <w:fldChar w:fldCharType="end"/>
          </w:r>
        </w:sdtContent>
      </w:sdt>
      <w:r w:rsidR="00EF27B0">
        <w:t>.</w:t>
      </w:r>
    </w:p>
    <w:p w14:paraId="6B3D8532" w14:textId="5929F6CC" w:rsidR="00EF27B0" w:rsidRDefault="00EF27B0">
      <w:r>
        <w:t>The remediation site appears to be within an area that was heavily used from as early as 1865, referenced below on maps from 1899 as containing an ‘old quarry’</w:t>
      </w:r>
      <w:sdt>
        <w:sdtPr>
          <w:id w:val="1174617218"/>
          <w:citation/>
        </w:sdtPr>
        <w:sdtEndPr/>
        <w:sdtContent>
          <w:r>
            <w:fldChar w:fldCharType="begin"/>
          </w:r>
          <w:r>
            <w:instrText xml:space="preserve"> CITATION Indnd \l 2057 </w:instrText>
          </w:r>
          <w:r>
            <w:fldChar w:fldCharType="separate"/>
          </w:r>
          <w:r w:rsidR="00065D5E">
            <w:rPr>
              <w:noProof/>
            </w:rPr>
            <w:t xml:space="preserve"> (Industrial Gwent, nd)</w:t>
          </w:r>
          <w:r>
            <w:fldChar w:fldCharType="end"/>
          </w:r>
        </w:sdtContent>
      </w:sdt>
      <w:r>
        <w:t>.</w:t>
      </w:r>
    </w:p>
    <w:p w14:paraId="6B8BC859" w14:textId="6EF63AAC" w:rsidR="007A32FE" w:rsidRDefault="00C10439">
      <w:r>
        <w:rPr>
          <w:noProof/>
          <w:lang w:eastAsia="zh-CN"/>
        </w:rPr>
        <w:drawing>
          <wp:inline distT="0" distB="0" distL="0" distR="0" wp14:anchorId="51AB43C0" wp14:editId="3205F9D5">
            <wp:extent cx="5722620" cy="25831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2583180"/>
                    </a:xfrm>
                    <a:prstGeom prst="rect">
                      <a:avLst/>
                    </a:prstGeom>
                    <a:noFill/>
                    <a:ln>
                      <a:noFill/>
                    </a:ln>
                  </pic:spPr>
                </pic:pic>
              </a:graphicData>
            </a:graphic>
          </wp:inline>
        </w:drawing>
      </w:r>
    </w:p>
    <w:p w14:paraId="1A1DF498" w14:textId="1608E732" w:rsidR="00DE383F" w:rsidRDefault="00D72610">
      <w:sdt>
        <w:sdtPr>
          <w:id w:val="33555622"/>
          <w:citation/>
        </w:sdtPr>
        <w:sdtEndPr/>
        <w:sdtContent>
          <w:r w:rsidR="001B27CC">
            <w:fldChar w:fldCharType="begin"/>
          </w:r>
          <w:r w:rsidR="001B27CC">
            <w:instrText xml:space="preserve"> CITATION Indnd \l 2057 </w:instrText>
          </w:r>
          <w:r w:rsidR="001B27CC">
            <w:fldChar w:fldCharType="separate"/>
          </w:r>
          <w:r w:rsidR="00065D5E">
            <w:rPr>
              <w:noProof/>
            </w:rPr>
            <w:t>(Industrial Gwent, nd)</w:t>
          </w:r>
          <w:r w:rsidR="001B27CC">
            <w:fldChar w:fldCharType="end"/>
          </w:r>
        </w:sdtContent>
      </w:sdt>
    </w:p>
    <w:p w14:paraId="5622073F" w14:textId="5B80C632" w:rsidR="001B27CC" w:rsidRDefault="001B27CC"/>
    <w:p w14:paraId="670016A0" w14:textId="31EE5A2C" w:rsidR="00DE383F" w:rsidRDefault="00DE383F" w:rsidP="00E86D6B">
      <w:pPr>
        <w:pStyle w:val="Heading2"/>
      </w:pPr>
      <w:r>
        <w:t>Physical Background</w:t>
      </w:r>
    </w:p>
    <w:p w14:paraId="5D71116B" w14:textId="0FAD052C" w:rsidR="001B6627" w:rsidRDefault="00EF27B0">
      <w:r>
        <w:t xml:space="preserve">It should be noted that Bracy’s Pit is particularly close to the remediation site and </w:t>
      </w:r>
      <w:r w:rsidR="0005220F">
        <w:t xml:space="preserve">contained many culverts which have now either been destroyed or filled in with no active redirection of the water </w:t>
      </w:r>
      <w:r w:rsidR="0005220F">
        <w:lastRenderedPageBreak/>
        <w:t xml:space="preserve">that they housed. </w:t>
      </w:r>
      <w:r w:rsidR="00AC3181">
        <w:t xml:space="preserve">This should be </w:t>
      </w:r>
      <w:r w:rsidR="000B4D73">
        <w:t>considered</w:t>
      </w:r>
      <w:r w:rsidR="00AC3181">
        <w:t xml:space="preserve"> when </w:t>
      </w:r>
      <w:r w:rsidR="007F0496">
        <w:t>analysing</w:t>
      </w:r>
      <w:r w:rsidR="00AC3181">
        <w:t xml:space="preserve"> the effect of growth rates, along with </w:t>
      </w:r>
      <w:r w:rsidR="004F5F22">
        <w:rPr>
          <w:noProof/>
          <w:lang w:eastAsia="zh-CN"/>
        </w:rPr>
        <w:drawing>
          <wp:anchor distT="0" distB="0" distL="114300" distR="114300" simplePos="0" relativeHeight="251658240" behindDoc="0" locked="0" layoutInCell="1" allowOverlap="1" wp14:anchorId="02785DAE" wp14:editId="4AC6CCDA">
            <wp:simplePos x="0" y="0"/>
            <wp:positionH relativeFrom="margin">
              <wp:align>left</wp:align>
            </wp:positionH>
            <wp:positionV relativeFrom="paragraph">
              <wp:posOffset>472440</wp:posOffset>
            </wp:positionV>
            <wp:extent cx="2606040" cy="173609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7827" cy="1744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3181">
        <w:t>the heavy metals that will be present in the soil that is typical of coal spoil.</w:t>
      </w:r>
    </w:p>
    <w:p w14:paraId="6816EE47" w14:textId="2987A606" w:rsidR="000B4D73" w:rsidRDefault="00D72610">
      <w:sdt>
        <w:sdtPr>
          <w:id w:val="1755785571"/>
          <w:citation/>
        </w:sdtPr>
        <w:sdtEndPr/>
        <w:sdtContent>
          <w:r w:rsidR="007F0496">
            <w:fldChar w:fldCharType="begin"/>
          </w:r>
          <w:r w:rsidR="007F0496">
            <w:instrText xml:space="preserve"> CITATION Indnd \l 2057 </w:instrText>
          </w:r>
          <w:r w:rsidR="007F0496">
            <w:fldChar w:fldCharType="separate"/>
          </w:r>
          <w:r w:rsidR="00065D5E">
            <w:rPr>
              <w:noProof/>
            </w:rPr>
            <w:t>(Industrial Gwent, nd)</w:t>
          </w:r>
          <w:r w:rsidR="007F0496">
            <w:fldChar w:fldCharType="end"/>
          </w:r>
        </w:sdtContent>
      </w:sdt>
    </w:p>
    <w:p w14:paraId="2B801446" w14:textId="131FA90E" w:rsidR="00477309" w:rsidRDefault="00477309">
      <w:r>
        <w:t>Prior to planting at the site, it should also be noted that the land was ploughed or turned over by the local farmer when it had been determined by the team that they wished for it to remain in situ.</w:t>
      </w:r>
    </w:p>
    <w:p w14:paraId="40A52D71" w14:textId="3F3806CD" w:rsidR="00C43230" w:rsidRDefault="004F5F22">
      <w:r w:rsidRPr="001727C3">
        <w:rPr>
          <w:noProof/>
          <w:lang w:eastAsia="zh-CN"/>
        </w:rPr>
        <w:drawing>
          <wp:anchor distT="0" distB="0" distL="114300" distR="114300" simplePos="0" relativeHeight="251659264" behindDoc="0" locked="0" layoutInCell="1" allowOverlap="1" wp14:anchorId="6E31ADC1" wp14:editId="11764740">
            <wp:simplePos x="0" y="0"/>
            <wp:positionH relativeFrom="margin">
              <wp:align>right</wp:align>
            </wp:positionH>
            <wp:positionV relativeFrom="paragraph">
              <wp:posOffset>916305</wp:posOffset>
            </wp:positionV>
            <wp:extent cx="2005965" cy="1503680"/>
            <wp:effectExtent l="0" t="0" r="0" b="1270"/>
            <wp:wrapThrough wrapText="bothSides">
              <wp:wrapPolygon edited="0">
                <wp:start x="0" y="0"/>
                <wp:lineTo x="0" y="21345"/>
                <wp:lineTo x="21333" y="21345"/>
                <wp:lineTo x="21333" y="0"/>
                <wp:lineTo x="0" y="0"/>
              </wp:wrapPolygon>
            </wp:wrapThrough>
            <wp:docPr id="32771" name="Picture 2" descr="DSCF0190.JPG">
              <a:extLst xmlns:a="http://schemas.openxmlformats.org/drawingml/2006/main">
                <a:ext uri="{FF2B5EF4-FFF2-40B4-BE49-F238E27FC236}">
                  <a16:creationId xmlns:a16="http://schemas.microsoft.com/office/drawing/2014/main" id="{28938815-7E22-423D-8616-0AD166107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2" descr="DSCF0190.JPG">
                      <a:extLst>
                        <a:ext uri="{FF2B5EF4-FFF2-40B4-BE49-F238E27FC236}">
                          <a16:creationId xmlns:a16="http://schemas.microsoft.com/office/drawing/2014/main" id="{28938815-7E22-423D-8616-0AD1661075F8}"/>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5965" cy="1503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3230">
        <w:t xml:space="preserve">The ground at </w:t>
      </w:r>
      <w:proofErr w:type="spellStart"/>
      <w:r w:rsidR="00C43230">
        <w:t>Varteg</w:t>
      </w:r>
      <w:proofErr w:type="spellEnd"/>
      <w:r w:rsidR="00C43230">
        <w:t xml:space="preserve"> is very rocky, with dense and compacted soil that is difficult to plant into. Combined with the site’s exposure and generally poor weather conditions, the water run-off can be extreme with little absorption. With the site also being ploughed, this has in turn led to pockets of water collecting in certain areas, leaving the site somewhat unpredictable in what the constant conditions should be. </w:t>
      </w:r>
    </w:p>
    <w:p w14:paraId="3A08CD1F" w14:textId="6465FCE9" w:rsidR="001727C3" w:rsidRDefault="00D72610" w:rsidP="004F5F22">
      <w:pPr>
        <w:jc w:val="right"/>
      </w:pPr>
      <w:sdt>
        <w:sdtPr>
          <w:id w:val="1429921674"/>
          <w:citation/>
        </w:sdtPr>
        <w:sdtEndPr/>
        <w:sdtContent>
          <w:r w:rsidR="001727C3">
            <w:fldChar w:fldCharType="begin"/>
          </w:r>
          <w:r w:rsidR="001727C3">
            <w:instrText xml:space="preserve"> CITATION Rhi19 \l 2057 </w:instrText>
          </w:r>
          <w:r w:rsidR="001727C3">
            <w:fldChar w:fldCharType="separate"/>
          </w:r>
          <w:r w:rsidR="00065D5E">
            <w:rPr>
              <w:noProof/>
            </w:rPr>
            <w:t>(Jenkins, 2019)</w:t>
          </w:r>
          <w:r w:rsidR="001727C3">
            <w:fldChar w:fldCharType="end"/>
          </w:r>
        </w:sdtContent>
      </w:sdt>
    </w:p>
    <w:p w14:paraId="59749D48" w14:textId="2294F8DE" w:rsidR="00C51636" w:rsidRDefault="00C51636" w:rsidP="00C51636">
      <w:r>
        <w:t>Block D differs from the other plots in t</w:t>
      </w:r>
      <w:r w:rsidR="005174B7">
        <w:t>wo</w:t>
      </w:r>
      <w:r>
        <w:t xml:space="preserve"> minor but notable ways- the planting was carried out by the same two professors without any help from students, and no fertiliser was used directly on any part of it. </w:t>
      </w:r>
      <w:r w:rsidR="005174B7">
        <w:t>A major difference in this plot to the others is that the vitality scoring for a large section of it is very high, with a lot of growth from volunteer species as well as accelerated growth in heather and gorse.</w:t>
      </w:r>
    </w:p>
    <w:p w14:paraId="4174B527" w14:textId="63941D02" w:rsidR="00C51636" w:rsidRDefault="00C5118F" w:rsidP="00C51636">
      <w:r>
        <w:rPr>
          <w:noProof/>
          <w:lang w:eastAsia="zh-CN"/>
        </w:rPr>
        <w:drawing>
          <wp:inline distT="0" distB="0" distL="0" distR="0" wp14:anchorId="14A3507B" wp14:editId="3A9884D7">
            <wp:extent cx="2504652" cy="1908810"/>
            <wp:effectExtent l="0" t="0" r="0" b="0"/>
            <wp:docPr id="1281" name="Picture 6">
              <a:extLst xmlns:a="http://schemas.openxmlformats.org/drawingml/2006/main">
                <a:ext uri="{FF2B5EF4-FFF2-40B4-BE49-F238E27FC236}">
                  <a16:creationId xmlns:a16="http://schemas.microsoft.com/office/drawing/2014/main" id="{3D742AA3-322C-49E5-B809-F529D0662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Picture 6">
                      <a:extLst>
                        <a:ext uri="{FF2B5EF4-FFF2-40B4-BE49-F238E27FC236}">
                          <a16:creationId xmlns:a16="http://schemas.microsoft.com/office/drawing/2014/main" id="{3D742AA3-322C-49E5-B809-F529D0662AA4}"/>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2188" cy="1914553"/>
                    </a:xfrm>
                    <a:prstGeom prst="rect">
                      <a:avLst/>
                    </a:prstGeom>
                    <a:noFill/>
                    <a:ln>
                      <a:noFill/>
                    </a:ln>
                  </pic:spPr>
                </pic:pic>
              </a:graphicData>
            </a:graphic>
          </wp:inline>
        </w:drawing>
      </w:r>
      <w:sdt>
        <w:sdtPr>
          <w:id w:val="-1699691938"/>
          <w:citation/>
        </w:sdtPr>
        <w:sdtEndPr/>
        <w:sdtContent>
          <w:r>
            <w:fldChar w:fldCharType="begin"/>
          </w:r>
          <w:r>
            <w:instrText xml:space="preserve"> CITATION Aut19 \l 2057 </w:instrText>
          </w:r>
          <w:r>
            <w:fldChar w:fldCharType="separate"/>
          </w:r>
          <w:r w:rsidR="00065D5E">
            <w:rPr>
              <w:noProof/>
            </w:rPr>
            <w:t xml:space="preserve"> (Author's Own, 2019)</w:t>
          </w:r>
          <w:r>
            <w:fldChar w:fldCharType="end"/>
          </w:r>
        </w:sdtContent>
      </w:sdt>
    </w:p>
    <w:p w14:paraId="5B1C4EC9" w14:textId="77777777" w:rsidR="00C5118F" w:rsidRDefault="00C5118F" w:rsidP="00C51636"/>
    <w:p w14:paraId="69C2C711" w14:textId="77777777" w:rsidR="00C51636" w:rsidRDefault="00C51636" w:rsidP="00E86D6B">
      <w:pPr>
        <w:pStyle w:val="Heading2"/>
      </w:pPr>
      <w:r>
        <w:t>Methodology</w:t>
      </w:r>
    </w:p>
    <w:p w14:paraId="587C2C56" w14:textId="77777777" w:rsidR="00C51636" w:rsidRDefault="00C51636" w:rsidP="00C51636">
      <w:r>
        <w:t xml:space="preserve">This report will analyse the data from previous years of research at the site, along with condition preferences per tree species, weather patterns, and any further relevant information found during a site visit in October 2019. It will take into consideration the overall history of the site when investigating any related patterns or causes for the site to be in its current condition. </w:t>
      </w:r>
    </w:p>
    <w:p w14:paraId="705BD74D" w14:textId="25E57C6F" w:rsidR="00C51636" w:rsidRDefault="006A55A6" w:rsidP="00C51636">
      <w:r>
        <w:t>I</w:t>
      </w:r>
      <w:r w:rsidR="00C51636">
        <w:t xml:space="preserve">nvestigating the current conditions whilst keeping in mind the physical history of the site will show a more accurate report on the development of </w:t>
      </w:r>
      <w:proofErr w:type="spellStart"/>
      <w:r w:rsidR="00C51636">
        <w:t>Varte</w:t>
      </w:r>
      <w:r>
        <w:t>g</w:t>
      </w:r>
      <w:proofErr w:type="spellEnd"/>
      <w:r>
        <w:t xml:space="preserve">. </w:t>
      </w:r>
    </w:p>
    <w:p w14:paraId="0E22AA78" w14:textId="7025C418" w:rsidR="00DE383F" w:rsidRDefault="00DE383F"/>
    <w:p w14:paraId="1D574460" w14:textId="77777777" w:rsidR="00EF0CF6" w:rsidRDefault="00EF0CF6" w:rsidP="00E86D6B">
      <w:pPr>
        <w:pStyle w:val="Heading2"/>
      </w:pPr>
      <w:r>
        <w:lastRenderedPageBreak/>
        <w:t>Tree Species</w:t>
      </w:r>
    </w:p>
    <w:p w14:paraId="37E6CA5A" w14:textId="21E72E1F" w:rsidR="00EF0CF6" w:rsidRDefault="00EF0CF6" w:rsidP="00EF0CF6">
      <w:r>
        <w:t>The trees that were mostly used at the site were: alder (</w:t>
      </w:r>
      <w:proofErr w:type="spellStart"/>
      <w:r>
        <w:t>alnus</w:t>
      </w:r>
      <w:proofErr w:type="spellEnd"/>
      <w:r>
        <w:t xml:space="preserve"> </w:t>
      </w:r>
      <w:proofErr w:type="spellStart"/>
      <w:r>
        <w:t>glutinosa</w:t>
      </w:r>
      <w:proofErr w:type="spellEnd"/>
      <w:r>
        <w:t>), sessile oak (</w:t>
      </w:r>
      <w:proofErr w:type="spellStart"/>
      <w:r>
        <w:t>quercus</w:t>
      </w:r>
      <w:proofErr w:type="spellEnd"/>
      <w:r>
        <w:t xml:space="preserve"> </w:t>
      </w:r>
      <w:proofErr w:type="spellStart"/>
      <w:r>
        <w:t>petrea</w:t>
      </w:r>
      <w:proofErr w:type="spellEnd"/>
      <w:r>
        <w:t>), goat willow (</w:t>
      </w:r>
      <w:proofErr w:type="spellStart"/>
      <w:r>
        <w:t>salix</w:t>
      </w:r>
      <w:proofErr w:type="spellEnd"/>
      <w:r>
        <w:t xml:space="preserve"> </w:t>
      </w:r>
      <w:proofErr w:type="spellStart"/>
      <w:r>
        <w:t>caprea</w:t>
      </w:r>
      <w:proofErr w:type="spellEnd"/>
      <w:r>
        <w:t>), downy birch (</w:t>
      </w:r>
      <w:proofErr w:type="spellStart"/>
      <w:r>
        <w:t>betula</w:t>
      </w:r>
      <w:proofErr w:type="spellEnd"/>
      <w:r>
        <w:t xml:space="preserve"> </w:t>
      </w:r>
      <w:proofErr w:type="spellStart"/>
      <w:r>
        <w:t>pubescens</w:t>
      </w:r>
      <w:proofErr w:type="spellEnd"/>
      <w:r>
        <w:t>), and silver birch (</w:t>
      </w:r>
      <w:proofErr w:type="spellStart"/>
      <w:r>
        <w:t>betula</w:t>
      </w:r>
      <w:proofErr w:type="spellEnd"/>
      <w:r>
        <w:t xml:space="preserve"> </w:t>
      </w:r>
      <w:proofErr w:type="spellStart"/>
      <w:r>
        <w:t>pendular</w:t>
      </w:r>
      <w:proofErr w:type="spellEnd"/>
      <w:r>
        <w:t xml:space="preserve">). In addition to this there were mixed trees such as spruce, whitebeam and spindle, but as the exact species are not known </w:t>
      </w:r>
      <w:r w:rsidR="009B4292">
        <w:t xml:space="preserve">in all cases </w:t>
      </w:r>
      <w:r>
        <w:t xml:space="preserve">they will be grouped under ‘mixed’. </w:t>
      </w:r>
      <w:r w:rsidR="009B4292">
        <w:t>T</w:t>
      </w:r>
      <w:r>
        <w:t xml:space="preserve">here will be no </w:t>
      </w:r>
      <w:r w:rsidR="009A37BD">
        <w:t>in-depth</w:t>
      </w:r>
      <w:r w:rsidR="009B4292">
        <w:t xml:space="preserve"> discussion into the mixed group as the numbers are too small to collect cohesive data</w:t>
      </w:r>
      <w:r>
        <w:t>.</w:t>
      </w:r>
    </w:p>
    <w:p w14:paraId="2BEDB05E" w14:textId="5542C64E" w:rsidR="00EF0CF6" w:rsidRDefault="00EF0CF6" w:rsidP="00EF0CF6">
      <w:r>
        <w:t>Alder is a popular tree to use on reclamation sites on spoil heaps and is noted to be naturally dominant in bogs or boggy conditions. The nodules that develop on their root system are particularly effective at enhancing soil quality</w:t>
      </w:r>
      <w:sdt>
        <w:sdtPr>
          <w:id w:val="586267889"/>
          <w:citation/>
        </w:sdtPr>
        <w:sdtEndPr/>
        <w:sdtContent>
          <w:r>
            <w:fldChar w:fldCharType="begin"/>
          </w:r>
          <w:r>
            <w:instrText xml:space="preserve">CITATION Owe06 \l 2057 </w:instrText>
          </w:r>
          <w:r>
            <w:fldChar w:fldCharType="separate"/>
          </w:r>
          <w:r w:rsidR="00065D5E">
            <w:rPr>
              <w:noProof/>
            </w:rPr>
            <w:t xml:space="preserve"> (Johnson &amp; Moore, 2006)</w:t>
          </w:r>
          <w:r>
            <w:fldChar w:fldCharType="end"/>
          </w:r>
        </w:sdtContent>
      </w:sdt>
      <w:r>
        <w:t>.</w:t>
      </w:r>
    </w:p>
    <w:p w14:paraId="5893DF89" w14:textId="418B9BA9" w:rsidR="00EF0CF6" w:rsidRDefault="00EF0CF6" w:rsidP="00EF0CF6">
      <w:r>
        <w:t>Sessile oak is a hardy species but tends to avoid heavy or alkaline soils. In contrast, it is known for thriving in higher areas than the English oak which prefers lowlands</w:t>
      </w:r>
      <w:sdt>
        <w:sdtPr>
          <w:id w:val="-617377786"/>
          <w:citation/>
        </w:sdtPr>
        <w:sdtEndPr/>
        <w:sdtContent>
          <w:r>
            <w:fldChar w:fldCharType="begin"/>
          </w:r>
          <w:r>
            <w:instrText xml:space="preserve"> CITATION Owe06 \l 2057 </w:instrText>
          </w:r>
          <w:r>
            <w:fldChar w:fldCharType="separate"/>
          </w:r>
          <w:r w:rsidR="00065D5E">
            <w:rPr>
              <w:noProof/>
            </w:rPr>
            <w:t xml:space="preserve"> (Johnson &amp; Moore, 2006)</w:t>
          </w:r>
          <w:r>
            <w:fldChar w:fldCharType="end"/>
          </w:r>
        </w:sdtContent>
      </w:sdt>
      <w:r>
        <w:t>. It is also one of the slower growing trees on the site.</w:t>
      </w:r>
    </w:p>
    <w:p w14:paraId="3BF37F5C" w14:textId="454143C8" w:rsidR="00EF0CF6" w:rsidRDefault="00EF0CF6" w:rsidP="00EF0CF6">
      <w:r>
        <w:t>Goat willow is by nature a species that loves boggy sites or at least a lot of water, and is seldom seen in sites of light soil</w:t>
      </w:r>
      <w:sdt>
        <w:sdtPr>
          <w:id w:val="-2043435653"/>
          <w:citation/>
        </w:sdtPr>
        <w:sdtEndPr/>
        <w:sdtContent>
          <w:r>
            <w:fldChar w:fldCharType="begin"/>
          </w:r>
          <w:r>
            <w:instrText xml:space="preserve"> CITATION Owe06 \l 2057 </w:instrText>
          </w:r>
          <w:r>
            <w:fldChar w:fldCharType="separate"/>
          </w:r>
          <w:r w:rsidR="00065D5E">
            <w:rPr>
              <w:noProof/>
            </w:rPr>
            <w:t xml:space="preserve"> (Johnson &amp; Moore, 2006)</w:t>
          </w:r>
          <w:r>
            <w:fldChar w:fldCharType="end"/>
          </w:r>
        </w:sdtContent>
      </w:sdt>
      <w:r>
        <w:t>. It is known for growing quickly and spreading into all areas with suitable conditions if left unattended.</w:t>
      </w:r>
    </w:p>
    <w:p w14:paraId="0769B82E" w14:textId="6DF9F732" w:rsidR="00EF0CF6" w:rsidRDefault="00EF0CF6" w:rsidP="00EF0CF6">
      <w:r>
        <w:t>Downy birch is prevalent on poor and damp soils with minimal chalk</w:t>
      </w:r>
      <w:sdt>
        <w:sdtPr>
          <w:id w:val="-849716051"/>
          <w:citation/>
        </w:sdtPr>
        <w:sdtEndPr/>
        <w:sdtContent>
          <w:r>
            <w:fldChar w:fldCharType="begin"/>
          </w:r>
          <w:r>
            <w:instrText xml:space="preserve"> CITATION Owe06 \l 2057 </w:instrText>
          </w:r>
          <w:r>
            <w:fldChar w:fldCharType="separate"/>
          </w:r>
          <w:r w:rsidR="00065D5E">
            <w:rPr>
              <w:noProof/>
            </w:rPr>
            <w:t xml:space="preserve"> (Johnson &amp; Moore, 2006)</w:t>
          </w:r>
          <w:r>
            <w:fldChar w:fldCharType="end"/>
          </w:r>
        </w:sdtContent>
      </w:sdt>
      <w:r>
        <w:t>. A hardier strain than silver birch, it is usually overlooked for the latter purely for aesthetic purposes.</w:t>
      </w:r>
    </w:p>
    <w:p w14:paraId="7DCB6252" w14:textId="7C50E8B1" w:rsidR="00EF0CF6" w:rsidRDefault="00EF0CF6" w:rsidP="00EF0CF6">
      <w:r>
        <w:t>Silver birch is mostly dominant in sandy soils</w:t>
      </w:r>
      <w:sdt>
        <w:sdtPr>
          <w:id w:val="-1418330927"/>
          <w:citation/>
        </w:sdtPr>
        <w:sdtEndPr/>
        <w:sdtContent>
          <w:r>
            <w:fldChar w:fldCharType="begin"/>
          </w:r>
          <w:r>
            <w:instrText xml:space="preserve"> CITATION Owe06 \l 2057 </w:instrText>
          </w:r>
          <w:r>
            <w:fldChar w:fldCharType="separate"/>
          </w:r>
          <w:r w:rsidR="00065D5E">
            <w:rPr>
              <w:noProof/>
            </w:rPr>
            <w:t xml:space="preserve"> (Johnson &amp; Moore, 2006)</w:t>
          </w:r>
          <w:r>
            <w:fldChar w:fldCharType="end"/>
          </w:r>
        </w:sdtContent>
      </w:sdt>
      <w:r>
        <w:t xml:space="preserve"> and planted in abundance. With its partnered downy birch, it is more tolerant of colder temperatures.</w:t>
      </w:r>
    </w:p>
    <w:p w14:paraId="1D892709" w14:textId="74902561" w:rsidR="0009305A" w:rsidRDefault="0009305A"/>
    <w:p w14:paraId="58F6ECBA" w14:textId="75EEF62C" w:rsidR="00FA3DAA" w:rsidRDefault="00FA3DAA" w:rsidP="00E86D6B">
      <w:pPr>
        <w:pStyle w:val="Heading2"/>
      </w:pPr>
      <w:r>
        <w:t>Site Conditions</w:t>
      </w:r>
    </w:p>
    <w:p w14:paraId="7885DD31" w14:textId="77777777" w:rsidR="00803353" w:rsidRDefault="00604828">
      <w:r>
        <w:t xml:space="preserve">Weather reports that date back to the site’s beginning are more difficult to source and are not readily available for years prior to 2014. </w:t>
      </w:r>
      <w:r w:rsidR="000B4D73">
        <w:t>However,</w:t>
      </w:r>
      <w:r>
        <w:t xml:space="preserve"> there are UK climate summaries available that will give a breakdown of mass weather changes year on year that can be used to glean a general idea of any extremes the site would have experienced that could be considered to be outside of the normal range. </w:t>
      </w:r>
    </w:p>
    <w:p w14:paraId="25D5776E" w14:textId="46C37108" w:rsidR="006D4F92" w:rsidRDefault="00803353">
      <w:r>
        <w:t xml:space="preserve">Reports show that </w:t>
      </w:r>
      <w:r w:rsidR="00604828">
        <w:t>2014 was registered as the hottest summer since 1910</w:t>
      </w:r>
      <w:r w:rsidR="00521E18">
        <w:t xml:space="preserve"> </w:t>
      </w:r>
      <w:sdt>
        <w:sdtPr>
          <w:id w:val="519354745"/>
          <w:citation/>
        </w:sdtPr>
        <w:sdtEndPr/>
        <w:sdtContent>
          <w:r w:rsidR="00521E18">
            <w:fldChar w:fldCharType="begin"/>
          </w:r>
          <w:r>
            <w:instrText xml:space="preserve">CITATION Met15 \l 2057 </w:instrText>
          </w:r>
          <w:r w:rsidR="00521E18">
            <w:fldChar w:fldCharType="separate"/>
          </w:r>
          <w:r w:rsidR="00065D5E">
            <w:rPr>
              <w:noProof/>
            </w:rPr>
            <w:t>(Met Office, 2015)</w:t>
          </w:r>
          <w:r w:rsidR="00521E18">
            <w:fldChar w:fldCharType="end"/>
          </w:r>
        </w:sdtContent>
      </w:sdt>
      <w:r>
        <w:t>, while 2015 was milder with the wettest December on record</w:t>
      </w:r>
      <w:sdt>
        <w:sdtPr>
          <w:id w:val="1610240176"/>
          <w:citation/>
        </w:sdtPr>
        <w:sdtEndPr/>
        <w:sdtContent>
          <w:r>
            <w:fldChar w:fldCharType="begin"/>
          </w:r>
          <w:r>
            <w:instrText xml:space="preserve">CITATION Met16 \l 2057 </w:instrText>
          </w:r>
          <w:r>
            <w:fldChar w:fldCharType="separate"/>
          </w:r>
          <w:r w:rsidR="00065D5E">
            <w:rPr>
              <w:noProof/>
            </w:rPr>
            <w:t xml:space="preserve"> (Met Office, 2016)</w:t>
          </w:r>
          <w:r>
            <w:fldChar w:fldCharType="end"/>
          </w:r>
        </w:sdtContent>
      </w:sdt>
      <w:r w:rsidR="00521E18">
        <w:t>.</w:t>
      </w:r>
      <w:r>
        <w:t xml:space="preserve"> Whilst 2016 was another mild year overall it was also sunnier throughout the year but was again one of the </w:t>
      </w:r>
      <w:proofErr w:type="spellStart"/>
      <w:r>
        <w:t>wetter</w:t>
      </w:r>
      <w:proofErr w:type="spellEnd"/>
      <w:r>
        <w:t xml:space="preserve"> winters. There was notably less snow in 2016 than usual, with less than 20cm depth reported across the UK</w:t>
      </w:r>
      <w:sdt>
        <w:sdtPr>
          <w:id w:val="-673186484"/>
          <w:citation/>
        </w:sdtPr>
        <w:sdtEndPr/>
        <w:sdtContent>
          <w:r>
            <w:fldChar w:fldCharType="begin"/>
          </w:r>
          <w:r>
            <w:instrText xml:space="preserve"> CITATION Met17 \l 2057 </w:instrText>
          </w:r>
          <w:r>
            <w:fldChar w:fldCharType="separate"/>
          </w:r>
          <w:r w:rsidR="00065D5E">
            <w:rPr>
              <w:noProof/>
            </w:rPr>
            <w:t xml:space="preserve"> (Met Office, 2017)</w:t>
          </w:r>
          <w:r>
            <w:fldChar w:fldCharType="end"/>
          </w:r>
        </w:sdtContent>
      </w:sdt>
      <w:r>
        <w:t xml:space="preserve">. </w:t>
      </w:r>
      <w:r w:rsidR="00DD0043">
        <w:t xml:space="preserve"> In contrast, December 2017 saw more snowfall across Wales along with seven named storms affecting the UK and Ireland as a whole with extreme wind conditions </w:t>
      </w:r>
      <w:sdt>
        <w:sdtPr>
          <w:id w:val="-812559589"/>
          <w:citation/>
        </w:sdtPr>
        <w:sdtEndPr/>
        <w:sdtContent>
          <w:r w:rsidR="00DD0043">
            <w:fldChar w:fldCharType="begin"/>
          </w:r>
          <w:r w:rsidR="00DD0043">
            <w:instrText xml:space="preserve"> CITATION Met18 \l 2057 </w:instrText>
          </w:r>
          <w:r w:rsidR="00DD0043">
            <w:fldChar w:fldCharType="separate"/>
          </w:r>
          <w:r w:rsidR="00065D5E">
            <w:rPr>
              <w:noProof/>
            </w:rPr>
            <w:t>(Met Office, 2018)</w:t>
          </w:r>
          <w:r w:rsidR="00DD0043">
            <w:fldChar w:fldCharType="end"/>
          </w:r>
        </w:sdtContent>
      </w:sdt>
      <w:r w:rsidR="00DD0043">
        <w:t>.</w:t>
      </w:r>
      <w:r w:rsidR="00B444F9">
        <w:t xml:space="preserve"> Following from the 2017 snowfall in December, 2018 saw more snowfall again between February and March across the whole of the UK</w:t>
      </w:r>
      <w:sdt>
        <w:sdtPr>
          <w:id w:val="1775132352"/>
          <w:citation/>
        </w:sdtPr>
        <w:sdtEndPr/>
        <w:sdtContent>
          <w:r w:rsidR="00B444F9">
            <w:fldChar w:fldCharType="begin"/>
          </w:r>
          <w:r w:rsidR="00B444F9">
            <w:instrText xml:space="preserve"> CITATION Met19 \l 2057 </w:instrText>
          </w:r>
          <w:r w:rsidR="00B444F9">
            <w:fldChar w:fldCharType="separate"/>
          </w:r>
          <w:r w:rsidR="00065D5E">
            <w:rPr>
              <w:noProof/>
            </w:rPr>
            <w:t xml:space="preserve"> (Met Office, 2019)</w:t>
          </w:r>
          <w:r w:rsidR="00B444F9">
            <w:fldChar w:fldCharType="end"/>
          </w:r>
        </w:sdtContent>
      </w:sdt>
      <w:r w:rsidR="00B444F9">
        <w:t xml:space="preserve">. </w:t>
      </w:r>
    </w:p>
    <w:p w14:paraId="79012E7D" w14:textId="0B325AE3" w:rsidR="00FA3DAA" w:rsidRDefault="00FA3DAA">
      <w:r>
        <w:t xml:space="preserve">In addition to the heavy metals in the soil and the excess water that is not being redirected by the disused/destroyed culverts nearby, </w:t>
      </w:r>
      <w:r w:rsidR="00855464">
        <w:t xml:space="preserve">the topography of the site leaves it very exposed to the elements. From years of cutting into the ground and building up the spoil heaps, wind is now pushed through a narrow valley and can be strong. In addition to this, the lack of shelter and altitude leaves rain and frost as a constant problem in colder months, along with harsh heat during the summer. </w:t>
      </w:r>
      <w:r w:rsidR="00827E93">
        <w:t xml:space="preserve">There appears to be no middle ground for the site. </w:t>
      </w:r>
    </w:p>
    <w:p w14:paraId="62ED1C6A" w14:textId="77777777" w:rsidR="006D4F92" w:rsidRDefault="006D4F92"/>
    <w:p w14:paraId="58E731DF" w14:textId="6FC05099" w:rsidR="006D4F92" w:rsidRDefault="006D4F92" w:rsidP="006D4F92">
      <w:pPr>
        <w:pStyle w:val="Heading2"/>
      </w:pPr>
      <w:r>
        <w:lastRenderedPageBreak/>
        <w:t>Results and Discussion</w:t>
      </w:r>
    </w:p>
    <w:tbl>
      <w:tblPr>
        <w:tblpPr w:leftFromText="180" w:rightFromText="180" w:vertAnchor="text" w:horzAnchor="margin" w:tblpY="-2"/>
        <w:tblW w:w="5760" w:type="dxa"/>
        <w:tblLook w:val="04A0" w:firstRow="1" w:lastRow="0" w:firstColumn="1" w:lastColumn="0" w:noHBand="0" w:noVBand="1"/>
      </w:tblPr>
      <w:tblGrid>
        <w:gridCol w:w="960"/>
        <w:gridCol w:w="960"/>
        <w:gridCol w:w="960"/>
        <w:gridCol w:w="960"/>
        <w:gridCol w:w="960"/>
        <w:gridCol w:w="960"/>
      </w:tblGrid>
      <w:tr w:rsidR="006D4F92" w:rsidRPr="00A61E97" w14:paraId="6FFCDF44" w14:textId="77777777" w:rsidTr="006D4F92">
        <w:trPr>
          <w:trHeight w:val="300"/>
        </w:trPr>
        <w:tc>
          <w:tcPr>
            <w:tcW w:w="960" w:type="dxa"/>
            <w:tcBorders>
              <w:top w:val="nil"/>
              <w:left w:val="nil"/>
              <w:bottom w:val="nil"/>
              <w:right w:val="nil"/>
            </w:tcBorders>
            <w:shd w:val="clear" w:color="auto" w:fill="auto"/>
            <w:noWrap/>
            <w:vAlign w:val="bottom"/>
            <w:hideMark/>
          </w:tcPr>
          <w:p w14:paraId="5E542F0E" w14:textId="77777777" w:rsidR="006D4F92" w:rsidRPr="00A61E97" w:rsidRDefault="006D4F92" w:rsidP="006D4F92">
            <w:pPr>
              <w:spacing w:after="0" w:line="240" w:lineRule="auto"/>
              <w:rPr>
                <w:rFonts w:ascii="Times New Roman" w:eastAsia="Times New Roman" w:hAnsi="Times New Roman" w:cs="Times New Roman"/>
                <w:sz w:val="24"/>
                <w:szCs w:val="24"/>
                <w:lang w:eastAsia="en-GB"/>
              </w:rPr>
            </w:pPr>
          </w:p>
        </w:tc>
        <w:tc>
          <w:tcPr>
            <w:tcW w:w="48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E0A45" w14:textId="77777777" w:rsidR="006D4F92" w:rsidRPr="00A61E97" w:rsidRDefault="006D4F92" w:rsidP="006D4F92">
            <w:pPr>
              <w:spacing w:after="0" w:line="240" w:lineRule="auto"/>
              <w:jc w:val="center"/>
              <w:rPr>
                <w:rFonts w:ascii="Calibri" w:eastAsia="Times New Roman" w:hAnsi="Calibri" w:cs="Calibri"/>
                <w:color w:val="000000"/>
                <w:lang w:eastAsia="en-GB"/>
              </w:rPr>
            </w:pPr>
            <w:r w:rsidRPr="00A61E97">
              <w:rPr>
                <w:rFonts w:ascii="Calibri" w:eastAsia="Times New Roman" w:hAnsi="Calibri" w:cs="Calibri"/>
                <w:color w:val="000000"/>
                <w:lang w:eastAsia="en-GB"/>
              </w:rPr>
              <w:t>MORTALITY BY YEAR</w:t>
            </w:r>
          </w:p>
        </w:tc>
      </w:tr>
      <w:tr w:rsidR="006D4F92" w:rsidRPr="00A61E97" w14:paraId="604D2B75" w14:textId="77777777" w:rsidTr="006D4F92">
        <w:trPr>
          <w:trHeight w:val="300"/>
        </w:trPr>
        <w:tc>
          <w:tcPr>
            <w:tcW w:w="960" w:type="dxa"/>
            <w:tcBorders>
              <w:top w:val="nil"/>
              <w:left w:val="nil"/>
              <w:bottom w:val="nil"/>
              <w:right w:val="nil"/>
            </w:tcBorders>
            <w:shd w:val="clear" w:color="auto" w:fill="auto"/>
            <w:noWrap/>
            <w:vAlign w:val="bottom"/>
            <w:hideMark/>
          </w:tcPr>
          <w:p w14:paraId="530E2A9D" w14:textId="77777777" w:rsidR="006D4F92" w:rsidRPr="00A61E97" w:rsidRDefault="006D4F92" w:rsidP="006D4F92">
            <w:pPr>
              <w:spacing w:after="0" w:line="240" w:lineRule="auto"/>
              <w:jc w:val="center"/>
              <w:rPr>
                <w:rFonts w:ascii="Calibri" w:eastAsia="Times New Roman" w:hAnsi="Calibri" w:cs="Calibri"/>
                <w:color w:val="000000"/>
                <w:lang w:eastAsia="en-GB"/>
              </w:rPr>
            </w:pPr>
          </w:p>
        </w:tc>
        <w:tc>
          <w:tcPr>
            <w:tcW w:w="48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5AD10" w14:textId="77777777" w:rsidR="006D4F92" w:rsidRPr="00A61E97" w:rsidRDefault="006D4F92" w:rsidP="006D4F92">
            <w:pPr>
              <w:spacing w:after="0" w:line="240" w:lineRule="auto"/>
              <w:jc w:val="center"/>
              <w:rPr>
                <w:rFonts w:ascii="Calibri" w:eastAsia="Times New Roman" w:hAnsi="Calibri" w:cs="Calibri"/>
                <w:color w:val="000000"/>
                <w:lang w:eastAsia="en-GB"/>
              </w:rPr>
            </w:pPr>
            <w:r w:rsidRPr="00A61E97">
              <w:rPr>
                <w:rFonts w:ascii="Calibri" w:eastAsia="Times New Roman" w:hAnsi="Calibri" w:cs="Calibri"/>
                <w:color w:val="000000"/>
                <w:lang w:eastAsia="en-GB"/>
              </w:rPr>
              <w:t>FRONT OF BLOCK D</w:t>
            </w:r>
          </w:p>
        </w:tc>
      </w:tr>
      <w:tr w:rsidR="006D4F92" w:rsidRPr="00A61E97" w14:paraId="35BD47CE" w14:textId="77777777" w:rsidTr="006D4F92">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90FE2"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w:t>
            </w:r>
          </w:p>
        </w:tc>
        <w:tc>
          <w:tcPr>
            <w:tcW w:w="960" w:type="dxa"/>
            <w:tcBorders>
              <w:top w:val="nil"/>
              <w:left w:val="nil"/>
              <w:bottom w:val="single" w:sz="4" w:space="0" w:color="auto"/>
              <w:right w:val="single" w:sz="4" w:space="0" w:color="auto"/>
            </w:tcBorders>
            <w:shd w:val="clear" w:color="auto" w:fill="auto"/>
            <w:noWrap/>
            <w:vAlign w:val="bottom"/>
            <w:hideMark/>
          </w:tcPr>
          <w:p w14:paraId="2433058E"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301</w:t>
            </w:r>
          </w:p>
        </w:tc>
        <w:tc>
          <w:tcPr>
            <w:tcW w:w="960" w:type="dxa"/>
            <w:tcBorders>
              <w:top w:val="nil"/>
              <w:left w:val="nil"/>
              <w:bottom w:val="single" w:sz="4" w:space="0" w:color="auto"/>
              <w:right w:val="single" w:sz="4" w:space="0" w:color="auto"/>
            </w:tcBorders>
            <w:shd w:val="clear" w:color="000000" w:fill="000000"/>
            <w:noWrap/>
            <w:vAlign w:val="bottom"/>
            <w:hideMark/>
          </w:tcPr>
          <w:p w14:paraId="5468D1C1" w14:textId="77777777" w:rsidR="006D4F92" w:rsidRPr="00A61E97" w:rsidRDefault="006D4F92" w:rsidP="006D4F92">
            <w:pPr>
              <w:spacing w:after="0" w:line="240" w:lineRule="auto"/>
              <w:jc w:val="center"/>
              <w:rPr>
                <w:rFonts w:ascii="Arial" w:eastAsia="Times New Roman" w:hAnsi="Arial" w:cs="Arial"/>
                <w:b/>
                <w:bCs/>
                <w:color w:val="FFFF00"/>
                <w:sz w:val="24"/>
                <w:szCs w:val="24"/>
                <w:lang w:eastAsia="en-GB"/>
              </w:rPr>
            </w:pPr>
            <w:r w:rsidRPr="00A61E97">
              <w:rPr>
                <w:rFonts w:ascii="Arial" w:eastAsia="Times New Roman" w:hAnsi="Arial" w:cs="Arial"/>
                <w:b/>
                <w:bCs/>
                <w:color w:val="FFFF00"/>
                <w:sz w:val="24"/>
                <w:szCs w:val="24"/>
                <w:lang w:eastAsia="en-GB"/>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5443C9A8"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auto" w:fill="auto"/>
            <w:noWrap/>
            <w:vAlign w:val="bottom"/>
            <w:hideMark/>
          </w:tcPr>
          <w:p w14:paraId="479C0520"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304</w:t>
            </w:r>
          </w:p>
        </w:tc>
        <w:tc>
          <w:tcPr>
            <w:tcW w:w="960" w:type="dxa"/>
            <w:tcBorders>
              <w:top w:val="nil"/>
              <w:left w:val="nil"/>
              <w:bottom w:val="single" w:sz="4" w:space="0" w:color="auto"/>
              <w:right w:val="single" w:sz="4" w:space="0" w:color="auto"/>
            </w:tcBorders>
            <w:shd w:val="clear" w:color="auto" w:fill="auto"/>
            <w:noWrap/>
            <w:vAlign w:val="bottom"/>
            <w:hideMark/>
          </w:tcPr>
          <w:p w14:paraId="477D8753"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305</w:t>
            </w:r>
          </w:p>
        </w:tc>
      </w:tr>
      <w:tr w:rsidR="006D4F92" w:rsidRPr="00A61E97" w14:paraId="30320FAB" w14:textId="77777777" w:rsidTr="006D4F9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787CB5"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2</w:t>
            </w:r>
          </w:p>
        </w:tc>
        <w:tc>
          <w:tcPr>
            <w:tcW w:w="960" w:type="dxa"/>
            <w:tcBorders>
              <w:top w:val="nil"/>
              <w:left w:val="nil"/>
              <w:bottom w:val="single" w:sz="4" w:space="0" w:color="auto"/>
              <w:right w:val="single" w:sz="4" w:space="0" w:color="auto"/>
            </w:tcBorders>
            <w:shd w:val="clear" w:color="auto" w:fill="auto"/>
            <w:noWrap/>
            <w:vAlign w:val="bottom"/>
            <w:hideMark/>
          </w:tcPr>
          <w:p w14:paraId="5E55018C"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306</w:t>
            </w:r>
          </w:p>
        </w:tc>
        <w:tc>
          <w:tcPr>
            <w:tcW w:w="960" w:type="dxa"/>
            <w:tcBorders>
              <w:top w:val="nil"/>
              <w:left w:val="nil"/>
              <w:bottom w:val="single" w:sz="4" w:space="0" w:color="auto"/>
              <w:right w:val="single" w:sz="4" w:space="0" w:color="auto"/>
            </w:tcBorders>
            <w:shd w:val="clear" w:color="auto" w:fill="auto"/>
            <w:noWrap/>
            <w:vAlign w:val="bottom"/>
            <w:hideMark/>
          </w:tcPr>
          <w:p w14:paraId="7E2930DF"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307</w:t>
            </w:r>
          </w:p>
        </w:tc>
        <w:tc>
          <w:tcPr>
            <w:tcW w:w="960" w:type="dxa"/>
            <w:tcBorders>
              <w:top w:val="nil"/>
              <w:left w:val="nil"/>
              <w:bottom w:val="single" w:sz="4" w:space="0" w:color="auto"/>
              <w:right w:val="single" w:sz="4" w:space="0" w:color="auto"/>
            </w:tcBorders>
            <w:shd w:val="clear" w:color="auto" w:fill="auto"/>
            <w:noWrap/>
            <w:vAlign w:val="bottom"/>
            <w:hideMark/>
          </w:tcPr>
          <w:p w14:paraId="0D44D320"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308</w:t>
            </w:r>
          </w:p>
        </w:tc>
        <w:tc>
          <w:tcPr>
            <w:tcW w:w="960" w:type="dxa"/>
            <w:tcBorders>
              <w:top w:val="nil"/>
              <w:left w:val="nil"/>
              <w:bottom w:val="single" w:sz="4" w:space="0" w:color="auto"/>
              <w:right w:val="single" w:sz="4" w:space="0" w:color="auto"/>
            </w:tcBorders>
            <w:shd w:val="clear" w:color="auto" w:fill="auto"/>
            <w:noWrap/>
            <w:vAlign w:val="bottom"/>
            <w:hideMark/>
          </w:tcPr>
          <w:p w14:paraId="24642CB2"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309</w:t>
            </w:r>
          </w:p>
        </w:tc>
        <w:tc>
          <w:tcPr>
            <w:tcW w:w="960" w:type="dxa"/>
            <w:tcBorders>
              <w:top w:val="nil"/>
              <w:left w:val="nil"/>
              <w:bottom w:val="single" w:sz="4" w:space="0" w:color="auto"/>
              <w:right w:val="single" w:sz="4" w:space="0" w:color="auto"/>
            </w:tcBorders>
            <w:shd w:val="clear" w:color="auto" w:fill="auto"/>
            <w:noWrap/>
            <w:vAlign w:val="bottom"/>
            <w:hideMark/>
          </w:tcPr>
          <w:p w14:paraId="321379B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310</w:t>
            </w:r>
          </w:p>
        </w:tc>
      </w:tr>
      <w:tr w:rsidR="006D4F92" w:rsidRPr="00A61E97" w14:paraId="2C19F2F8"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B8FDBF4"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3</w:t>
            </w:r>
          </w:p>
        </w:tc>
        <w:tc>
          <w:tcPr>
            <w:tcW w:w="960" w:type="dxa"/>
            <w:tcBorders>
              <w:top w:val="nil"/>
              <w:left w:val="nil"/>
              <w:bottom w:val="single" w:sz="4" w:space="0" w:color="auto"/>
              <w:right w:val="single" w:sz="4" w:space="0" w:color="auto"/>
            </w:tcBorders>
            <w:shd w:val="clear" w:color="auto" w:fill="auto"/>
            <w:noWrap/>
            <w:vAlign w:val="bottom"/>
            <w:hideMark/>
          </w:tcPr>
          <w:p w14:paraId="28F5E866" w14:textId="77777777" w:rsidR="006D4F92" w:rsidRPr="00A61E97" w:rsidRDefault="006D4F92" w:rsidP="006D4F92">
            <w:pPr>
              <w:spacing w:after="0" w:line="240" w:lineRule="auto"/>
              <w:jc w:val="center"/>
              <w:rPr>
                <w:rFonts w:ascii="Arial" w:eastAsia="Times New Roman" w:hAnsi="Arial" w:cs="Arial"/>
                <w:b/>
                <w:bCs/>
                <w:color w:val="E26B0A"/>
                <w:sz w:val="24"/>
                <w:szCs w:val="24"/>
                <w:lang w:eastAsia="en-GB"/>
              </w:rPr>
            </w:pPr>
            <w:r w:rsidRPr="00A61E97">
              <w:rPr>
                <w:rFonts w:ascii="Arial" w:eastAsia="Times New Roman" w:hAnsi="Arial" w:cs="Arial"/>
                <w:b/>
                <w:bCs/>
                <w:color w:val="E26B0A"/>
                <w:sz w:val="24"/>
                <w:szCs w:val="24"/>
                <w:lang w:eastAsia="en-GB"/>
              </w:rPr>
              <w:t>2013</w:t>
            </w:r>
          </w:p>
        </w:tc>
        <w:tc>
          <w:tcPr>
            <w:tcW w:w="960" w:type="dxa"/>
            <w:tcBorders>
              <w:top w:val="nil"/>
              <w:left w:val="nil"/>
              <w:bottom w:val="single" w:sz="4" w:space="0" w:color="auto"/>
              <w:right w:val="single" w:sz="4" w:space="0" w:color="auto"/>
            </w:tcBorders>
            <w:shd w:val="clear" w:color="auto" w:fill="auto"/>
            <w:noWrap/>
            <w:vAlign w:val="bottom"/>
            <w:hideMark/>
          </w:tcPr>
          <w:p w14:paraId="7CE152D7"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6B33EE60"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424CC4D9" w14:textId="77777777" w:rsidR="006D4F92" w:rsidRPr="00A61E97" w:rsidRDefault="006D4F92" w:rsidP="006D4F92">
            <w:pPr>
              <w:spacing w:after="0" w:line="240" w:lineRule="auto"/>
              <w:jc w:val="center"/>
              <w:rPr>
                <w:rFonts w:ascii="Arial" w:eastAsia="Times New Roman" w:hAnsi="Arial" w:cs="Arial"/>
                <w:b/>
                <w:bCs/>
                <w:sz w:val="24"/>
                <w:szCs w:val="24"/>
                <w:lang w:eastAsia="en-GB"/>
              </w:rPr>
            </w:pPr>
            <w:r w:rsidRPr="00A61E97">
              <w:rPr>
                <w:rFonts w:ascii="Arial" w:eastAsia="Times New Roman" w:hAnsi="Arial" w:cs="Arial"/>
                <w:b/>
                <w:bCs/>
                <w:sz w:val="24"/>
                <w:szCs w:val="24"/>
                <w:lang w:eastAsia="en-GB"/>
              </w:rPr>
              <w:t>2012</w:t>
            </w:r>
          </w:p>
        </w:tc>
        <w:tc>
          <w:tcPr>
            <w:tcW w:w="960" w:type="dxa"/>
            <w:tcBorders>
              <w:top w:val="nil"/>
              <w:left w:val="nil"/>
              <w:bottom w:val="single" w:sz="4" w:space="0" w:color="auto"/>
              <w:right w:val="single" w:sz="4" w:space="0" w:color="auto"/>
            </w:tcBorders>
            <w:shd w:val="clear" w:color="000000" w:fill="F79646"/>
            <w:noWrap/>
            <w:vAlign w:val="bottom"/>
            <w:hideMark/>
          </w:tcPr>
          <w:p w14:paraId="162888EF"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2016</w:t>
            </w:r>
          </w:p>
        </w:tc>
      </w:tr>
      <w:tr w:rsidR="006D4F92" w:rsidRPr="00A61E97" w14:paraId="75BDF38B"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8AEC22"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4</w:t>
            </w:r>
          </w:p>
        </w:tc>
        <w:tc>
          <w:tcPr>
            <w:tcW w:w="960" w:type="dxa"/>
            <w:tcBorders>
              <w:top w:val="nil"/>
              <w:left w:val="nil"/>
              <w:bottom w:val="single" w:sz="4" w:space="0" w:color="auto"/>
              <w:right w:val="single" w:sz="4" w:space="0" w:color="auto"/>
            </w:tcBorders>
            <w:shd w:val="clear" w:color="auto" w:fill="auto"/>
            <w:noWrap/>
            <w:vAlign w:val="bottom"/>
            <w:hideMark/>
          </w:tcPr>
          <w:p w14:paraId="3E91BE9A"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000000" w:fill="F79646"/>
            <w:noWrap/>
            <w:vAlign w:val="bottom"/>
            <w:hideMark/>
          </w:tcPr>
          <w:p w14:paraId="7849E34C"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45A1D425"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6C545AE4"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7B2FD9A8"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r w:rsidRPr="00A61E97">
              <w:rPr>
                <w:rFonts w:ascii="Arial" w:eastAsia="Times New Roman" w:hAnsi="Arial" w:cs="Arial"/>
                <w:b/>
                <w:bCs/>
                <w:color w:val="FF0000"/>
                <w:sz w:val="24"/>
                <w:szCs w:val="24"/>
                <w:lang w:eastAsia="en-GB"/>
              </w:rPr>
              <w:t>2008</w:t>
            </w:r>
          </w:p>
        </w:tc>
      </w:tr>
      <w:tr w:rsidR="006D4F92" w:rsidRPr="00A61E97" w14:paraId="314A1EDE"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3522E5"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5</w:t>
            </w:r>
          </w:p>
        </w:tc>
        <w:tc>
          <w:tcPr>
            <w:tcW w:w="960" w:type="dxa"/>
            <w:tcBorders>
              <w:top w:val="nil"/>
              <w:left w:val="nil"/>
              <w:bottom w:val="single" w:sz="4" w:space="0" w:color="auto"/>
              <w:right w:val="single" w:sz="4" w:space="0" w:color="auto"/>
            </w:tcBorders>
            <w:shd w:val="clear" w:color="auto" w:fill="auto"/>
            <w:noWrap/>
            <w:vAlign w:val="bottom"/>
            <w:hideMark/>
          </w:tcPr>
          <w:p w14:paraId="7888675B" w14:textId="77777777" w:rsidR="006D4F92" w:rsidRPr="00A61E97" w:rsidRDefault="006D4F92" w:rsidP="006D4F92">
            <w:pPr>
              <w:spacing w:after="0" w:line="240" w:lineRule="auto"/>
              <w:jc w:val="center"/>
              <w:rPr>
                <w:rFonts w:ascii="Arial" w:eastAsia="Times New Roman" w:hAnsi="Arial" w:cs="Arial"/>
                <w:b/>
                <w:bCs/>
                <w:color w:val="808080"/>
                <w:sz w:val="24"/>
                <w:szCs w:val="24"/>
                <w:lang w:eastAsia="en-GB"/>
              </w:rPr>
            </w:pPr>
            <w:r w:rsidRPr="00A61E97">
              <w:rPr>
                <w:rFonts w:ascii="Arial" w:eastAsia="Times New Roman" w:hAnsi="Arial" w:cs="Arial"/>
                <w:b/>
                <w:bCs/>
                <w:color w:val="808080"/>
                <w:sz w:val="24"/>
                <w:szCs w:val="24"/>
                <w:lang w:eastAsia="en-GB"/>
              </w:rPr>
              <w:t>2012</w:t>
            </w:r>
          </w:p>
        </w:tc>
        <w:tc>
          <w:tcPr>
            <w:tcW w:w="960" w:type="dxa"/>
            <w:tcBorders>
              <w:top w:val="nil"/>
              <w:left w:val="nil"/>
              <w:bottom w:val="single" w:sz="4" w:space="0" w:color="auto"/>
              <w:right w:val="single" w:sz="4" w:space="0" w:color="auto"/>
            </w:tcBorders>
            <w:shd w:val="clear" w:color="000000" w:fill="000000"/>
            <w:noWrap/>
            <w:vAlign w:val="bottom"/>
            <w:hideMark/>
          </w:tcPr>
          <w:p w14:paraId="23F208CB" w14:textId="77777777" w:rsidR="006D4F92" w:rsidRPr="00A61E97" w:rsidRDefault="006D4F92" w:rsidP="006D4F92">
            <w:pPr>
              <w:spacing w:after="0" w:line="240" w:lineRule="auto"/>
              <w:jc w:val="center"/>
              <w:rPr>
                <w:rFonts w:ascii="Arial" w:eastAsia="Times New Roman" w:hAnsi="Arial" w:cs="Arial"/>
                <w:b/>
                <w:bCs/>
                <w:color w:val="FFFF00"/>
                <w:sz w:val="24"/>
                <w:szCs w:val="24"/>
                <w:lang w:eastAsia="en-GB"/>
              </w:rPr>
            </w:pPr>
            <w:r w:rsidRPr="00A61E97">
              <w:rPr>
                <w:rFonts w:ascii="Arial" w:eastAsia="Times New Roman" w:hAnsi="Arial" w:cs="Arial"/>
                <w:b/>
                <w:bCs/>
                <w:color w:val="FFFF00"/>
                <w:sz w:val="24"/>
                <w:szCs w:val="24"/>
                <w:lang w:eastAsia="en-GB"/>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17481B9B" w14:textId="77777777" w:rsidR="006D4F92" w:rsidRPr="00A61E97" w:rsidRDefault="006D4F92" w:rsidP="006D4F92">
            <w:pPr>
              <w:spacing w:after="0" w:line="240" w:lineRule="auto"/>
              <w:jc w:val="center"/>
              <w:rPr>
                <w:rFonts w:ascii="Arial" w:eastAsia="Times New Roman" w:hAnsi="Arial" w:cs="Arial"/>
                <w:b/>
                <w:bCs/>
                <w:color w:val="E26B0A"/>
                <w:sz w:val="24"/>
                <w:szCs w:val="24"/>
                <w:lang w:eastAsia="en-GB"/>
              </w:rPr>
            </w:pPr>
            <w:r w:rsidRPr="00A61E97">
              <w:rPr>
                <w:rFonts w:ascii="Arial" w:eastAsia="Times New Roman" w:hAnsi="Arial" w:cs="Arial"/>
                <w:b/>
                <w:bCs/>
                <w:color w:val="E26B0A"/>
                <w:sz w:val="24"/>
                <w:szCs w:val="24"/>
                <w:lang w:eastAsia="en-GB"/>
              </w:rPr>
              <w:t>2013</w:t>
            </w:r>
          </w:p>
        </w:tc>
        <w:tc>
          <w:tcPr>
            <w:tcW w:w="960" w:type="dxa"/>
            <w:tcBorders>
              <w:top w:val="nil"/>
              <w:left w:val="nil"/>
              <w:bottom w:val="single" w:sz="4" w:space="0" w:color="auto"/>
              <w:right w:val="single" w:sz="4" w:space="0" w:color="auto"/>
            </w:tcBorders>
            <w:shd w:val="clear" w:color="auto" w:fill="auto"/>
            <w:noWrap/>
            <w:vAlign w:val="bottom"/>
            <w:hideMark/>
          </w:tcPr>
          <w:p w14:paraId="4457C434"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c>
          <w:tcPr>
            <w:tcW w:w="960" w:type="dxa"/>
            <w:tcBorders>
              <w:top w:val="nil"/>
              <w:left w:val="nil"/>
              <w:bottom w:val="single" w:sz="4" w:space="0" w:color="auto"/>
              <w:right w:val="single" w:sz="4" w:space="0" w:color="auto"/>
            </w:tcBorders>
            <w:shd w:val="clear" w:color="auto" w:fill="auto"/>
            <w:noWrap/>
            <w:vAlign w:val="bottom"/>
            <w:hideMark/>
          </w:tcPr>
          <w:p w14:paraId="760ECFE3"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r>
      <w:tr w:rsidR="006D4F92" w:rsidRPr="00A61E97" w14:paraId="7772CDC1"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8EF79B"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6</w:t>
            </w:r>
          </w:p>
        </w:tc>
        <w:tc>
          <w:tcPr>
            <w:tcW w:w="960" w:type="dxa"/>
            <w:tcBorders>
              <w:top w:val="nil"/>
              <w:left w:val="nil"/>
              <w:bottom w:val="single" w:sz="4" w:space="0" w:color="auto"/>
              <w:right w:val="single" w:sz="4" w:space="0" w:color="auto"/>
            </w:tcBorders>
            <w:shd w:val="clear" w:color="auto" w:fill="auto"/>
            <w:noWrap/>
            <w:vAlign w:val="bottom"/>
            <w:hideMark/>
          </w:tcPr>
          <w:p w14:paraId="1EBD9754"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326</w:t>
            </w:r>
          </w:p>
        </w:tc>
        <w:tc>
          <w:tcPr>
            <w:tcW w:w="960" w:type="dxa"/>
            <w:tcBorders>
              <w:top w:val="nil"/>
              <w:left w:val="nil"/>
              <w:bottom w:val="single" w:sz="4" w:space="0" w:color="auto"/>
              <w:right w:val="single" w:sz="4" w:space="0" w:color="auto"/>
            </w:tcBorders>
            <w:shd w:val="clear" w:color="auto" w:fill="auto"/>
            <w:noWrap/>
            <w:vAlign w:val="bottom"/>
            <w:hideMark/>
          </w:tcPr>
          <w:p w14:paraId="6A6336D2"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7B3B172A"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24F49049"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000000" w:fill="4F81BD"/>
            <w:noWrap/>
            <w:vAlign w:val="bottom"/>
            <w:hideMark/>
          </w:tcPr>
          <w:p w14:paraId="554FF4E5"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2019</w:t>
            </w:r>
          </w:p>
        </w:tc>
      </w:tr>
      <w:tr w:rsidR="006D4F92" w:rsidRPr="00A61E97" w14:paraId="2CA02805"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4C59C8"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7</w:t>
            </w:r>
          </w:p>
        </w:tc>
        <w:tc>
          <w:tcPr>
            <w:tcW w:w="960" w:type="dxa"/>
            <w:tcBorders>
              <w:top w:val="nil"/>
              <w:left w:val="nil"/>
              <w:bottom w:val="single" w:sz="4" w:space="0" w:color="auto"/>
              <w:right w:val="single" w:sz="4" w:space="0" w:color="auto"/>
            </w:tcBorders>
            <w:shd w:val="clear" w:color="auto" w:fill="auto"/>
            <w:noWrap/>
            <w:vAlign w:val="bottom"/>
            <w:hideMark/>
          </w:tcPr>
          <w:p w14:paraId="2E1CFA17" w14:textId="77777777" w:rsidR="006D4F92" w:rsidRPr="00A61E97" w:rsidRDefault="006D4F92" w:rsidP="006D4F92">
            <w:pPr>
              <w:spacing w:after="0" w:line="240" w:lineRule="auto"/>
              <w:jc w:val="center"/>
              <w:rPr>
                <w:rFonts w:ascii="Arial" w:eastAsia="Times New Roman" w:hAnsi="Arial" w:cs="Arial"/>
                <w:b/>
                <w:bCs/>
                <w:sz w:val="24"/>
                <w:szCs w:val="24"/>
                <w:lang w:eastAsia="en-GB"/>
              </w:rPr>
            </w:pPr>
            <w:r w:rsidRPr="00A61E97">
              <w:rPr>
                <w:rFonts w:ascii="Arial" w:eastAsia="Times New Roman" w:hAnsi="Arial" w:cs="Arial"/>
                <w:b/>
                <w:bCs/>
                <w:sz w:val="24"/>
                <w:szCs w:val="24"/>
                <w:lang w:eastAsia="en-GB"/>
              </w:rPr>
              <w:t>2012</w:t>
            </w:r>
          </w:p>
        </w:tc>
        <w:tc>
          <w:tcPr>
            <w:tcW w:w="960" w:type="dxa"/>
            <w:tcBorders>
              <w:top w:val="nil"/>
              <w:left w:val="nil"/>
              <w:bottom w:val="single" w:sz="4" w:space="0" w:color="auto"/>
              <w:right w:val="single" w:sz="4" w:space="0" w:color="auto"/>
            </w:tcBorders>
            <w:shd w:val="clear" w:color="auto" w:fill="auto"/>
            <w:noWrap/>
            <w:vAlign w:val="bottom"/>
            <w:hideMark/>
          </w:tcPr>
          <w:p w14:paraId="28B3132F" w14:textId="77777777" w:rsidR="006D4F92" w:rsidRPr="00A61E97" w:rsidRDefault="006D4F92" w:rsidP="006D4F92">
            <w:pPr>
              <w:spacing w:after="0" w:line="240" w:lineRule="auto"/>
              <w:jc w:val="right"/>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auto" w:fill="auto"/>
            <w:noWrap/>
            <w:vAlign w:val="bottom"/>
            <w:hideMark/>
          </w:tcPr>
          <w:p w14:paraId="78F3A8D8"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36A15E34"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67A7D4EB"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r>
      <w:tr w:rsidR="006D4F92" w:rsidRPr="00A61E97" w14:paraId="42FC2089"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2C09D5"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8</w:t>
            </w:r>
          </w:p>
        </w:tc>
        <w:tc>
          <w:tcPr>
            <w:tcW w:w="960" w:type="dxa"/>
            <w:tcBorders>
              <w:top w:val="nil"/>
              <w:left w:val="nil"/>
              <w:bottom w:val="single" w:sz="4" w:space="0" w:color="auto"/>
              <w:right w:val="single" w:sz="4" w:space="0" w:color="auto"/>
            </w:tcBorders>
            <w:shd w:val="clear" w:color="auto" w:fill="auto"/>
            <w:noWrap/>
            <w:vAlign w:val="bottom"/>
            <w:hideMark/>
          </w:tcPr>
          <w:p w14:paraId="0F81E4D5"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000000" w:fill="000000"/>
            <w:noWrap/>
            <w:vAlign w:val="bottom"/>
            <w:hideMark/>
          </w:tcPr>
          <w:p w14:paraId="0534788E" w14:textId="77777777" w:rsidR="006D4F92" w:rsidRPr="00A61E97" w:rsidRDefault="006D4F92" w:rsidP="006D4F92">
            <w:pPr>
              <w:spacing w:after="0" w:line="240" w:lineRule="auto"/>
              <w:jc w:val="center"/>
              <w:rPr>
                <w:rFonts w:ascii="Arial" w:eastAsia="Times New Roman" w:hAnsi="Arial" w:cs="Arial"/>
                <w:b/>
                <w:bCs/>
                <w:color w:val="FFFF00"/>
                <w:sz w:val="24"/>
                <w:szCs w:val="24"/>
                <w:lang w:eastAsia="en-GB"/>
              </w:rPr>
            </w:pPr>
            <w:r w:rsidRPr="00A61E97">
              <w:rPr>
                <w:rFonts w:ascii="Arial" w:eastAsia="Times New Roman" w:hAnsi="Arial" w:cs="Arial"/>
                <w:b/>
                <w:bCs/>
                <w:color w:val="FFFF00"/>
                <w:sz w:val="24"/>
                <w:szCs w:val="24"/>
                <w:lang w:eastAsia="en-GB"/>
              </w:rPr>
              <w:t>2015</w:t>
            </w:r>
          </w:p>
        </w:tc>
        <w:tc>
          <w:tcPr>
            <w:tcW w:w="960" w:type="dxa"/>
            <w:tcBorders>
              <w:top w:val="nil"/>
              <w:left w:val="nil"/>
              <w:bottom w:val="single" w:sz="4" w:space="0" w:color="auto"/>
              <w:right w:val="single" w:sz="4" w:space="0" w:color="auto"/>
            </w:tcBorders>
            <w:shd w:val="clear" w:color="auto" w:fill="auto"/>
            <w:noWrap/>
            <w:vAlign w:val="bottom"/>
            <w:hideMark/>
          </w:tcPr>
          <w:p w14:paraId="49018367"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r w:rsidRPr="00A61E97">
              <w:rPr>
                <w:rFonts w:ascii="Arial" w:eastAsia="Times New Roman" w:hAnsi="Arial" w:cs="Arial"/>
                <w:b/>
                <w:bCs/>
                <w:color w:val="FF0000"/>
                <w:sz w:val="24"/>
                <w:szCs w:val="24"/>
                <w:lang w:eastAsia="en-GB"/>
              </w:rPr>
              <w:t>2008</w:t>
            </w:r>
          </w:p>
        </w:tc>
        <w:tc>
          <w:tcPr>
            <w:tcW w:w="960" w:type="dxa"/>
            <w:tcBorders>
              <w:top w:val="nil"/>
              <w:left w:val="nil"/>
              <w:bottom w:val="single" w:sz="4" w:space="0" w:color="auto"/>
              <w:right w:val="single" w:sz="4" w:space="0" w:color="auto"/>
            </w:tcBorders>
            <w:shd w:val="clear" w:color="000000" w:fill="C0504D"/>
            <w:noWrap/>
            <w:vAlign w:val="bottom"/>
            <w:hideMark/>
          </w:tcPr>
          <w:p w14:paraId="5A1AD983"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53176149"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r>
      <w:tr w:rsidR="006D4F92" w:rsidRPr="00A61E97" w14:paraId="0D75221E"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78FAA4"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9</w:t>
            </w:r>
          </w:p>
        </w:tc>
        <w:tc>
          <w:tcPr>
            <w:tcW w:w="960" w:type="dxa"/>
            <w:tcBorders>
              <w:top w:val="nil"/>
              <w:left w:val="nil"/>
              <w:bottom w:val="single" w:sz="4" w:space="0" w:color="auto"/>
              <w:right w:val="single" w:sz="4" w:space="0" w:color="auto"/>
            </w:tcBorders>
            <w:shd w:val="clear" w:color="auto" w:fill="auto"/>
            <w:noWrap/>
            <w:vAlign w:val="bottom"/>
            <w:hideMark/>
          </w:tcPr>
          <w:p w14:paraId="05343B60" w14:textId="77777777" w:rsidR="006D4F92" w:rsidRPr="00A61E97" w:rsidRDefault="006D4F92" w:rsidP="006D4F92">
            <w:pPr>
              <w:spacing w:after="0" w:line="240" w:lineRule="auto"/>
              <w:jc w:val="center"/>
              <w:rPr>
                <w:rFonts w:ascii="Arial" w:eastAsia="Times New Roman" w:hAnsi="Arial" w:cs="Arial"/>
                <w:b/>
                <w:bCs/>
                <w:sz w:val="24"/>
                <w:szCs w:val="24"/>
                <w:lang w:eastAsia="en-GB"/>
              </w:rPr>
            </w:pPr>
            <w:r w:rsidRPr="00A61E97">
              <w:rPr>
                <w:rFonts w:ascii="Arial" w:eastAsia="Times New Roman" w:hAnsi="Arial" w:cs="Arial"/>
                <w:b/>
                <w:bCs/>
                <w:sz w:val="24"/>
                <w:szCs w:val="24"/>
                <w:lang w:eastAsia="en-GB"/>
              </w:rPr>
              <w:t>2012</w:t>
            </w:r>
          </w:p>
        </w:tc>
        <w:tc>
          <w:tcPr>
            <w:tcW w:w="960" w:type="dxa"/>
            <w:tcBorders>
              <w:top w:val="nil"/>
              <w:left w:val="nil"/>
              <w:bottom w:val="single" w:sz="4" w:space="0" w:color="auto"/>
              <w:right w:val="single" w:sz="4" w:space="0" w:color="auto"/>
            </w:tcBorders>
            <w:shd w:val="clear" w:color="auto" w:fill="auto"/>
            <w:noWrap/>
            <w:vAlign w:val="bottom"/>
            <w:hideMark/>
          </w:tcPr>
          <w:p w14:paraId="3FD68487"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23A700CB"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auto" w:fill="auto"/>
            <w:noWrap/>
            <w:vAlign w:val="bottom"/>
            <w:hideMark/>
          </w:tcPr>
          <w:p w14:paraId="58D625B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344</w:t>
            </w:r>
          </w:p>
        </w:tc>
        <w:tc>
          <w:tcPr>
            <w:tcW w:w="960" w:type="dxa"/>
            <w:tcBorders>
              <w:top w:val="nil"/>
              <w:left w:val="nil"/>
              <w:bottom w:val="single" w:sz="4" w:space="0" w:color="auto"/>
              <w:right w:val="single" w:sz="4" w:space="0" w:color="auto"/>
            </w:tcBorders>
            <w:shd w:val="clear" w:color="auto" w:fill="auto"/>
            <w:noWrap/>
            <w:vAlign w:val="bottom"/>
            <w:hideMark/>
          </w:tcPr>
          <w:p w14:paraId="2A72B421"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r>
      <w:tr w:rsidR="006D4F92" w:rsidRPr="00A61E97" w14:paraId="541AE904"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AAA15A"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10</w:t>
            </w:r>
          </w:p>
        </w:tc>
        <w:tc>
          <w:tcPr>
            <w:tcW w:w="960" w:type="dxa"/>
            <w:tcBorders>
              <w:top w:val="nil"/>
              <w:left w:val="nil"/>
              <w:bottom w:val="single" w:sz="4" w:space="0" w:color="auto"/>
              <w:right w:val="single" w:sz="4" w:space="0" w:color="auto"/>
            </w:tcBorders>
            <w:shd w:val="clear" w:color="auto" w:fill="auto"/>
            <w:noWrap/>
            <w:vAlign w:val="bottom"/>
            <w:hideMark/>
          </w:tcPr>
          <w:p w14:paraId="69FCEC55"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346</w:t>
            </w:r>
          </w:p>
        </w:tc>
        <w:tc>
          <w:tcPr>
            <w:tcW w:w="960" w:type="dxa"/>
            <w:tcBorders>
              <w:top w:val="nil"/>
              <w:left w:val="nil"/>
              <w:bottom w:val="single" w:sz="4" w:space="0" w:color="auto"/>
              <w:right w:val="single" w:sz="4" w:space="0" w:color="auto"/>
            </w:tcBorders>
            <w:shd w:val="clear" w:color="auto" w:fill="auto"/>
            <w:noWrap/>
            <w:vAlign w:val="bottom"/>
            <w:hideMark/>
          </w:tcPr>
          <w:p w14:paraId="270375A3"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4AC4B240"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348</w:t>
            </w:r>
          </w:p>
        </w:tc>
        <w:tc>
          <w:tcPr>
            <w:tcW w:w="960" w:type="dxa"/>
            <w:tcBorders>
              <w:top w:val="nil"/>
              <w:left w:val="nil"/>
              <w:bottom w:val="single" w:sz="4" w:space="0" w:color="auto"/>
              <w:right w:val="single" w:sz="4" w:space="0" w:color="auto"/>
            </w:tcBorders>
            <w:shd w:val="clear" w:color="auto" w:fill="auto"/>
            <w:noWrap/>
            <w:vAlign w:val="bottom"/>
            <w:hideMark/>
          </w:tcPr>
          <w:p w14:paraId="76F71863"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349</w:t>
            </w:r>
          </w:p>
        </w:tc>
        <w:tc>
          <w:tcPr>
            <w:tcW w:w="960" w:type="dxa"/>
            <w:tcBorders>
              <w:top w:val="nil"/>
              <w:left w:val="nil"/>
              <w:bottom w:val="single" w:sz="4" w:space="0" w:color="auto"/>
              <w:right w:val="single" w:sz="4" w:space="0" w:color="auto"/>
            </w:tcBorders>
            <w:shd w:val="clear" w:color="auto" w:fill="auto"/>
            <w:noWrap/>
            <w:vAlign w:val="bottom"/>
            <w:hideMark/>
          </w:tcPr>
          <w:p w14:paraId="006F97B0"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r>
      <w:tr w:rsidR="006D4F92" w:rsidRPr="00A61E97" w14:paraId="676DCC52"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6A337E"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11</w:t>
            </w:r>
          </w:p>
        </w:tc>
        <w:tc>
          <w:tcPr>
            <w:tcW w:w="960" w:type="dxa"/>
            <w:tcBorders>
              <w:top w:val="nil"/>
              <w:left w:val="nil"/>
              <w:bottom w:val="single" w:sz="4" w:space="0" w:color="auto"/>
              <w:right w:val="single" w:sz="4" w:space="0" w:color="auto"/>
            </w:tcBorders>
            <w:shd w:val="clear" w:color="auto" w:fill="auto"/>
            <w:noWrap/>
            <w:vAlign w:val="bottom"/>
            <w:hideMark/>
          </w:tcPr>
          <w:p w14:paraId="30464370" w14:textId="77777777" w:rsidR="006D4F92" w:rsidRPr="00A61E97" w:rsidRDefault="006D4F92" w:rsidP="006D4F92">
            <w:pPr>
              <w:spacing w:after="0" w:line="240" w:lineRule="auto"/>
              <w:jc w:val="right"/>
              <w:rPr>
                <w:rFonts w:ascii="Arial" w:eastAsia="Times New Roman" w:hAnsi="Arial" w:cs="Arial"/>
                <w:b/>
                <w:bCs/>
                <w:sz w:val="16"/>
                <w:szCs w:val="16"/>
                <w:lang w:eastAsia="en-GB"/>
              </w:rPr>
            </w:pPr>
            <w:r w:rsidRPr="00A61E97">
              <w:rPr>
                <w:rFonts w:ascii="Arial" w:eastAsia="Times New Roman" w:hAnsi="Arial" w:cs="Arial"/>
                <w:b/>
                <w:bCs/>
                <w:sz w:val="16"/>
                <w:szCs w:val="16"/>
                <w:vertAlign w:val="superscript"/>
                <w:lang w:eastAsia="en-GB"/>
              </w:rPr>
              <w:t>351</w:t>
            </w:r>
          </w:p>
        </w:tc>
        <w:tc>
          <w:tcPr>
            <w:tcW w:w="960" w:type="dxa"/>
            <w:tcBorders>
              <w:top w:val="nil"/>
              <w:left w:val="nil"/>
              <w:bottom w:val="single" w:sz="4" w:space="0" w:color="auto"/>
              <w:right w:val="single" w:sz="4" w:space="0" w:color="auto"/>
            </w:tcBorders>
            <w:shd w:val="clear" w:color="auto" w:fill="auto"/>
            <w:noWrap/>
            <w:vAlign w:val="bottom"/>
            <w:hideMark/>
          </w:tcPr>
          <w:p w14:paraId="1295F14A"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1D564FF1" w14:textId="77777777" w:rsidR="006D4F92" w:rsidRPr="00A61E97" w:rsidRDefault="006D4F92" w:rsidP="006D4F92">
            <w:pPr>
              <w:spacing w:after="0" w:line="240" w:lineRule="auto"/>
              <w:jc w:val="center"/>
              <w:rPr>
                <w:rFonts w:ascii="Arial" w:eastAsia="Times New Roman" w:hAnsi="Arial" w:cs="Arial"/>
                <w:b/>
                <w:bCs/>
                <w:sz w:val="24"/>
                <w:szCs w:val="24"/>
                <w:lang w:eastAsia="en-GB"/>
              </w:rPr>
            </w:pPr>
            <w:r w:rsidRPr="00A61E97">
              <w:rPr>
                <w:rFonts w:ascii="Arial" w:eastAsia="Times New Roman" w:hAnsi="Arial" w:cs="Arial"/>
                <w:b/>
                <w:bCs/>
                <w:sz w:val="24"/>
                <w:szCs w:val="24"/>
                <w:lang w:eastAsia="en-GB"/>
              </w:rPr>
              <w:t>2012</w:t>
            </w:r>
          </w:p>
        </w:tc>
        <w:tc>
          <w:tcPr>
            <w:tcW w:w="960" w:type="dxa"/>
            <w:tcBorders>
              <w:top w:val="nil"/>
              <w:left w:val="nil"/>
              <w:bottom w:val="single" w:sz="4" w:space="0" w:color="auto"/>
              <w:right w:val="single" w:sz="4" w:space="0" w:color="auto"/>
            </w:tcBorders>
            <w:shd w:val="clear" w:color="auto" w:fill="auto"/>
            <w:noWrap/>
            <w:vAlign w:val="bottom"/>
            <w:hideMark/>
          </w:tcPr>
          <w:p w14:paraId="1345A2E6"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c>
          <w:tcPr>
            <w:tcW w:w="960" w:type="dxa"/>
            <w:tcBorders>
              <w:top w:val="nil"/>
              <w:left w:val="nil"/>
              <w:bottom w:val="single" w:sz="4" w:space="0" w:color="auto"/>
              <w:right w:val="single" w:sz="4" w:space="0" w:color="auto"/>
            </w:tcBorders>
            <w:shd w:val="clear" w:color="auto" w:fill="auto"/>
            <w:noWrap/>
            <w:vAlign w:val="bottom"/>
            <w:hideMark/>
          </w:tcPr>
          <w:p w14:paraId="71871CEE"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r>
      <w:tr w:rsidR="006D4F92" w:rsidRPr="00A61E97" w14:paraId="4ED2C81E"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445B59"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12</w:t>
            </w:r>
          </w:p>
        </w:tc>
        <w:tc>
          <w:tcPr>
            <w:tcW w:w="960" w:type="dxa"/>
            <w:tcBorders>
              <w:top w:val="nil"/>
              <w:left w:val="nil"/>
              <w:bottom w:val="single" w:sz="4" w:space="0" w:color="auto"/>
              <w:right w:val="single" w:sz="4" w:space="0" w:color="auto"/>
            </w:tcBorders>
            <w:shd w:val="clear" w:color="auto" w:fill="auto"/>
            <w:noWrap/>
            <w:vAlign w:val="bottom"/>
            <w:hideMark/>
          </w:tcPr>
          <w:p w14:paraId="2B716550"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356</w:t>
            </w:r>
          </w:p>
        </w:tc>
        <w:tc>
          <w:tcPr>
            <w:tcW w:w="960" w:type="dxa"/>
            <w:tcBorders>
              <w:top w:val="nil"/>
              <w:left w:val="nil"/>
              <w:bottom w:val="single" w:sz="4" w:space="0" w:color="auto"/>
              <w:right w:val="single" w:sz="4" w:space="0" w:color="auto"/>
            </w:tcBorders>
            <w:shd w:val="clear" w:color="auto" w:fill="auto"/>
            <w:noWrap/>
            <w:vAlign w:val="bottom"/>
            <w:hideMark/>
          </w:tcPr>
          <w:p w14:paraId="38486AD5" w14:textId="77777777" w:rsidR="006D4F92" w:rsidRPr="00A61E97" w:rsidRDefault="006D4F92" w:rsidP="006D4F92">
            <w:pPr>
              <w:spacing w:after="0" w:line="240" w:lineRule="auto"/>
              <w:jc w:val="center"/>
              <w:rPr>
                <w:rFonts w:ascii="Arial" w:eastAsia="Times New Roman" w:hAnsi="Arial" w:cs="Arial"/>
                <w:b/>
                <w:bCs/>
                <w:color w:val="3366FF"/>
                <w:sz w:val="24"/>
                <w:szCs w:val="24"/>
                <w:lang w:eastAsia="en-GB"/>
              </w:rPr>
            </w:pPr>
            <w:r w:rsidRPr="00A61E97">
              <w:rPr>
                <w:rFonts w:ascii="Arial" w:eastAsia="Times New Roman" w:hAnsi="Arial" w:cs="Arial"/>
                <w:b/>
                <w:bCs/>
                <w:color w:val="3366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4D372CC5"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58BD4EAB"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359</w:t>
            </w:r>
          </w:p>
        </w:tc>
        <w:tc>
          <w:tcPr>
            <w:tcW w:w="960" w:type="dxa"/>
            <w:tcBorders>
              <w:top w:val="nil"/>
              <w:left w:val="nil"/>
              <w:bottom w:val="single" w:sz="4" w:space="0" w:color="auto"/>
              <w:right w:val="single" w:sz="4" w:space="0" w:color="auto"/>
            </w:tcBorders>
            <w:shd w:val="clear" w:color="000000" w:fill="000000"/>
            <w:noWrap/>
            <w:vAlign w:val="bottom"/>
            <w:hideMark/>
          </w:tcPr>
          <w:p w14:paraId="717FCC70" w14:textId="77777777" w:rsidR="006D4F92" w:rsidRPr="00A61E97" w:rsidRDefault="006D4F92" w:rsidP="006D4F92">
            <w:pPr>
              <w:spacing w:after="0" w:line="240" w:lineRule="auto"/>
              <w:jc w:val="center"/>
              <w:rPr>
                <w:rFonts w:ascii="Arial" w:eastAsia="Times New Roman" w:hAnsi="Arial" w:cs="Arial"/>
                <w:b/>
                <w:bCs/>
                <w:color w:val="FFFF00"/>
                <w:sz w:val="24"/>
                <w:szCs w:val="24"/>
                <w:lang w:eastAsia="en-GB"/>
              </w:rPr>
            </w:pPr>
            <w:r w:rsidRPr="00A61E97">
              <w:rPr>
                <w:rFonts w:ascii="Arial" w:eastAsia="Times New Roman" w:hAnsi="Arial" w:cs="Arial"/>
                <w:b/>
                <w:bCs/>
                <w:color w:val="FFFF00"/>
                <w:sz w:val="24"/>
                <w:szCs w:val="24"/>
                <w:lang w:eastAsia="en-GB"/>
              </w:rPr>
              <w:t>2015</w:t>
            </w:r>
          </w:p>
        </w:tc>
      </w:tr>
      <w:tr w:rsidR="006D4F92" w:rsidRPr="00A61E97" w14:paraId="3F70ADCB"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54023D"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13</w:t>
            </w:r>
          </w:p>
        </w:tc>
        <w:tc>
          <w:tcPr>
            <w:tcW w:w="960" w:type="dxa"/>
            <w:tcBorders>
              <w:top w:val="nil"/>
              <w:left w:val="nil"/>
              <w:bottom w:val="single" w:sz="4" w:space="0" w:color="auto"/>
              <w:right w:val="single" w:sz="4" w:space="0" w:color="auto"/>
            </w:tcBorders>
            <w:shd w:val="clear" w:color="auto" w:fill="auto"/>
            <w:noWrap/>
            <w:vAlign w:val="bottom"/>
            <w:hideMark/>
          </w:tcPr>
          <w:p w14:paraId="3CE6A1BF"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r w:rsidRPr="00A61E97">
              <w:rPr>
                <w:rFonts w:ascii="Arial" w:eastAsia="Times New Roman" w:hAnsi="Arial" w:cs="Arial"/>
                <w:b/>
                <w:bCs/>
                <w:color w:val="FF0000"/>
                <w:sz w:val="24"/>
                <w:szCs w:val="24"/>
                <w:lang w:eastAsia="en-GB"/>
              </w:rPr>
              <w:t>2007</w:t>
            </w:r>
          </w:p>
        </w:tc>
        <w:tc>
          <w:tcPr>
            <w:tcW w:w="960" w:type="dxa"/>
            <w:tcBorders>
              <w:top w:val="nil"/>
              <w:left w:val="nil"/>
              <w:bottom w:val="single" w:sz="4" w:space="0" w:color="auto"/>
              <w:right w:val="single" w:sz="4" w:space="0" w:color="auto"/>
            </w:tcBorders>
            <w:shd w:val="clear" w:color="auto" w:fill="auto"/>
            <w:noWrap/>
            <w:vAlign w:val="bottom"/>
            <w:hideMark/>
          </w:tcPr>
          <w:p w14:paraId="76D7F014"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362</w:t>
            </w:r>
          </w:p>
        </w:tc>
        <w:tc>
          <w:tcPr>
            <w:tcW w:w="960" w:type="dxa"/>
            <w:tcBorders>
              <w:top w:val="nil"/>
              <w:left w:val="nil"/>
              <w:bottom w:val="single" w:sz="4" w:space="0" w:color="auto"/>
              <w:right w:val="single" w:sz="4" w:space="0" w:color="auto"/>
            </w:tcBorders>
            <w:shd w:val="clear" w:color="auto" w:fill="auto"/>
            <w:noWrap/>
            <w:vAlign w:val="bottom"/>
            <w:hideMark/>
          </w:tcPr>
          <w:p w14:paraId="55222B59"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r w:rsidRPr="00A61E97">
              <w:rPr>
                <w:rFonts w:ascii="Arial" w:eastAsia="Times New Roman" w:hAnsi="Arial" w:cs="Arial"/>
                <w:b/>
                <w:bCs/>
                <w:color w:val="FF0000"/>
                <w:sz w:val="24"/>
                <w:szCs w:val="24"/>
                <w:lang w:eastAsia="en-GB"/>
              </w:rPr>
              <w:t>2007</w:t>
            </w:r>
          </w:p>
        </w:tc>
        <w:tc>
          <w:tcPr>
            <w:tcW w:w="960" w:type="dxa"/>
            <w:tcBorders>
              <w:top w:val="nil"/>
              <w:left w:val="nil"/>
              <w:bottom w:val="single" w:sz="4" w:space="0" w:color="auto"/>
              <w:right w:val="single" w:sz="4" w:space="0" w:color="auto"/>
            </w:tcBorders>
            <w:shd w:val="clear" w:color="auto" w:fill="auto"/>
            <w:noWrap/>
            <w:vAlign w:val="bottom"/>
            <w:hideMark/>
          </w:tcPr>
          <w:p w14:paraId="1AE5C762"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c>
          <w:tcPr>
            <w:tcW w:w="960" w:type="dxa"/>
            <w:tcBorders>
              <w:top w:val="nil"/>
              <w:left w:val="nil"/>
              <w:bottom w:val="single" w:sz="4" w:space="0" w:color="auto"/>
              <w:right w:val="single" w:sz="4" w:space="0" w:color="auto"/>
            </w:tcBorders>
            <w:shd w:val="clear" w:color="000000" w:fill="FFFFFF"/>
            <w:noWrap/>
            <w:vAlign w:val="bottom"/>
            <w:hideMark/>
          </w:tcPr>
          <w:p w14:paraId="7C1EAA1A"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365</w:t>
            </w:r>
          </w:p>
        </w:tc>
      </w:tr>
      <w:tr w:rsidR="006D4F92" w:rsidRPr="00A61E97" w14:paraId="44509C13"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C81272"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14</w:t>
            </w:r>
          </w:p>
        </w:tc>
        <w:tc>
          <w:tcPr>
            <w:tcW w:w="960" w:type="dxa"/>
            <w:tcBorders>
              <w:top w:val="nil"/>
              <w:left w:val="nil"/>
              <w:bottom w:val="single" w:sz="4" w:space="0" w:color="auto"/>
              <w:right w:val="single" w:sz="4" w:space="0" w:color="auto"/>
            </w:tcBorders>
            <w:shd w:val="clear" w:color="auto" w:fill="auto"/>
            <w:noWrap/>
            <w:vAlign w:val="bottom"/>
            <w:hideMark/>
          </w:tcPr>
          <w:p w14:paraId="7678871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366</w:t>
            </w:r>
          </w:p>
        </w:tc>
        <w:tc>
          <w:tcPr>
            <w:tcW w:w="960" w:type="dxa"/>
            <w:tcBorders>
              <w:top w:val="nil"/>
              <w:left w:val="nil"/>
              <w:bottom w:val="single" w:sz="4" w:space="0" w:color="auto"/>
              <w:right w:val="single" w:sz="4" w:space="0" w:color="auto"/>
            </w:tcBorders>
            <w:shd w:val="clear" w:color="auto" w:fill="auto"/>
            <w:noWrap/>
            <w:vAlign w:val="bottom"/>
            <w:hideMark/>
          </w:tcPr>
          <w:p w14:paraId="08E44C5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367</w:t>
            </w:r>
          </w:p>
        </w:tc>
        <w:tc>
          <w:tcPr>
            <w:tcW w:w="960" w:type="dxa"/>
            <w:tcBorders>
              <w:top w:val="nil"/>
              <w:left w:val="nil"/>
              <w:bottom w:val="single" w:sz="4" w:space="0" w:color="auto"/>
              <w:right w:val="single" w:sz="4" w:space="0" w:color="auto"/>
            </w:tcBorders>
            <w:shd w:val="clear" w:color="auto" w:fill="auto"/>
            <w:noWrap/>
            <w:vAlign w:val="bottom"/>
            <w:hideMark/>
          </w:tcPr>
          <w:p w14:paraId="395243C2"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368</w:t>
            </w:r>
          </w:p>
        </w:tc>
        <w:tc>
          <w:tcPr>
            <w:tcW w:w="960" w:type="dxa"/>
            <w:tcBorders>
              <w:top w:val="nil"/>
              <w:left w:val="nil"/>
              <w:bottom w:val="single" w:sz="4" w:space="0" w:color="auto"/>
              <w:right w:val="single" w:sz="4" w:space="0" w:color="auto"/>
            </w:tcBorders>
            <w:shd w:val="clear" w:color="auto" w:fill="auto"/>
            <w:noWrap/>
            <w:vAlign w:val="bottom"/>
            <w:hideMark/>
          </w:tcPr>
          <w:p w14:paraId="23FE3741" w14:textId="77777777" w:rsidR="006D4F92" w:rsidRPr="00A61E97" w:rsidRDefault="006D4F92" w:rsidP="006D4F92">
            <w:pPr>
              <w:spacing w:after="0" w:line="240" w:lineRule="auto"/>
              <w:jc w:val="center"/>
              <w:rPr>
                <w:rFonts w:ascii="Arial" w:eastAsia="Times New Roman" w:hAnsi="Arial" w:cs="Arial"/>
                <w:b/>
                <w:bCs/>
                <w:sz w:val="24"/>
                <w:szCs w:val="24"/>
                <w:lang w:eastAsia="en-GB"/>
              </w:rPr>
            </w:pPr>
            <w:r w:rsidRPr="00A61E97">
              <w:rPr>
                <w:rFonts w:ascii="Arial" w:eastAsia="Times New Roman" w:hAnsi="Arial" w:cs="Arial"/>
                <w:b/>
                <w:bCs/>
                <w:sz w:val="24"/>
                <w:szCs w:val="24"/>
                <w:lang w:eastAsia="en-GB"/>
              </w:rPr>
              <w:t>2012</w:t>
            </w:r>
          </w:p>
        </w:tc>
        <w:tc>
          <w:tcPr>
            <w:tcW w:w="960" w:type="dxa"/>
            <w:tcBorders>
              <w:top w:val="nil"/>
              <w:left w:val="nil"/>
              <w:bottom w:val="single" w:sz="4" w:space="0" w:color="auto"/>
              <w:right w:val="single" w:sz="4" w:space="0" w:color="auto"/>
            </w:tcBorders>
            <w:shd w:val="clear" w:color="000000" w:fill="76933C"/>
            <w:noWrap/>
            <w:vAlign w:val="bottom"/>
            <w:hideMark/>
          </w:tcPr>
          <w:p w14:paraId="6A9A80EB"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2017</w:t>
            </w:r>
          </w:p>
        </w:tc>
      </w:tr>
      <w:tr w:rsidR="006D4F92" w:rsidRPr="00A61E97" w14:paraId="163CB2B0"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806389"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15</w:t>
            </w:r>
          </w:p>
        </w:tc>
        <w:tc>
          <w:tcPr>
            <w:tcW w:w="960" w:type="dxa"/>
            <w:tcBorders>
              <w:top w:val="nil"/>
              <w:left w:val="nil"/>
              <w:bottom w:val="single" w:sz="4" w:space="0" w:color="auto"/>
              <w:right w:val="single" w:sz="4" w:space="0" w:color="auto"/>
            </w:tcBorders>
            <w:shd w:val="clear" w:color="auto" w:fill="auto"/>
            <w:noWrap/>
            <w:vAlign w:val="bottom"/>
            <w:hideMark/>
          </w:tcPr>
          <w:p w14:paraId="4F77686B"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371</w:t>
            </w:r>
          </w:p>
        </w:tc>
        <w:tc>
          <w:tcPr>
            <w:tcW w:w="960" w:type="dxa"/>
            <w:tcBorders>
              <w:top w:val="nil"/>
              <w:left w:val="nil"/>
              <w:bottom w:val="single" w:sz="4" w:space="0" w:color="auto"/>
              <w:right w:val="single" w:sz="4" w:space="0" w:color="auto"/>
            </w:tcBorders>
            <w:shd w:val="clear" w:color="auto" w:fill="auto"/>
            <w:noWrap/>
            <w:vAlign w:val="bottom"/>
            <w:hideMark/>
          </w:tcPr>
          <w:p w14:paraId="32EDAF0F"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372</w:t>
            </w:r>
          </w:p>
        </w:tc>
        <w:tc>
          <w:tcPr>
            <w:tcW w:w="960" w:type="dxa"/>
            <w:tcBorders>
              <w:top w:val="nil"/>
              <w:left w:val="nil"/>
              <w:bottom w:val="single" w:sz="4" w:space="0" w:color="auto"/>
              <w:right w:val="single" w:sz="4" w:space="0" w:color="auto"/>
            </w:tcBorders>
            <w:shd w:val="clear" w:color="auto" w:fill="auto"/>
            <w:noWrap/>
            <w:vAlign w:val="bottom"/>
            <w:hideMark/>
          </w:tcPr>
          <w:p w14:paraId="63619249"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auto" w:fill="auto"/>
            <w:noWrap/>
            <w:vAlign w:val="bottom"/>
            <w:hideMark/>
          </w:tcPr>
          <w:p w14:paraId="3135F16F" w14:textId="77777777" w:rsidR="006D4F92" w:rsidRPr="00A61E97" w:rsidRDefault="006D4F92" w:rsidP="006D4F92">
            <w:pPr>
              <w:spacing w:after="0" w:line="240" w:lineRule="auto"/>
              <w:jc w:val="center"/>
              <w:rPr>
                <w:rFonts w:ascii="Arial" w:eastAsia="Times New Roman" w:hAnsi="Arial" w:cs="Arial"/>
                <w:b/>
                <w:bCs/>
                <w:color w:val="339966"/>
                <w:sz w:val="24"/>
                <w:szCs w:val="24"/>
                <w:lang w:eastAsia="en-GB"/>
              </w:rPr>
            </w:pPr>
            <w:r w:rsidRPr="00A61E97">
              <w:rPr>
                <w:rFonts w:ascii="Arial" w:eastAsia="Times New Roman" w:hAnsi="Arial" w:cs="Arial"/>
                <w:b/>
                <w:bCs/>
                <w:color w:val="339966"/>
                <w:sz w:val="24"/>
                <w:szCs w:val="24"/>
                <w:lang w:eastAsia="en-GB"/>
              </w:rPr>
              <w:t>2009</w:t>
            </w:r>
          </w:p>
        </w:tc>
        <w:tc>
          <w:tcPr>
            <w:tcW w:w="960" w:type="dxa"/>
            <w:tcBorders>
              <w:top w:val="nil"/>
              <w:left w:val="nil"/>
              <w:bottom w:val="single" w:sz="4" w:space="0" w:color="auto"/>
              <w:right w:val="single" w:sz="4" w:space="0" w:color="auto"/>
            </w:tcBorders>
            <w:shd w:val="clear" w:color="000000" w:fill="76933C"/>
            <w:noWrap/>
            <w:vAlign w:val="bottom"/>
            <w:hideMark/>
          </w:tcPr>
          <w:p w14:paraId="7D7BECE9" w14:textId="77777777" w:rsidR="006D4F92" w:rsidRPr="00A61E97" w:rsidRDefault="006D4F92" w:rsidP="006D4F92">
            <w:pPr>
              <w:spacing w:after="0" w:line="240" w:lineRule="auto"/>
              <w:jc w:val="center"/>
              <w:rPr>
                <w:rFonts w:ascii="Arial" w:eastAsia="Times New Roman" w:hAnsi="Arial" w:cs="Arial"/>
                <w:b/>
                <w:bCs/>
                <w:color w:val="FFFFFF"/>
                <w:sz w:val="24"/>
                <w:szCs w:val="24"/>
                <w:lang w:eastAsia="en-GB"/>
              </w:rPr>
            </w:pPr>
            <w:r w:rsidRPr="00A61E97">
              <w:rPr>
                <w:rFonts w:ascii="Arial" w:eastAsia="Times New Roman" w:hAnsi="Arial" w:cs="Arial"/>
                <w:b/>
                <w:bCs/>
                <w:color w:val="FFFFFF"/>
                <w:sz w:val="24"/>
                <w:szCs w:val="24"/>
                <w:lang w:eastAsia="en-GB"/>
              </w:rPr>
              <w:t>2017</w:t>
            </w:r>
          </w:p>
        </w:tc>
      </w:tr>
      <w:tr w:rsidR="006D4F92" w:rsidRPr="00A61E97" w14:paraId="60A84E36"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9FD026"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16</w:t>
            </w:r>
          </w:p>
        </w:tc>
        <w:tc>
          <w:tcPr>
            <w:tcW w:w="960" w:type="dxa"/>
            <w:tcBorders>
              <w:top w:val="nil"/>
              <w:left w:val="nil"/>
              <w:bottom w:val="single" w:sz="4" w:space="0" w:color="auto"/>
              <w:right w:val="single" w:sz="4" w:space="0" w:color="auto"/>
            </w:tcBorders>
            <w:shd w:val="clear" w:color="auto" w:fill="auto"/>
            <w:noWrap/>
            <w:vAlign w:val="bottom"/>
            <w:hideMark/>
          </w:tcPr>
          <w:p w14:paraId="5B00FCD9"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376</w:t>
            </w:r>
          </w:p>
        </w:tc>
        <w:tc>
          <w:tcPr>
            <w:tcW w:w="960" w:type="dxa"/>
            <w:tcBorders>
              <w:top w:val="nil"/>
              <w:left w:val="nil"/>
              <w:bottom w:val="single" w:sz="4" w:space="0" w:color="auto"/>
              <w:right w:val="single" w:sz="4" w:space="0" w:color="auto"/>
            </w:tcBorders>
            <w:shd w:val="clear" w:color="auto" w:fill="auto"/>
            <w:noWrap/>
            <w:vAlign w:val="bottom"/>
            <w:hideMark/>
          </w:tcPr>
          <w:p w14:paraId="4FF0EFC4"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377</w:t>
            </w:r>
          </w:p>
        </w:tc>
        <w:tc>
          <w:tcPr>
            <w:tcW w:w="960" w:type="dxa"/>
            <w:tcBorders>
              <w:top w:val="nil"/>
              <w:left w:val="nil"/>
              <w:bottom w:val="single" w:sz="4" w:space="0" w:color="auto"/>
              <w:right w:val="single" w:sz="4" w:space="0" w:color="auto"/>
            </w:tcBorders>
            <w:shd w:val="clear" w:color="auto" w:fill="auto"/>
            <w:noWrap/>
            <w:vAlign w:val="bottom"/>
            <w:hideMark/>
          </w:tcPr>
          <w:p w14:paraId="692B115C"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378</w:t>
            </w:r>
          </w:p>
        </w:tc>
        <w:tc>
          <w:tcPr>
            <w:tcW w:w="960" w:type="dxa"/>
            <w:tcBorders>
              <w:top w:val="nil"/>
              <w:left w:val="nil"/>
              <w:bottom w:val="single" w:sz="4" w:space="0" w:color="auto"/>
              <w:right w:val="single" w:sz="4" w:space="0" w:color="auto"/>
            </w:tcBorders>
            <w:shd w:val="clear" w:color="auto" w:fill="auto"/>
            <w:noWrap/>
            <w:vAlign w:val="bottom"/>
            <w:hideMark/>
          </w:tcPr>
          <w:p w14:paraId="3445EA7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379</w:t>
            </w:r>
          </w:p>
        </w:tc>
        <w:tc>
          <w:tcPr>
            <w:tcW w:w="960" w:type="dxa"/>
            <w:tcBorders>
              <w:top w:val="nil"/>
              <w:left w:val="nil"/>
              <w:bottom w:val="single" w:sz="4" w:space="0" w:color="auto"/>
              <w:right w:val="single" w:sz="4" w:space="0" w:color="auto"/>
            </w:tcBorders>
            <w:shd w:val="clear" w:color="auto" w:fill="auto"/>
            <w:noWrap/>
            <w:vAlign w:val="bottom"/>
            <w:hideMark/>
          </w:tcPr>
          <w:p w14:paraId="79417EBF" w14:textId="77777777" w:rsidR="006D4F92" w:rsidRPr="00A61E97" w:rsidRDefault="006D4F92" w:rsidP="006D4F92">
            <w:pPr>
              <w:spacing w:after="0" w:line="240" w:lineRule="auto"/>
              <w:jc w:val="center"/>
              <w:rPr>
                <w:rFonts w:ascii="Arial" w:eastAsia="Times New Roman" w:hAnsi="Arial" w:cs="Arial"/>
                <w:b/>
                <w:bCs/>
                <w:color w:val="800080"/>
                <w:sz w:val="24"/>
                <w:szCs w:val="24"/>
                <w:lang w:eastAsia="en-GB"/>
              </w:rPr>
            </w:pPr>
            <w:r w:rsidRPr="00A61E97">
              <w:rPr>
                <w:rFonts w:ascii="Arial" w:eastAsia="Times New Roman" w:hAnsi="Arial" w:cs="Arial"/>
                <w:b/>
                <w:bCs/>
                <w:color w:val="800080"/>
                <w:sz w:val="24"/>
                <w:szCs w:val="24"/>
                <w:lang w:eastAsia="en-GB"/>
              </w:rPr>
              <w:t>2010</w:t>
            </w:r>
          </w:p>
        </w:tc>
      </w:tr>
      <w:tr w:rsidR="006D4F92" w:rsidRPr="00A61E97" w14:paraId="3B4BE827"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CD4BF4"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17</w:t>
            </w:r>
          </w:p>
        </w:tc>
        <w:tc>
          <w:tcPr>
            <w:tcW w:w="960" w:type="dxa"/>
            <w:tcBorders>
              <w:top w:val="nil"/>
              <w:left w:val="nil"/>
              <w:bottom w:val="single" w:sz="4" w:space="0" w:color="auto"/>
              <w:right w:val="single" w:sz="4" w:space="0" w:color="auto"/>
            </w:tcBorders>
            <w:shd w:val="clear" w:color="auto" w:fill="auto"/>
            <w:noWrap/>
            <w:vAlign w:val="bottom"/>
            <w:hideMark/>
          </w:tcPr>
          <w:p w14:paraId="65E79D6A"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381</w:t>
            </w:r>
          </w:p>
        </w:tc>
        <w:tc>
          <w:tcPr>
            <w:tcW w:w="960" w:type="dxa"/>
            <w:tcBorders>
              <w:top w:val="nil"/>
              <w:left w:val="nil"/>
              <w:bottom w:val="single" w:sz="4" w:space="0" w:color="auto"/>
              <w:right w:val="single" w:sz="4" w:space="0" w:color="auto"/>
            </w:tcBorders>
            <w:shd w:val="clear" w:color="auto" w:fill="auto"/>
            <w:noWrap/>
            <w:vAlign w:val="bottom"/>
            <w:hideMark/>
          </w:tcPr>
          <w:p w14:paraId="018EDA2E"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382</w:t>
            </w:r>
          </w:p>
        </w:tc>
        <w:tc>
          <w:tcPr>
            <w:tcW w:w="960" w:type="dxa"/>
            <w:tcBorders>
              <w:top w:val="nil"/>
              <w:left w:val="nil"/>
              <w:bottom w:val="single" w:sz="4" w:space="0" w:color="auto"/>
              <w:right w:val="single" w:sz="4" w:space="0" w:color="auto"/>
            </w:tcBorders>
            <w:shd w:val="clear" w:color="auto" w:fill="auto"/>
            <w:noWrap/>
            <w:vAlign w:val="bottom"/>
            <w:hideMark/>
          </w:tcPr>
          <w:p w14:paraId="6054D50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383</w:t>
            </w:r>
          </w:p>
        </w:tc>
        <w:tc>
          <w:tcPr>
            <w:tcW w:w="960" w:type="dxa"/>
            <w:tcBorders>
              <w:top w:val="nil"/>
              <w:left w:val="nil"/>
              <w:bottom w:val="single" w:sz="4" w:space="0" w:color="auto"/>
              <w:right w:val="single" w:sz="4" w:space="0" w:color="auto"/>
            </w:tcBorders>
            <w:shd w:val="clear" w:color="auto" w:fill="auto"/>
            <w:noWrap/>
            <w:vAlign w:val="bottom"/>
            <w:hideMark/>
          </w:tcPr>
          <w:p w14:paraId="317E325C"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384</w:t>
            </w:r>
          </w:p>
        </w:tc>
        <w:tc>
          <w:tcPr>
            <w:tcW w:w="960" w:type="dxa"/>
            <w:tcBorders>
              <w:top w:val="nil"/>
              <w:left w:val="nil"/>
              <w:bottom w:val="single" w:sz="4" w:space="0" w:color="auto"/>
              <w:right w:val="single" w:sz="4" w:space="0" w:color="auto"/>
            </w:tcBorders>
            <w:shd w:val="clear" w:color="auto" w:fill="auto"/>
            <w:noWrap/>
            <w:vAlign w:val="bottom"/>
            <w:hideMark/>
          </w:tcPr>
          <w:p w14:paraId="515EC22C"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r>
      <w:tr w:rsidR="006D4F92" w:rsidRPr="00A61E97" w14:paraId="58003D22"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15F5A9"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18</w:t>
            </w:r>
          </w:p>
        </w:tc>
        <w:tc>
          <w:tcPr>
            <w:tcW w:w="960" w:type="dxa"/>
            <w:tcBorders>
              <w:top w:val="nil"/>
              <w:left w:val="nil"/>
              <w:bottom w:val="single" w:sz="4" w:space="0" w:color="auto"/>
              <w:right w:val="single" w:sz="4" w:space="0" w:color="auto"/>
            </w:tcBorders>
            <w:shd w:val="clear" w:color="auto" w:fill="auto"/>
            <w:noWrap/>
            <w:vAlign w:val="bottom"/>
            <w:hideMark/>
          </w:tcPr>
          <w:p w14:paraId="677E37E6"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386</w:t>
            </w:r>
          </w:p>
        </w:tc>
        <w:tc>
          <w:tcPr>
            <w:tcW w:w="960" w:type="dxa"/>
            <w:tcBorders>
              <w:top w:val="nil"/>
              <w:left w:val="nil"/>
              <w:bottom w:val="single" w:sz="4" w:space="0" w:color="auto"/>
              <w:right w:val="single" w:sz="4" w:space="0" w:color="auto"/>
            </w:tcBorders>
            <w:shd w:val="clear" w:color="auto" w:fill="auto"/>
            <w:noWrap/>
            <w:vAlign w:val="bottom"/>
            <w:hideMark/>
          </w:tcPr>
          <w:p w14:paraId="703354C8"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387</w:t>
            </w:r>
          </w:p>
        </w:tc>
        <w:tc>
          <w:tcPr>
            <w:tcW w:w="960" w:type="dxa"/>
            <w:tcBorders>
              <w:top w:val="nil"/>
              <w:left w:val="nil"/>
              <w:bottom w:val="single" w:sz="4" w:space="0" w:color="auto"/>
              <w:right w:val="single" w:sz="4" w:space="0" w:color="auto"/>
            </w:tcBorders>
            <w:shd w:val="clear" w:color="auto" w:fill="auto"/>
            <w:noWrap/>
            <w:vAlign w:val="bottom"/>
            <w:hideMark/>
          </w:tcPr>
          <w:p w14:paraId="7C4881E0"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388</w:t>
            </w:r>
          </w:p>
        </w:tc>
        <w:tc>
          <w:tcPr>
            <w:tcW w:w="960" w:type="dxa"/>
            <w:tcBorders>
              <w:top w:val="nil"/>
              <w:left w:val="nil"/>
              <w:bottom w:val="single" w:sz="4" w:space="0" w:color="auto"/>
              <w:right w:val="single" w:sz="4" w:space="0" w:color="auto"/>
            </w:tcBorders>
            <w:shd w:val="clear" w:color="auto" w:fill="auto"/>
            <w:noWrap/>
            <w:vAlign w:val="bottom"/>
            <w:hideMark/>
          </w:tcPr>
          <w:p w14:paraId="04AB6D15" w14:textId="77777777" w:rsidR="006D4F92" w:rsidRPr="00A61E97" w:rsidRDefault="006D4F92" w:rsidP="006D4F92">
            <w:pPr>
              <w:spacing w:after="0" w:line="240" w:lineRule="auto"/>
              <w:jc w:val="center"/>
              <w:rPr>
                <w:rFonts w:ascii="Arial" w:eastAsia="Times New Roman" w:hAnsi="Arial" w:cs="Arial"/>
                <w:b/>
                <w:bCs/>
                <w:color w:val="0000FF"/>
                <w:sz w:val="24"/>
                <w:szCs w:val="24"/>
                <w:lang w:eastAsia="en-GB"/>
              </w:rPr>
            </w:pPr>
            <w:r w:rsidRPr="00A61E97">
              <w:rPr>
                <w:rFonts w:ascii="Arial" w:eastAsia="Times New Roman" w:hAnsi="Arial" w:cs="Arial"/>
                <w:b/>
                <w:bCs/>
                <w:color w:val="0000FF"/>
                <w:sz w:val="24"/>
                <w:szCs w:val="24"/>
                <w:lang w:eastAsia="en-GB"/>
              </w:rPr>
              <w:t>2008</w:t>
            </w:r>
          </w:p>
        </w:tc>
        <w:tc>
          <w:tcPr>
            <w:tcW w:w="960" w:type="dxa"/>
            <w:tcBorders>
              <w:top w:val="nil"/>
              <w:left w:val="nil"/>
              <w:bottom w:val="single" w:sz="4" w:space="0" w:color="auto"/>
              <w:right w:val="single" w:sz="4" w:space="0" w:color="auto"/>
            </w:tcBorders>
            <w:shd w:val="clear" w:color="auto" w:fill="auto"/>
            <w:noWrap/>
            <w:vAlign w:val="bottom"/>
            <w:hideMark/>
          </w:tcPr>
          <w:p w14:paraId="3F847819"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390</w:t>
            </w:r>
          </w:p>
        </w:tc>
      </w:tr>
      <w:tr w:rsidR="006D4F92" w:rsidRPr="00A61E97" w14:paraId="2E0AFF1A"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362A54"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19</w:t>
            </w:r>
          </w:p>
        </w:tc>
        <w:tc>
          <w:tcPr>
            <w:tcW w:w="960" w:type="dxa"/>
            <w:tcBorders>
              <w:top w:val="nil"/>
              <w:left w:val="nil"/>
              <w:bottom w:val="single" w:sz="4" w:space="0" w:color="auto"/>
              <w:right w:val="single" w:sz="4" w:space="0" w:color="auto"/>
            </w:tcBorders>
            <w:shd w:val="clear" w:color="auto" w:fill="auto"/>
            <w:noWrap/>
            <w:vAlign w:val="bottom"/>
            <w:hideMark/>
          </w:tcPr>
          <w:p w14:paraId="65029E59"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391</w:t>
            </w:r>
          </w:p>
        </w:tc>
        <w:tc>
          <w:tcPr>
            <w:tcW w:w="960" w:type="dxa"/>
            <w:tcBorders>
              <w:top w:val="nil"/>
              <w:left w:val="nil"/>
              <w:bottom w:val="single" w:sz="4" w:space="0" w:color="auto"/>
              <w:right w:val="single" w:sz="4" w:space="0" w:color="auto"/>
            </w:tcBorders>
            <w:shd w:val="clear" w:color="auto" w:fill="auto"/>
            <w:noWrap/>
            <w:vAlign w:val="bottom"/>
            <w:hideMark/>
          </w:tcPr>
          <w:p w14:paraId="3081A143"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392</w:t>
            </w:r>
          </w:p>
        </w:tc>
        <w:tc>
          <w:tcPr>
            <w:tcW w:w="960" w:type="dxa"/>
            <w:tcBorders>
              <w:top w:val="nil"/>
              <w:left w:val="nil"/>
              <w:bottom w:val="single" w:sz="4" w:space="0" w:color="auto"/>
              <w:right w:val="single" w:sz="4" w:space="0" w:color="auto"/>
            </w:tcBorders>
            <w:shd w:val="clear" w:color="auto" w:fill="auto"/>
            <w:noWrap/>
            <w:vAlign w:val="bottom"/>
            <w:hideMark/>
          </w:tcPr>
          <w:p w14:paraId="78145483" w14:textId="77777777" w:rsidR="006D4F92" w:rsidRPr="00A61E97" w:rsidRDefault="006D4F92" w:rsidP="006D4F92">
            <w:pPr>
              <w:spacing w:after="0" w:line="240" w:lineRule="auto"/>
              <w:jc w:val="center"/>
              <w:rPr>
                <w:rFonts w:ascii="Arial" w:eastAsia="Times New Roman" w:hAnsi="Arial" w:cs="Arial"/>
                <w:b/>
                <w:bCs/>
                <w:color w:val="FF00FF"/>
                <w:sz w:val="24"/>
                <w:szCs w:val="24"/>
                <w:lang w:eastAsia="en-GB"/>
              </w:rPr>
            </w:pPr>
            <w:r w:rsidRPr="00A61E97">
              <w:rPr>
                <w:rFonts w:ascii="Arial" w:eastAsia="Times New Roman" w:hAnsi="Arial" w:cs="Arial"/>
                <w:b/>
                <w:bCs/>
                <w:color w:val="FF00FF"/>
                <w:sz w:val="24"/>
                <w:szCs w:val="24"/>
                <w:lang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14:paraId="3EFB293D"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394</w:t>
            </w:r>
          </w:p>
        </w:tc>
        <w:tc>
          <w:tcPr>
            <w:tcW w:w="960" w:type="dxa"/>
            <w:tcBorders>
              <w:top w:val="nil"/>
              <w:left w:val="nil"/>
              <w:bottom w:val="single" w:sz="4" w:space="0" w:color="auto"/>
              <w:right w:val="single" w:sz="4" w:space="0" w:color="auto"/>
            </w:tcBorders>
            <w:shd w:val="clear" w:color="auto" w:fill="auto"/>
            <w:noWrap/>
            <w:vAlign w:val="bottom"/>
            <w:hideMark/>
          </w:tcPr>
          <w:p w14:paraId="4469E88B"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395</w:t>
            </w:r>
          </w:p>
        </w:tc>
      </w:tr>
      <w:tr w:rsidR="006D4F92" w:rsidRPr="00A61E97" w14:paraId="5292F367" w14:textId="77777777" w:rsidTr="006D4F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E963C8" w14:textId="77777777" w:rsidR="006D4F92" w:rsidRPr="00A61E97" w:rsidRDefault="006D4F92" w:rsidP="006D4F92">
            <w:pPr>
              <w:spacing w:after="0" w:line="240" w:lineRule="auto"/>
              <w:rPr>
                <w:rFonts w:ascii="Calibri" w:eastAsia="Times New Roman" w:hAnsi="Calibri" w:cs="Calibri"/>
                <w:color w:val="000000"/>
                <w:lang w:eastAsia="en-GB"/>
              </w:rPr>
            </w:pPr>
            <w:r w:rsidRPr="00A61E97">
              <w:rPr>
                <w:rFonts w:ascii="Calibri" w:eastAsia="Times New Roman" w:hAnsi="Calibri" w:cs="Calibri"/>
                <w:color w:val="000000"/>
                <w:lang w:eastAsia="en-GB"/>
              </w:rPr>
              <w:t>Row 20</w:t>
            </w:r>
          </w:p>
        </w:tc>
        <w:tc>
          <w:tcPr>
            <w:tcW w:w="960" w:type="dxa"/>
            <w:tcBorders>
              <w:top w:val="nil"/>
              <w:left w:val="nil"/>
              <w:bottom w:val="single" w:sz="4" w:space="0" w:color="auto"/>
              <w:right w:val="single" w:sz="4" w:space="0" w:color="auto"/>
            </w:tcBorders>
            <w:shd w:val="clear" w:color="auto" w:fill="auto"/>
            <w:noWrap/>
            <w:vAlign w:val="bottom"/>
            <w:hideMark/>
          </w:tcPr>
          <w:p w14:paraId="72A5D99A"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396</w:t>
            </w:r>
          </w:p>
        </w:tc>
        <w:tc>
          <w:tcPr>
            <w:tcW w:w="960" w:type="dxa"/>
            <w:tcBorders>
              <w:top w:val="nil"/>
              <w:left w:val="nil"/>
              <w:bottom w:val="single" w:sz="4" w:space="0" w:color="auto"/>
              <w:right w:val="single" w:sz="4" w:space="0" w:color="auto"/>
            </w:tcBorders>
            <w:shd w:val="clear" w:color="auto" w:fill="auto"/>
            <w:noWrap/>
            <w:vAlign w:val="bottom"/>
            <w:hideMark/>
          </w:tcPr>
          <w:p w14:paraId="5F99E327"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397</w:t>
            </w:r>
          </w:p>
        </w:tc>
        <w:tc>
          <w:tcPr>
            <w:tcW w:w="960" w:type="dxa"/>
            <w:tcBorders>
              <w:top w:val="nil"/>
              <w:left w:val="nil"/>
              <w:bottom w:val="single" w:sz="4" w:space="0" w:color="auto"/>
              <w:right w:val="single" w:sz="4" w:space="0" w:color="auto"/>
            </w:tcBorders>
            <w:shd w:val="clear" w:color="auto" w:fill="auto"/>
            <w:noWrap/>
            <w:vAlign w:val="bottom"/>
            <w:hideMark/>
          </w:tcPr>
          <w:p w14:paraId="2DAC32E6"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398</w:t>
            </w:r>
          </w:p>
        </w:tc>
        <w:tc>
          <w:tcPr>
            <w:tcW w:w="960" w:type="dxa"/>
            <w:tcBorders>
              <w:top w:val="nil"/>
              <w:left w:val="nil"/>
              <w:bottom w:val="single" w:sz="4" w:space="0" w:color="auto"/>
              <w:right w:val="single" w:sz="4" w:space="0" w:color="auto"/>
            </w:tcBorders>
            <w:shd w:val="clear" w:color="auto" w:fill="auto"/>
            <w:noWrap/>
            <w:vAlign w:val="bottom"/>
            <w:hideMark/>
          </w:tcPr>
          <w:p w14:paraId="42297254" w14:textId="77777777" w:rsidR="006D4F92" w:rsidRPr="00A61E97" w:rsidRDefault="006D4F92" w:rsidP="006D4F92">
            <w:pPr>
              <w:spacing w:after="0" w:line="240" w:lineRule="auto"/>
              <w:jc w:val="right"/>
              <w:rPr>
                <w:rFonts w:ascii="Arial" w:eastAsia="Times New Roman" w:hAnsi="Arial" w:cs="Arial"/>
                <w:sz w:val="16"/>
                <w:szCs w:val="16"/>
                <w:lang w:eastAsia="en-GB"/>
              </w:rPr>
            </w:pPr>
            <w:r w:rsidRPr="00A61E97">
              <w:rPr>
                <w:rFonts w:ascii="Arial" w:eastAsia="Times New Roman" w:hAnsi="Arial" w:cs="Arial"/>
                <w:sz w:val="16"/>
                <w:szCs w:val="16"/>
                <w:vertAlign w:val="superscript"/>
                <w:lang w:eastAsia="en-GB"/>
              </w:rPr>
              <w:t>399</w:t>
            </w:r>
          </w:p>
        </w:tc>
        <w:tc>
          <w:tcPr>
            <w:tcW w:w="960" w:type="dxa"/>
            <w:tcBorders>
              <w:top w:val="nil"/>
              <w:left w:val="nil"/>
              <w:bottom w:val="single" w:sz="4" w:space="0" w:color="auto"/>
              <w:right w:val="single" w:sz="4" w:space="0" w:color="auto"/>
            </w:tcBorders>
            <w:shd w:val="clear" w:color="auto" w:fill="auto"/>
            <w:noWrap/>
            <w:vAlign w:val="bottom"/>
            <w:hideMark/>
          </w:tcPr>
          <w:p w14:paraId="4B13D303"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r w:rsidRPr="00A61E97">
              <w:rPr>
                <w:rFonts w:ascii="Arial" w:eastAsia="Times New Roman" w:hAnsi="Arial" w:cs="Arial"/>
                <w:b/>
                <w:bCs/>
                <w:color w:val="FF0000"/>
                <w:sz w:val="24"/>
                <w:szCs w:val="24"/>
                <w:lang w:eastAsia="en-GB"/>
              </w:rPr>
              <w:t>2007</w:t>
            </w:r>
          </w:p>
        </w:tc>
      </w:tr>
      <w:tr w:rsidR="006D4F92" w:rsidRPr="00A61E97" w14:paraId="5FB1BDD4" w14:textId="77777777" w:rsidTr="006D4F92">
        <w:trPr>
          <w:trHeight w:val="300"/>
        </w:trPr>
        <w:tc>
          <w:tcPr>
            <w:tcW w:w="960" w:type="dxa"/>
            <w:tcBorders>
              <w:top w:val="nil"/>
              <w:left w:val="nil"/>
              <w:bottom w:val="nil"/>
              <w:right w:val="nil"/>
            </w:tcBorders>
            <w:shd w:val="clear" w:color="auto" w:fill="auto"/>
            <w:noWrap/>
            <w:vAlign w:val="bottom"/>
            <w:hideMark/>
          </w:tcPr>
          <w:p w14:paraId="6A90A409" w14:textId="77777777" w:rsidR="006D4F92" w:rsidRPr="00A61E97" w:rsidRDefault="006D4F92" w:rsidP="006D4F92">
            <w:pPr>
              <w:spacing w:after="0" w:line="240" w:lineRule="auto"/>
              <w:jc w:val="center"/>
              <w:rPr>
                <w:rFonts w:ascii="Arial" w:eastAsia="Times New Roman" w:hAnsi="Arial" w:cs="Arial"/>
                <w:b/>
                <w:bCs/>
                <w:color w:val="FF0000"/>
                <w:sz w:val="24"/>
                <w:szCs w:val="24"/>
                <w:lang w:eastAsia="en-GB"/>
              </w:rPr>
            </w:pPr>
          </w:p>
        </w:tc>
        <w:tc>
          <w:tcPr>
            <w:tcW w:w="48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F1E382" w14:textId="77777777" w:rsidR="006D4F92" w:rsidRPr="00A61E97" w:rsidRDefault="006D4F92" w:rsidP="006D4F92">
            <w:pPr>
              <w:spacing w:after="0" w:line="240" w:lineRule="auto"/>
              <w:jc w:val="center"/>
              <w:rPr>
                <w:rFonts w:ascii="Calibri" w:eastAsia="Times New Roman" w:hAnsi="Calibri" w:cs="Calibri"/>
                <w:color w:val="000000"/>
                <w:lang w:eastAsia="en-GB"/>
              </w:rPr>
            </w:pPr>
            <w:r w:rsidRPr="00A61E97">
              <w:rPr>
                <w:rFonts w:ascii="Calibri" w:eastAsia="Times New Roman" w:hAnsi="Calibri" w:cs="Calibri"/>
                <w:color w:val="000000"/>
                <w:lang w:eastAsia="en-GB"/>
              </w:rPr>
              <w:t>REAR OF BLOCK D</w:t>
            </w:r>
          </w:p>
        </w:tc>
      </w:tr>
    </w:tbl>
    <w:p w14:paraId="75FAB540" w14:textId="253CEB19" w:rsidR="006D4F92" w:rsidRDefault="006D4F92">
      <w:r>
        <w:t xml:space="preserve">The mortality rates per year listed on the left and the weather patterns that are listed above show that a lot of the trees that died in 2014 were already exposed on at least one side. This lack of shelter and exposure to the heat of the summer are key contributing factors in what would otherwise appear to be a random mortality pattern. </w:t>
      </w:r>
    </w:p>
    <w:p w14:paraId="1E0EF616" w14:textId="119504AF" w:rsidR="00590A71" w:rsidRDefault="001641BF">
      <w:pPr>
        <w:rPr>
          <w:noProof/>
        </w:rPr>
      </w:pPr>
      <w:r>
        <w:t xml:space="preserve">From the site visit it was clear to see that the rocky and hard ground would be difficult to work with, especially during the initial planting phase. It has also led to build up of boggy pockets of land where the run-off is limited. </w:t>
      </w:r>
      <w:r w:rsidR="000B4D73">
        <w:t>Many of</w:t>
      </w:r>
      <w:r w:rsidR="00590A71">
        <w:t xml:space="preserve"> the trees that had been planted in </w:t>
      </w:r>
      <w:r w:rsidR="000B4D73">
        <w:t>these pockets</w:t>
      </w:r>
      <w:r w:rsidR="00590A71">
        <w:t xml:space="preserve"> had long since died, though lichen and mosses had taken their place and grown in abundance.</w:t>
      </w:r>
      <w:r w:rsidR="009579C3" w:rsidRPr="009579C3">
        <w:rPr>
          <w:noProof/>
        </w:rPr>
        <w:t xml:space="preserve"> </w:t>
      </w:r>
    </w:p>
    <w:p w14:paraId="1CE166D2" w14:textId="0E325771" w:rsidR="00924CFA" w:rsidRDefault="00924CFA">
      <w:pPr>
        <w:rPr>
          <w:noProof/>
        </w:rPr>
      </w:pPr>
    </w:p>
    <w:p w14:paraId="3C5132AA" w14:textId="219A8F3C" w:rsidR="00924CFA" w:rsidRDefault="00D72610">
      <w:pPr>
        <w:rPr>
          <w:noProof/>
        </w:rPr>
      </w:pPr>
      <w:sdt>
        <w:sdtPr>
          <w:rPr>
            <w:noProof/>
          </w:rPr>
          <w:id w:val="1338037084"/>
          <w:citation/>
        </w:sdtPr>
        <w:sdtEndPr/>
        <w:sdtContent>
          <w:r w:rsidR="00924CFA">
            <w:rPr>
              <w:noProof/>
            </w:rPr>
            <w:fldChar w:fldCharType="begin"/>
          </w:r>
          <w:r w:rsidR="00924CFA">
            <w:rPr>
              <w:noProof/>
            </w:rPr>
            <w:instrText xml:space="preserve"> CITATION Aut19 \l 2057 </w:instrText>
          </w:r>
          <w:r w:rsidR="00924CFA">
            <w:rPr>
              <w:noProof/>
            </w:rPr>
            <w:fldChar w:fldCharType="separate"/>
          </w:r>
          <w:r w:rsidR="00065D5E">
            <w:rPr>
              <w:noProof/>
            </w:rPr>
            <w:t>(Author's Own, 2019)</w:t>
          </w:r>
          <w:r w:rsidR="00924CFA">
            <w:rPr>
              <w:noProof/>
            </w:rPr>
            <w:fldChar w:fldCharType="end"/>
          </w:r>
        </w:sdtContent>
      </w:sdt>
    </w:p>
    <w:p w14:paraId="05CC31DE" w14:textId="77777777" w:rsidR="009E3379" w:rsidRDefault="006D4F92">
      <w:r>
        <w:t xml:space="preserve">When you look at the aerial vitality scoring for the whole site, it is clear to see that the mortality rates are not solely related to the planting techniques used; as the mortality spreads across a large swathe of the midsection for all, it would suggest that the soil in that area is currently too contaminated for the trees to support themselves at this age and size. </w:t>
      </w:r>
    </w:p>
    <w:p w14:paraId="6D32C2EB" w14:textId="580650E6" w:rsidR="006D4F92" w:rsidRDefault="009E3379">
      <w:r>
        <w:rPr>
          <w:noProof/>
          <w:lang w:eastAsia="zh-CN"/>
        </w:rPr>
        <w:lastRenderedPageBreak/>
        <w:drawing>
          <wp:inline distT="0" distB="0" distL="0" distR="0" wp14:anchorId="25692DFB" wp14:editId="5AD00A85">
            <wp:extent cx="5731510" cy="4171315"/>
            <wp:effectExtent l="0" t="0" r="2540" b="635"/>
            <wp:docPr id="3" name="Chart 3">
              <a:extLst xmlns:a="http://schemas.openxmlformats.org/drawingml/2006/main">
                <a:ext uri="{FF2B5EF4-FFF2-40B4-BE49-F238E27FC236}">
                  <a16:creationId xmlns:a16="http://schemas.microsoft.com/office/drawing/2014/main" id="{930A6A5D-65AF-453C-A107-4EA09ED2DB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sdt>
        <w:sdtPr>
          <w:id w:val="-35972846"/>
          <w:citation/>
        </w:sdtPr>
        <w:sdtEndPr/>
        <w:sdtContent>
          <w:r w:rsidR="00924CFA">
            <w:fldChar w:fldCharType="begin"/>
          </w:r>
          <w:r w:rsidR="00924CFA">
            <w:instrText xml:space="preserve"> CITATION Aut19 \l 2057 </w:instrText>
          </w:r>
          <w:r w:rsidR="00924CFA">
            <w:fldChar w:fldCharType="separate"/>
          </w:r>
          <w:r w:rsidR="00065D5E">
            <w:rPr>
              <w:noProof/>
            </w:rPr>
            <w:t xml:space="preserve"> (Author's Own, 2019)</w:t>
          </w:r>
          <w:r w:rsidR="00924CFA">
            <w:fldChar w:fldCharType="end"/>
          </w:r>
        </w:sdtContent>
      </w:sdt>
    </w:p>
    <w:p w14:paraId="239FD561" w14:textId="1125A0AE" w:rsidR="001641BF" w:rsidRDefault="00590A71">
      <w:r>
        <w:t>There were</w:t>
      </w:r>
      <w:r w:rsidR="00924CFA">
        <w:t xml:space="preserve">, however, </w:t>
      </w:r>
      <w:r>
        <w:t>also signs of positive development in the site at ground-level; there was a large collection of fungi from the boletus family, the majority of which are e</w:t>
      </w:r>
      <w:r w:rsidR="009579C3">
        <w:t>c</w:t>
      </w:r>
      <w:r>
        <w:t xml:space="preserve">tomycorrhizal (developing a mutualistic relationship with </w:t>
      </w:r>
      <w:r w:rsidR="009579C3">
        <w:t>tree root systems)</w:t>
      </w:r>
      <w:sdt>
        <w:sdtPr>
          <w:id w:val="2024050912"/>
          <w:citation/>
        </w:sdtPr>
        <w:sdtEndPr/>
        <w:sdtContent>
          <w:r w:rsidR="002A1FC9">
            <w:fldChar w:fldCharType="begin"/>
          </w:r>
          <w:r w:rsidR="002A1FC9">
            <w:instrText xml:space="preserve"> CITATION Firnd \l 2057 </w:instrText>
          </w:r>
          <w:r w:rsidR="002A1FC9">
            <w:fldChar w:fldCharType="separate"/>
          </w:r>
          <w:r w:rsidR="00065D5E">
            <w:rPr>
              <w:noProof/>
            </w:rPr>
            <w:t xml:space="preserve"> (First Nature, nd)</w:t>
          </w:r>
          <w:r w:rsidR="002A1FC9">
            <w:fldChar w:fldCharType="end"/>
          </w:r>
        </w:sdtContent>
      </w:sdt>
      <w:r w:rsidR="009579C3">
        <w:t xml:space="preserve">. This relationship is further developing the site by the fungi </w:t>
      </w:r>
      <w:r w:rsidR="000B4D73">
        <w:t>aiding</w:t>
      </w:r>
      <w:r w:rsidR="009579C3">
        <w:t xml:space="preserve"> in the trees obtaining extra minerals.</w:t>
      </w:r>
    </w:p>
    <w:p w14:paraId="44FDFB4B" w14:textId="16E25FE1" w:rsidR="009579C3" w:rsidRDefault="009579C3">
      <w:r>
        <w:rPr>
          <w:noProof/>
          <w:lang w:eastAsia="zh-CN"/>
        </w:rPr>
        <w:drawing>
          <wp:inline distT="0" distB="0" distL="0" distR="0" wp14:anchorId="174094E2" wp14:editId="239C58E0">
            <wp:extent cx="2053590" cy="3379470"/>
            <wp:effectExtent l="3810" t="0" r="7620" b="7620"/>
            <wp:docPr id="1279" name="Picture 2">
              <a:extLst xmlns:a="http://schemas.openxmlformats.org/drawingml/2006/main">
                <a:ext uri="{FF2B5EF4-FFF2-40B4-BE49-F238E27FC236}">
                  <a16:creationId xmlns:a16="http://schemas.microsoft.com/office/drawing/2014/main" id="{4D6C09E2-C474-4EF9-9D9C-BA43308D9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Picture 2">
                      <a:extLst>
                        <a:ext uri="{FF2B5EF4-FFF2-40B4-BE49-F238E27FC236}">
                          <a16:creationId xmlns:a16="http://schemas.microsoft.com/office/drawing/2014/main" id="{4D6C09E2-C474-4EF9-9D9C-BA43308D9093}"/>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2053590" cy="3379470"/>
                    </a:xfrm>
                    <a:prstGeom prst="rect">
                      <a:avLst/>
                    </a:prstGeom>
                    <a:noFill/>
                    <a:ln>
                      <a:noFill/>
                    </a:ln>
                  </pic:spPr>
                </pic:pic>
              </a:graphicData>
            </a:graphic>
          </wp:inline>
        </w:drawing>
      </w:r>
      <w:sdt>
        <w:sdtPr>
          <w:id w:val="1784689427"/>
          <w:citation/>
        </w:sdtPr>
        <w:sdtEndPr/>
        <w:sdtContent>
          <w:r>
            <w:fldChar w:fldCharType="begin"/>
          </w:r>
          <w:r>
            <w:instrText xml:space="preserve"> CITATION Aut19 \l 2057 </w:instrText>
          </w:r>
          <w:r>
            <w:fldChar w:fldCharType="separate"/>
          </w:r>
          <w:r w:rsidR="00065D5E">
            <w:rPr>
              <w:noProof/>
            </w:rPr>
            <w:t xml:space="preserve"> (Author's Own, 2019)</w:t>
          </w:r>
          <w:r>
            <w:fldChar w:fldCharType="end"/>
          </w:r>
        </w:sdtContent>
      </w:sdt>
    </w:p>
    <w:p w14:paraId="117F0081" w14:textId="217E93E7" w:rsidR="009579C3" w:rsidRDefault="009579C3">
      <w:r>
        <w:t>Boletus was also seen to be growing in areas with the tree listed as being either dead or in poor condition in previous years. As the fungi in an ectomycorrhizal relationship cannot survive without the tree, this would imply that the tree is not dead but waiting for better conditions before attempting regrowth.</w:t>
      </w:r>
      <w:r w:rsidR="00924CFA">
        <w:t xml:space="preserve"> It can be argued that the tree root system the boletus is partnered to is one of the remaining trees, but the pattern of the boletus surrounding what was clearly a previous tree site would suggest otherwise.</w:t>
      </w:r>
    </w:p>
    <w:p w14:paraId="365DC2DA" w14:textId="389B3D8D" w:rsidR="00801FC2" w:rsidRDefault="00404D67">
      <w:r>
        <w:lastRenderedPageBreak/>
        <w:t>The average base diameter growth per species shows that downy birch is thriving. It also shows that whilst alder was initially growing more effectively than oak, it has now died back and massively affected the average. The oak, whilst still with a small average base diameter, has been consistently increasing year on year since a slight dip in year 9. This is to be expected with a slower developer like oak, whereas the goat willow has increased at a more stable rate overall. This</w:t>
      </w:r>
      <w:r w:rsidR="00505D61">
        <w:t>, along with the heavy fluctuation in silver birch,</w:t>
      </w:r>
      <w:r>
        <w:t xml:space="preserve"> would suggest that the conditions, whilst liable to completely change, are still mostly </w:t>
      </w:r>
      <w:r w:rsidR="00505D61">
        <w:t>waterlogged.</w:t>
      </w:r>
    </w:p>
    <w:p w14:paraId="760455BF" w14:textId="582225DE" w:rsidR="006D4F92" w:rsidRDefault="006D4F92">
      <w:r>
        <w:rPr>
          <w:noProof/>
          <w:lang w:eastAsia="zh-CN"/>
        </w:rPr>
        <w:drawing>
          <wp:inline distT="0" distB="0" distL="0" distR="0" wp14:anchorId="077AC7B3" wp14:editId="69B8659A">
            <wp:extent cx="5731510" cy="3542665"/>
            <wp:effectExtent l="0" t="0" r="2540" b="635"/>
            <wp:docPr id="2" name="Chart 2">
              <a:extLst xmlns:a="http://schemas.openxmlformats.org/drawingml/2006/main">
                <a:ext uri="{FF2B5EF4-FFF2-40B4-BE49-F238E27FC236}">
                  <a16:creationId xmlns:a16="http://schemas.microsoft.com/office/drawing/2014/main" id="{F9C2DC88-9443-4DD4-8169-85E0C481F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139110" w14:textId="759924FD" w:rsidR="006D4F92" w:rsidRDefault="00D72610">
      <w:sdt>
        <w:sdtPr>
          <w:id w:val="938257206"/>
          <w:citation/>
        </w:sdtPr>
        <w:sdtEndPr/>
        <w:sdtContent>
          <w:r w:rsidR="006D4F92">
            <w:fldChar w:fldCharType="begin"/>
          </w:r>
          <w:r w:rsidR="006D4F92">
            <w:instrText xml:space="preserve"> CITATION Aut19 \l 2057 </w:instrText>
          </w:r>
          <w:r w:rsidR="006D4F92">
            <w:fldChar w:fldCharType="separate"/>
          </w:r>
          <w:r w:rsidR="00065D5E">
            <w:rPr>
              <w:noProof/>
            </w:rPr>
            <w:t>(Author's Own, 2019)</w:t>
          </w:r>
          <w:r w:rsidR="006D4F92">
            <w:fldChar w:fldCharType="end"/>
          </w:r>
        </w:sdtContent>
      </w:sdt>
    </w:p>
    <w:p w14:paraId="132B835C" w14:textId="24EA6D33" w:rsidR="00924CFA" w:rsidRDefault="00924CFA" w:rsidP="00924CFA">
      <w:r>
        <w:t>The presence of thriving gorse and particularly heather in the largest area of dead trees shows that the rotting material has provided a more nourishing environment to grow. Whilst the gorse doesn’t require it, the growth rate of the gorse is estimated to be at the higher end of the national average</w:t>
      </w:r>
      <w:sdt>
        <w:sdtPr>
          <w:id w:val="532533690"/>
          <w:citation/>
        </w:sdtPr>
        <w:sdtEndPr/>
        <w:sdtContent>
          <w:r>
            <w:fldChar w:fldCharType="begin"/>
          </w:r>
          <w:r>
            <w:instrText xml:space="preserve"> CITATION Roynd \l 2057 </w:instrText>
          </w:r>
          <w:r>
            <w:fldChar w:fldCharType="separate"/>
          </w:r>
          <w:r w:rsidR="00065D5E">
            <w:rPr>
              <w:noProof/>
            </w:rPr>
            <w:t xml:space="preserve"> (Royal Horticultural Society, nd)</w:t>
          </w:r>
          <w:r>
            <w:fldChar w:fldCharType="end"/>
          </w:r>
        </w:sdtContent>
      </w:sdt>
      <w:r>
        <w:t>.</w:t>
      </w:r>
      <w:r w:rsidR="00505D61">
        <w:t xml:space="preserve"> Heather thrives on acidic soil but can also fare well on alkaline soil as long as there is enough rotting matter to collect nutrients from</w:t>
      </w:r>
      <w:sdt>
        <w:sdtPr>
          <w:id w:val="-1549291640"/>
          <w:citation/>
        </w:sdtPr>
        <w:sdtEndPr/>
        <w:sdtContent>
          <w:r w:rsidR="00505D61">
            <w:fldChar w:fldCharType="begin"/>
          </w:r>
          <w:r w:rsidR="00505D61">
            <w:instrText xml:space="preserve"> CITATION Roynd1 \l 2057 </w:instrText>
          </w:r>
          <w:r w:rsidR="00505D61">
            <w:fldChar w:fldCharType="separate"/>
          </w:r>
          <w:r w:rsidR="00065D5E">
            <w:rPr>
              <w:noProof/>
            </w:rPr>
            <w:t xml:space="preserve"> (Royal Horticultural Society, nd)</w:t>
          </w:r>
          <w:r w:rsidR="00505D61">
            <w:fldChar w:fldCharType="end"/>
          </w:r>
        </w:sdtContent>
      </w:sdt>
      <w:r w:rsidR="00505D61">
        <w:t xml:space="preserve">. The prevalence of </w:t>
      </w:r>
      <w:r w:rsidR="009A37BD">
        <w:t>both</w:t>
      </w:r>
      <w:r w:rsidR="00505D61">
        <w:t xml:space="preserve"> is typical for coal spoil sites, but it doesn’t usually grow to the levels that exist in block D. Measuring the larger of the plants and mapping their location may be a valid bit of research moving forward. </w:t>
      </w:r>
    </w:p>
    <w:p w14:paraId="6ACDD796" w14:textId="77777777" w:rsidR="006D4F92" w:rsidRDefault="006D4F92"/>
    <w:p w14:paraId="566A1EC6" w14:textId="02BD1635" w:rsidR="002F28F0" w:rsidRDefault="006F2816" w:rsidP="00E86D6B">
      <w:pPr>
        <w:pStyle w:val="Heading2"/>
      </w:pPr>
      <w:r>
        <w:t>Conclusion</w:t>
      </w:r>
    </w:p>
    <w:p w14:paraId="2B099ED6" w14:textId="598708C3" w:rsidR="006F2816" w:rsidRDefault="006F2816">
      <w:r>
        <w:t xml:space="preserve">The site at </w:t>
      </w:r>
      <w:proofErr w:type="spellStart"/>
      <w:r>
        <w:t>Varteg</w:t>
      </w:r>
      <w:proofErr w:type="spellEnd"/>
      <w:r>
        <w:t xml:space="preserve"> is unique in that it is an open experiment with no clearly defined goals or desired outcomes. The openness of the research makes it difficult to know if or when to intervene at the site</w:t>
      </w:r>
      <w:r w:rsidR="00A943E2">
        <w:t xml:space="preserve"> and what effect either would have.</w:t>
      </w:r>
    </w:p>
    <w:p w14:paraId="71ABBB4C" w14:textId="5AE6840E" w:rsidR="00290717" w:rsidRDefault="00290717">
      <w:r>
        <w:t xml:space="preserve">The </w:t>
      </w:r>
      <w:r w:rsidR="009A37BD">
        <w:t>failure</w:t>
      </w:r>
      <w:r>
        <w:t xml:space="preserve"> of alder to prosper on block D is something that would garner more information- what conditions or contaminants are lethal to them at lower levels than the other species? Further research into this would provide more data on the compacted soil.</w:t>
      </w:r>
    </w:p>
    <w:p w14:paraId="576DD9B9" w14:textId="2A935835" w:rsidR="0086002C" w:rsidRDefault="006F2816">
      <w:r>
        <w:lastRenderedPageBreak/>
        <w:t xml:space="preserve">It is clear from the vitality scores and </w:t>
      </w:r>
      <w:r w:rsidR="00924CFA">
        <w:t xml:space="preserve">average </w:t>
      </w:r>
      <w:r>
        <w:t xml:space="preserve">growth rates that block D has been more successful overall. </w:t>
      </w:r>
      <w:r w:rsidR="001519B7">
        <w:t>Th</w:t>
      </w:r>
      <w:r w:rsidR="00A943E2">
        <w:t>ough while th</w:t>
      </w:r>
      <w:r w:rsidR="001519B7">
        <w:t xml:space="preserve">e planting itself was more consistent, the mortality rate is still quite high and follows a pattern when you look at the overall aerial scores from the site. This would suggest that there are veins of soil with higher concentrations of contaminants present which are having an adverse effect on tree growth in that area. </w:t>
      </w:r>
    </w:p>
    <w:p w14:paraId="264AB4DE" w14:textId="51CA67ED" w:rsidR="006F2816" w:rsidRDefault="001519B7">
      <w:r>
        <w:t xml:space="preserve">There are positive signs that this is slowly changing over time; the presence of fungi in sites where the </w:t>
      </w:r>
      <w:proofErr w:type="spellStart"/>
      <w:r>
        <w:t>mycorrhizal</w:t>
      </w:r>
      <w:proofErr w:type="spellEnd"/>
      <w:r>
        <w:t xml:space="preserve"> partner appears to be dead show that conditions underground are slowly improving and trees should reappear once those conditions improve further. Due to the slow rate with which fungi can carry out this change it would take a significant amount of time, and so interference or maintenance in th</w:t>
      </w:r>
      <w:r w:rsidR="001434A2">
        <w:t>e</w:t>
      </w:r>
      <w:r>
        <w:t>s</w:t>
      </w:r>
      <w:r w:rsidR="001434A2">
        <w:t>e</w:t>
      </w:r>
      <w:r>
        <w:t xml:space="preserve"> areas would inhibit research and data collection into the effectiveness of natural </w:t>
      </w:r>
      <w:proofErr w:type="spellStart"/>
      <w:r>
        <w:t>mycoremediation</w:t>
      </w:r>
      <w:proofErr w:type="spellEnd"/>
      <w:r>
        <w:t>.</w:t>
      </w:r>
      <w:r w:rsidR="00924CFA">
        <w:t xml:space="preserve"> It would be advisable to take samples of the existing fungi to test their nutrient levels to analyse for further information.</w:t>
      </w:r>
    </w:p>
    <w:p w14:paraId="2FE33D1D" w14:textId="3BAC3E4D" w:rsidR="002F28F0" w:rsidRDefault="002F28F0"/>
    <w:p w14:paraId="59DEF5B9" w14:textId="7E76CB2C" w:rsidR="002F28F0" w:rsidRDefault="002F28F0"/>
    <w:p w14:paraId="2E5D62F4" w14:textId="4FA9E9CE" w:rsidR="00065D5E" w:rsidRDefault="00065D5E"/>
    <w:p w14:paraId="447B6265" w14:textId="4C7A9F5F" w:rsidR="00065D5E" w:rsidRDefault="00065D5E"/>
    <w:p w14:paraId="1740E1D2" w14:textId="2F23F4C1" w:rsidR="00065D5E" w:rsidRDefault="00065D5E"/>
    <w:p w14:paraId="11716430" w14:textId="461D3145" w:rsidR="00065D5E" w:rsidRDefault="00065D5E"/>
    <w:p w14:paraId="68F807DE" w14:textId="0E52CDC2" w:rsidR="00065D5E" w:rsidRDefault="00065D5E"/>
    <w:p w14:paraId="19AC337E" w14:textId="7E401C19" w:rsidR="00065D5E" w:rsidRDefault="00065D5E"/>
    <w:p w14:paraId="7C82D52D" w14:textId="42392758" w:rsidR="00065D5E" w:rsidRDefault="00065D5E"/>
    <w:p w14:paraId="25A72885" w14:textId="18CA5015" w:rsidR="00065D5E" w:rsidRDefault="00065D5E"/>
    <w:p w14:paraId="246F0056" w14:textId="516C9A64" w:rsidR="00065D5E" w:rsidRDefault="00065D5E"/>
    <w:p w14:paraId="4E6BBC2E" w14:textId="161EFFFD" w:rsidR="00065D5E" w:rsidRDefault="00065D5E"/>
    <w:p w14:paraId="3E4F4721" w14:textId="77777777" w:rsidR="00065D5E" w:rsidRDefault="00065D5E"/>
    <w:p w14:paraId="786475CC" w14:textId="02689C00" w:rsidR="002F28F0" w:rsidRDefault="002F28F0"/>
    <w:p w14:paraId="02356BC5" w14:textId="567407C9" w:rsidR="00065D5E" w:rsidRDefault="00065D5E"/>
    <w:p w14:paraId="3C5B82BB" w14:textId="1DB31488" w:rsidR="00065D5E" w:rsidRDefault="00065D5E"/>
    <w:p w14:paraId="7A275BA7" w14:textId="52F402FD" w:rsidR="00065D5E" w:rsidRDefault="00065D5E"/>
    <w:p w14:paraId="76237E58" w14:textId="77777777" w:rsidR="00065D5E" w:rsidRDefault="00065D5E"/>
    <w:p w14:paraId="6F49A541" w14:textId="7755988F" w:rsidR="002F28F0" w:rsidRDefault="002F28F0"/>
    <w:p w14:paraId="29CAA029" w14:textId="77777777" w:rsidR="002F28F0" w:rsidRDefault="002F28F0"/>
    <w:p w14:paraId="4FB709AF" w14:textId="65A65538" w:rsidR="006067E6" w:rsidRDefault="006067E6"/>
    <w:sdt>
      <w:sdtPr>
        <w:rPr>
          <w:rFonts w:asciiTheme="minorHAnsi" w:eastAsiaTheme="minorHAnsi" w:hAnsiTheme="minorHAnsi" w:cstheme="minorBidi"/>
          <w:color w:val="auto"/>
          <w:sz w:val="22"/>
          <w:szCs w:val="22"/>
          <w:lang w:val="en-GB"/>
        </w:rPr>
        <w:id w:val="1825856024"/>
        <w:docPartObj>
          <w:docPartGallery w:val="Bibliographies"/>
          <w:docPartUnique/>
        </w:docPartObj>
      </w:sdtPr>
      <w:sdtEndPr/>
      <w:sdtContent>
        <w:p w14:paraId="313A62C8" w14:textId="2492FFC2" w:rsidR="0009305A" w:rsidRDefault="0009305A">
          <w:pPr>
            <w:pStyle w:val="Heading1"/>
          </w:pPr>
          <w:r>
            <w:t>References</w:t>
          </w:r>
        </w:p>
        <w:sdt>
          <w:sdtPr>
            <w:id w:val="-573587230"/>
            <w:bibliography/>
          </w:sdtPr>
          <w:sdtEndPr/>
          <w:sdtContent>
            <w:p w14:paraId="3F415C15" w14:textId="77777777" w:rsidR="00065D5E" w:rsidRDefault="0009305A" w:rsidP="00065D5E">
              <w:pPr>
                <w:pStyle w:val="Bibliography"/>
                <w:ind w:left="720" w:hanging="720"/>
                <w:rPr>
                  <w:noProof/>
                  <w:sz w:val="24"/>
                  <w:szCs w:val="24"/>
                  <w:lang w:val="en-US"/>
                </w:rPr>
              </w:pPr>
              <w:r>
                <w:fldChar w:fldCharType="begin"/>
              </w:r>
              <w:r>
                <w:instrText xml:space="preserve"> BIBLIOGRAPHY </w:instrText>
              </w:r>
              <w:r>
                <w:fldChar w:fldCharType="separate"/>
              </w:r>
              <w:r w:rsidR="00065D5E">
                <w:rPr>
                  <w:noProof/>
                  <w:lang w:val="en-US"/>
                </w:rPr>
                <w:t>Author's Own. (2019, October). Author Images.</w:t>
              </w:r>
            </w:p>
            <w:p w14:paraId="497667F2" w14:textId="77777777" w:rsidR="00065D5E" w:rsidRDefault="00065D5E" w:rsidP="00065D5E">
              <w:pPr>
                <w:pStyle w:val="Bibliography"/>
                <w:ind w:left="720" w:hanging="720"/>
                <w:rPr>
                  <w:noProof/>
                  <w:lang w:val="en-US"/>
                </w:rPr>
              </w:pPr>
              <w:r>
                <w:rPr>
                  <w:noProof/>
                  <w:lang w:val="en-US"/>
                </w:rPr>
                <w:t xml:space="preserve">First Nature. (nd). </w:t>
              </w:r>
              <w:r>
                <w:rPr>
                  <w:i/>
                  <w:iCs/>
                  <w:noProof/>
                  <w:lang w:val="en-US"/>
                </w:rPr>
                <w:t>Boletus Edulis</w:t>
              </w:r>
              <w:r>
                <w:rPr>
                  <w:noProof/>
                  <w:lang w:val="en-US"/>
                </w:rPr>
                <w:t>. Retrieved from First-Nature: https://www.first-nature.com/fungi/boletus-edulis.php</w:t>
              </w:r>
            </w:p>
            <w:p w14:paraId="5E7E9258" w14:textId="77777777" w:rsidR="00065D5E" w:rsidRDefault="00065D5E" w:rsidP="00065D5E">
              <w:pPr>
                <w:pStyle w:val="Bibliography"/>
                <w:ind w:left="720" w:hanging="720"/>
                <w:rPr>
                  <w:noProof/>
                  <w:lang w:val="en-US"/>
                </w:rPr>
              </w:pPr>
              <w:r>
                <w:rPr>
                  <w:noProof/>
                  <w:lang w:val="en-US"/>
                </w:rPr>
                <w:t xml:space="preserve">Industrial Gwent. (nd). </w:t>
              </w:r>
              <w:r>
                <w:rPr>
                  <w:i/>
                  <w:iCs/>
                  <w:noProof/>
                  <w:lang w:val="en-US"/>
                </w:rPr>
                <w:t>Varteg</w:t>
              </w:r>
              <w:r>
                <w:rPr>
                  <w:noProof/>
                  <w:lang w:val="en-US"/>
                </w:rPr>
                <w:t>. Retrieved from Industrial Gwent: http://www.industrialgwent.co.uk/a43-varteg/index.htm</w:t>
              </w:r>
            </w:p>
            <w:p w14:paraId="38C1153B" w14:textId="77777777" w:rsidR="00065D5E" w:rsidRDefault="00065D5E" w:rsidP="00065D5E">
              <w:pPr>
                <w:pStyle w:val="Bibliography"/>
                <w:ind w:left="720" w:hanging="720"/>
                <w:rPr>
                  <w:noProof/>
                  <w:lang w:val="en-US"/>
                </w:rPr>
              </w:pPr>
              <w:r>
                <w:rPr>
                  <w:noProof/>
                  <w:lang w:val="en-US"/>
                </w:rPr>
                <w:t xml:space="preserve">Jenkins, R. (2019). </w:t>
              </w:r>
              <w:r>
                <w:rPr>
                  <w:i/>
                  <w:iCs/>
                  <w:noProof/>
                  <w:lang w:val="en-US"/>
                </w:rPr>
                <w:t>Varteg - Blaenavon 2019.</w:t>
              </w:r>
              <w:r>
                <w:rPr>
                  <w:noProof/>
                  <w:lang w:val="en-US"/>
                </w:rPr>
                <w:t xml:space="preserve"> Swansea.</w:t>
              </w:r>
            </w:p>
            <w:p w14:paraId="62585B69" w14:textId="77777777" w:rsidR="00065D5E" w:rsidRDefault="00065D5E" w:rsidP="00065D5E">
              <w:pPr>
                <w:pStyle w:val="Bibliography"/>
                <w:ind w:left="720" w:hanging="720"/>
                <w:rPr>
                  <w:noProof/>
                  <w:lang w:val="en-US"/>
                </w:rPr>
              </w:pPr>
              <w:r>
                <w:rPr>
                  <w:noProof/>
                  <w:lang w:val="en-US"/>
                </w:rPr>
                <w:t xml:space="preserve">Johnson, O., &amp; Moore, D. (2006). Collins Tree Guide. In O. Johnson, &amp; D. Moore, </w:t>
              </w:r>
              <w:r>
                <w:rPr>
                  <w:i/>
                  <w:iCs/>
                  <w:noProof/>
                  <w:lang w:val="en-US"/>
                </w:rPr>
                <w:t>Collins Tree Guide</w:t>
              </w:r>
              <w:r>
                <w:rPr>
                  <w:noProof/>
                  <w:lang w:val="en-US"/>
                </w:rPr>
                <w:t xml:space="preserve"> (p. 190). Harper Collins.</w:t>
              </w:r>
            </w:p>
            <w:p w14:paraId="72B7C952" w14:textId="77777777" w:rsidR="00065D5E" w:rsidRDefault="00065D5E" w:rsidP="00065D5E">
              <w:pPr>
                <w:pStyle w:val="Bibliography"/>
                <w:ind w:left="720" w:hanging="720"/>
                <w:rPr>
                  <w:noProof/>
                  <w:lang w:val="en-US"/>
                </w:rPr>
              </w:pPr>
              <w:r>
                <w:rPr>
                  <w:noProof/>
                  <w:lang w:val="en-US"/>
                </w:rPr>
                <w:t xml:space="preserve">Met Office. (2015, September 23). </w:t>
              </w:r>
              <w:r>
                <w:rPr>
                  <w:i/>
                  <w:iCs/>
                  <w:noProof/>
                  <w:lang w:val="en-US"/>
                </w:rPr>
                <w:t>State of UK Climate.</w:t>
              </w:r>
              <w:r>
                <w:rPr>
                  <w:noProof/>
                  <w:lang w:val="en-US"/>
                </w:rPr>
                <w:t xml:space="preserve"> Retrieved from Met Office: https://www.metoffice.gov.uk/binaries/content/assets/metofficegovuk/pdf/weather/learn-about/uk-past-events/state-of-uk-climate/state-of-the-uk-climate-2014-v3.pdf</w:t>
              </w:r>
            </w:p>
            <w:p w14:paraId="0FB34A80" w14:textId="77777777" w:rsidR="00065D5E" w:rsidRDefault="00065D5E" w:rsidP="00065D5E">
              <w:pPr>
                <w:pStyle w:val="Bibliography"/>
                <w:ind w:left="720" w:hanging="720"/>
                <w:rPr>
                  <w:noProof/>
                  <w:lang w:val="en-US"/>
                </w:rPr>
              </w:pPr>
              <w:r>
                <w:rPr>
                  <w:noProof/>
                  <w:lang w:val="en-US"/>
                </w:rPr>
                <w:t xml:space="preserve">Met Office. (2016, July 25). </w:t>
              </w:r>
              <w:r>
                <w:rPr>
                  <w:i/>
                  <w:iCs/>
                  <w:noProof/>
                  <w:lang w:val="en-US"/>
                </w:rPr>
                <w:t>State of Climate UK.</w:t>
              </w:r>
              <w:r>
                <w:rPr>
                  <w:noProof/>
                  <w:lang w:val="en-US"/>
                </w:rPr>
                <w:t xml:space="preserve"> Retrieved from Met Office: https://www.metoffice.gov.uk/binaries/content/assets/metofficegovuk/pdf/weather/learn-about/uk-past-events/state-of-uk-climate/mo-state-of-uk-climate-2015-v3.pdf</w:t>
              </w:r>
            </w:p>
            <w:p w14:paraId="6C3DBFC7" w14:textId="77777777" w:rsidR="00065D5E" w:rsidRDefault="00065D5E" w:rsidP="00065D5E">
              <w:pPr>
                <w:pStyle w:val="Bibliography"/>
                <w:ind w:left="720" w:hanging="720"/>
                <w:rPr>
                  <w:noProof/>
                  <w:lang w:val="en-US"/>
                </w:rPr>
              </w:pPr>
              <w:r>
                <w:rPr>
                  <w:noProof/>
                  <w:lang w:val="en-US"/>
                </w:rPr>
                <w:t xml:space="preserve">Met Office. (2017, July 27). </w:t>
              </w:r>
              <w:r>
                <w:rPr>
                  <w:i/>
                  <w:iCs/>
                  <w:noProof/>
                  <w:lang w:val="en-US"/>
                </w:rPr>
                <w:t>State of UK Climate.</w:t>
              </w:r>
              <w:r>
                <w:rPr>
                  <w:noProof/>
                  <w:lang w:val="en-US"/>
                </w:rPr>
                <w:t xml:space="preserve"> Retrieved from Met Office: https://www.metoffice.gov.uk/binaries/content/assets/metofficegovuk/pdf/weather/learn-about/uk-past-events/state-of-uk-climate/mo-state-of-uk-climate-2016-v4.pdf</w:t>
              </w:r>
            </w:p>
            <w:p w14:paraId="17F326BD" w14:textId="77777777" w:rsidR="00065D5E" w:rsidRDefault="00065D5E" w:rsidP="00065D5E">
              <w:pPr>
                <w:pStyle w:val="Bibliography"/>
                <w:ind w:left="720" w:hanging="720"/>
                <w:rPr>
                  <w:noProof/>
                  <w:lang w:val="en-US"/>
                </w:rPr>
              </w:pPr>
              <w:r>
                <w:rPr>
                  <w:noProof/>
                  <w:lang w:val="en-US"/>
                </w:rPr>
                <w:t xml:space="preserve">Met Office. (2018, July 30). </w:t>
              </w:r>
              <w:r>
                <w:rPr>
                  <w:i/>
                  <w:iCs/>
                  <w:noProof/>
                  <w:lang w:val="en-US"/>
                </w:rPr>
                <w:t>State of UK Climate.</w:t>
              </w:r>
              <w:r>
                <w:rPr>
                  <w:noProof/>
                  <w:lang w:val="en-US"/>
                </w:rPr>
                <w:t xml:space="preserve"> Retrieved from Royal Meteorological Society: https://rmets.onlinelibrary.wiley.com/doi/10.1002/joc.5798</w:t>
              </w:r>
            </w:p>
            <w:p w14:paraId="6621D46F" w14:textId="77777777" w:rsidR="00065D5E" w:rsidRDefault="00065D5E" w:rsidP="00065D5E">
              <w:pPr>
                <w:pStyle w:val="Bibliography"/>
                <w:ind w:left="720" w:hanging="720"/>
                <w:rPr>
                  <w:noProof/>
                  <w:lang w:val="en-US"/>
                </w:rPr>
              </w:pPr>
              <w:r>
                <w:rPr>
                  <w:noProof/>
                  <w:lang w:val="en-US"/>
                </w:rPr>
                <w:t xml:space="preserve">Met Office. (2019, July 30). </w:t>
              </w:r>
              <w:r>
                <w:rPr>
                  <w:i/>
                  <w:iCs/>
                  <w:noProof/>
                  <w:lang w:val="en-US"/>
                </w:rPr>
                <w:t>State of UK Climate.</w:t>
              </w:r>
              <w:r>
                <w:rPr>
                  <w:noProof/>
                  <w:lang w:val="en-US"/>
                </w:rPr>
                <w:t xml:space="preserve"> Retrieved from Royal Meteorological Society: https://rmets.onlinelibrary.wiley.com/doi/full/10.1002/joc.6213</w:t>
              </w:r>
            </w:p>
            <w:p w14:paraId="3ADF93DF" w14:textId="77777777" w:rsidR="00065D5E" w:rsidRDefault="00065D5E" w:rsidP="00065D5E">
              <w:pPr>
                <w:pStyle w:val="Bibliography"/>
                <w:ind w:left="720" w:hanging="720"/>
                <w:rPr>
                  <w:noProof/>
                  <w:lang w:val="en-US"/>
                </w:rPr>
              </w:pPr>
              <w:r>
                <w:rPr>
                  <w:noProof/>
                  <w:lang w:val="en-US"/>
                </w:rPr>
                <w:t xml:space="preserve">Reed, C. (2016). Tareni Colliery. In C. Reed, </w:t>
              </w:r>
              <w:r>
                <w:rPr>
                  <w:i/>
                  <w:iCs/>
                  <w:noProof/>
                  <w:lang w:val="en-US"/>
                </w:rPr>
                <w:t>Tareni Colliery</w:t>
              </w:r>
              <w:r>
                <w:rPr>
                  <w:noProof/>
                  <w:lang w:val="en-US"/>
                </w:rPr>
                <w:t xml:space="preserve"> (p. 166). Swansea: Etifediaeth Cwmtawe - Swansea Valley Heritage.</w:t>
              </w:r>
            </w:p>
            <w:p w14:paraId="2E389AEB" w14:textId="77777777" w:rsidR="00065D5E" w:rsidRDefault="00065D5E" w:rsidP="00065D5E">
              <w:pPr>
                <w:pStyle w:val="Bibliography"/>
                <w:ind w:left="720" w:hanging="720"/>
                <w:rPr>
                  <w:noProof/>
                  <w:lang w:val="en-US"/>
                </w:rPr>
              </w:pPr>
              <w:r>
                <w:rPr>
                  <w:noProof/>
                  <w:lang w:val="en-US"/>
                </w:rPr>
                <w:t xml:space="preserve">Royal Horticultural Society. (nd). </w:t>
              </w:r>
              <w:r>
                <w:rPr>
                  <w:i/>
                  <w:iCs/>
                  <w:noProof/>
                  <w:lang w:val="en-US"/>
                </w:rPr>
                <w:t>Hardy Heathers</w:t>
              </w:r>
              <w:r>
                <w:rPr>
                  <w:noProof/>
                  <w:lang w:val="en-US"/>
                </w:rPr>
                <w:t>. Retrieved from Royal Horticultural Society: https://www.rhs.org.uk/advice/profile?PID=1003</w:t>
              </w:r>
            </w:p>
            <w:p w14:paraId="4C9BF918" w14:textId="77777777" w:rsidR="00065D5E" w:rsidRDefault="00065D5E" w:rsidP="00065D5E">
              <w:pPr>
                <w:pStyle w:val="Bibliography"/>
                <w:ind w:left="720" w:hanging="720"/>
                <w:rPr>
                  <w:noProof/>
                  <w:lang w:val="en-US"/>
                </w:rPr>
              </w:pPr>
              <w:r>
                <w:rPr>
                  <w:noProof/>
                  <w:lang w:val="en-US"/>
                </w:rPr>
                <w:t xml:space="preserve">Royal Horticultural Society. (nd). </w:t>
              </w:r>
              <w:r>
                <w:rPr>
                  <w:i/>
                  <w:iCs/>
                  <w:noProof/>
                  <w:lang w:val="en-US"/>
                </w:rPr>
                <w:t>Ulex Europaeus</w:t>
              </w:r>
              <w:r>
                <w:rPr>
                  <w:noProof/>
                  <w:lang w:val="en-US"/>
                </w:rPr>
                <w:t>. Retrieved from Royal Horticultural Society: https://www.rhs.org.uk/plants/18575/Ulex-europaeus/Details</w:t>
              </w:r>
            </w:p>
            <w:p w14:paraId="16AFF1C0" w14:textId="77777777" w:rsidR="00065D5E" w:rsidRDefault="00065D5E" w:rsidP="00065D5E">
              <w:pPr>
                <w:pStyle w:val="Bibliography"/>
                <w:ind w:left="720" w:hanging="720"/>
                <w:rPr>
                  <w:noProof/>
                  <w:lang w:val="en-US"/>
                </w:rPr>
              </w:pPr>
              <w:r>
                <w:rPr>
                  <w:noProof/>
                  <w:lang w:val="en-US"/>
                </w:rPr>
                <w:t xml:space="preserve">Welsh Coal Mines. (nd). </w:t>
              </w:r>
              <w:r>
                <w:rPr>
                  <w:i/>
                  <w:iCs/>
                  <w:noProof/>
                  <w:lang w:val="en-US"/>
                </w:rPr>
                <w:t>Vipond's</w:t>
              </w:r>
              <w:r>
                <w:rPr>
                  <w:noProof/>
                  <w:lang w:val="en-US"/>
                </w:rPr>
                <w:t>. Retrieved from Welsh Coal Mines: http://www.welshcoalmines.co.uk/Gwent/Vipond's.htm</w:t>
              </w:r>
            </w:p>
            <w:p w14:paraId="27EC5CFD" w14:textId="265BA343" w:rsidR="0009305A" w:rsidRDefault="0009305A" w:rsidP="00065D5E">
              <w:r>
                <w:rPr>
                  <w:b/>
                  <w:bCs/>
                  <w:noProof/>
                </w:rPr>
                <w:fldChar w:fldCharType="end"/>
              </w:r>
            </w:p>
          </w:sdtContent>
        </w:sdt>
      </w:sdtContent>
    </w:sdt>
    <w:p w14:paraId="118EE02A" w14:textId="77777777" w:rsidR="0009305A" w:rsidRDefault="0009305A"/>
    <w:sectPr w:rsidR="0009305A" w:rsidSect="00822887">
      <w:footerReference w:type="default" r:id="rId14"/>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31812" w14:textId="77777777" w:rsidR="00D72610" w:rsidRDefault="00D72610" w:rsidP="00822887">
      <w:pPr>
        <w:spacing w:after="0" w:line="240" w:lineRule="auto"/>
      </w:pPr>
      <w:r>
        <w:separator/>
      </w:r>
    </w:p>
  </w:endnote>
  <w:endnote w:type="continuationSeparator" w:id="0">
    <w:p w14:paraId="29BB7699" w14:textId="77777777" w:rsidR="00D72610" w:rsidRDefault="00D72610" w:rsidP="0082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00"/>
    <w:family w:val="roman"/>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00"/>
    <w:family w:val="modern"/>
    <w:pitch w:val="fixed"/>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336424"/>
      <w:docPartObj>
        <w:docPartGallery w:val="Page Numbers (Bottom of Page)"/>
        <w:docPartUnique/>
      </w:docPartObj>
    </w:sdtPr>
    <w:sdtEndPr>
      <w:rPr>
        <w:noProof/>
      </w:rPr>
    </w:sdtEndPr>
    <w:sdtContent>
      <w:p w14:paraId="75757B13" w14:textId="7BC72B2D" w:rsidR="00822887" w:rsidRDefault="00822887">
        <w:pPr>
          <w:pStyle w:val="Footer"/>
        </w:pPr>
        <w:r>
          <w:fldChar w:fldCharType="begin"/>
        </w:r>
        <w:r>
          <w:instrText xml:space="preserve"> PAGE   \* MERGEFORMAT </w:instrText>
        </w:r>
        <w:r>
          <w:fldChar w:fldCharType="separate"/>
        </w:r>
        <w:r w:rsidR="00256584">
          <w:rPr>
            <w:noProof/>
          </w:rPr>
          <w:t>1</w:t>
        </w:r>
        <w:r>
          <w:rPr>
            <w:noProof/>
          </w:rPr>
          <w:fldChar w:fldCharType="end"/>
        </w:r>
      </w:p>
    </w:sdtContent>
  </w:sdt>
  <w:p w14:paraId="6FE95BF8" w14:textId="77777777" w:rsidR="00822887" w:rsidRDefault="00822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0F40D" w14:textId="77777777" w:rsidR="00D72610" w:rsidRDefault="00D72610" w:rsidP="00822887">
      <w:pPr>
        <w:spacing w:after="0" w:line="240" w:lineRule="auto"/>
      </w:pPr>
      <w:r>
        <w:separator/>
      </w:r>
    </w:p>
  </w:footnote>
  <w:footnote w:type="continuationSeparator" w:id="0">
    <w:p w14:paraId="18F15121" w14:textId="77777777" w:rsidR="00D72610" w:rsidRDefault="00D72610" w:rsidP="008228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627"/>
    <w:rsid w:val="00002621"/>
    <w:rsid w:val="00002865"/>
    <w:rsid w:val="0005220F"/>
    <w:rsid w:val="00065D5E"/>
    <w:rsid w:val="0009305A"/>
    <w:rsid w:val="000B4D73"/>
    <w:rsid w:val="00105200"/>
    <w:rsid w:val="001434A2"/>
    <w:rsid w:val="001519B7"/>
    <w:rsid w:val="001641BF"/>
    <w:rsid w:val="00171661"/>
    <w:rsid w:val="001727C3"/>
    <w:rsid w:val="0017711D"/>
    <w:rsid w:val="001B27CC"/>
    <w:rsid w:val="001B6627"/>
    <w:rsid w:val="001D6BD8"/>
    <w:rsid w:val="002271E6"/>
    <w:rsid w:val="00250810"/>
    <w:rsid w:val="00256584"/>
    <w:rsid w:val="00270501"/>
    <w:rsid w:val="00290717"/>
    <w:rsid w:val="002A1FC9"/>
    <w:rsid w:val="002F28F0"/>
    <w:rsid w:val="00350929"/>
    <w:rsid w:val="00357774"/>
    <w:rsid w:val="00404D67"/>
    <w:rsid w:val="00477309"/>
    <w:rsid w:val="004915E4"/>
    <w:rsid w:val="00496AC0"/>
    <w:rsid w:val="004A5932"/>
    <w:rsid w:val="004F5F22"/>
    <w:rsid w:val="00505D61"/>
    <w:rsid w:val="005174B7"/>
    <w:rsid w:val="00521E18"/>
    <w:rsid w:val="00590A71"/>
    <w:rsid w:val="005B08C6"/>
    <w:rsid w:val="005E3047"/>
    <w:rsid w:val="00604828"/>
    <w:rsid w:val="006067E6"/>
    <w:rsid w:val="00677FF2"/>
    <w:rsid w:val="006A55A6"/>
    <w:rsid w:val="006D1791"/>
    <w:rsid w:val="006D4F92"/>
    <w:rsid w:val="006F2816"/>
    <w:rsid w:val="00775F6B"/>
    <w:rsid w:val="007A32FE"/>
    <w:rsid w:val="007F0496"/>
    <w:rsid w:val="00801FC2"/>
    <w:rsid w:val="00803353"/>
    <w:rsid w:val="00822887"/>
    <w:rsid w:val="00827E93"/>
    <w:rsid w:val="0085382E"/>
    <w:rsid w:val="00855464"/>
    <w:rsid w:val="00857849"/>
    <w:rsid w:val="0086002C"/>
    <w:rsid w:val="008A1B17"/>
    <w:rsid w:val="008B31E3"/>
    <w:rsid w:val="008B46AF"/>
    <w:rsid w:val="00917D89"/>
    <w:rsid w:val="00924CFA"/>
    <w:rsid w:val="009338A4"/>
    <w:rsid w:val="009473CC"/>
    <w:rsid w:val="009579C3"/>
    <w:rsid w:val="0097186A"/>
    <w:rsid w:val="00983CE5"/>
    <w:rsid w:val="009A37BD"/>
    <w:rsid w:val="009B4292"/>
    <w:rsid w:val="009E3379"/>
    <w:rsid w:val="00A160BC"/>
    <w:rsid w:val="00A61E97"/>
    <w:rsid w:val="00A943E2"/>
    <w:rsid w:val="00AB556F"/>
    <w:rsid w:val="00AC3181"/>
    <w:rsid w:val="00AD0AB3"/>
    <w:rsid w:val="00AF3576"/>
    <w:rsid w:val="00AF5D69"/>
    <w:rsid w:val="00B4398B"/>
    <w:rsid w:val="00B444F9"/>
    <w:rsid w:val="00B46CDF"/>
    <w:rsid w:val="00B73A5D"/>
    <w:rsid w:val="00B73BCE"/>
    <w:rsid w:val="00C10439"/>
    <w:rsid w:val="00C43230"/>
    <w:rsid w:val="00C5118F"/>
    <w:rsid w:val="00C51636"/>
    <w:rsid w:val="00D72610"/>
    <w:rsid w:val="00D80A0A"/>
    <w:rsid w:val="00DB0D4E"/>
    <w:rsid w:val="00DD0043"/>
    <w:rsid w:val="00DE383F"/>
    <w:rsid w:val="00E86D6B"/>
    <w:rsid w:val="00E95A22"/>
    <w:rsid w:val="00EF0CF6"/>
    <w:rsid w:val="00EF27B0"/>
    <w:rsid w:val="00EF3E4E"/>
    <w:rsid w:val="00F56D20"/>
    <w:rsid w:val="00FA3D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6AD2"/>
  <w15:chartTrackingRefBased/>
  <w15:docId w15:val="{70E23CB5-28E6-41FA-B750-7301F3D2A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30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86D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B08C6"/>
    <w:rPr>
      <w:color w:val="0000FF"/>
      <w:u w:val="single"/>
    </w:rPr>
  </w:style>
  <w:style w:type="character" w:customStyle="1" w:styleId="Heading1Char">
    <w:name w:val="Heading 1 Char"/>
    <w:basedOn w:val="DefaultParagraphFont"/>
    <w:link w:val="Heading1"/>
    <w:uiPriority w:val="9"/>
    <w:rsid w:val="000930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305A"/>
  </w:style>
  <w:style w:type="paragraph" w:styleId="Header">
    <w:name w:val="header"/>
    <w:basedOn w:val="Normal"/>
    <w:link w:val="HeaderChar"/>
    <w:uiPriority w:val="99"/>
    <w:unhideWhenUsed/>
    <w:rsid w:val="0082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887"/>
  </w:style>
  <w:style w:type="paragraph" w:styleId="Footer">
    <w:name w:val="footer"/>
    <w:basedOn w:val="Normal"/>
    <w:link w:val="FooterChar"/>
    <w:uiPriority w:val="99"/>
    <w:unhideWhenUsed/>
    <w:rsid w:val="0082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887"/>
  </w:style>
  <w:style w:type="character" w:customStyle="1" w:styleId="Heading2Char">
    <w:name w:val="Heading 2 Char"/>
    <w:basedOn w:val="DefaultParagraphFont"/>
    <w:link w:val="Heading2"/>
    <w:uiPriority w:val="9"/>
    <w:rsid w:val="00E86D6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324">
      <w:bodyDiv w:val="1"/>
      <w:marLeft w:val="0"/>
      <w:marRight w:val="0"/>
      <w:marTop w:val="0"/>
      <w:marBottom w:val="0"/>
      <w:divBdr>
        <w:top w:val="none" w:sz="0" w:space="0" w:color="auto"/>
        <w:left w:val="none" w:sz="0" w:space="0" w:color="auto"/>
        <w:bottom w:val="none" w:sz="0" w:space="0" w:color="auto"/>
        <w:right w:val="none" w:sz="0" w:space="0" w:color="auto"/>
      </w:divBdr>
    </w:div>
    <w:div w:id="6837677">
      <w:bodyDiv w:val="1"/>
      <w:marLeft w:val="0"/>
      <w:marRight w:val="0"/>
      <w:marTop w:val="0"/>
      <w:marBottom w:val="0"/>
      <w:divBdr>
        <w:top w:val="none" w:sz="0" w:space="0" w:color="auto"/>
        <w:left w:val="none" w:sz="0" w:space="0" w:color="auto"/>
        <w:bottom w:val="none" w:sz="0" w:space="0" w:color="auto"/>
        <w:right w:val="none" w:sz="0" w:space="0" w:color="auto"/>
      </w:divBdr>
    </w:div>
    <w:div w:id="41172814">
      <w:bodyDiv w:val="1"/>
      <w:marLeft w:val="0"/>
      <w:marRight w:val="0"/>
      <w:marTop w:val="0"/>
      <w:marBottom w:val="0"/>
      <w:divBdr>
        <w:top w:val="none" w:sz="0" w:space="0" w:color="auto"/>
        <w:left w:val="none" w:sz="0" w:space="0" w:color="auto"/>
        <w:bottom w:val="none" w:sz="0" w:space="0" w:color="auto"/>
        <w:right w:val="none" w:sz="0" w:space="0" w:color="auto"/>
      </w:divBdr>
    </w:div>
    <w:div w:id="47337086">
      <w:bodyDiv w:val="1"/>
      <w:marLeft w:val="0"/>
      <w:marRight w:val="0"/>
      <w:marTop w:val="0"/>
      <w:marBottom w:val="0"/>
      <w:divBdr>
        <w:top w:val="none" w:sz="0" w:space="0" w:color="auto"/>
        <w:left w:val="none" w:sz="0" w:space="0" w:color="auto"/>
        <w:bottom w:val="none" w:sz="0" w:space="0" w:color="auto"/>
        <w:right w:val="none" w:sz="0" w:space="0" w:color="auto"/>
      </w:divBdr>
    </w:div>
    <w:div w:id="62607725">
      <w:bodyDiv w:val="1"/>
      <w:marLeft w:val="0"/>
      <w:marRight w:val="0"/>
      <w:marTop w:val="0"/>
      <w:marBottom w:val="0"/>
      <w:divBdr>
        <w:top w:val="none" w:sz="0" w:space="0" w:color="auto"/>
        <w:left w:val="none" w:sz="0" w:space="0" w:color="auto"/>
        <w:bottom w:val="none" w:sz="0" w:space="0" w:color="auto"/>
        <w:right w:val="none" w:sz="0" w:space="0" w:color="auto"/>
      </w:divBdr>
    </w:div>
    <w:div w:id="69013156">
      <w:bodyDiv w:val="1"/>
      <w:marLeft w:val="0"/>
      <w:marRight w:val="0"/>
      <w:marTop w:val="0"/>
      <w:marBottom w:val="0"/>
      <w:divBdr>
        <w:top w:val="none" w:sz="0" w:space="0" w:color="auto"/>
        <w:left w:val="none" w:sz="0" w:space="0" w:color="auto"/>
        <w:bottom w:val="none" w:sz="0" w:space="0" w:color="auto"/>
        <w:right w:val="none" w:sz="0" w:space="0" w:color="auto"/>
      </w:divBdr>
    </w:div>
    <w:div w:id="149564977">
      <w:bodyDiv w:val="1"/>
      <w:marLeft w:val="0"/>
      <w:marRight w:val="0"/>
      <w:marTop w:val="0"/>
      <w:marBottom w:val="0"/>
      <w:divBdr>
        <w:top w:val="none" w:sz="0" w:space="0" w:color="auto"/>
        <w:left w:val="none" w:sz="0" w:space="0" w:color="auto"/>
        <w:bottom w:val="none" w:sz="0" w:space="0" w:color="auto"/>
        <w:right w:val="none" w:sz="0" w:space="0" w:color="auto"/>
      </w:divBdr>
    </w:div>
    <w:div w:id="153492972">
      <w:bodyDiv w:val="1"/>
      <w:marLeft w:val="0"/>
      <w:marRight w:val="0"/>
      <w:marTop w:val="0"/>
      <w:marBottom w:val="0"/>
      <w:divBdr>
        <w:top w:val="none" w:sz="0" w:space="0" w:color="auto"/>
        <w:left w:val="none" w:sz="0" w:space="0" w:color="auto"/>
        <w:bottom w:val="none" w:sz="0" w:space="0" w:color="auto"/>
        <w:right w:val="none" w:sz="0" w:space="0" w:color="auto"/>
      </w:divBdr>
    </w:div>
    <w:div w:id="175386236">
      <w:bodyDiv w:val="1"/>
      <w:marLeft w:val="0"/>
      <w:marRight w:val="0"/>
      <w:marTop w:val="0"/>
      <w:marBottom w:val="0"/>
      <w:divBdr>
        <w:top w:val="none" w:sz="0" w:space="0" w:color="auto"/>
        <w:left w:val="none" w:sz="0" w:space="0" w:color="auto"/>
        <w:bottom w:val="none" w:sz="0" w:space="0" w:color="auto"/>
        <w:right w:val="none" w:sz="0" w:space="0" w:color="auto"/>
      </w:divBdr>
    </w:div>
    <w:div w:id="183907436">
      <w:bodyDiv w:val="1"/>
      <w:marLeft w:val="0"/>
      <w:marRight w:val="0"/>
      <w:marTop w:val="0"/>
      <w:marBottom w:val="0"/>
      <w:divBdr>
        <w:top w:val="none" w:sz="0" w:space="0" w:color="auto"/>
        <w:left w:val="none" w:sz="0" w:space="0" w:color="auto"/>
        <w:bottom w:val="none" w:sz="0" w:space="0" w:color="auto"/>
        <w:right w:val="none" w:sz="0" w:space="0" w:color="auto"/>
      </w:divBdr>
    </w:div>
    <w:div w:id="186452782">
      <w:bodyDiv w:val="1"/>
      <w:marLeft w:val="0"/>
      <w:marRight w:val="0"/>
      <w:marTop w:val="0"/>
      <w:marBottom w:val="0"/>
      <w:divBdr>
        <w:top w:val="none" w:sz="0" w:space="0" w:color="auto"/>
        <w:left w:val="none" w:sz="0" w:space="0" w:color="auto"/>
        <w:bottom w:val="none" w:sz="0" w:space="0" w:color="auto"/>
        <w:right w:val="none" w:sz="0" w:space="0" w:color="auto"/>
      </w:divBdr>
    </w:div>
    <w:div w:id="192962657">
      <w:bodyDiv w:val="1"/>
      <w:marLeft w:val="0"/>
      <w:marRight w:val="0"/>
      <w:marTop w:val="0"/>
      <w:marBottom w:val="0"/>
      <w:divBdr>
        <w:top w:val="none" w:sz="0" w:space="0" w:color="auto"/>
        <w:left w:val="none" w:sz="0" w:space="0" w:color="auto"/>
        <w:bottom w:val="none" w:sz="0" w:space="0" w:color="auto"/>
        <w:right w:val="none" w:sz="0" w:space="0" w:color="auto"/>
      </w:divBdr>
    </w:div>
    <w:div w:id="240335654">
      <w:bodyDiv w:val="1"/>
      <w:marLeft w:val="0"/>
      <w:marRight w:val="0"/>
      <w:marTop w:val="0"/>
      <w:marBottom w:val="0"/>
      <w:divBdr>
        <w:top w:val="none" w:sz="0" w:space="0" w:color="auto"/>
        <w:left w:val="none" w:sz="0" w:space="0" w:color="auto"/>
        <w:bottom w:val="none" w:sz="0" w:space="0" w:color="auto"/>
        <w:right w:val="none" w:sz="0" w:space="0" w:color="auto"/>
      </w:divBdr>
    </w:div>
    <w:div w:id="279924382">
      <w:bodyDiv w:val="1"/>
      <w:marLeft w:val="0"/>
      <w:marRight w:val="0"/>
      <w:marTop w:val="0"/>
      <w:marBottom w:val="0"/>
      <w:divBdr>
        <w:top w:val="none" w:sz="0" w:space="0" w:color="auto"/>
        <w:left w:val="none" w:sz="0" w:space="0" w:color="auto"/>
        <w:bottom w:val="none" w:sz="0" w:space="0" w:color="auto"/>
        <w:right w:val="none" w:sz="0" w:space="0" w:color="auto"/>
      </w:divBdr>
    </w:div>
    <w:div w:id="280184603">
      <w:bodyDiv w:val="1"/>
      <w:marLeft w:val="0"/>
      <w:marRight w:val="0"/>
      <w:marTop w:val="0"/>
      <w:marBottom w:val="0"/>
      <w:divBdr>
        <w:top w:val="none" w:sz="0" w:space="0" w:color="auto"/>
        <w:left w:val="none" w:sz="0" w:space="0" w:color="auto"/>
        <w:bottom w:val="none" w:sz="0" w:space="0" w:color="auto"/>
        <w:right w:val="none" w:sz="0" w:space="0" w:color="auto"/>
      </w:divBdr>
    </w:div>
    <w:div w:id="320084284">
      <w:bodyDiv w:val="1"/>
      <w:marLeft w:val="0"/>
      <w:marRight w:val="0"/>
      <w:marTop w:val="0"/>
      <w:marBottom w:val="0"/>
      <w:divBdr>
        <w:top w:val="none" w:sz="0" w:space="0" w:color="auto"/>
        <w:left w:val="none" w:sz="0" w:space="0" w:color="auto"/>
        <w:bottom w:val="none" w:sz="0" w:space="0" w:color="auto"/>
        <w:right w:val="none" w:sz="0" w:space="0" w:color="auto"/>
      </w:divBdr>
    </w:div>
    <w:div w:id="327680777">
      <w:bodyDiv w:val="1"/>
      <w:marLeft w:val="0"/>
      <w:marRight w:val="0"/>
      <w:marTop w:val="0"/>
      <w:marBottom w:val="0"/>
      <w:divBdr>
        <w:top w:val="none" w:sz="0" w:space="0" w:color="auto"/>
        <w:left w:val="none" w:sz="0" w:space="0" w:color="auto"/>
        <w:bottom w:val="none" w:sz="0" w:space="0" w:color="auto"/>
        <w:right w:val="none" w:sz="0" w:space="0" w:color="auto"/>
      </w:divBdr>
    </w:div>
    <w:div w:id="355666342">
      <w:bodyDiv w:val="1"/>
      <w:marLeft w:val="0"/>
      <w:marRight w:val="0"/>
      <w:marTop w:val="0"/>
      <w:marBottom w:val="0"/>
      <w:divBdr>
        <w:top w:val="none" w:sz="0" w:space="0" w:color="auto"/>
        <w:left w:val="none" w:sz="0" w:space="0" w:color="auto"/>
        <w:bottom w:val="none" w:sz="0" w:space="0" w:color="auto"/>
        <w:right w:val="none" w:sz="0" w:space="0" w:color="auto"/>
      </w:divBdr>
    </w:div>
    <w:div w:id="364990284">
      <w:bodyDiv w:val="1"/>
      <w:marLeft w:val="0"/>
      <w:marRight w:val="0"/>
      <w:marTop w:val="0"/>
      <w:marBottom w:val="0"/>
      <w:divBdr>
        <w:top w:val="none" w:sz="0" w:space="0" w:color="auto"/>
        <w:left w:val="none" w:sz="0" w:space="0" w:color="auto"/>
        <w:bottom w:val="none" w:sz="0" w:space="0" w:color="auto"/>
        <w:right w:val="none" w:sz="0" w:space="0" w:color="auto"/>
      </w:divBdr>
    </w:div>
    <w:div w:id="385837199">
      <w:bodyDiv w:val="1"/>
      <w:marLeft w:val="0"/>
      <w:marRight w:val="0"/>
      <w:marTop w:val="0"/>
      <w:marBottom w:val="0"/>
      <w:divBdr>
        <w:top w:val="none" w:sz="0" w:space="0" w:color="auto"/>
        <w:left w:val="none" w:sz="0" w:space="0" w:color="auto"/>
        <w:bottom w:val="none" w:sz="0" w:space="0" w:color="auto"/>
        <w:right w:val="none" w:sz="0" w:space="0" w:color="auto"/>
      </w:divBdr>
    </w:div>
    <w:div w:id="405879623">
      <w:bodyDiv w:val="1"/>
      <w:marLeft w:val="0"/>
      <w:marRight w:val="0"/>
      <w:marTop w:val="0"/>
      <w:marBottom w:val="0"/>
      <w:divBdr>
        <w:top w:val="none" w:sz="0" w:space="0" w:color="auto"/>
        <w:left w:val="none" w:sz="0" w:space="0" w:color="auto"/>
        <w:bottom w:val="none" w:sz="0" w:space="0" w:color="auto"/>
        <w:right w:val="none" w:sz="0" w:space="0" w:color="auto"/>
      </w:divBdr>
    </w:div>
    <w:div w:id="427190540">
      <w:bodyDiv w:val="1"/>
      <w:marLeft w:val="0"/>
      <w:marRight w:val="0"/>
      <w:marTop w:val="0"/>
      <w:marBottom w:val="0"/>
      <w:divBdr>
        <w:top w:val="none" w:sz="0" w:space="0" w:color="auto"/>
        <w:left w:val="none" w:sz="0" w:space="0" w:color="auto"/>
        <w:bottom w:val="none" w:sz="0" w:space="0" w:color="auto"/>
        <w:right w:val="none" w:sz="0" w:space="0" w:color="auto"/>
      </w:divBdr>
    </w:div>
    <w:div w:id="427849121">
      <w:bodyDiv w:val="1"/>
      <w:marLeft w:val="0"/>
      <w:marRight w:val="0"/>
      <w:marTop w:val="0"/>
      <w:marBottom w:val="0"/>
      <w:divBdr>
        <w:top w:val="none" w:sz="0" w:space="0" w:color="auto"/>
        <w:left w:val="none" w:sz="0" w:space="0" w:color="auto"/>
        <w:bottom w:val="none" w:sz="0" w:space="0" w:color="auto"/>
        <w:right w:val="none" w:sz="0" w:space="0" w:color="auto"/>
      </w:divBdr>
    </w:div>
    <w:div w:id="429350673">
      <w:bodyDiv w:val="1"/>
      <w:marLeft w:val="0"/>
      <w:marRight w:val="0"/>
      <w:marTop w:val="0"/>
      <w:marBottom w:val="0"/>
      <w:divBdr>
        <w:top w:val="none" w:sz="0" w:space="0" w:color="auto"/>
        <w:left w:val="none" w:sz="0" w:space="0" w:color="auto"/>
        <w:bottom w:val="none" w:sz="0" w:space="0" w:color="auto"/>
        <w:right w:val="none" w:sz="0" w:space="0" w:color="auto"/>
      </w:divBdr>
    </w:div>
    <w:div w:id="464851812">
      <w:bodyDiv w:val="1"/>
      <w:marLeft w:val="0"/>
      <w:marRight w:val="0"/>
      <w:marTop w:val="0"/>
      <w:marBottom w:val="0"/>
      <w:divBdr>
        <w:top w:val="none" w:sz="0" w:space="0" w:color="auto"/>
        <w:left w:val="none" w:sz="0" w:space="0" w:color="auto"/>
        <w:bottom w:val="none" w:sz="0" w:space="0" w:color="auto"/>
        <w:right w:val="none" w:sz="0" w:space="0" w:color="auto"/>
      </w:divBdr>
    </w:div>
    <w:div w:id="483200389">
      <w:bodyDiv w:val="1"/>
      <w:marLeft w:val="0"/>
      <w:marRight w:val="0"/>
      <w:marTop w:val="0"/>
      <w:marBottom w:val="0"/>
      <w:divBdr>
        <w:top w:val="none" w:sz="0" w:space="0" w:color="auto"/>
        <w:left w:val="none" w:sz="0" w:space="0" w:color="auto"/>
        <w:bottom w:val="none" w:sz="0" w:space="0" w:color="auto"/>
        <w:right w:val="none" w:sz="0" w:space="0" w:color="auto"/>
      </w:divBdr>
    </w:div>
    <w:div w:id="490491888">
      <w:bodyDiv w:val="1"/>
      <w:marLeft w:val="0"/>
      <w:marRight w:val="0"/>
      <w:marTop w:val="0"/>
      <w:marBottom w:val="0"/>
      <w:divBdr>
        <w:top w:val="none" w:sz="0" w:space="0" w:color="auto"/>
        <w:left w:val="none" w:sz="0" w:space="0" w:color="auto"/>
        <w:bottom w:val="none" w:sz="0" w:space="0" w:color="auto"/>
        <w:right w:val="none" w:sz="0" w:space="0" w:color="auto"/>
      </w:divBdr>
    </w:div>
    <w:div w:id="491213229">
      <w:bodyDiv w:val="1"/>
      <w:marLeft w:val="0"/>
      <w:marRight w:val="0"/>
      <w:marTop w:val="0"/>
      <w:marBottom w:val="0"/>
      <w:divBdr>
        <w:top w:val="none" w:sz="0" w:space="0" w:color="auto"/>
        <w:left w:val="none" w:sz="0" w:space="0" w:color="auto"/>
        <w:bottom w:val="none" w:sz="0" w:space="0" w:color="auto"/>
        <w:right w:val="none" w:sz="0" w:space="0" w:color="auto"/>
      </w:divBdr>
    </w:div>
    <w:div w:id="501314295">
      <w:bodyDiv w:val="1"/>
      <w:marLeft w:val="0"/>
      <w:marRight w:val="0"/>
      <w:marTop w:val="0"/>
      <w:marBottom w:val="0"/>
      <w:divBdr>
        <w:top w:val="none" w:sz="0" w:space="0" w:color="auto"/>
        <w:left w:val="none" w:sz="0" w:space="0" w:color="auto"/>
        <w:bottom w:val="none" w:sz="0" w:space="0" w:color="auto"/>
        <w:right w:val="none" w:sz="0" w:space="0" w:color="auto"/>
      </w:divBdr>
    </w:div>
    <w:div w:id="541207903">
      <w:bodyDiv w:val="1"/>
      <w:marLeft w:val="0"/>
      <w:marRight w:val="0"/>
      <w:marTop w:val="0"/>
      <w:marBottom w:val="0"/>
      <w:divBdr>
        <w:top w:val="none" w:sz="0" w:space="0" w:color="auto"/>
        <w:left w:val="none" w:sz="0" w:space="0" w:color="auto"/>
        <w:bottom w:val="none" w:sz="0" w:space="0" w:color="auto"/>
        <w:right w:val="none" w:sz="0" w:space="0" w:color="auto"/>
      </w:divBdr>
    </w:div>
    <w:div w:id="543518517">
      <w:bodyDiv w:val="1"/>
      <w:marLeft w:val="0"/>
      <w:marRight w:val="0"/>
      <w:marTop w:val="0"/>
      <w:marBottom w:val="0"/>
      <w:divBdr>
        <w:top w:val="none" w:sz="0" w:space="0" w:color="auto"/>
        <w:left w:val="none" w:sz="0" w:space="0" w:color="auto"/>
        <w:bottom w:val="none" w:sz="0" w:space="0" w:color="auto"/>
        <w:right w:val="none" w:sz="0" w:space="0" w:color="auto"/>
      </w:divBdr>
    </w:div>
    <w:div w:id="550965207">
      <w:bodyDiv w:val="1"/>
      <w:marLeft w:val="0"/>
      <w:marRight w:val="0"/>
      <w:marTop w:val="0"/>
      <w:marBottom w:val="0"/>
      <w:divBdr>
        <w:top w:val="none" w:sz="0" w:space="0" w:color="auto"/>
        <w:left w:val="none" w:sz="0" w:space="0" w:color="auto"/>
        <w:bottom w:val="none" w:sz="0" w:space="0" w:color="auto"/>
        <w:right w:val="none" w:sz="0" w:space="0" w:color="auto"/>
      </w:divBdr>
    </w:div>
    <w:div w:id="561327061">
      <w:bodyDiv w:val="1"/>
      <w:marLeft w:val="0"/>
      <w:marRight w:val="0"/>
      <w:marTop w:val="0"/>
      <w:marBottom w:val="0"/>
      <w:divBdr>
        <w:top w:val="none" w:sz="0" w:space="0" w:color="auto"/>
        <w:left w:val="none" w:sz="0" w:space="0" w:color="auto"/>
        <w:bottom w:val="none" w:sz="0" w:space="0" w:color="auto"/>
        <w:right w:val="none" w:sz="0" w:space="0" w:color="auto"/>
      </w:divBdr>
    </w:div>
    <w:div w:id="564335503">
      <w:bodyDiv w:val="1"/>
      <w:marLeft w:val="0"/>
      <w:marRight w:val="0"/>
      <w:marTop w:val="0"/>
      <w:marBottom w:val="0"/>
      <w:divBdr>
        <w:top w:val="none" w:sz="0" w:space="0" w:color="auto"/>
        <w:left w:val="none" w:sz="0" w:space="0" w:color="auto"/>
        <w:bottom w:val="none" w:sz="0" w:space="0" w:color="auto"/>
        <w:right w:val="none" w:sz="0" w:space="0" w:color="auto"/>
      </w:divBdr>
    </w:div>
    <w:div w:id="566259085">
      <w:bodyDiv w:val="1"/>
      <w:marLeft w:val="0"/>
      <w:marRight w:val="0"/>
      <w:marTop w:val="0"/>
      <w:marBottom w:val="0"/>
      <w:divBdr>
        <w:top w:val="none" w:sz="0" w:space="0" w:color="auto"/>
        <w:left w:val="none" w:sz="0" w:space="0" w:color="auto"/>
        <w:bottom w:val="none" w:sz="0" w:space="0" w:color="auto"/>
        <w:right w:val="none" w:sz="0" w:space="0" w:color="auto"/>
      </w:divBdr>
    </w:div>
    <w:div w:id="578563214">
      <w:bodyDiv w:val="1"/>
      <w:marLeft w:val="0"/>
      <w:marRight w:val="0"/>
      <w:marTop w:val="0"/>
      <w:marBottom w:val="0"/>
      <w:divBdr>
        <w:top w:val="none" w:sz="0" w:space="0" w:color="auto"/>
        <w:left w:val="none" w:sz="0" w:space="0" w:color="auto"/>
        <w:bottom w:val="none" w:sz="0" w:space="0" w:color="auto"/>
        <w:right w:val="none" w:sz="0" w:space="0" w:color="auto"/>
      </w:divBdr>
    </w:div>
    <w:div w:id="592400075">
      <w:bodyDiv w:val="1"/>
      <w:marLeft w:val="0"/>
      <w:marRight w:val="0"/>
      <w:marTop w:val="0"/>
      <w:marBottom w:val="0"/>
      <w:divBdr>
        <w:top w:val="none" w:sz="0" w:space="0" w:color="auto"/>
        <w:left w:val="none" w:sz="0" w:space="0" w:color="auto"/>
        <w:bottom w:val="none" w:sz="0" w:space="0" w:color="auto"/>
        <w:right w:val="none" w:sz="0" w:space="0" w:color="auto"/>
      </w:divBdr>
    </w:div>
    <w:div w:id="635573746">
      <w:bodyDiv w:val="1"/>
      <w:marLeft w:val="0"/>
      <w:marRight w:val="0"/>
      <w:marTop w:val="0"/>
      <w:marBottom w:val="0"/>
      <w:divBdr>
        <w:top w:val="none" w:sz="0" w:space="0" w:color="auto"/>
        <w:left w:val="none" w:sz="0" w:space="0" w:color="auto"/>
        <w:bottom w:val="none" w:sz="0" w:space="0" w:color="auto"/>
        <w:right w:val="none" w:sz="0" w:space="0" w:color="auto"/>
      </w:divBdr>
    </w:div>
    <w:div w:id="648366596">
      <w:bodyDiv w:val="1"/>
      <w:marLeft w:val="0"/>
      <w:marRight w:val="0"/>
      <w:marTop w:val="0"/>
      <w:marBottom w:val="0"/>
      <w:divBdr>
        <w:top w:val="none" w:sz="0" w:space="0" w:color="auto"/>
        <w:left w:val="none" w:sz="0" w:space="0" w:color="auto"/>
        <w:bottom w:val="none" w:sz="0" w:space="0" w:color="auto"/>
        <w:right w:val="none" w:sz="0" w:space="0" w:color="auto"/>
      </w:divBdr>
    </w:div>
    <w:div w:id="658577792">
      <w:bodyDiv w:val="1"/>
      <w:marLeft w:val="0"/>
      <w:marRight w:val="0"/>
      <w:marTop w:val="0"/>
      <w:marBottom w:val="0"/>
      <w:divBdr>
        <w:top w:val="none" w:sz="0" w:space="0" w:color="auto"/>
        <w:left w:val="none" w:sz="0" w:space="0" w:color="auto"/>
        <w:bottom w:val="none" w:sz="0" w:space="0" w:color="auto"/>
        <w:right w:val="none" w:sz="0" w:space="0" w:color="auto"/>
      </w:divBdr>
    </w:div>
    <w:div w:id="665977250">
      <w:bodyDiv w:val="1"/>
      <w:marLeft w:val="0"/>
      <w:marRight w:val="0"/>
      <w:marTop w:val="0"/>
      <w:marBottom w:val="0"/>
      <w:divBdr>
        <w:top w:val="none" w:sz="0" w:space="0" w:color="auto"/>
        <w:left w:val="none" w:sz="0" w:space="0" w:color="auto"/>
        <w:bottom w:val="none" w:sz="0" w:space="0" w:color="auto"/>
        <w:right w:val="none" w:sz="0" w:space="0" w:color="auto"/>
      </w:divBdr>
    </w:div>
    <w:div w:id="692728003">
      <w:bodyDiv w:val="1"/>
      <w:marLeft w:val="0"/>
      <w:marRight w:val="0"/>
      <w:marTop w:val="0"/>
      <w:marBottom w:val="0"/>
      <w:divBdr>
        <w:top w:val="none" w:sz="0" w:space="0" w:color="auto"/>
        <w:left w:val="none" w:sz="0" w:space="0" w:color="auto"/>
        <w:bottom w:val="none" w:sz="0" w:space="0" w:color="auto"/>
        <w:right w:val="none" w:sz="0" w:space="0" w:color="auto"/>
      </w:divBdr>
    </w:div>
    <w:div w:id="697121976">
      <w:bodyDiv w:val="1"/>
      <w:marLeft w:val="0"/>
      <w:marRight w:val="0"/>
      <w:marTop w:val="0"/>
      <w:marBottom w:val="0"/>
      <w:divBdr>
        <w:top w:val="none" w:sz="0" w:space="0" w:color="auto"/>
        <w:left w:val="none" w:sz="0" w:space="0" w:color="auto"/>
        <w:bottom w:val="none" w:sz="0" w:space="0" w:color="auto"/>
        <w:right w:val="none" w:sz="0" w:space="0" w:color="auto"/>
      </w:divBdr>
    </w:div>
    <w:div w:id="735318359">
      <w:bodyDiv w:val="1"/>
      <w:marLeft w:val="0"/>
      <w:marRight w:val="0"/>
      <w:marTop w:val="0"/>
      <w:marBottom w:val="0"/>
      <w:divBdr>
        <w:top w:val="none" w:sz="0" w:space="0" w:color="auto"/>
        <w:left w:val="none" w:sz="0" w:space="0" w:color="auto"/>
        <w:bottom w:val="none" w:sz="0" w:space="0" w:color="auto"/>
        <w:right w:val="none" w:sz="0" w:space="0" w:color="auto"/>
      </w:divBdr>
    </w:div>
    <w:div w:id="736166279">
      <w:bodyDiv w:val="1"/>
      <w:marLeft w:val="0"/>
      <w:marRight w:val="0"/>
      <w:marTop w:val="0"/>
      <w:marBottom w:val="0"/>
      <w:divBdr>
        <w:top w:val="none" w:sz="0" w:space="0" w:color="auto"/>
        <w:left w:val="none" w:sz="0" w:space="0" w:color="auto"/>
        <w:bottom w:val="none" w:sz="0" w:space="0" w:color="auto"/>
        <w:right w:val="none" w:sz="0" w:space="0" w:color="auto"/>
      </w:divBdr>
    </w:div>
    <w:div w:id="762991861">
      <w:bodyDiv w:val="1"/>
      <w:marLeft w:val="0"/>
      <w:marRight w:val="0"/>
      <w:marTop w:val="0"/>
      <w:marBottom w:val="0"/>
      <w:divBdr>
        <w:top w:val="none" w:sz="0" w:space="0" w:color="auto"/>
        <w:left w:val="none" w:sz="0" w:space="0" w:color="auto"/>
        <w:bottom w:val="none" w:sz="0" w:space="0" w:color="auto"/>
        <w:right w:val="none" w:sz="0" w:space="0" w:color="auto"/>
      </w:divBdr>
    </w:div>
    <w:div w:id="777917051">
      <w:bodyDiv w:val="1"/>
      <w:marLeft w:val="0"/>
      <w:marRight w:val="0"/>
      <w:marTop w:val="0"/>
      <w:marBottom w:val="0"/>
      <w:divBdr>
        <w:top w:val="none" w:sz="0" w:space="0" w:color="auto"/>
        <w:left w:val="none" w:sz="0" w:space="0" w:color="auto"/>
        <w:bottom w:val="none" w:sz="0" w:space="0" w:color="auto"/>
        <w:right w:val="none" w:sz="0" w:space="0" w:color="auto"/>
      </w:divBdr>
    </w:div>
    <w:div w:id="785388340">
      <w:bodyDiv w:val="1"/>
      <w:marLeft w:val="0"/>
      <w:marRight w:val="0"/>
      <w:marTop w:val="0"/>
      <w:marBottom w:val="0"/>
      <w:divBdr>
        <w:top w:val="none" w:sz="0" w:space="0" w:color="auto"/>
        <w:left w:val="none" w:sz="0" w:space="0" w:color="auto"/>
        <w:bottom w:val="none" w:sz="0" w:space="0" w:color="auto"/>
        <w:right w:val="none" w:sz="0" w:space="0" w:color="auto"/>
      </w:divBdr>
    </w:div>
    <w:div w:id="788470679">
      <w:bodyDiv w:val="1"/>
      <w:marLeft w:val="0"/>
      <w:marRight w:val="0"/>
      <w:marTop w:val="0"/>
      <w:marBottom w:val="0"/>
      <w:divBdr>
        <w:top w:val="none" w:sz="0" w:space="0" w:color="auto"/>
        <w:left w:val="none" w:sz="0" w:space="0" w:color="auto"/>
        <w:bottom w:val="none" w:sz="0" w:space="0" w:color="auto"/>
        <w:right w:val="none" w:sz="0" w:space="0" w:color="auto"/>
      </w:divBdr>
    </w:div>
    <w:div w:id="806239464">
      <w:bodyDiv w:val="1"/>
      <w:marLeft w:val="0"/>
      <w:marRight w:val="0"/>
      <w:marTop w:val="0"/>
      <w:marBottom w:val="0"/>
      <w:divBdr>
        <w:top w:val="none" w:sz="0" w:space="0" w:color="auto"/>
        <w:left w:val="none" w:sz="0" w:space="0" w:color="auto"/>
        <w:bottom w:val="none" w:sz="0" w:space="0" w:color="auto"/>
        <w:right w:val="none" w:sz="0" w:space="0" w:color="auto"/>
      </w:divBdr>
    </w:div>
    <w:div w:id="817765673">
      <w:bodyDiv w:val="1"/>
      <w:marLeft w:val="0"/>
      <w:marRight w:val="0"/>
      <w:marTop w:val="0"/>
      <w:marBottom w:val="0"/>
      <w:divBdr>
        <w:top w:val="none" w:sz="0" w:space="0" w:color="auto"/>
        <w:left w:val="none" w:sz="0" w:space="0" w:color="auto"/>
        <w:bottom w:val="none" w:sz="0" w:space="0" w:color="auto"/>
        <w:right w:val="none" w:sz="0" w:space="0" w:color="auto"/>
      </w:divBdr>
    </w:div>
    <w:div w:id="834108768">
      <w:bodyDiv w:val="1"/>
      <w:marLeft w:val="0"/>
      <w:marRight w:val="0"/>
      <w:marTop w:val="0"/>
      <w:marBottom w:val="0"/>
      <w:divBdr>
        <w:top w:val="none" w:sz="0" w:space="0" w:color="auto"/>
        <w:left w:val="none" w:sz="0" w:space="0" w:color="auto"/>
        <w:bottom w:val="none" w:sz="0" w:space="0" w:color="auto"/>
        <w:right w:val="none" w:sz="0" w:space="0" w:color="auto"/>
      </w:divBdr>
    </w:div>
    <w:div w:id="839656670">
      <w:bodyDiv w:val="1"/>
      <w:marLeft w:val="0"/>
      <w:marRight w:val="0"/>
      <w:marTop w:val="0"/>
      <w:marBottom w:val="0"/>
      <w:divBdr>
        <w:top w:val="none" w:sz="0" w:space="0" w:color="auto"/>
        <w:left w:val="none" w:sz="0" w:space="0" w:color="auto"/>
        <w:bottom w:val="none" w:sz="0" w:space="0" w:color="auto"/>
        <w:right w:val="none" w:sz="0" w:space="0" w:color="auto"/>
      </w:divBdr>
    </w:div>
    <w:div w:id="845707651">
      <w:bodyDiv w:val="1"/>
      <w:marLeft w:val="0"/>
      <w:marRight w:val="0"/>
      <w:marTop w:val="0"/>
      <w:marBottom w:val="0"/>
      <w:divBdr>
        <w:top w:val="none" w:sz="0" w:space="0" w:color="auto"/>
        <w:left w:val="none" w:sz="0" w:space="0" w:color="auto"/>
        <w:bottom w:val="none" w:sz="0" w:space="0" w:color="auto"/>
        <w:right w:val="none" w:sz="0" w:space="0" w:color="auto"/>
      </w:divBdr>
    </w:div>
    <w:div w:id="850922833">
      <w:bodyDiv w:val="1"/>
      <w:marLeft w:val="0"/>
      <w:marRight w:val="0"/>
      <w:marTop w:val="0"/>
      <w:marBottom w:val="0"/>
      <w:divBdr>
        <w:top w:val="none" w:sz="0" w:space="0" w:color="auto"/>
        <w:left w:val="none" w:sz="0" w:space="0" w:color="auto"/>
        <w:bottom w:val="none" w:sz="0" w:space="0" w:color="auto"/>
        <w:right w:val="none" w:sz="0" w:space="0" w:color="auto"/>
      </w:divBdr>
    </w:div>
    <w:div w:id="875510603">
      <w:bodyDiv w:val="1"/>
      <w:marLeft w:val="0"/>
      <w:marRight w:val="0"/>
      <w:marTop w:val="0"/>
      <w:marBottom w:val="0"/>
      <w:divBdr>
        <w:top w:val="none" w:sz="0" w:space="0" w:color="auto"/>
        <w:left w:val="none" w:sz="0" w:space="0" w:color="auto"/>
        <w:bottom w:val="none" w:sz="0" w:space="0" w:color="auto"/>
        <w:right w:val="none" w:sz="0" w:space="0" w:color="auto"/>
      </w:divBdr>
    </w:div>
    <w:div w:id="898981603">
      <w:bodyDiv w:val="1"/>
      <w:marLeft w:val="0"/>
      <w:marRight w:val="0"/>
      <w:marTop w:val="0"/>
      <w:marBottom w:val="0"/>
      <w:divBdr>
        <w:top w:val="none" w:sz="0" w:space="0" w:color="auto"/>
        <w:left w:val="none" w:sz="0" w:space="0" w:color="auto"/>
        <w:bottom w:val="none" w:sz="0" w:space="0" w:color="auto"/>
        <w:right w:val="none" w:sz="0" w:space="0" w:color="auto"/>
      </w:divBdr>
    </w:div>
    <w:div w:id="922566814">
      <w:bodyDiv w:val="1"/>
      <w:marLeft w:val="0"/>
      <w:marRight w:val="0"/>
      <w:marTop w:val="0"/>
      <w:marBottom w:val="0"/>
      <w:divBdr>
        <w:top w:val="none" w:sz="0" w:space="0" w:color="auto"/>
        <w:left w:val="none" w:sz="0" w:space="0" w:color="auto"/>
        <w:bottom w:val="none" w:sz="0" w:space="0" w:color="auto"/>
        <w:right w:val="none" w:sz="0" w:space="0" w:color="auto"/>
      </w:divBdr>
    </w:div>
    <w:div w:id="929657054">
      <w:bodyDiv w:val="1"/>
      <w:marLeft w:val="0"/>
      <w:marRight w:val="0"/>
      <w:marTop w:val="0"/>
      <w:marBottom w:val="0"/>
      <w:divBdr>
        <w:top w:val="none" w:sz="0" w:space="0" w:color="auto"/>
        <w:left w:val="none" w:sz="0" w:space="0" w:color="auto"/>
        <w:bottom w:val="none" w:sz="0" w:space="0" w:color="auto"/>
        <w:right w:val="none" w:sz="0" w:space="0" w:color="auto"/>
      </w:divBdr>
    </w:div>
    <w:div w:id="951400866">
      <w:bodyDiv w:val="1"/>
      <w:marLeft w:val="0"/>
      <w:marRight w:val="0"/>
      <w:marTop w:val="0"/>
      <w:marBottom w:val="0"/>
      <w:divBdr>
        <w:top w:val="none" w:sz="0" w:space="0" w:color="auto"/>
        <w:left w:val="none" w:sz="0" w:space="0" w:color="auto"/>
        <w:bottom w:val="none" w:sz="0" w:space="0" w:color="auto"/>
        <w:right w:val="none" w:sz="0" w:space="0" w:color="auto"/>
      </w:divBdr>
    </w:div>
    <w:div w:id="951476860">
      <w:bodyDiv w:val="1"/>
      <w:marLeft w:val="0"/>
      <w:marRight w:val="0"/>
      <w:marTop w:val="0"/>
      <w:marBottom w:val="0"/>
      <w:divBdr>
        <w:top w:val="none" w:sz="0" w:space="0" w:color="auto"/>
        <w:left w:val="none" w:sz="0" w:space="0" w:color="auto"/>
        <w:bottom w:val="none" w:sz="0" w:space="0" w:color="auto"/>
        <w:right w:val="none" w:sz="0" w:space="0" w:color="auto"/>
      </w:divBdr>
    </w:div>
    <w:div w:id="982924769">
      <w:bodyDiv w:val="1"/>
      <w:marLeft w:val="0"/>
      <w:marRight w:val="0"/>
      <w:marTop w:val="0"/>
      <w:marBottom w:val="0"/>
      <w:divBdr>
        <w:top w:val="none" w:sz="0" w:space="0" w:color="auto"/>
        <w:left w:val="none" w:sz="0" w:space="0" w:color="auto"/>
        <w:bottom w:val="none" w:sz="0" w:space="0" w:color="auto"/>
        <w:right w:val="none" w:sz="0" w:space="0" w:color="auto"/>
      </w:divBdr>
    </w:div>
    <w:div w:id="992099759">
      <w:bodyDiv w:val="1"/>
      <w:marLeft w:val="0"/>
      <w:marRight w:val="0"/>
      <w:marTop w:val="0"/>
      <w:marBottom w:val="0"/>
      <w:divBdr>
        <w:top w:val="none" w:sz="0" w:space="0" w:color="auto"/>
        <w:left w:val="none" w:sz="0" w:space="0" w:color="auto"/>
        <w:bottom w:val="none" w:sz="0" w:space="0" w:color="auto"/>
        <w:right w:val="none" w:sz="0" w:space="0" w:color="auto"/>
      </w:divBdr>
    </w:div>
    <w:div w:id="995181275">
      <w:bodyDiv w:val="1"/>
      <w:marLeft w:val="0"/>
      <w:marRight w:val="0"/>
      <w:marTop w:val="0"/>
      <w:marBottom w:val="0"/>
      <w:divBdr>
        <w:top w:val="none" w:sz="0" w:space="0" w:color="auto"/>
        <w:left w:val="none" w:sz="0" w:space="0" w:color="auto"/>
        <w:bottom w:val="none" w:sz="0" w:space="0" w:color="auto"/>
        <w:right w:val="none" w:sz="0" w:space="0" w:color="auto"/>
      </w:divBdr>
    </w:div>
    <w:div w:id="1003825456">
      <w:bodyDiv w:val="1"/>
      <w:marLeft w:val="0"/>
      <w:marRight w:val="0"/>
      <w:marTop w:val="0"/>
      <w:marBottom w:val="0"/>
      <w:divBdr>
        <w:top w:val="none" w:sz="0" w:space="0" w:color="auto"/>
        <w:left w:val="none" w:sz="0" w:space="0" w:color="auto"/>
        <w:bottom w:val="none" w:sz="0" w:space="0" w:color="auto"/>
        <w:right w:val="none" w:sz="0" w:space="0" w:color="auto"/>
      </w:divBdr>
    </w:div>
    <w:div w:id="1005746820">
      <w:bodyDiv w:val="1"/>
      <w:marLeft w:val="0"/>
      <w:marRight w:val="0"/>
      <w:marTop w:val="0"/>
      <w:marBottom w:val="0"/>
      <w:divBdr>
        <w:top w:val="none" w:sz="0" w:space="0" w:color="auto"/>
        <w:left w:val="none" w:sz="0" w:space="0" w:color="auto"/>
        <w:bottom w:val="none" w:sz="0" w:space="0" w:color="auto"/>
        <w:right w:val="none" w:sz="0" w:space="0" w:color="auto"/>
      </w:divBdr>
    </w:div>
    <w:div w:id="1024669709">
      <w:bodyDiv w:val="1"/>
      <w:marLeft w:val="0"/>
      <w:marRight w:val="0"/>
      <w:marTop w:val="0"/>
      <w:marBottom w:val="0"/>
      <w:divBdr>
        <w:top w:val="none" w:sz="0" w:space="0" w:color="auto"/>
        <w:left w:val="none" w:sz="0" w:space="0" w:color="auto"/>
        <w:bottom w:val="none" w:sz="0" w:space="0" w:color="auto"/>
        <w:right w:val="none" w:sz="0" w:space="0" w:color="auto"/>
      </w:divBdr>
    </w:div>
    <w:div w:id="1040014365">
      <w:bodyDiv w:val="1"/>
      <w:marLeft w:val="0"/>
      <w:marRight w:val="0"/>
      <w:marTop w:val="0"/>
      <w:marBottom w:val="0"/>
      <w:divBdr>
        <w:top w:val="none" w:sz="0" w:space="0" w:color="auto"/>
        <w:left w:val="none" w:sz="0" w:space="0" w:color="auto"/>
        <w:bottom w:val="none" w:sz="0" w:space="0" w:color="auto"/>
        <w:right w:val="none" w:sz="0" w:space="0" w:color="auto"/>
      </w:divBdr>
    </w:div>
    <w:div w:id="1091896914">
      <w:bodyDiv w:val="1"/>
      <w:marLeft w:val="0"/>
      <w:marRight w:val="0"/>
      <w:marTop w:val="0"/>
      <w:marBottom w:val="0"/>
      <w:divBdr>
        <w:top w:val="none" w:sz="0" w:space="0" w:color="auto"/>
        <w:left w:val="none" w:sz="0" w:space="0" w:color="auto"/>
        <w:bottom w:val="none" w:sz="0" w:space="0" w:color="auto"/>
        <w:right w:val="none" w:sz="0" w:space="0" w:color="auto"/>
      </w:divBdr>
    </w:div>
    <w:div w:id="1094858027">
      <w:bodyDiv w:val="1"/>
      <w:marLeft w:val="0"/>
      <w:marRight w:val="0"/>
      <w:marTop w:val="0"/>
      <w:marBottom w:val="0"/>
      <w:divBdr>
        <w:top w:val="none" w:sz="0" w:space="0" w:color="auto"/>
        <w:left w:val="none" w:sz="0" w:space="0" w:color="auto"/>
        <w:bottom w:val="none" w:sz="0" w:space="0" w:color="auto"/>
        <w:right w:val="none" w:sz="0" w:space="0" w:color="auto"/>
      </w:divBdr>
    </w:div>
    <w:div w:id="1095592275">
      <w:bodyDiv w:val="1"/>
      <w:marLeft w:val="0"/>
      <w:marRight w:val="0"/>
      <w:marTop w:val="0"/>
      <w:marBottom w:val="0"/>
      <w:divBdr>
        <w:top w:val="none" w:sz="0" w:space="0" w:color="auto"/>
        <w:left w:val="none" w:sz="0" w:space="0" w:color="auto"/>
        <w:bottom w:val="none" w:sz="0" w:space="0" w:color="auto"/>
        <w:right w:val="none" w:sz="0" w:space="0" w:color="auto"/>
      </w:divBdr>
    </w:div>
    <w:div w:id="1136416644">
      <w:bodyDiv w:val="1"/>
      <w:marLeft w:val="0"/>
      <w:marRight w:val="0"/>
      <w:marTop w:val="0"/>
      <w:marBottom w:val="0"/>
      <w:divBdr>
        <w:top w:val="none" w:sz="0" w:space="0" w:color="auto"/>
        <w:left w:val="none" w:sz="0" w:space="0" w:color="auto"/>
        <w:bottom w:val="none" w:sz="0" w:space="0" w:color="auto"/>
        <w:right w:val="none" w:sz="0" w:space="0" w:color="auto"/>
      </w:divBdr>
    </w:div>
    <w:div w:id="1157459172">
      <w:bodyDiv w:val="1"/>
      <w:marLeft w:val="0"/>
      <w:marRight w:val="0"/>
      <w:marTop w:val="0"/>
      <w:marBottom w:val="0"/>
      <w:divBdr>
        <w:top w:val="none" w:sz="0" w:space="0" w:color="auto"/>
        <w:left w:val="none" w:sz="0" w:space="0" w:color="auto"/>
        <w:bottom w:val="none" w:sz="0" w:space="0" w:color="auto"/>
        <w:right w:val="none" w:sz="0" w:space="0" w:color="auto"/>
      </w:divBdr>
    </w:div>
    <w:div w:id="1184129764">
      <w:bodyDiv w:val="1"/>
      <w:marLeft w:val="0"/>
      <w:marRight w:val="0"/>
      <w:marTop w:val="0"/>
      <w:marBottom w:val="0"/>
      <w:divBdr>
        <w:top w:val="none" w:sz="0" w:space="0" w:color="auto"/>
        <w:left w:val="none" w:sz="0" w:space="0" w:color="auto"/>
        <w:bottom w:val="none" w:sz="0" w:space="0" w:color="auto"/>
        <w:right w:val="none" w:sz="0" w:space="0" w:color="auto"/>
      </w:divBdr>
    </w:div>
    <w:div w:id="1190073643">
      <w:bodyDiv w:val="1"/>
      <w:marLeft w:val="0"/>
      <w:marRight w:val="0"/>
      <w:marTop w:val="0"/>
      <w:marBottom w:val="0"/>
      <w:divBdr>
        <w:top w:val="none" w:sz="0" w:space="0" w:color="auto"/>
        <w:left w:val="none" w:sz="0" w:space="0" w:color="auto"/>
        <w:bottom w:val="none" w:sz="0" w:space="0" w:color="auto"/>
        <w:right w:val="none" w:sz="0" w:space="0" w:color="auto"/>
      </w:divBdr>
    </w:div>
    <w:div w:id="1198200457">
      <w:bodyDiv w:val="1"/>
      <w:marLeft w:val="0"/>
      <w:marRight w:val="0"/>
      <w:marTop w:val="0"/>
      <w:marBottom w:val="0"/>
      <w:divBdr>
        <w:top w:val="none" w:sz="0" w:space="0" w:color="auto"/>
        <w:left w:val="none" w:sz="0" w:space="0" w:color="auto"/>
        <w:bottom w:val="none" w:sz="0" w:space="0" w:color="auto"/>
        <w:right w:val="none" w:sz="0" w:space="0" w:color="auto"/>
      </w:divBdr>
    </w:div>
    <w:div w:id="1203445919">
      <w:bodyDiv w:val="1"/>
      <w:marLeft w:val="0"/>
      <w:marRight w:val="0"/>
      <w:marTop w:val="0"/>
      <w:marBottom w:val="0"/>
      <w:divBdr>
        <w:top w:val="none" w:sz="0" w:space="0" w:color="auto"/>
        <w:left w:val="none" w:sz="0" w:space="0" w:color="auto"/>
        <w:bottom w:val="none" w:sz="0" w:space="0" w:color="auto"/>
        <w:right w:val="none" w:sz="0" w:space="0" w:color="auto"/>
      </w:divBdr>
    </w:div>
    <w:div w:id="1206986264">
      <w:bodyDiv w:val="1"/>
      <w:marLeft w:val="0"/>
      <w:marRight w:val="0"/>
      <w:marTop w:val="0"/>
      <w:marBottom w:val="0"/>
      <w:divBdr>
        <w:top w:val="none" w:sz="0" w:space="0" w:color="auto"/>
        <w:left w:val="none" w:sz="0" w:space="0" w:color="auto"/>
        <w:bottom w:val="none" w:sz="0" w:space="0" w:color="auto"/>
        <w:right w:val="none" w:sz="0" w:space="0" w:color="auto"/>
      </w:divBdr>
    </w:div>
    <w:div w:id="1215583743">
      <w:bodyDiv w:val="1"/>
      <w:marLeft w:val="0"/>
      <w:marRight w:val="0"/>
      <w:marTop w:val="0"/>
      <w:marBottom w:val="0"/>
      <w:divBdr>
        <w:top w:val="none" w:sz="0" w:space="0" w:color="auto"/>
        <w:left w:val="none" w:sz="0" w:space="0" w:color="auto"/>
        <w:bottom w:val="none" w:sz="0" w:space="0" w:color="auto"/>
        <w:right w:val="none" w:sz="0" w:space="0" w:color="auto"/>
      </w:divBdr>
    </w:div>
    <w:div w:id="1215969173">
      <w:bodyDiv w:val="1"/>
      <w:marLeft w:val="0"/>
      <w:marRight w:val="0"/>
      <w:marTop w:val="0"/>
      <w:marBottom w:val="0"/>
      <w:divBdr>
        <w:top w:val="none" w:sz="0" w:space="0" w:color="auto"/>
        <w:left w:val="none" w:sz="0" w:space="0" w:color="auto"/>
        <w:bottom w:val="none" w:sz="0" w:space="0" w:color="auto"/>
        <w:right w:val="none" w:sz="0" w:space="0" w:color="auto"/>
      </w:divBdr>
    </w:div>
    <w:div w:id="1217736889">
      <w:bodyDiv w:val="1"/>
      <w:marLeft w:val="0"/>
      <w:marRight w:val="0"/>
      <w:marTop w:val="0"/>
      <w:marBottom w:val="0"/>
      <w:divBdr>
        <w:top w:val="none" w:sz="0" w:space="0" w:color="auto"/>
        <w:left w:val="none" w:sz="0" w:space="0" w:color="auto"/>
        <w:bottom w:val="none" w:sz="0" w:space="0" w:color="auto"/>
        <w:right w:val="none" w:sz="0" w:space="0" w:color="auto"/>
      </w:divBdr>
    </w:div>
    <w:div w:id="1249120864">
      <w:bodyDiv w:val="1"/>
      <w:marLeft w:val="0"/>
      <w:marRight w:val="0"/>
      <w:marTop w:val="0"/>
      <w:marBottom w:val="0"/>
      <w:divBdr>
        <w:top w:val="none" w:sz="0" w:space="0" w:color="auto"/>
        <w:left w:val="none" w:sz="0" w:space="0" w:color="auto"/>
        <w:bottom w:val="none" w:sz="0" w:space="0" w:color="auto"/>
        <w:right w:val="none" w:sz="0" w:space="0" w:color="auto"/>
      </w:divBdr>
    </w:div>
    <w:div w:id="1250773959">
      <w:bodyDiv w:val="1"/>
      <w:marLeft w:val="0"/>
      <w:marRight w:val="0"/>
      <w:marTop w:val="0"/>
      <w:marBottom w:val="0"/>
      <w:divBdr>
        <w:top w:val="none" w:sz="0" w:space="0" w:color="auto"/>
        <w:left w:val="none" w:sz="0" w:space="0" w:color="auto"/>
        <w:bottom w:val="none" w:sz="0" w:space="0" w:color="auto"/>
        <w:right w:val="none" w:sz="0" w:space="0" w:color="auto"/>
      </w:divBdr>
    </w:div>
    <w:div w:id="1257205913">
      <w:bodyDiv w:val="1"/>
      <w:marLeft w:val="0"/>
      <w:marRight w:val="0"/>
      <w:marTop w:val="0"/>
      <w:marBottom w:val="0"/>
      <w:divBdr>
        <w:top w:val="none" w:sz="0" w:space="0" w:color="auto"/>
        <w:left w:val="none" w:sz="0" w:space="0" w:color="auto"/>
        <w:bottom w:val="none" w:sz="0" w:space="0" w:color="auto"/>
        <w:right w:val="none" w:sz="0" w:space="0" w:color="auto"/>
      </w:divBdr>
    </w:div>
    <w:div w:id="1265503285">
      <w:bodyDiv w:val="1"/>
      <w:marLeft w:val="0"/>
      <w:marRight w:val="0"/>
      <w:marTop w:val="0"/>
      <w:marBottom w:val="0"/>
      <w:divBdr>
        <w:top w:val="none" w:sz="0" w:space="0" w:color="auto"/>
        <w:left w:val="none" w:sz="0" w:space="0" w:color="auto"/>
        <w:bottom w:val="none" w:sz="0" w:space="0" w:color="auto"/>
        <w:right w:val="none" w:sz="0" w:space="0" w:color="auto"/>
      </w:divBdr>
    </w:div>
    <w:div w:id="1283806661">
      <w:bodyDiv w:val="1"/>
      <w:marLeft w:val="0"/>
      <w:marRight w:val="0"/>
      <w:marTop w:val="0"/>
      <w:marBottom w:val="0"/>
      <w:divBdr>
        <w:top w:val="none" w:sz="0" w:space="0" w:color="auto"/>
        <w:left w:val="none" w:sz="0" w:space="0" w:color="auto"/>
        <w:bottom w:val="none" w:sz="0" w:space="0" w:color="auto"/>
        <w:right w:val="none" w:sz="0" w:space="0" w:color="auto"/>
      </w:divBdr>
    </w:div>
    <w:div w:id="1288660401">
      <w:bodyDiv w:val="1"/>
      <w:marLeft w:val="0"/>
      <w:marRight w:val="0"/>
      <w:marTop w:val="0"/>
      <w:marBottom w:val="0"/>
      <w:divBdr>
        <w:top w:val="none" w:sz="0" w:space="0" w:color="auto"/>
        <w:left w:val="none" w:sz="0" w:space="0" w:color="auto"/>
        <w:bottom w:val="none" w:sz="0" w:space="0" w:color="auto"/>
        <w:right w:val="none" w:sz="0" w:space="0" w:color="auto"/>
      </w:divBdr>
    </w:div>
    <w:div w:id="1289314270">
      <w:bodyDiv w:val="1"/>
      <w:marLeft w:val="0"/>
      <w:marRight w:val="0"/>
      <w:marTop w:val="0"/>
      <w:marBottom w:val="0"/>
      <w:divBdr>
        <w:top w:val="none" w:sz="0" w:space="0" w:color="auto"/>
        <w:left w:val="none" w:sz="0" w:space="0" w:color="auto"/>
        <w:bottom w:val="none" w:sz="0" w:space="0" w:color="auto"/>
        <w:right w:val="none" w:sz="0" w:space="0" w:color="auto"/>
      </w:divBdr>
    </w:div>
    <w:div w:id="1308048824">
      <w:bodyDiv w:val="1"/>
      <w:marLeft w:val="0"/>
      <w:marRight w:val="0"/>
      <w:marTop w:val="0"/>
      <w:marBottom w:val="0"/>
      <w:divBdr>
        <w:top w:val="none" w:sz="0" w:space="0" w:color="auto"/>
        <w:left w:val="none" w:sz="0" w:space="0" w:color="auto"/>
        <w:bottom w:val="none" w:sz="0" w:space="0" w:color="auto"/>
        <w:right w:val="none" w:sz="0" w:space="0" w:color="auto"/>
      </w:divBdr>
    </w:div>
    <w:div w:id="1308631697">
      <w:bodyDiv w:val="1"/>
      <w:marLeft w:val="0"/>
      <w:marRight w:val="0"/>
      <w:marTop w:val="0"/>
      <w:marBottom w:val="0"/>
      <w:divBdr>
        <w:top w:val="none" w:sz="0" w:space="0" w:color="auto"/>
        <w:left w:val="none" w:sz="0" w:space="0" w:color="auto"/>
        <w:bottom w:val="none" w:sz="0" w:space="0" w:color="auto"/>
        <w:right w:val="none" w:sz="0" w:space="0" w:color="auto"/>
      </w:divBdr>
    </w:div>
    <w:div w:id="1329677329">
      <w:bodyDiv w:val="1"/>
      <w:marLeft w:val="0"/>
      <w:marRight w:val="0"/>
      <w:marTop w:val="0"/>
      <w:marBottom w:val="0"/>
      <w:divBdr>
        <w:top w:val="none" w:sz="0" w:space="0" w:color="auto"/>
        <w:left w:val="none" w:sz="0" w:space="0" w:color="auto"/>
        <w:bottom w:val="none" w:sz="0" w:space="0" w:color="auto"/>
        <w:right w:val="none" w:sz="0" w:space="0" w:color="auto"/>
      </w:divBdr>
    </w:div>
    <w:div w:id="1370060758">
      <w:bodyDiv w:val="1"/>
      <w:marLeft w:val="0"/>
      <w:marRight w:val="0"/>
      <w:marTop w:val="0"/>
      <w:marBottom w:val="0"/>
      <w:divBdr>
        <w:top w:val="none" w:sz="0" w:space="0" w:color="auto"/>
        <w:left w:val="none" w:sz="0" w:space="0" w:color="auto"/>
        <w:bottom w:val="none" w:sz="0" w:space="0" w:color="auto"/>
        <w:right w:val="none" w:sz="0" w:space="0" w:color="auto"/>
      </w:divBdr>
    </w:div>
    <w:div w:id="1404915255">
      <w:bodyDiv w:val="1"/>
      <w:marLeft w:val="0"/>
      <w:marRight w:val="0"/>
      <w:marTop w:val="0"/>
      <w:marBottom w:val="0"/>
      <w:divBdr>
        <w:top w:val="none" w:sz="0" w:space="0" w:color="auto"/>
        <w:left w:val="none" w:sz="0" w:space="0" w:color="auto"/>
        <w:bottom w:val="none" w:sz="0" w:space="0" w:color="auto"/>
        <w:right w:val="none" w:sz="0" w:space="0" w:color="auto"/>
      </w:divBdr>
    </w:div>
    <w:div w:id="1425178284">
      <w:bodyDiv w:val="1"/>
      <w:marLeft w:val="0"/>
      <w:marRight w:val="0"/>
      <w:marTop w:val="0"/>
      <w:marBottom w:val="0"/>
      <w:divBdr>
        <w:top w:val="none" w:sz="0" w:space="0" w:color="auto"/>
        <w:left w:val="none" w:sz="0" w:space="0" w:color="auto"/>
        <w:bottom w:val="none" w:sz="0" w:space="0" w:color="auto"/>
        <w:right w:val="none" w:sz="0" w:space="0" w:color="auto"/>
      </w:divBdr>
    </w:div>
    <w:div w:id="1437212412">
      <w:bodyDiv w:val="1"/>
      <w:marLeft w:val="0"/>
      <w:marRight w:val="0"/>
      <w:marTop w:val="0"/>
      <w:marBottom w:val="0"/>
      <w:divBdr>
        <w:top w:val="none" w:sz="0" w:space="0" w:color="auto"/>
        <w:left w:val="none" w:sz="0" w:space="0" w:color="auto"/>
        <w:bottom w:val="none" w:sz="0" w:space="0" w:color="auto"/>
        <w:right w:val="none" w:sz="0" w:space="0" w:color="auto"/>
      </w:divBdr>
    </w:div>
    <w:div w:id="1444619258">
      <w:bodyDiv w:val="1"/>
      <w:marLeft w:val="0"/>
      <w:marRight w:val="0"/>
      <w:marTop w:val="0"/>
      <w:marBottom w:val="0"/>
      <w:divBdr>
        <w:top w:val="none" w:sz="0" w:space="0" w:color="auto"/>
        <w:left w:val="none" w:sz="0" w:space="0" w:color="auto"/>
        <w:bottom w:val="none" w:sz="0" w:space="0" w:color="auto"/>
        <w:right w:val="none" w:sz="0" w:space="0" w:color="auto"/>
      </w:divBdr>
    </w:div>
    <w:div w:id="1453867651">
      <w:bodyDiv w:val="1"/>
      <w:marLeft w:val="0"/>
      <w:marRight w:val="0"/>
      <w:marTop w:val="0"/>
      <w:marBottom w:val="0"/>
      <w:divBdr>
        <w:top w:val="none" w:sz="0" w:space="0" w:color="auto"/>
        <w:left w:val="none" w:sz="0" w:space="0" w:color="auto"/>
        <w:bottom w:val="none" w:sz="0" w:space="0" w:color="auto"/>
        <w:right w:val="none" w:sz="0" w:space="0" w:color="auto"/>
      </w:divBdr>
    </w:div>
    <w:div w:id="1458916946">
      <w:bodyDiv w:val="1"/>
      <w:marLeft w:val="0"/>
      <w:marRight w:val="0"/>
      <w:marTop w:val="0"/>
      <w:marBottom w:val="0"/>
      <w:divBdr>
        <w:top w:val="none" w:sz="0" w:space="0" w:color="auto"/>
        <w:left w:val="none" w:sz="0" w:space="0" w:color="auto"/>
        <w:bottom w:val="none" w:sz="0" w:space="0" w:color="auto"/>
        <w:right w:val="none" w:sz="0" w:space="0" w:color="auto"/>
      </w:divBdr>
    </w:div>
    <w:div w:id="1467160493">
      <w:bodyDiv w:val="1"/>
      <w:marLeft w:val="0"/>
      <w:marRight w:val="0"/>
      <w:marTop w:val="0"/>
      <w:marBottom w:val="0"/>
      <w:divBdr>
        <w:top w:val="none" w:sz="0" w:space="0" w:color="auto"/>
        <w:left w:val="none" w:sz="0" w:space="0" w:color="auto"/>
        <w:bottom w:val="none" w:sz="0" w:space="0" w:color="auto"/>
        <w:right w:val="none" w:sz="0" w:space="0" w:color="auto"/>
      </w:divBdr>
    </w:div>
    <w:div w:id="1493133244">
      <w:bodyDiv w:val="1"/>
      <w:marLeft w:val="0"/>
      <w:marRight w:val="0"/>
      <w:marTop w:val="0"/>
      <w:marBottom w:val="0"/>
      <w:divBdr>
        <w:top w:val="none" w:sz="0" w:space="0" w:color="auto"/>
        <w:left w:val="none" w:sz="0" w:space="0" w:color="auto"/>
        <w:bottom w:val="none" w:sz="0" w:space="0" w:color="auto"/>
        <w:right w:val="none" w:sz="0" w:space="0" w:color="auto"/>
      </w:divBdr>
    </w:div>
    <w:div w:id="1501849480">
      <w:bodyDiv w:val="1"/>
      <w:marLeft w:val="0"/>
      <w:marRight w:val="0"/>
      <w:marTop w:val="0"/>
      <w:marBottom w:val="0"/>
      <w:divBdr>
        <w:top w:val="none" w:sz="0" w:space="0" w:color="auto"/>
        <w:left w:val="none" w:sz="0" w:space="0" w:color="auto"/>
        <w:bottom w:val="none" w:sz="0" w:space="0" w:color="auto"/>
        <w:right w:val="none" w:sz="0" w:space="0" w:color="auto"/>
      </w:divBdr>
    </w:div>
    <w:div w:id="1526555889">
      <w:bodyDiv w:val="1"/>
      <w:marLeft w:val="0"/>
      <w:marRight w:val="0"/>
      <w:marTop w:val="0"/>
      <w:marBottom w:val="0"/>
      <w:divBdr>
        <w:top w:val="none" w:sz="0" w:space="0" w:color="auto"/>
        <w:left w:val="none" w:sz="0" w:space="0" w:color="auto"/>
        <w:bottom w:val="none" w:sz="0" w:space="0" w:color="auto"/>
        <w:right w:val="none" w:sz="0" w:space="0" w:color="auto"/>
      </w:divBdr>
    </w:div>
    <w:div w:id="1526938271">
      <w:bodyDiv w:val="1"/>
      <w:marLeft w:val="0"/>
      <w:marRight w:val="0"/>
      <w:marTop w:val="0"/>
      <w:marBottom w:val="0"/>
      <w:divBdr>
        <w:top w:val="none" w:sz="0" w:space="0" w:color="auto"/>
        <w:left w:val="none" w:sz="0" w:space="0" w:color="auto"/>
        <w:bottom w:val="none" w:sz="0" w:space="0" w:color="auto"/>
        <w:right w:val="none" w:sz="0" w:space="0" w:color="auto"/>
      </w:divBdr>
    </w:div>
    <w:div w:id="1540825491">
      <w:bodyDiv w:val="1"/>
      <w:marLeft w:val="0"/>
      <w:marRight w:val="0"/>
      <w:marTop w:val="0"/>
      <w:marBottom w:val="0"/>
      <w:divBdr>
        <w:top w:val="none" w:sz="0" w:space="0" w:color="auto"/>
        <w:left w:val="none" w:sz="0" w:space="0" w:color="auto"/>
        <w:bottom w:val="none" w:sz="0" w:space="0" w:color="auto"/>
        <w:right w:val="none" w:sz="0" w:space="0" w:color="auto"/>
      </w:divBdr>
    </w:div>
    <w:div w:id="1541698768">
      <w:bodyDiv w:val="1"/>
      <w:marLeft w:val="0"/>
      <w:marRight w:val="0"/>
      <w:marTop w:val="0"/>
      <w:marBottom w:val="0"/>
      <w:divBdr>
        <w:top w:val="none" w:sz="0" w:space="0" w:color="auto"/>
        <w:left w:val="none" w:sz="0" w:space="0" w:color="auto"/>
        <w:bottom w:val="none" w:sz="0" w:space="0" w:color="auto"/>
        <w:right w:val="none" w:sz="0" w:space="0" w:color="auto"/>
      </w:divBdr>
    </w:div>
    <w:div w:id="1553693982">
      <w:bodyDiv w:val="1"/>
      <w:marLeft w:val="0"/>
      <w:marRight w:val="0"/>
      <w:marTop w:val="0"/>
      <w:marBottom w:val="0"/>
      <w:divBdr>
        <w:top w:val="none" w:sz="0" w:space="0" w:color="auto"/>
        <w:left w:val="none" w:sz="0" w:space="0" w:color="auto"/>
        <w:bottom w:val="none" w:sz="0" w:space="0" w:color="auto"/>
        <w:right w:val="none" w:sz="0" w:space="0" w:color="auto"/>
      </w:divBdr>
    </w:div>
    <w:div w:id="1587224840">
      <w:bodyDiv w:val="1"/>
      <w:marLeft w:val="0"/>
      <w:marRight w:val="0"/>
      <w:marTop w:val="0"/>
      <w:marBottom w:val="0"/>
      <w:divBdr>
        <w:top w:val="none" w:sz="0" w:space="0" w:color="auto"/>
        <w:left w:val="none" w:sz="0" w:space="0" w:color="auto"/>
        <w:bottom w:val="none" w:sz="0" w:space="0" w:color="auto"/>
        <w:right w:val="none" w:sz="0" w:space="0" w:color="auto"/>
      </w:divBdr>
    </w:div>
    <w:div w:id="1637950294">
      <w:bodyDiv w:val="1"/>
      <w:marLeft w:val="0"/>
      <w:marRight w:val="0"/>
      <w:marTop w:val="0"/>
      <w:marBottom w:val="0"/>
      <w:divBdr>
        <w:top w:val="none" w:sz="0" w:space="0" w:color="auto"/>
        <w:left w:val="none" w:sz="0" w:space="0" w:color="auto"/>
        <w:bottom w:val="none" w:sz="0" w:space="0" w:color="auto"/>
        <w:right w:val="none" w:sz="0" w:space="0" w:color="auto"/>
      </w:divBdr>
    </w:div>
    <w:div w:id="1650548486">
      <w:bodyDiv w:val="1"/>
      <w:marLeft w:val="0"/>
      <w:marRight w:val="0"/>
      <w:marTop w:val="0"/>
      <w:marBottom w:val="0"/>
      <w:divBdr>
        <w:top w:val="none" w:sz="0" w:space="0" w:color="auto"/>
        <w:left w:val="none" w:sz="0" w:space="0" w:color="auto"/>
        <w:bottom w:val="none" w:sz="0" w:space="0" w:color="auto"/>
        <w:right w:val="none" w:sz="0" w:space="0" w:color="auto"/>
      </w:divBdr>
    </w:div>
    <w:div w:id="1690251539">
      <w:bodyDiv w:val="1"/>
      <w:marLeft w:val="0"/>
      <w:marRight w:val="0"/>
      <w:marTop w:val="0"/>
      <w:marBottom w:val="0"/>
      <w:divBdr>
        <w:top w:val="none" w:sz="0" w:space="0" w:color="auto"/>
        <w:left w:val="none" w:sz="0" w:space="0" w:color="auto"/>
        <w:bottom w:val="none" w:sz="0" w:space="0" w:color="auto"/>
        <w:right w:val="none" w:sz="0" w:space="0" w:color="auto"/>
      </w:divBdr>
    </w:div>
    <w:div w:id="1703902749">
      <w:bodyDiv w:val="1"/>
      <w:marLeft w:val="0"/>
      <w:marRight w:val="0"/>
      <w:marTop w:val="0"/>
      <w:marBottom w:val="0"/>
      <w:divBdr>
        <w:top w:val="none" w:sz="0" w:space="0" w:color="auto"/>
        <w:left w:val="none" w:sz="0" w:space="0" w:color="auto"/>
        <w:bottom w:val="none" w:sz="0" w:space="0" w:color="auto"/>
        <w:right w:val="none" w:sz="0" w:space="0" w:color="auto"/>
      </w:divBdr>
    </w:div>
    <w:div w:id="1727994508">
      <w:bodyDiv w:val="1"/>
      <w:marLeft w:val="0"/>
      <w:marRight w:val="0"/>
      <w:marTop w:val="0"/>
      <w:marBottom w:val="0"/>
      <w:divBdr>
        <w:top w:val="none" w:sz="0" w:space="0" w:color="auto"/>
        <w:left w:val="none" w:sz="0" w:space="0" w:color="auto"/>
        <w:bottom w:val="none" w:sz="0" w:space="0" w:color="auto"/>
        <w:right w:val="none" w:sz="0" w:space="0" w:color="auto"/>
      </w:divBdr>
    </w:div>
    <w:div w:id="1782415031">
      <w:bodyDiv w:val="1"/>
      <w:marLeft w:val="0"/>
      <w:marRight w:val="0"/>
      <w:marTop w:val="0"/>
      <w:marBottom w:val="0"/>
      <w:divBdr>
        <w:top w:val="none" w:sz="0" w:space="0" w:color="auto"/>
        <w:left w:val="none" w:sz="0" w:space="0" w:color="auto"/>
        <w:bottom w:val="none" w:sz="0" w:space="0" w:color="auto"/>
        <w:right w:val="none" w:sz="0" w:space="0" w:color="auto"/>
      </w:divBdr>
    </w:div>
    <w:div w:id="1796874414">
      <w:bodyDiv w:val="1"/>
      <w:marLeft w:val="0"/>
      <w:marRight w:val="0"/>
      <w:marTop w:val="0"/>
      <w:marBottom w:val="0"/>
      <w:divBdr>
        <w:top w:val="none" w:sz="0" w:space="0" w:color="auto"/>
        <w:left w:val="none" w:sz="0" w:space="0" w:color="auto"/>
        <w:bottom w:val="none" w:sz="0" w:space="0" w:color="auto"/>
        <w:right w:val="none" w:sz="0" w:space="0" w:color="auto"/>
      </w:divBdr>
    </w:div>
    <w:div w:id="1821578181">
      <w:bodyDiv w:val="1"/>
      <w:marLeft w:val="0"/>
      <w:marRight w:val="0"/>
      <w:marTop w:val="0"/>
      <w:marBottom w:val="0"/>
      <w:divBdr>
        <w:top w:val="none" w:sz="0" w:space="0" w:color="auto"/>
        <w:left w:val="none" w:sz="0" w:space="0" w:color="auto"/>
        <w:bottom w:val="none" w:sz="0" w:space="0" w:color="auto"/>
        <w:right w:val="none" w:sz="0" w:space="0" w:color="auto"/>
      </w:divBdr>
    </w:div>
    <w:div w:id="1825582388">
      <w:bodyDiv w:val="1"/>
      <w:marLeft w:val="0"/>
      <w:marRight w:val="0"/>
      <w:marTop w:val="0"/>
      <w:marBottom w:val="0"/>
      <w:divBdr>
        <w:top w:val="none" w:sz="0" w:space="0" w:color="auto"/>
        <w:left w:val="none" w:sz="0" w:space="0" w:color="auto"/>
        <w:bottom w:val="none" w:sz="0" w:space="0" w:color="auto"/>
        <w:right w:val="none" w:sz="0" w:space="0" w:color="auto"/>
      </w:divBdr>
    </w:div>
    <w:div w:id="1862664460">
      <w:bodyDiv w:val="1"/>
      <w:marLeft w:val="0"/>
      <w:marRight w:val="0"/>
      <w:marTop w:val="0"/>
      <w:marBottom w:val="0"/>
      <w:divBdr>
        <w:top w:val="none" w:sz="0" w:space="0" w:color="auto"/>
        <w:left w:val="none" w:sz="0" w:space="0" w:color="auto"/>
        <w:bottom w:val="none" w:sz="0" w:space="0" w:color="auto"/>
        <w:right w:val="none" w:sz="0" w:space="0" w:color="auto"/>
      </w:divBdr>
    </w:div>
    <w:div w:id="1891068400">
      <w:bodyDiv w:val="1"/>
      <w:marLeft w:val="0"/>
      <w:marRight w:val="0"/>
      <w:marTop w:val="0"/>
      <w:marBottom w:val="0"/>
      <w:divBdr>
        <w:top w:val="none" w:sz="0" w:space="0" w:color="auto"/>
        <w:left w:val="none" w:sz="0" w:space="0" w:color="auto"/>
        <w:bottom w:val="none" w:sz="0" w:space="0" w:color="auto"/>
        <w:right w:val="none" w:sz="0" w:space="0" w:color="auto"/>
      </w:divBdr>
    </w:div>
    <w:div w:id="1900087695">
      <w:bodyDiv w:val="1"/>
      <w:marLeft w:val="0"/>
      <w:marRight w:val="0"/>
      <w:marTop w:val="0"/>
      <w:marBottom w:val="0"/>
      <w:divBdr>
        <w:top w:val="none" w:sz="0" w:space="0" w:color="auto"/>
        <w:left w:val="none" w:sz="0" w:space="0" w:color="auto"/>
        <w:bottom w:val="none" w:sz="0" w:space="0" w:color="auto"/>
        <w:right w:val="none" w:sz="0" w:space="0" w:color="auto"/>
      </w:divBdr>
    </w:div>
    <w:div w:id="1921712422">
      <w:bodyDiv w:val="1"/>
      <w:marLeft w:val="0"/>
      <w:marRight w:val="0"/>
      <w:marTop w:val="0"/>
      <w:marBottom w:val="0"/>
      <w:divBdr>
        <w:top w:val="none" w:sz="0" w:space="0" w:color="auto"/>
        <w:left w:val="none" w:sz="0" w:space="0" w:color="auto"/>
        <w:bottom w:val="none" w:sz="0" w:space="0" w:color="auto"/>
        <w:right w:val="none" w:sz="0" w:space="0" w:color="auto"/>
      </w:divBdr>
    </w:div>
    <w:div w:id="1970277514">
      <w:bodyDiv w:val="1"/>
      <w:marLeft w:val="0"/>
      <w:marRight w:val="0"/>
      <w:marTop w:val="0"/>
      <w:marBottom w:val="0"/>
      <w:divBdr>
        <w:top w:val="none" w:sz="0" w:space="0" w:color="auto"/>
        <w:left w:val="none" w:sz="0" w:space="0" w:color="auto"/>
        <w:bottom w:val="none" w:sz="0" w:space="0" w:color="auto"/>
        <w:right w:val="none" w:sz="0" w:space="0" w:color="auto"/>
      </w:divBdr>
    </w:div>
    <w:div w:id="1970357224">
      <w:bodyDiv w:val="1"/>
      <w:marLeft w:val="0"/>
      <w:marRight w:val="0"/>
      <w:marTop w:val="0"/>
      <w:marBottom w:val="0"/>
      <w:divBdr>
        <w:top w:val="none" w:sz="0" w:space="0" w:color="auto"/>
        <w:left w:val="none" w:sz="0" w:space="0" w:color="auto"/>
        <w:bottom w:val="none" w:sz="0" w:space="0" w:color="auto"/>
        <w:right w:val="none" w:sz="0" w:space="0" w:color="auto"/>
      </w:divBdr>
    </w:div>
    <w:div w:id="1979528962">
      <w:bodyDiv w:val="1"/>
      <w:marLeft w:val="0"/>
      <w:marRight w:val="0"/>
      <w:marTop w:val="0"/>
      <w:marBottom w:val="0"/>
      <w:divBdr>
        <w:top w:val="none" w:sz="0" w:space="0" w:color="auto"/>
        <w:left w:val="none" w:sz="0" w:space="0" w:color="auto"/>
        <w:bottom w:val="none" w:sz="0" w:space="0" w:color="auto"/>
        <w:right w:val="none" w:sz="0" w:space="0" w:color="auto"/>
      </w:divBdr>
    </w:div>
    <w:div w:id="1998457190">
      <w:bodyDiv w:val="1"/>
      <w:marLeft w:val="0"/>
      <w:marRight w:val="0"/>
      <w:marTop w:val="0"/>
      <w:marBottom w:val="0"/>
      <w:divBdr>
        <w:top w:val="none" w:sz="0" w:space="0" w:color="auto"/>
        <w:left w:val="none" w:sz="0" w:space="0" w:color="auto"/>
        <w:bottom w:val="none" w:sz="0" w:space="0" w:color="auto"/>
        <w:right w:val="none" w:sz="0" w:space="0" w:color="auto"/>
      </w:divBdr>
    </w:div>
    <w:div w:id="2014987265">
      <w:bodyDiv w:val="1"/>
      <w:marLeft w:val="0"/>
      <w:marRight w:val="0"/>
      <w:marTop w:val="0"/>
      <w:marBottom w:val="0"/>
      <w:divBdr>
        <w:top w:val="none" w:sz="0" w:space="0" w:color="auto"/>
        <w:left w:val="none" w:sz="0" w:space="0" w:color="auto"/>
        <w:bottom w:val="none" w:sz="0" w:space="0" w:color="auto"/>
        <w:right w:val="none" w:sz="0" w:space="0" w:color="auto"/>
      </w:divBdr>
    </w:div>
    <w:div w:id="2015181751">
      <w:bodyDiv w:val="1"/>
      <w:marLeft w:val="0"/>
      <w:marRight w:val="0"/>
      <w:marTop w:val="0"/>
      <w:marBottom w:val="0"/>
      <w:divBdr>
        <w:top w:val="none" w:sz="0" w:space="0" w:color="auto"/>
        <w:left w:val="none" w:sz="0" w:space="0" w:color="auto"/>
        <w:bottom w:val="none" w:sz="0" w:space="0" w:color="auto"/>
        <w:right w:val="none" w:sz="0" w:space="0" w:color="auto"/>
      </w:divBdr>
    </w:div>
    <w:div w:id="2015379398">
      <w:bodyDiv w:val="1"/>
      <w:marLeft w:val="0"/>
      <w:marRight w:val="0"/>
      <w:marTop w:val="0"/>
      <w:marBottom w:val="0"/>
      <w:divBdr>
        <w:top w:val="none" w:sz="0" w:space="0" w:color="auto"/>
        <w:left w:val="none" w:sz="0" w:space="0" w:color="auto"/>
        <w:bottom w:val="none" w:sz="0" w:space="0" w:color="auto"/>
        <w:right w:val="none" w:sz="0" w:space="0" w:color="auto"/>
      </w:divBdr>
    </w:div>
    <w:div w:id="2016297672">
      <w:bodyDiv w:val="1"/>
      <w:marLeft w:val="0"/>
      <w:marRight w:val="0"/>
      <w:marTop w:val="0"/>
      <w:marBottom w:val="0"/>
      <w:divBdr>
        <w:top w:val="none" w:sz="0" w:space="0" w:color="auto"/>
        <w:left w:val="none" w:sz="0" w:space="0" w:color="auto"/>
        <w:bottom w:val="none" w:sz="0" w:space="0" w:color="auto"/>
        <w:right w:val="none" w:sz="0" w:space="0" w:color="auto"/>
      </w:divBdr>
    </w:div>
    <w:div w:id="2074041161">
      <w:bodyDiv w:val="1"/>
      <w:marLeft w:val="0"/>
      <w:marRight w:val="0"/>
      <w:marTop w:val="0"/>
      <w:marBottom w:val="0"/>
      <w:divBdr>
        <w:top w:val="none" w:sz="0" w:space="0" w:color="auto"/>
        <w:left w:val="none" w:sz="0" w:space="0" w:color="auto"/>
        <w:bottom w:val="none" w:sz="0" w:space="0" w:color="auto"/>
        <w:right w:val="none" w:sz="0" w:space="0" w:color="auto"/>
      </w:divBdr>
    </w:div>
    <w:div w:id="2100364448">
      <w:bodyDiv w:val="1"/>
      <w:marLeft w:val="0"/>
      <w:marRight w:val="0"/>
      <w:marTop w:val="0"/>
      <w:marBottom w:val="0"/>
      <w:divBdr>
        <w:top w:val="none" w:sz="0" w:space="0" w:color="auto"/>
        <w:left w:val="none" w:sz="0" w:space="0" w:color="auto"/>
        <w:bottom w:val="none" w:sz="0" w:space="0" w:color="auto"/>
        <w:right w:val="none" w:sz="0" w:space="0" w:color="auto"/>
      </w:divBdr>
    </w:div>
    <w:div w:id="2123258071">
      <w:bodyDiv w:val="1"/>
      <w:marLeft w:val="0"/>
      <w:marRight w:val="0"/>
      <w:marTop w:val="0"/>
      <w:marBottom w:val="0"/>
      <w:divBdr>
        <w:top w:val="none" w:sz="0" w:space="0" w:color="auto"/>
        <w:left w:val="none" w:sz="0" w:space="0" w:color="auto"/>
        <w:bottom w:val="none" w:sz="0" w:space="0" w:color="auto"/>
        <w:right w:val="none" w:sz="0" w:space="0" w:color="auto"/>
      </w:divBdr>
    </w:div>
    <w:div w:id="2125421325">
      <w:bodyDiv w:val="1"/>
      <w:marLeft w:val="0"/>
      <w:marRight w:val="0"/>
      <w:marTop w:val="0"/>
      <w:marBottom w:val="0"/>
      <w:divBdr>
        <w:top w:val="none" w:sz="0" w:space="0" w:color="auto"/>
        <w:left w:val="none" w:sz="0" w:space="0" w:color="auto"/>
        <w:bottom w:val="none" w:sz="0" w:space="0" w:color="auto"/>
        <w:right w:val="none" w:sz="0" w:space="0" w:color="auto"/>
      </w:divBdr>
    </w:div>
    <w:div w:id="2133354000">
      <w:bodyDiv w:val="1"/>
      <w:marLeft w:val="0"/>
      <w:marRight w:val="0"/>
      <w:marTop w:val="0"/>
      <w:marBottom w:val="0"/>
      <w:divBdr>
        <w:top w:val="none" w:sz="0" w:space="0" w:color="auto"/>
        <w:left w:val="none" w:sz="0" w:space="0" w:color="auto"/>
        <w:bottom w:val="none" w:sz="0" w:space="0" w:color="auto"/>
        <w:right w:val="none" w:sz="0" w:space="0" w:color="auto"/>
      </w:divBdr>
    </w:div>
    <w:div w:id="2145416735">
      <w:bodyDiv w:val="1"/>
      <w:marLeft w:val="0"/>
      <w:marRight w:val="0"/>
      <w:marTop w:val="0"/>
      <w:marBottom w:val="0"/>
      <w:divBdr>
        <w:top w:val="none" w:sz="0" w:space="0" w:color="auto"/>
        <w:left w:val="none" w:sz="0" w:space="0" w:color="auto"/>
        <w:bottom w:val="none" w:sz="0" w:space="0" w:color="auto"/>
        <w:right w:val="none" w:sz="0" w:space="0" w:color="auto"/>
      </w:divBdr>
    </w:div>
    <w:div w:id="214619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ebeccaM\Desktop\Becks\Varteg%20Block%20D%202019%20.xl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RebeccaM\Desktop\Becks\Varteg%20Block%20D%202019%20.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AERIAL VITALITY SCORES</a:t>
            </a:r>
          </a:p>
        </c:rich>
      </c:tx>
      <c:overlay val="0"/>
      <c:spPr>
        <a:noFill/>
        <a:ln>
          <a:noFill/>
        </a:ln>
        <a:effectLst/>
      </c:spPr>
    </c:title>
    <c:autoTitleDeleted val="0"/>
    <c:view3D>
      <c:rotX val="90"/>
      <c:rotY val="0"/>
      <c:depthPercent val="10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Chart>
        <c:wireframe val="0"/>
        <c:ser>
          <c:idx val="0"/>
          <c:order val="0"/>
          <c:tx>
            <c:strRef>
              <c:f>Sheet1!$A$51</c:f>
              <c:strCache>
                <c:ptCount val="1"/>
                <c:pt idx="0">
                  <c:v>Row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effectLst/>
            <a:sp3d/>
          </c:spPr>
          <c:val>
            <c:numRef>
              <c:f>Sheet1!$B$51:$U$51</c:f>
              <c:numCache>
                <c:formatCode>General</c:formatCode>
                <c:ptCount val="20"/>
                <c:pt idx="0">
                  <c:v>1</c:v>
                </c:pt>
                <c:pt idx="1">
                  <c:v>2</c:v>
                </c:pt>
                <c:pt idx="2">
                  <c:v>0</c:v>
                </c:pt>
                <c:pt idx="3">
                  <c:v>4</c:v>
                </c:pt>
                <c:pt idx="4">
                  <c:v>4</c:v>
                </c:pt>
                <c:pt idx="5">
                  <c:v>0</c:v>
                </c:pt>
                <c:pt idx="6">
                  <c:v>0</c:v>
                </c:pt>
                <c:pt idx="7">
                  <c:v>0</c:v>
                </c:pt>
                <c:pt idx="8">
                  <c:v>0</c:v>
                </c:pt>
                <c:pt idx="9">
                  <c:v>0</c:v>
                </c:pt>
                <c:pt idx="10">
                  <c:v>4</c:v>
                </c:pt>
                <c:pt idx="11">
                  <c:v>0</c:v>
                </c:pt>
                <c:pt idx="12">
                  <c:v>3</c:v>
                </c:pt>
                <c:pt idx="13">
                  <c:v>2</c:v>
                </c:pt>
                <c:pt idx="14">
                  <c:v>0</c:v>
                </c:pt>
                <c:pt idx="15">
                  <c:v>0</c:v>
                </c:pt>
                <c:pt idx="16">
                  <c:v>0</c:v>
                </c:pt>
                <c:pt idx="17">
                  <c:v>0</c:v>
                </c:pt>
                <c:pt idx="18">
                  <c:v>0</c:v>
                </c:pt>
                <c:pt idx="19">
                  <c:v>4</c:v>
                </c:pt>
              </c:numCache>
            </c:numRef>
          </c:val>
          <c:extLst>
            <c:ext xmlns:c16="http://schemas.microsoft.com/office/drawing/2014/chart" uri="{C3380CC4-5D6E-409C-BE32-E72D297353CC}">
              <c16:uniqueId val="{00000000-C5B5-4425-BAE9-F5F67B09C074}"/>
            </c:ext>
          </c:extLst>
        </c:ser>
        <c:ser>
          <c:idx val="1"/>
          <c:order val="1"/>
          <c:tx>
            <c:strRef>
              <c:f>Sheet1!$A$52</c:f>
              <c:strCache>
                <c:ptCount val="1"/>
                <c:pt idx="0">
                  <c:v>Row 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effectLst/>
            <a:sp3d/>
          </c:spPr>
          <c:val>
            <c:numRef>
              <c:f>Sheet1!$B$52:$U$52</c:f>
              <c:numCache>
                <c:formatCode>General</c:formatCode>
                <c:ptCount val="20"/>
                <c:pt idx="0">
                  <c:v>0</c:v>
                </c:pt>
                <c:pt idx="1">
                  <c:v>3</c:v>
                </c:pt>
                <c:pt idx="2">
                  <c:v>4</c:v>
                </c:pt>
                <c:pt idx="3">
                  <c:v>3</c:v>
                </c:pt>
                <c:pt idx="4">
                  <c:v>2</c:v>
                </c:pt>
                <c:pt idx="5">
                  <c:v>0</c:v>
                </c:pt>
                <c:pt idx="6">
                  <c:v>0</c:v>
                </c:pt>
                <c:pt idx="7">
                  <c:v>0</c:v>
                </c:pt>
                <c:pt idx="8">
                  <c:v>0</c:v>
                </c:pt>
                <c:pt idx="9">
                  <c:v>0</c:v>
                </c:pt>
                <c:pt idx="10">
                  <c:v>0</c:v>
                </c:pt>
                <c:pt idx="11">
                  <c:v>0</c:v>
                </c:pt>
                <c:pt idx="12">
                  <c:v>3</c:v>
                </c:pt>
                <c:pt idx="13">
                  <c:v>4</c:v>
                </c:pt>
                <c:pt idx="14">
                  <c:v>4</c:v>
                </c:pt>
                <c:pt idx="15">
                  <c:v>3</c:v>
                </c:pt>
                <c:pt idx="16">
                  <c:v>0</c:v>
                </c:pt>
                <c:pt idx="17">
                  <c:v>0</c:v>
                </c:pt>
                <c:pt idx="18">
                  <c:v>0</c:v>
                </c:pt>
                <c:pt idx="19">
                  <c:v>2</c:v>
                </c:pt>
              </c:numCache>
            </c:numRef>
          </c:val>
          <c:extLst>
            <c:ext xmlns:c16="http://schemas.microsoft.com/office/drawing/2014/chart" uri="{C3380CC4-5D6E-409C-BE32-E72D297353CC}">
              <c16:uniqueId val="{00000001-C5B5-4425-BAE9-F5F67B09C074}"/>
            </c:ext>
          </c:extLst>
        </c:ser>
        <c:ser>
          <c:idx val="2"/>
          <c:order val="2"/>
          <c:tx>
            <c:strRef>
              <c:f>Sheet1!$A$53</c:f>
              <c:strCache>
                <c:ptCount val="1"/>
                <c:pt idx="0">
                  <c:v>Row 3</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effectLst/>
            <a:sp3d/>
          </c:spPr>
          <c:val>
            <c:numRef>
              <c:f>Sheet1!$B$53:$U$53</c:f>
              <c:numCache>
                <c:formatCode>General</c:formatCode>
                <c:ptCount val="20"/>
                <c:pt idx="0">
                  <c:v>3</c:v>
                </c:pt>
                <c:pt idx="1">
                  <c:v>2</c:v>
                </c:pt>
                <c:pt idx="2">
                  <c:v>3</c:v>
                </c:pt>
                <c:pt idx="3">
                  <c:v>3</c:v>
                </c:pt>
                <c:pt idx="4">
                  <c:v>2</c:v>
                </c:pt>
                <c:pt idx="5">
                  <c:v>0</c:v>
                </c:pt>
                <c:pt idx="6">
                  <c:v>0</c:v>
                </c:pt>
                <c:pt idx="7">
                  <c:v>0</c:v>
                </c:pt>
                <c:pt idx="8">
                  <c:v>0</c:v>
                </c:pt>
                <c:pt idx="9">
                  <c:v>0</c:v>
                </c:pt>
                <c:pt idx="10">
                  <c:v>2</c:v>
                </c:pt>
                <c:pt idx="11">
                  <c:v>3</c:v>
                </c:pt>
                <c:pt idx="12">
                  <c:v>1</c:v>
                </c:pt>
                <c:pt idx="13">
                  <c:v>3</c:v>
                </c:pt>
                <c:pt idx="14">
                  <c:v>3</c:v>
                </c:pt>
                <c:pt idx="15">
                  <c:v>3</c:v>
                </c:pt>
                <c:pt idx="16">
                  <c:v>0</c:v>
                </c:pt>
                <c:pt idx="17">
                  <c:v>3</c:v>
                </c:pt>
                <c:pt idx="18">
                  <c:v>3</c:v>
                </c:pt>
                <c:pt idx="19">
                  <c:v>0</c:v>
                </c:pt>
              </c:numCache>
            </c:numRef>
          </c:val>
          <c:extLst>
            <c:ext xmlns:c16="http://schemas.microsoft.com/office/drawing/2014/chart" uri="{C3380CC4-5D6E-409C-BE32-E72D297353CC}">
              <c16:uniqueId val="{00000002-C5B5-4425-BAE9-F5F67B09C074}"/>
            </c:ext>
          </c:extLst>
        </c:ser>
        <c:ser>
          <c:idx val="3"/>
          <c:order val="3"/>
          <c:tx>
            <c:strRef>
              <c:f>Sheet1!$A$54</c:f>
              <c:strCache>
                <c:ptCount val="1"/>
                <c:pt idx="0">
                  <c:v>Row 4</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effectLst/>
            <a:sp3d/>
          </c:spPr>
          <c:val>
            <c:numRef>
              <c:f>Sheet1!$B$54:$U$54</c:f>
              <c:numCache>
                <c:formatCode>General</c:formatCode>
                <c:ptCount val="20"/>
                <c:pt idx="0">
                  <c:v>4</c:v>
                </c:pt>
                <c:pt idx="1">
                  <c:v>2</c:v>
                </c:pt>
                <c:pt idx="2">
                  <c:v>3</c:v>
                </c:pt>
                <c:pt idx="3">
                  <c:v>0</c:v>
                </c:pt>
                <c:pt idx="4">
                  <c:v>3</c:v>
                </c:pt>
                <c:pt idx="5">
                  <c:v>0</c:v>
                </c:pt>
                <c:pt idx="6">
                  <c:v>0</c:v>
                </c:pt>
                <c:pt idx="7">
                  <c:v>0</c:v>
                </c:pt>
                <c:pt idx="8">
                  <c:v>0</c:v>
                </c:pt>
                <c:pt idx="9">
                  <c:v>0</c:v>
                </c:pt>
                <c:pt idx="10">
                  <c:v>2</c:v>
                </c:pt>
                <c:pt idx="11">
                  <c:v>2</c:v>
                </c:pt>
                <c:pt idx="12">
                  <c:v>3</c:v>
                </c:pt>
                <c:pt idx="13">
                  <c:v>3</c:v>
                </c:pt>
                <c:pt idx="14">
                  <c:v>3</c:v>
                </c:pt>
                <c:pt idx="15">
                  <c:v>3</c:v>
                </c:pt>
                <c:pt idx="16">
                  <c:v>0</c:v>
                </c:pt>
                <c:pt idx="17">
                  <c:v>3</c:v>
                </c:pt>
                <c:pt idx="18">
                  <c:v>0</c:v>
                </c:pt>
                <c:pt idx="19">
                  <c:v>0</c:v>
                </c:pt>
              </c:numCache>
            </c:numRef>
          </c:val>
          <c:extLst>
            <c:ext xmlns:c16="http://schemas.microsoft.com/office/drawing/2014/chart" uri="{C3380CC4-5D6E-409C-BE32-E72D297353CC}">
              <c16:uniqueId val="{00000003-C5B5-4425-BAE9-F5F67B09C074}"/>
            </c:ext>
          </c:extLst>
        </c:ser>
        <c:ser>
          <c:idx val="4"/>
          <c:order val="4"/>
          <c:tx>
            <c:strRef>
              <c:f>Sheet1!$A$55</c:f>
              <c:strCache>
                <c:ptCount val="1"/>
                <c:pt idx="0">
                  <c:v>Row 5</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effectLst/>
            <a:sp3d/>
          </c:spPr>
          <c:val>
            <c:numRef>
              <c:f>Sheet1!$B$55:$U$55</c:f>
              <c:numCache>
                <c:formatCode>General</c:formatCode>
                <c:ptCount val="20"/>
                <c:pt idx="0">
                  <c:v>0</c:v>
                </c:pt>
                <c:pt idx="1">
                  <c:v>4</c:v>
                </c:pt>
                <c:pt idx="2">
                  <c:v>2</c:v>
                </c:pt>
                <c:pt idx="3">
                  <c:v>0</c:v>
                </c:pt>
                <c:pt idx="4">
                  <c:v>0</c:v>
                </c:pt>
                <c:pt idx="5">
                  <c:v>0</c:v>
                </c:pt>
                <c:pt idx="6">
                  <c:v>0</c:v>
                </c:pt>
                <c:pt idx="7">
                  <c:v>0</c:v>
                </c:pt>
                <c:pt idx="8">
                  <c:v>0</c:v>
                </c:pt>
                <c:pt idx="9">
                  <c:v>0</c:v>
                </c:pt>
                <c:pt idx="10">
                  <c:v>3</c:v>
                </c:pt>
                <c:pt idx="11">
                  <c:v>3</c:v>
                </c:pt>
                <c:pt idx="12">
                  <c:v>0</c:v>
                </c:pt>
                <c:pt idx="13">
                  <c:v>0</c:v>
                </c:pt>
                <c:pt idx="14">
                  <c:v>2</c:v>
                </c:pt>
                <c:pt idx="15">
                  <c:v>0</c:v>
                </c:pt>
                <c:pt idx="16">
                  <c:v>0</c:v>
                </c:pt>
                <c:pt idx="17">
                  <c:v>0</c:v>
                </c:pt>
                <c:pt idx="18">
                  <c:v>0</c:v>
                </c:pt>
                <c:pt idx="19">
                  <c:v>0</c:v>
                </c:pt>
              </c:numCache>
            </c:numRef>
          </c:val>
          <c:extLst>
            <c:ext xmlns:c16="http://schemas.microsoft.com/office/drawing/2014/chart" uri="{C3380CC4-5D6E-409C-BE32-E72D297353CC}">
              <c16:uniqueId val="{00000004-C5B5-4425-BAE9-F5F67B09C074}"/>
            </c:ext>
          </c:extLst>
        </c:ser>
        <c:ser>
          <c:idx val="5"/>
          <c:order val="5"/>
          <c:tx>
            <c:strRef>
              <c:f>Sheet1!$A$56</c:f>
              <c:strCache>
                <c:ptCount val="1"/>
                <c:pt idx="0">
                  <c:v>Row 6</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effectLst/>
            <a:sp3d/>
          </c:spPr>
          <c:val>
            <c:numRef>
              <c:f>Sheet1!$B$56:$U$56</c:f>
              <c:numCache>
                <c:formatCode>General</c:formatCode>
                <c:ptCount val="20"/>
                <c:pt idx="0">
                  <c:v>2</c:v>
                </c:pt>
                <c:pt idx="1">
                  <c:v>0</c:v>
                </c:pt>
                <c:pt idx="2">
                  <c:v>1</c:v>
                </c:pt>
                <c:pt idx="3">
                  <c:v>4</c:v>
                </c:pt>
                <c:pt idx="4">
                  <c:v>1</c:v>
                </c:pt>
                <c:pt idx="5">
                  <c:v>0</c:v>
                </c:pt>
                <c:pt idx="6">
                  <c:v>0</c:v>
                </c:pt>
                <c:pt idx="7">
                  <c:v>1</c:v>
                </c:pt>
                <c:pt idx="8">
                  <c:v>3</c:v>
                </c:pt>
                <c:pt idx="9">
                  <c:v>0</c:v>
                </c:pt>
                <c:pt idx="10">
                  <c:v>4</c:v>
                </c:pt>
                <c:pt idx="11">
                  <c:v>0</c:v>
                </c:pt>
                <c:pt idx="12">
                  <c:v>0</c:v>
                </c:pt>
                <c:pt idx="13">
                  <c:v>0</c:v>
                </c:pt>
                <c:pt idx="14">
                  <c:v>0</c:v>
                </c:pt>
                <c:pt idx="15">
                  <c:v>0</c:v>
                </c:pt>
                <c:pt idx="16">
                  <c:v>0</c:v>
                </c:pt>
                <c:pt idx="17">
                  <c:v>0</c:v>
                </c:pt>
                <c:pt idx="18">
                  <c:v>2</c:v>
                </c:pt>
                <c:pt idx="19">
                  <c:v>0</c:v>
                </c:pt>
              </c:numCache>
            </c:numRef>
          </c:val>
          <c:extLst>
            <c:ext xmlns:c16="http://schemas.microsoft.com/office/drawing/2014/chart" uri="{C3380CC4-5D6E-409C-BE32-E72D297353CC}">
              <c16:uniqueId val="{00000005-C5B5-4425-BAE9-F5F67B09C074}"/>
            </c:ext>
          </c:extLst>
        </c:ser>
        <c:ser>
          <c:idx val="6"/>
          <c:order val="6"/>
          <c:tx>
            <c:strRef>
              <c:f>Sheet1!$A$57</c:f>
              <c:strCache>
                <c:ptCount val="1"/>
                <c:pt idx="0">
                  <c:v>Row 7</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effectLst/>
            <a:sp3d/>
          </c:spPr>
          <c:val>
            <c:numRef>
              <c:f>Sheet1!$B$57:$U$57</c:f>
              <c:numCache>
                <c:formatCode>General</c:formatCode>
                <c:ptCount val="20"/>
                <c:pt idx="0">
                  <c:v>0</c:v>
                </c:pt>
                <c:pt idx="1">
                  <c:v>2</c:v>
                </c:pt>
                <c:pt idx="2">
                  <c:v>2</c:v>
                </c:pt>
                <c:pt idx="3">
                  <c:v>3</c:v>
                </c:pt>
                <c:pt idx="4">
                  <c:v>0</c:v>
                </c:pt>
                <c:pt idx="5">
                  <c:v>0</c:v>
                </c:pt>
                <c:pt idx="6">
                  <c:v>0</c:v>
                </c:pt>
                <c:pt idx="7">
                  <c:v>0</c:v>
                </c:pt>
                <c:pt idx="8">
                  <c:v>0</c:v>
                </c:pt>
                <c:pt idx="9">
                  <c:v>0</c:v>
                </c:pt>
                <c:pt idx="10">
                  <c:v>3</c:v>
                </c:pt>
                <c:pt idx="11">
                  <c:v>0</c:v>
                </c:pt>
                <c:pt idx="12">
                  <c:v>0</c:v>
                </c:pt>
                <c:pt idx="13">
                  <c:v>0</c:v>
                </c:pt>
                <c:pt idx="14">
                  <c:v>0</c:v>
                </c:pt>
                <c:pt idx="15">
                  <c:v>0</c:v>
                </c:pt>
                <c:pt idx="16">
                  <c:v>2</c:v>
                </c:pt>
                <c:pt idx="17">
                  <c:v>0</c:v>
                </c:pt>
                <c:pt idx="18">
                  <c:v>0</c:v>
                </c:pt>
                <c:pt idx="19">
                  <c:v>3</c:v>
                </c:pt>
              </c:numCache>
            </c:numRef>
          </c:val>
          <c:extLst>
            <c:ext xmlns:c16="http://schemas.microsoft.com/office/drawing/2014/chart" uri="{C3380CC4-5D6E-409C-BE32-E72D297353CC}">
              <c16:uniqueId val="{00000006-C5B5-4425-BAE9-F5F67B09C074}"/>
            </c:ext>
          </c:extLst>
        </c:ser>
        <c:ser>
          <c:idx val="7"/>
          <c:order val="7"/>
          <c:tx>
            <c:strRef>
              <c:f>Sheet1!$A$58</c:f>
              <c:strCache>
                <c:ptCount val="1"/>
                <c:pt idx="0">
                  <c:v>Row 8</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effectLst/>
            <a:sp3d/>
          </c:spPr>
          <c:val>
            <c:numRef>
              <c:f>Sheet1!$B$58:$U$58</c:f>
              <c:numCache>
                <c:formatCode>General</c:formatCode>
                <c:ptCount val="20"/>
                <c:pt idx="0">
                  <c:v>3</c:v>
                </c:pt>
                <c:pt idx="1">
                  <c:v>3</c:v>
                </c:pt>
                <c:pt idx="2">
                  <c:v>3</c:v>
                </c:pt>
                <c:pt idx="3">
                  <c:v>3</c:v>
                </c:pt>
                <c:pt idx="4">
                  <c:v>3</c:v>
                </c:pt>
                <c:pt idx="5">
                  <c:v>0</c:v>
                </c:pt>
                <c:pt idx="6">
                  <c:v>0</c:v>
                </c:pt>
                <c:pt idx="7">
                  <c:v>0</c:v>
                </c:pt>
                <c:pt idx="8">
                  <c:v>0</c:v>
                </c:pt>
                <c:pt idx="9">
                  <c:v>0</c:v>
                </c:pt>
                <c:pt idx="10">
                  <c:v>3</c:v>
                </c:pt>
                <c:pt idx="11">
                  <c:v>0</c:v>
                </c:pt>
                <c:pt idx="12">
                  <c:v>0</c:v>
                </c:pt>
                <c:pt idx="13">
                  <c:v>0</c:v>
                </c:pt>
                <c:pt idx="14">
                  <c:v>0</c:v>
                </c:pt>
                <c:pt idx="15">
                  <c:v>0</c:v>
                </c:pt>
                <c:pt idx="16">
                  <c:v>0</c:v>
                </c:pt>
                <c:pt idx="17">
                  <c:v>0</c:v>
                </c:pt>
                <c:pt idx="18">
                  <c:v>2</c:v>
                </c:pt>
                <c:pt idx="19">
                  <c:v>0</c:v>
                </c:pt>
              </c:numCache>
            </c:numRef>
          </c:val>
          <c:extLst>
            <c:ext xmlns:c16="http://schemas.microsoft.com/office/drawing/2014/chart" uri="{C3380CC4-5D6E-409C-BE32-E72D297353CC}">
              <c16:uniqueId val="{00000007-C5B5-4425-BAE9-F5F67B09C074}"/>
            </c:ext>
          </c:extLst>
        </c:ser>
        <c:ser>
          <c:idx val="8"/>
          <c:order val="8"/>
          <c:tx>
            <c:strRef>
              <c:f>Sheet1!$A$59</c:f>
              <c:strCache>
                <c:ptCount val="1"/>
                <c:pt idx="0">
                  <c:v>Row 9</c:v>
                </c:pt>
              </c:strCache>
            </c:strRef>
          </c:tx>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effectLst/>
            <a:sp3d/>
          </c:spPr>
          <c:val>
            <c:numRef>
              <c:f>Sheet1!$B$59:$U$59</c:f>
              <c:numCache>
                <c:formatCode>General</c:formatCode>
                <c:ptCount val="20"/>
                <c:pt idx="0">
                  <c:v>4</c:v>
                </c:pt>
                <c:pt idx="1">
                  <c:v>3</c:v>
                </c:pt>
                <c:pt idx="2">
                  <c:v>1</c:v>
                </c:pt>
                <c:pt idx="3">
                  <c:v>2</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c:ext xmlns:c16="http://schemas.microsoft.com/office/drawing/2014/chart" uri="{C3380CC4-5D6E-409C-BE32-E72D297353CC}">
              <c16:uniqueId val="{00000008-C5B5-4425-BAE9-F5F67B09C074}"/>
            </c:ext>
          </c:extLst>
        </c:ser>
        <c:ser>
          <c:idx val="9"/>
          <c:order val="9"/>
          <c:tx>
            <c:strRef>
              <c:f>Sheet1!$A$60</c:f>
              <c:strCache>
                <c:ptCount val="1"/>
                <c:pt idx="0">
                  <c:v>Row 10</c:v>
                </c:pt>
              </c:strCache>
            </c:strRef>
          </c:tx>
          <c:spPr>
            <a:gradFill rotWithShape="1">
              <a:gsLst>
                <a:gs pos="0">
                  <a:schemeClr val="accent1">
                    <a:lumMod val="80000"/>
                    <a:satMod val="103000"/>
                    <a:lumMod val="102000"/>
                    <a:tint val="94000"/>
                  </a:schemeClr>
                </a:gs>
                <a:gs pos="50000">
                  <a:schemeClr val="accent1">
                    <a:lumMod val="80000"/>
                    <a:satMod val="110000"/>
                    <a:lumMod val="100000"/>
                    <a:shade val="100000"/>
                  </a:schemeClr>
                </a:gs>
                <a:gs pos="100000">
                  <a:schemeClr val="accent1">
                    <a:lumMod val="80000"/>
                    <a:lumMod val="99000"/>
                    <a:satMod val="120000"/>
                    <a:shade val="78000"/>
                  </a:schemeClr>
                </a:gs>
              </a:gsLst>
              <a:lin ang="5400000" scaled="0"/>
            </a:gradFill>
            <a:ln/>
            <a:effectLst/>
            <a:sp3d/>
          </c:spPr>
          <c:val>
            <c:numRef>
              <c:f>Sheet1!$B$60:$U$60</c:f>
              <c:numCache>
                <c:formatCode>General</c:formatCode>
                <c:ptCount val="20"/>
                <c:pt idx="0">
                  <c:v>2</c:v>
                </c:pt>
                <c:pt idx="1">
                  <c:v>3</c:v>
                </c:pt>
                <c:pt idx="2">
                  <c:v>2</c:v>
                </c:pt>
                <c:pt idx="3">
                  <c:v>1</c:v>
                </c:pt>
                <c:pt idx="4">
                  <c:v>0</c:v>
                </c:pt>
                <c:pt idx="5">
                  <c:v>0</c:v>
                </c:pt>
                <c:pt idx="6">
                  <c:v>0</c:v>
                </c:pt>
                <c:pt idx="7">
                  <c:v>0</c:v>
                </c:pt>
                <c:pt idx="8">
                  <c:v>0</c:v>
                </c:pt>
                <c:pt idx="9">
                  <c:v>0</c:v>
                </c:pt>
                <c:pt idx="10">
                  <c:v>0</c:v>
                </c:pt>
                <c:pt idx="11">
                  <c:v>0</c:v>
                </c:pt>
                <c:pt idx="12">
                  <c:v>0</c:v>
                </c:pt>
                <c:pt idx="13">
                  <c:v>0</c:v>
                </c:pt>
                <c:pt idx="14">
                  <c:v>0</c:v>
                </c:pt>
                <c:pt idx="15">
                  <c:v>0</c:v>
                </c:pt>
                <c:pt idx="16">
                  <c:v>2</c:v>
                </c:pt>
                <c:pt idx="17">
                  <c:v>0</c:v>
                </c:pt>
                <c:pt idx="18">
                  <c:v>3</c:v>
                </c:pt>
                <c:pt idx="19">
                  <c:v>0</c:v>
                </c:pt>
              </c:numCache>
            </c:numRef>
          </c:val>
          <c:extLst>
            <c:ext xmlns:c16="http://schemas.microsoft.com/office/drawing/2014/chart" uri="{C3380CC4-5D6E-409C-BE32-E72D297353CC}">
              <c16:uniqueId val="{00000009-C5B5-4425-BAE9-F5F67B09C074}"/>
            </c:ext>
          </c:extLst>
        </c:ser>
        <c:ser>
          <c:idx val="10"/>
          <c:order val="10"/>
          <c:tx>
            <c:strRef>
              <c:f>Sheet1!$A$61</c:f>
              <c:strCache>
                <c:ptCount val="1"/>
                <c:pt idx="0">
                  <c:v>Row 11</c:v>
                </c:pt>
              </c:strCache>
            </c:strRef>
          </c:tx>
          <c:spPr>
            <a:gradFill rotWithShape="1">
              <a:gsLst>
                <a:gs pos="0">
                  <a:schemeClr val="accent3">
                    <a:lumMod val="80000"/>
                    <a:satMod val="103000"/>
                    <a:lumMod val="102000"/>
                    <a:tint val="94000"/>
                  </a:schemeClr>
                </a:gs>
                <a:gs pos="50000">
                  <a:schemeClr val="accent3">
                    <a:lumMod val="80000"/>
                    <a:satMod val="110000"/>
                    <a:lumMod val="100000"/>
                    <a:shade val="100000"/>
                  </a:schemeClr>
                </a:gs>
                <a:gs pos="100000">
                  <a:schemeClr val="accent3">
                    <a:lumMod val="80000"/>
                    <a:lumMod val="99000"/>
                    <a:satMod val="120000"/>
                    <a:shade val="78000"/>
                  </a:schemeClr>
                </a:gs>
              </a:gsLst>
              <a:lin ang="5400000" scaled="0"/>
            </a:gradFill>
            <a:ln/>
            <a:effectLst/>
            <a:sp3d/>
          </c:spPr>
          <c:val>
            <c:numRef>
              <c:f>Sheet1!$B$61:$U$61</c:f>
              <c:numCache>
                <c:formatCode>General</c:formatCode>
                <c:ptCount val="20"/>
                <c:pt idx="0">
                  <c:v>0</c:v>
                </c:pt>
                <c:pt idx="1">
                  <c:v>0</c:v>
                </c:pt>
                <c:pt idx="2">
                  <c:v>3</c:v>
                </c:pt>
                <c:pt idx="3">
                  <c:v>2</c:v>
                </c:pt>
                <c:pt idx="4">
                  <c:v>0</c:v>
                </c:pt>
                <c:pt idx="5">
                  <c:v>0</c:v>
                </c:pt>
                <c:pt idx="6">
                  <c:v>0</c:v>
                </c:pt>
                <c:pt idx="7">
                  <c:v>3</c:v>
                </c:pt>
                <c:pt idx="8">
                  <c:v>4</c:v>
                </c:pt>
                <c:pt idx="9">
                  <c:v>0</c:v>
                </c:pt>
                <c:pt idx="10">
                  <c:v>0</c:v>
                </c:pt>
                <c:pt idx="11">
                  <c:v>2</c:v>
                </c:pt>
                <c:pt idx="12">
                  <c:v>0</c:v>
                </c:pt>
                <c:pt idx="13">
                  <c:v>2</c:v>
                </c:pt>
                <c:pt idx="14">
                  <c:v>0</c:v>
                </c:pt>
                <c:pt idx="15">
                  <c:v>0</c:v>
                </c:pt>
                <c:pt idx="16">
                  <c:v>0</c:v>
                </c:pt>
                <c:pt idx="17">
                  <c:v>0</c:v>
                </c:pt>
                <c:pt idx="18">
                  <c:v>0</c:v>
                </c:pt>
                <c:pt idx="19">
                  <c:v>0</c:v>
                </c:pt>
              </c:numCache>
            </c:numRef>
          </c:val>
          <c:extLst>
            <c:ext xmlns:c16="http://schemas.microsoft.com/office/drawing/2014/chart" uri="{C3380CC4-5D6E-409C-BE32-E72D297353CC}">
              <c16:uniqueId val="{0000000A-C5B5-4425-BAE9-F5F67B09C074}"/>
            </c:ext>
          </c:extLst>
        </c:ser>
        <c:ser>
          <c:idx val="11"/>
          <c:order val="11"/>
          <c:tx>
            <c:strRef>
              <c:f>Sheet1!$A$62</c:f>
              <c:strCache>
                <c:ptCount val="1"/>
                <c:pt idx="0">
                  <c:v>Row 12</c:v>
                </c:pt>
              </c:strCache>
            </c:strRef>
          </c:tx>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effectLst/>
            <a:sp3d/>
          </c:spPr>
          <c:val>
            <c:numRef>
              <c:f>Sheet1!$B$62:$U$62</c:f>
              <c:numCache>
                <c:formatCode>General</c:formatCode>
                <c:ptCount val="20"/>
                <c:pt idx="0">
                  <c:v>0</c:v>
                </c:pt>
                <c:pt idx="1">
                  <c:v>3</c:v>
                </c:pt>
                <c:pt idx="2">
                  <c:v>2</c:v>
                </c:pt>
                <c:pt idx="3">
                  <c:v>1</c:v>
                </c:pt>
                <c:pt idx="4">
                  <c:v>1</c:v>
                </c:pt>
                <c:pt idx="5">
                  <c:v>0</c:v>
                </c:pt>
                <c:pt idx="6">
                  <c:v>0</c:v>
                </c:pt>
                <c:pt idx="7">
                  <c:v>2</c:v>
                </c:pt>
                <c:pt idx="8">
                  <c:v>0</c:v>
                </c:pt>
                <c:pt idx="9">
                  <c:v>3</c:v>
                </c:pt>
                <c:pt idx="10">
                  <c:v>0</c:v>
                </c:pt>
                <c:pt idx="11">
                  <c:v>4</c:v>
                </c:pt>
                <c:pt idx="12">
                  <c:v>0</c:v>
                </c:pt>
                <c:pt idx="13">
                  <c:v>0</c:v>
                </c:pt>
                <c:pt idx="14">
                  <c:v>0</c:v>
                </c:pt>
                <c:pt idx="15">
                  <c:v>1</c:v>
                </c:pt>
                <c:pt idx="16">
                  <c:v>0</c:v>
                </c:pt>
                <c:pt idx="17">
                  <c:v>0</c:v>
                </c:pt>
                <c:pt idx="18">
                  <c:v>5</c:v>
                </c:pt>
                <c:pt idx="19">
                  <c:v>5</c:v>
                </c:pt>
              </c:numCache>
            </c:numRef>
          </c:val>
          <c:extLst>
            <c:ext xmlns:c16="http://schemas.microsoft.com/office/drawing/2014/chart" uri="{C3380CC4-5D6E-409C-BE32-E72D297353CC}">
              <c16:uniqueId val="{0000000B-C5B5-4425-BAE9-F5F67B09C074}"/>
            </c:ext>
          </c:extLst>
        </c:ser>
        <c:ser>
          <c:idx val="12"/>
          <c:order val="12"/>
          <c:tx>
            <c:strRef>
              <c:f>Sheet1!$A$63</c:f>
              <c:strCache>
                <c:ptCount val="1"/>
                <c:pt idx="0">
                  <c:v>Row 13</c:v>
                </c:pt>
              </c:strCache>
            </c:strRef>
          </c:tx>
          <c:spPr>
            <a:gradFill rotWithShape="1">
              <a:gsLst>
                <a:gs pos="0">
                  <a:schemeClr val="accent1">
                    <a:lumMod val="60000"/>
                    <a:lumOff val="40000"/>
                    <a:satMod val="103000"/>
                    <a:lumMod val="102000"/>
                    <a:tint val="94000"/>
                  </a:schemeClr>
                </a:gs>
                <a:gs pos="50000">
                  <a:schemeClr val="accent1">
                    <a:lumMod val="60000"/>
                    <a:lumOff val="40000"/>
                    <a:satMod val="110000"/>
                    <a:lumMod val="100000"/>
                    <a:shade val="100000"/>
                  </a:schemeClr>
                </a:gs>
                <a:gs pos="100000">
                  <a:schemeClr val="accent1">
                    <a:lumMod val="60000"/>
                    <a:lumOff val="40000"/>
                    <a:lumMod val="99000"/>
                    <a:satMod val="120000"/>
                    <a:shade val="78000"/>
                  </a:schemeClr>
                </a:gs>
              </a:gsLst>
              <a:lin ang="5400000" scaled="0"/>
            </a:gradFill>
            <a:ln/>
            <a:effectLst/>
            <a:sp3d/>
          </c:spPr>
          <c:val>
            <c:numRef>
              <c:f>Sheet1!$B$63:$U$63</c:f>
              <c:numCache>
                <c:formatCode>General</c:formatCode>
                <c:ptCount val="20"/>
                <c:pt idx="0">
                  <c:v>0</c:v>
                </c:pt>
                <c:pt idx="1">
                  <c:v>3</c:v>
                </c:pt>
                <c:pt idx="2">
                  <c:v>3</c:v>
                </c:pt>
                <c:pt idx="3">
                  <c:v>2</c:v>
                </c:pt>
                <c:pt idx="4">
                  <c:v>4</c:v>
                </c:pt>
                <c:pt idx="5">
                  <c:v>0</c:v>
                </c:pt>
                <c:pt idx="6">
                  <c:v>0</c:v>
                </c:pt>
                <c:pt idx="7">
                  <c:v>0</c:v>
                </c:pt>
                <c:pt idx="8">
                  <c:v>0</c:v>
                </c:pt>
                <c:pt idx="9">
                  <c:v>0</c:v>
                </c:pt>
                <c:pt idx="10">
                  <c:v>4</c:v>
                </c:pt>
                <c:pt idx="11">
                  <c:v>0</c:v>
                </c:pt>
                <c:pt idx="12">
                  <c:v>3</c:v>
                </c:pt>
                <c:pt idx="13">
                  <c:v>0</c:v>
                </c:pt>
                <c:pt idx="14">
                  <c:v>2</c:v>
                </c:pt>
                <c:pt idx="15">
                  <c:v>0</c:v>
                </c:pt>
                <c:pt idx="16">
                  <c:v>0</c:v>
                </c:pt>
                <c:pt idx="17">
                  <c:v>3</c:v>
                </c:pt>
                <c:pt idx="18">
                  <c:v>4</c:v>
                </c:pt>
                <c:pt idx="19">
                  <c:v>5</c:v>
                </c:pt>
              </c:numCache>
            </c:numRef>
          </c:val>
          <c:extLst>
            <c:ext xmlns:c16="http://schemas.microsoft.com/office/drawing/2014/chart" uri="{C3380CC4-5D6E-409C-BE32-E72D297353CC}">
              <c16:uniqueId val="{0000000C-C5B5-4425-BAE9-F5F67B09C074}"/>
            </c:ext>
          </c:extLst>
        </c:ser>
        <c:ser>
          <c:idx val="13"/>
          <c:order val="13"/>
          <c:tx>
            <c:strRef>
              <c:f>Sheet1!$A$64</c:f>
              <c:strCache>
                <c:ptCount val="1"/>
                <c:pt idx="0">
                  <c:v>Row 14</c:v>
                </c:pt>
              </c:strCache>
            </c:strRef>
          </c:tx>
          <c:spPr>
            <a:gradFill rotWithShape="1">
              <a:gsLst>
                <a:gs pos="0">
                  <a:schemeClr val="accent3">
                    <a:lumMod val="60000"/>
                    <a:lumOff val="40000"/>
                    <a:satMod val="103000"/>
                    <a:lumMod val="102000"/>
                    <a:tint val="94000"/>
                  </a:schemeClr>
                </a:gs>
                <a:gs pos="50000">
                  <a:schemeClr val="accent3">
                    <a:lumMod val="60000"/>
                    <a:lumOff val="40000"/>
                    <a:satMod val="110000"/>
                    <a:lumMod val="100000"/>
                    <a:shade val="100000"/>
                  </a:schemeClr>
                </a:gs>
                <a:gs pos="100000">
                  <a:schemeClr val="accent3">
                    <a:lumMod val="60000"/>
                    <a:lumOff val="40000"/>
                    <a:lumMod val="99000"/>
                    <a:satMod val="120000"/>
                    <a:shade val="78000"/>
                  </a:schemeClr>
                </a:gs>
              </a:gsLst>
              <a:lin ang="5400000" scaled="0"/>
            </a:gradFill>
            <a:ln/>
            <a:effectLst/>
            <a:sp3d/>
          </c:spPr>
          <c:val>
            <c:numRef>
              <c:f>Sheet1!$B$64:$U$64</c:f>
              <c:numCache>
                <c:formatCode>General</c:formatCode>
                <c:ptCount val="20"/>
                <c:pt idx="0">
                  <c:v>0</c:v>
                </c:pt>
                <c:pt idx="1">
                  <c:v>4</c:v>
                </c:pt>
                <c:pt idx="2">
                  <c:v>2</c:v>
                </c:pt>
                <c:pt idx="3">
                  <c:v>4</c:v>
                </c:pt>
                <c:pt idx="4">
                  <c:v>2</c:v>
                </c:pt>
                <c:pt idx="5">
                  <c:v>0</c:v>
                </c:pt>
                <c:pt idx="6">
                  <c:v>0</c:v>
                </c:pt>
                <c:pt idx="7">
                  <c:v>0</c:v>
                </c:pt>
                <c:pt idx="8">
                  <c:v>3</c:v>
                </c:pt>
                <c:pt idx="9">
                  <c:v>1</c:v>
                </c:pt>
                <c:pt idx="10">
                  <c:v>0</c:v>
                </c:pt>
                <c:pt idx="11">
                  <c:v>0</c:v>
                </c:pt>
                <c:pt idx="12">
                  <c:v>0</c:v>
                </c:pt>
                <c:pt idx="13">
                  <c:v>0</c:v>
                </c:pt>
                <c:pt idx="14">
                  <c:v>0</c:v>
                </c:pt>
                <c:pt idx="15">
                  <c:v>3</c:v>
                </c:pt>
                <c:pt idx="16">
                  <c:v>4</c:v>
                </c:pt>
                <c:pt idx="17">
                  <c:v>0</c:v>
                </c:pt>
                <c:pt idx="18">
                  <c:v>2</c:v>
                </c:pt>
                <c:pt idx="19">
                  <c:v>0</c:v>
                </c:pt>
              </c:numCache>
            </c:numRef>
          </c:val>
          <c:extLst>
            <c:ext xmlns:c16="http://schemas.microsoft.com/office/drawing/2014/chart" uri="{C3380CC4-5D6E-409C-BE32-E72D297353CC}">
              <c16:uniqueId val="{0000000D-C5B5-4425-BAE9-F5F67B09C074}"/>
            </c:ext>
          </c:extLst>
        </c:ser>
        <c:ser>
          <c:idx val="14"/>
          <c:order val="14"/>
          <c:tx>
            <c:strRef>
              <c:f>Sheet1!$A$65</c:f>
              <c:strCache>
                <c:ptCount val="1"/>
                <c:pt idx="0">
                  <c:v>Row 15</c:v>
                </c:pt>
              </c:strCache>
            </c:strRef>
          </c:tx>
          <c:spPr>
            <a:gradFill rotWithShape="1">
              <a:gsLst>
                <a:gs pos="0">
                  <a:schemeClr val="accent5">
                    <a:lumMod val="60000"/>
                    <a:lumOff val="40000"/>
                    <a:satMod val="103000"/>
                    <a:lumMod val="102000"/>
                    <a:tint val="94000"/>
                  </a:schemeClr>
                </a:gs>
                <a:gs pos="50000">
                  <a:schemeClr val="accent5">
                    <a:lumMod val="60000"/>
                    <a:lumOff val="40000"/>
                    <a:satMod val="110000"/>
                    <a:lumMod val="100000"/>
                    <a:shade val="100000"/>
                  </a:schemeClr>
                </a:gs>
                <a:gs pos="100000">
                  <a:schemeClr val="accent5">
                    <a:lumMod val="60000"/>
                    <a:lumOff val="40000"/>
                    <a:lumMod val="99000"/>
                    <a:satMod val="120000"/>
                    <a:shade val="78000"/>
                  </a:schemeClr>
                </a:gs>
              </a:gsLst>
              <a:lin ang="5400000" scaled="0"/>
            </a:gradFill>
            <a:ln/>
            <a:effectLst/>
            <a:sp3d/>
          </c:spPr>
          <c:val>
            <c:numRef>
              <c:f>Sheet1!$B$65:$U$65</c:f>
              <c:numCache>
                <c:formatCode>General</c:formatCode>
                <c:ptCount val="20"/>
                <c:pt idx="0">
                  <c:v>1</c:v>
                </c:pt>
                <c:pt idx="1">
                  <c:v>0</c:v>
                </c:pt>
                <c:pt idx="2">
                  <c:v>0</c:v>
                </c:pt>
                <c:pt idx="3">
                  <c:v>2</c:v>
                </c:pt>
                <c:pt idx="4">
                  <c:v>1</c:v>
                </c:pt>
                <c:pt idx="5">
                  <c:v>0</c:v>
                </c:pt>
                <c:pt idx="6">
                  <c:v>0</c:v>
                </c:pt>
                <c:pt idx="7">
                  <c:v>5</c:v>
                </c:pt>
                <c:pt idx="8">
                  <c:v>0</c:v>
                </c:pt>
                <c:pt idx="9">
                  <c:v>0</c:v>
                </c:pt>
                <c:pt idx="10">
                  <c:v>3</c:v>
                </c:pt>
                <c:pt idx="11">
                  <c:v>0</c:v>
                </c:pt>
                <c:pt idx="12">
                  <c:v>0</c:v>
                </c:pt>
                <c:pt idx="13">
                  <c:v>0</c:v>
                </c:pt>
                <c:pt idx="14">
                  <c:v>0</c:v>
                </c:pt>
                <c:pt idx="15">
                  <c:v>3</c:v>
                </c:pt>
                <c:pt idx="16">
                  <c:v>0</c:v>
                </c:pt>
                <c:pt idx="17">
                  <c:v>0</c:v>
                </c:pt>
                <c:pt idx="18">
                  <c:v>3</c:v>
                </c:pt>
                <c:pt idx="19">
                  <c:v>0</c:v>
                </c:pt>
              </c:numCache>
            </c:numRef>
          </c:val>
          <c:extLst>
            <c:ext xmlns:c16="http://schemas.microsoft.com/office/drawing/2014/chart" uri="{C3380CC4-5D6E-409C-BE32-E72D297353CC}">
              <c16:uniqueId val="{0000000E-C5B5-4425-BAE9-F5F67B09C074}"/>
            </c:ext>
          </c:extLst>
        </c:ser>
        <c:ser>
          <c:idx val="15"/>
          <c:order val="15"/>
          <c:tx>
            <c:strRef>
              <c:f>Sheet1!$A$66</c:f>
              <c:strCache>
                <c:ptCount val="1"/>
                <c:pt idx="0">
                  <c:v>Row 16</c:v>
                </c:pt>
              </c:strCache>
            </c:strRef>
          </c:tx>
          <c:spPr>
            <a:gradFill rotWithShape="1">
              <a:gsLst>
                <a:gs pos="0">
                  <a:schemeClr val="accent1">
                    <a:lumMod val="50000"/>
                    <a:satMod val="103000"/>
                    <a:lumMod val="102000"/>
                    <a:tint val="94000"/>
                  </a:schemeClr>
                </a:gs>
                <a:gs pos="50000">
                  <a:schemeClr val="accent1">
                    <a:lumMod val="50000"/>
                    <a:satMod val="110000"/>
                    <a:lumMod val="100000"/>
                    <a:shade val="100000"/>
                  </a:schemeClr>
                </a:gs>
                <a:gs pos="100000">
                  <a:schemeClr val="accent1">
                    <a:lumMod val="50000"/>
                    <a:lumMod val="99000"/>
                    <a:satMod val="120000"/>
                    <a:shade val="78000"/>
                  </a:schemeClr>
                </a:gs>
              </a:gsLst>
              <a:lin ang="5400000" scaled="0"/>
            </a:gradFill>
            <a:ln/>
            <a:effectLst/>
            <a:sp3d/>
          </c:spPr>
          <c:val>
            <c:numRef>
              <c:f>Sheet1!$B$66:$U$66</c:f>
              <c:numCache>
                <c:formatCode>General</c:formatCode>
                <c:ptCount val="20"/>
                <c:pt idx="0">
                  <c:v>4</c:v>
                </c:pt>
                <c:pt idx="1">
                  <c:v>4</c:v>
                </c:pt>
                <c:pt idx="2">
                  <c:v>0</c:v>
                </c:pt>
                <c:pt idx="3">
                  <c:v>0</c:v>
                </c:pt>
                <c:pt idx="4">
                  <c:v>0</c:v>
                </c:pt>
                <c:pt idx="5">
                  <c:v>4</c:v>
                </c:pt>
                <c:pt idx="6">
                  <c:v>0</c:v>
                </c:pt>
                <c:pt idx="7">
                  <c:v>0</c:v>
                </c:pt>
                <c:pt idx="8">
                  <c:v>0</c:v>
                </c:pt>
                <c:pt idx="9">
                  <c:v>4</c:v>
                </c:pt>
                <c:pt idx="10">
                  <c:v>3</c:v>
                </c:pt>
                <c:pt idx="11">
                  <c:v>4</c:v>
                </c:pt>
                <c:pt idx="12">
                  <c:v>0</c:v>
                </c:pt>
                <c:pt idx="13">
                  <c:v>2</c:v>
                </c:pt>
                <c:pt idx="14">
                  <c:v>0</c:v>
                </c:pt>
                <c:pt idx="15">
                  <c:v>4</c:v>
                </c:pt>
                <c:pt idx="16">
                  <c:v>5</c:v>
                </c:pt>
                <c:pt idx="17">
                  <c:v>1</c:v>
                </c:pt>
                <c:pt idx="18">
                  <c:v>5</c:v>
                </c:pt>
                <c:pt idx="19">
                  <c:v>5</c:v>
                </c:pt>
              </c:numCache>
            </c:numRef>
          </c:val>
          <c:extLst>
            <c:ext xmlns:c16="http://schemas.microsoft.com/office/drawing/2014/chart" uri="{C3380CC4-5D6E-409C-BE32-E72D297353CC}">
              <c16:uniqueId val="{0000000F-C5B5-4425-BAE9-F5F67B09C074}"/>
            </c:ext>
          </c:extLst>
        </c:ser>
        <c:ser>
          <c:idx val="16"/>
          <c:order val="16"/>
          <c:tx>
            <c:strRef>
              <c:f>Sheet1!$A$67</c:f>
              <c:strCache>
                <c:ptCount val="1"/>
                <c:pt idx="0">
                  <c:v>Row 17</c:v>
                </c:pt>
              </c:strCache>
            </c:strRef>
          </c:tx>
          <c:spPr>
            <a:gradFill rotWithShape="1">
              <a:gsLst>
                <a:gs pos="0">
                  <a:schemeClr val="accent3">
                    <a:lumMod val="50000"/>
                    <a:satMod val="103000"/>
                    <a:lumMod val="102000"/>
                    <a:tint val="94000"/>
                  </a:schemeClr>
                </a:gs>
                <a:gs pos="50000">
                  <a:schemeClr val="accent3">
                    <a:lumMod val="50000"/>
                    <a:satMod val="110000"/>
                    <a:lumMod val="100000"/>
                    <a:shade val="100000"/>
                  </a:schemeClr>
                </a:gs>
                <a:gs pos="100000">
                  <a:schemeClr val="accent3">
                    <a:lumMod val="50000"/>
                    <a:lumMod val="99000"/>
                    <a:satMod val="120000"/>
                    <a:shade val="78000"/>
                  </a:schemeClr>
                </a:gs>
              </a:gsLst>
              <a:lin ang="5400000" scaled="0"/>
            </a:gradFill>
            <a:ln/>
            <a:effectLst/>
            <a:sp3d/>
          </c:spPr>
          <c:val>
            <c:numRef>
              <c:f>Sheet1!$B$67:$U$67</c:f>
              <c:numCache>
                <c:formatCode>General</c:formatCode>
                <c:ptCount val="20"/>
                <c:pt idx="0">
                  <c:v>0</c:v>
                </c:pt>
                <c:pt idx="1">
                  <c:v>3</c:v>
                </c:pt>
                <c:pt idx="2">
                  <c:v>0</c:v>
                </c:pt>
                <c:pt idx="3">
                  <c:v>0</c:v>
                </c:pt>
                <c:pt idx="4">
                  <c:v>0</c:v>
                </c:pt>
                <c:pt idx="5">
                  <c:v>0</c:v>
                </c:pt>
                <c:pt idx="6">
                  <c:v>0</c:v>
                </c:pt>
                <c:pt idx="7">
                  <c:v>0</c:v>
                </c:pt>
                <c:pt idx="8">
                  <c:v>0</c:v>
                </c:pt>
                <c:pt idx="9">
                  <c:v>0</c:v>
                </c:pt>
                <c:pt idx="10">
                  <c:v>0</c:v>
                </c:pt>
                <c:pt idx="11">
                  <c:v>0</c:v>
                </c:pt>
                <c:pt idx="12">
                  <c:v>3</c:v>
                </c:pt>
                <c:pt idx="13">
                  <c:v>2</c:v>
                </c:pt>
                <c:pt idx="14">
                  <c:v>0</c:v>
                </c:pt>
                <c:pt idx="15">
                  <c:v>4</c:v>
                </c:pt>
                <c:pt idx="16">
                  <c:v>3</c:v>
                </c:pt>
                <c:pt idx="17">
                  <c:v>2</c:v>
                </c:pt>
                <c:pt idx="18">
                  <c:v>5</c:v>
                </c:pt>
                <c:pt idx="19">
                  <c:v>5</c:v>
                </c:pt>
              </c:numCache>
            </c:numRef>
          </c:val>
          <c:extLst>
            <c:ext xmlns:c16="http://schemas.microsoft.com/office/drawing/2014/chart" uri="{C3380CC4-5D6E-409C-BE32-E72D297353CC}">
              <c16:uniqueId val="{00000010-C5B5-4425-BAE9-F5F67B09C074}"/>
            </c:ext>
          </c:extLst>
        </c:ser>
        <c:ser>
          <c:idx val="17"/>
          <c:order val="17"/>
          <c:tx>
            <c:strRef>
              <c:f>Sheet1!$A$68</c:f>
              <c:strCache>
                <c:ptCount val="1"/>
                <c:pt idx="0">
                  <c:v>Row 18</c:v>
                </c:pt>
              </c:strCache>
            </c:strRef>
          </c:tx>
          <c:spPr>
            <a:gradFill rotWithShape="1">
              <a:gsLst>
                <a:gs pos="0">
                  <a:schemeClr val="accent5">
                    <a:lumMod val="50000"/>
                    <a:satMod val="103000"/>
                    <a:lumMod val="102000"/>
                    <a:tint val="94000"/>
                  </a:schemeClr>
                </a:gs>
                <a:gs pos="50000">
                  <a:schemeClr val="accent5">
                    <a:lumMod val="50000"/>
                    <a:satMod val="110000"/>
                    <a:lumMod val="100000"/>
                    <a:shade val="100000"/>
                  </a:schemeClr>
                </a:gs>
                <a:gs pos="100000">
                  <a:schemeClr val="accent5">
                    <a:lumMod val="50000"/>
                    <a:lumMod val="99000"/>
                    <a:satMod val="120000"/>
                    <a:shade val="78000"/>
                  </a:schemeClr>
                </a:gs>
              </a:gsLst>
              <a:lin ang="5400000" scaled="0"/>
            </a:gradFill>
            <a:ln/>
            <a:effectLst/>
            <a:sp3d/>
          </c:spPr>
          <c:val>
            <c:numRef>
              <c:f>Sheet1!$B$68:$U$68</c:f>
              <c:numCache>
                <c:formatCode>General</c:formatCode>
                <c:ptCount val="20"/>
                <c:pt idx="0">
                  <c:v>0</c:v>
                </c:pt>
                <c:pt idx="1">
                  <c:v>4</c:v>
                </c:pt>
                <c:pt idx="2">
                  <c:v>0</c:v>
                </c:pt>
                <c:pt idx="3">
                  <c:v>0</c:v>
                </c:pt>
                <c:pt idx="4">
                  <c:v>0</c:v>
                </c:pt>
                <c:pt idx="5">
                  <c:v>0</c:v>
                </c:pt>
                <c:pt idx="6">
                  <c:v>0</c:v>
                </c:pt>
                <c:pt idx="7">
                  <c:v>0</c:v>
                </c:pt>
                <c:pt idx="8">
                  <c:v>0</c:v>
                </c:pt>
                <c:pt idx="9">
                  <c:v>4</c:v>
                </c:pt>
                <c:pt idx="10">
                  <c:v>0</c:v>
                </c:pt>
                <c:pt idx="11">
                  <c:v>0</c:v>
                </c:pt>
                <c:pt idx="12">
                  <c:v>0</c:v>
                </c:pt>
                <c:pt idx="13">
                  <c:v>0</c:v>
                </c:pt>
                <c:pt idx="14">
                  <c:v>0</c:v>
                </c:pt>
                <c:pt idx="15">
                  <c:v>4</c:v>
                </c:pt>
                <c:pt idx="16">
                  <c:v>4</c:v>
                </c:pt>
                <c:pt idx="17">
                  <c:v>4</c:v>
                </c:pt>
                <c:pt idx="18">
                  <c:v>0</c:v>
                </c:pt>
                <c:pt idx="19">
                  <c:v>5</c:v>
                </c:pt>
              </c:numCache>
            </c:numRef>
          </c:val>
          <c:extLst>
            <c:ext xmlns:c16="http://schemas.microsoft.com/office/drawing/2014/chart" uri="{C3380CC4-5D6E-409C-BE32-E72D297353CC}">
              <c16:uniqueId val="{00000011-C5B5-4425-BAE9-F5F67B09C074}"/>
            </c:ext>
          </c:extLst>
        </c:ser>
        <c:ser>
          <c:idx val="18"/>
          <c:order val="18"/>
          <c:tx>
            <c:strRef>
              <c:f>Sheet1!$A$69</c:f>
              <c:strCache>
                <c:ptCount val="1"/>
                <c:pt idx="0">
                  <c:v>Row 19</c:v>
                </c:pt>
              </c:strCache>
            </c:strRef>
          </c:tx>
          <c:spPr>
            <a:gradFill rotWithShape="1">
              <a:gsLst>
                <a:gs pos="0">
                  <a:schemeClr val="accent1">
                    <a:lumMod val="70000"/>
                    <a:lumOff val="30000"/>
                    <a:satMod val="103000"/>
                    <a:lumMod val="102000"/>
                    <a:tint val="94000"/>
                  </a:schemeClr>
                </a:gs>
                <a:gs pos="50000">
                  <a:schemeClr val="accent1">
                    <a:lumMod val="70000"/>
                    <a:lumOff val="30000"/>
                    <a:satMod val="110000"/>
                    <a:lumMod val="100000"/>
                    <a:shade val="100000"/>
                  </a:schemeClr>
                </a:gs>
                <a:gs pos="100000">
                  <a:schemeClr val="accent1">
                    <a:lumMod val="70000"/>
                    <a:lumOff val="30000"/>
                    <a:lumMod val="99000"/>
                    <a:satMod val="120000"/>
                    <a:shade val="78000"/>
                  </a:schemeClr>
                </a:gs>
              </a:gsLst>
              <a:lin ang="5400000" scaled="0"/>
            </a:gradFill>
            <a:ln/>
            <a:effectLst/>
            <a:sp3d/>
          </c:spPr>
          <c:val>
            <c:numRef>
              <c:f>Sheet1!$B$69:$U$69</c:f>
              <c:numCache>
                <c:formatCode>General</c:formatCode>
                <c:ptCount val="20"/>
                <c:pt idx="0">
                  <c:v>3</c:v>
                </c:pt>
                <c:pt idx="1">
                  <c:v>4</c:v>
                </c:pt>
                <c:pt idx="2">
                  <c:v>0</c:v>
                </c:pt>
                <c:pt idx="3">
                  <c:v>0</c:v>
                </c:pt>
                <c:pt idx="4">
                  <c:v>0</c:v>
                </c:pt>
                <c:pt idx="5">
                  <c:v>0</c:v>
                </c:pt>
                <c:pt idx="6">
                  <c:v>0</c:v>
                </c:pt>
                <c:pt idx="7">
                  <c:v>0</c:v>
                </c:pt>
                <c:pt idx="8">
                  <c:v>3</c:v>
                </c:pt>
                <c:pt idx="9">
                  <c:v>1</c:v>
                </c:pt>
                <c:pt idx="10">
                  <c:v>0</c:v>
                </c:pt>
                <c:pt idx="11">
                  <c:v>0</c:v>
                </c:pt>
                <c:pt idx="12">
                  <c:v>0</c:v>
                </c:pt>
                <c:pt idx="13">
                  <c:v>0</c:v>
                </c:pt>
                <c:pt idx="14">
                  <c:v>0</c:v>
                </c:pt>
                <c:pt idx="15">
                  <c:v>4</c:v>
                </c:pt>
                <c:pt idx="16">
                  <c:v>5</c:v>
                </c:pt>
                <c:pt idx="17">
                  <c:v>0</c:v>
                </c:pt>
                <c:pt idx="18">
                  <c:v>4</c:v>
                </c:pt>
                <c:pt idx="19">
                  <c:v>5</c:v>
                </c:pt>
              </c:numCache>
            </c:numRef>
          </c:val>
          <c:extLst>
            <c:ext xmlns:c16="http://schemas.microsoft.com/office/drawing/2014/chart" uri="{C3380CC4-5D6E-409C-BE32-E72D297353CC}">
              <c16:uniqueId val="{00000012-C5B5-4425-BAE9-F5F67B09C074}"/>
            </c:ext>
          </c:extLst>
        </c:ser>
        <c:ser>
          <c:idx val="19"/>
          <c:order val="19"/>
          <c:tx>
            <c:strRef>
              <c:f>Sheet1!$A$70</c:f>
              <c:strCache>
                <c:ptCount val="1"/>
                <c:pt idx="0">
                  <c:v>Row 20</c:v>
                </c:pt>
              </c:strCache>
            </c:strRef>
          </c:tx>
          <c:spPr>
            <a:gradFill rotWithShape="1">
              <a:gsLst>
                <a:gs pos="0">
                  <a:schemeClr val="accent3">
                    <a:lumMod val="70000"/>
                    <a:lumOff val="30000"/>
                    <a:satMod val="103000"/>
                    <a:lumMod val="102000"/>
                    <a:tint val="94000"/>
                  </a:schemeClr>
                </a:gs>
                <a:gs pos="50000">
                  <a:schemeClr val="accent3">
                    <a:lumMod val="70000"/>
                    <a:lumOff val="30000"/>
                    <a:satMod val="110000"/>
                    <a:lumMod val="100000"/>
                    <a:shade val="100000"/>
                  </a:schemeClr>
                </a:gs>
                <a:gs pos="100000">
                  <a:schemeClr val="accent3">
                    <a:lumMod val="70000"/>
                    <a:lumOff val="30000"/>
                    <a:lumMod val="99000"/>
                    <a:satMod val="120000"/>
                    <a:shade val="78000"/>
                  </a:schemeClr>
                </a:gs>
              </a:gsLst>
              <a:lin ang="5400000" scaled="0"/>
            </a:gradFill>
            <a:ln/>
            <a:effectLst/>
            <a:sp3d/>
          </c:spPr>
          <c:val>
            <c:numRef>
              <c:f>Sheet1!$B$70:$U$70</c:f>
              <c:numCache>
                <c:formatCode>General</c:formatCode>
                <c:ptCount val="20"/>
                <c:pt idx="0">
                  <c:v>3</c:v>
                </c:pt>
                <c:pt idx="1">
                  <c:v>2</c:v>
                </c:pt>
                <c:pt idx="2">
                  <c:v>0</c:v>
                </c:pt>
                <c:pt idx="3">
                  <c:v>0</c:v>
                </c:pt>
                <c:pt idx="4">
                  <c:v>0</c:v>
                </c:pt>
                <c:pt idx="5">
                  <c:v>0</c:v>
                </c:pt>
                <c:pt idx="6">
                  <c:v>0</c:v>
                </c:pt>
                <c:pt idx="7">
                  <c:v>0</c:v>
                </c:pt>
                <c:pt idx="8">
                  <c:v>0</c:v>
                </c:pt>
                <c:pt idx="9">
                  <c:v>0</c:v>
                </c:pt>
                <c:pt idx="10">
                  <c:v>0</c:v>
                </c:pt>
                <c:pt idx="11">
                  <c:v>0</c:v>
                </c:pt>
                <c:pt idx="12">
                  <c:v>3</c:v>
                </c:pt>
                <c:pt idx="13">
                  <c:v>0</c:v>
                </c:pt>
                <c:pt idx="14">
                  <c:v>0</c:v>
                </c:pt>
                <c:pt idx="15">
                  <c:v>0</c:v>
                </c:pt>
                <c:pt idx="16">
                  <c:v>0</c:v>
                </c:pt>
                <c:pt idx="17">
                  <c:v>5</c:v>
                </c:pt>
                <c:pt idx="18">
                  <c:v>4</c:v>
                </c:pt>
                <c:pt idx="19">
                  <c:v>0</c:v>
                </c:pt>
              </c:numCache>
            </c:numRef>
          </c:val>
          <c:extLst>
            <c:ext xmlns:c16="http://schemas.microsoft.com/office/drawing/2014/chart" uri="{C3380CC4-5D6E-409C-BE32-E72D297353CC}">
              <c16:uniqueId val="{00000013-C5B5-4425-BAE9-F5F67B09C074}"/>
            </c:ext>
          </c:extLst>
        </c:ser>
        <c:bandFmts>
          <c:bandFmt>
            <c:idx val="0"/>
            <c:spPr>
              <a:solidFill>
                <a:srgbClr val="C00000"/>
              </a:solidFill>
              <a:ln/>
              <a:effectLst/>
              <a:sp3d/>
            </c:spPr>
          </c:bandFmt>
          <c:bandFmt>
            <c:idx val="1"/>
            <c:spPr>
              <a:solidFill>
                <a:srgbClr val="FFC000"/>
              </a:solidFill>
              <a:ln/>
              <a:effectLst/>
              <a:sp3d/>
            </c:spPr>
          </c:bandFmt>
          <c:bandFmt>
            <c:idx val="2"/>
            <c:spPr>
              <a:solidFill>
                <a:srgbClr val="FFFF00"/>
              </a:solidFill>
              <a:ln/>
              <a:effectLst/>
              <a:sp3d/>
            </c:spPr>
          </c:bandFmt>
          <c:bandFmt>
            <c:idx val="3"/>
            <c:spPr>
              <a:solidFill>
                <a:srgbClr val="92D050"/>
              </a:solidFill>
              <a:ln/>
              <a:effectLst/>
              <a:sp3d/>
            </c:spPr>
          </c:bandFmt>
          <c:bandFmt>
            <c:idx val="4"/>
            <c:spPr>
              <a:solidFill>
                <a:schemeClr val="accent5"/>
              </a:solidFill>
              <a:ln/>
              <a:effectLst/>
              <a:sp3d/>
            </c:spPr>
          </c:bandFmt>
          <c:bandFmt>
            <c:idx val="5"/>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effectLst/>
              <a:sp3d/>
            </c:spPr>
          </c:bandFmt>
          <c:bandFmt>
            <c:idx val="6"/>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effectLst/>
              <a:sp3d/>
            </c:spPr>
          </c:bandFmt>
          <c:bandFmt>
            <c:idx val="7"/>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effectLst/>
              <a:sp3d/>
            </c:spPr>
          </c:bandFmt>
          <c:bandFmt>
            <c:idx val="8"/>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effectLst/>
              <a:sp3d/>
            </c:spPr>
          </c:bandFmt>
          <c:bandFmt>
            <c:idx val="9"/>
            <c:spPr>
              <a:gradFill rotWithShape="1">
                <a:gsLst>
                  <a:gs pos="0">
                    <a:schemeClr val="accent1">
                      <a:lumMod val="80000"/>
                      <a:satMod val="103000"/>
                      <a:lumMod val="102000"/>
                      <a:tint val="94000"/>
                    </a:schemeClr>
                  </a:gs>
                  <a:gs pos="50000">
                    <a:schemeClr val="accent1">
                      <a:lumMod val="80000"/>
                      <a:satMod val="110000"/>
                      <a:lumMod val="100000"/>
                      <a:shade val="100000"/>
                    </a:schemeClr>
                  </a:gs>
                  <a:gs pos="100000">
                    <a:schemeClr val="accent1">
                      <a:lumMod val="80000"/>
                      <a:lumMod val="99000"/>
                      <a:satMod val="120000"/>
                      <a:shade val="78000"/>
                    </a:schemeClr>
                  </a:gs>
                </a:gsLst>
                <a:lin ang="5400000" scaled="0"/>
              </a:gradFill>
              <a:ln/>
              <a:effectLst/>
              <a:sp3d/>
            </c:spPr>
          </c:bandFmt>
          <c:bandFmt>
            <c:idx val="10"/>
            <c:spPr>
              <a:gradFill rotWithShape="1">
                <a:gsLst>
                  <a:gs pos="0">
                    <a:schemeClr val="accent3">
                      <a:lumMod val="80000"/>
                      <a:satMod val="103000"/>
                      <a:lumMod val="102000"/>
                      <a:tint val="94000"/>
                    </a:schemeClr>
                  </a:gs>
                  <a:gs pos="50000">
                    <a:schemeClr val="accent3">
                      <a:lumMod val="80000"/>
                      <a:satMod val="110000"/>
                      <a:lumMod val="100000"/>
                      <a:shade val="100000"/>
                    </a:schemeClr>
                  </a:gs>
                  <a:gs pos="100000">
                    <a:schemeClr val="accent3">
                      <a:lumMod val="80000"/>
                      <a:lumMod val="99000"/>
                      <a:satMod val="120000"/>
                      <a:shade val="78000"/>
                    </a:schemeClr>
                  </a:gs>
                </a:gsLst>
                <a:lin ang="5400000" scaled="0"/>
              </a:gradFill>
              <a:ln/>
              <a:effectLst/>
              <a:sp3d/>
            </c:spPr>
          </c:bandFmt>
          <c:bandFmt>
            <c:idx val="11"/>
            <c:spPr>
              <a:gradFill rotWithShape="1">
                <a:gsLst>
                  <a:gs pos="0">
                    <a:schemeClr val="accent5">
                      <a:lumMod val="80000"/>
                      <a:satMod val="103000"/>
                      <a:lumMod val="102000"/>
                      <a:tint val="94000"/>
                    </a:schemeClr>
                  </a:gs>
                  <a:gs pos="50000">
                    <a:schemeClr val="accent5">
                      <a:lumMod val="80000"/>
                      <a:satMod val="110000"/>
                      <a:lumMod val="100000"/>
                      <a:shade val="100000"/>
                    </a:schemeClr>
                  </a:gs>
                  <a:gs pos="100000">
                    <a:schemeClr val="accent5">
                      <a:lumMod val="80000"/>
                      <a:lumMod val="99000"/>
                      <a:satMod val="120000"/>
                      <a:shade val="78000"/>
                    </a:schemeClr>
                  </a:gs>
                </a:gsLst>
                <a:lin ang="5400000" scaled="0"/>
              </a:gradFill>
              <a:ln/>
              <a:effectLst/>
              <a:sp3d/>
            </c:spPr>
          </c:bandFmt>
          <c:bandFmt>
            <c:idx val="12"/>
            <c:spPr>
              <a:gradFill rotWithShape="1">
                <a:gsLst>
                  <a:gs pos="0">
                    <a:schemeClr val="accent1">
                      <a:lumMod val="60000"/>
                      <a:lumOff val="40000"/>
                      <a:satMod val="103000"/>
                      <a:lumMod val="102000"/>
                      <a:tint val="94000"/>
                    </a:schemeClr>
                  </a:gs>
                  <a:gs pos="50000">
                    <a:schemeClr val="accent1">
                      <a:lumMod val="60000"/>
                      <a:lumOff val="40000"/>
                      <a:satMod val="110000"/>
                      <a:lumMod val="100000"/>
                      <a:shade val="100000"/>
                    </a:schemeClr>
                  </a:gs>
                  <a:gs pos="100000">
                    <a:schemeClr val="accent1">
                      <a:lumMod val="60000"/>
                      <a:lumOff val="40000"/>
                      <a:lumMod val="99000"/>
                      <a:satMod val="120000"/>
                      <a:shade val="78000"/>
                    </a:schemeClr>
                  </a:gs>
                </a:gsLst>
                <a:lin ang="5400000" scaled="0"/>
              </a:gradFill>
              <a:ln/>
              <a:effectLst/>
              <a:sp3d/>
            </c:spPr>
          </c:bandFmt>
          <c:bandFmt>
            <c:idx val="13"/>
            <c:spPr>
              <a:gradFill rotWithShape="1">
                <a:gsLst>
                  <a:gs pos="0">
                    <a:schemeClr val="accent3">
                      <a:lumMod val="60000"/>
                      <a:lumOff val="40000"/>
                      <a:satMod val="103000"/>
                      <a:lumMod val="102000"/>
                      <a:tint val="94000"/>
                    </a:schemeClr>
                  </a:gs>
                  <a:gs pos="50000">
                    <a:schemeClr val="accent3">
                      <a:lumMod val="60000"/>
                      <a:lumOff val="40000"/>
                      <a:satMod val="110000"/>
                      <a:lumMod val="100000"/>
                      <a:shade val="100000"/>
                    </a:schemeClr>
                  </a:gs>
                  <a:gs pos="100000">
                    <a:schemeClr val="accent3">
                      <a:lumMod val="60000"/>
                      <a:lumOff val="40000"/>
                      <a:lumMod val="99000"/>
                      <a:satMod val="120000"/>
                      <a:shade val="78000"/>
                    </a:schemeClr>
                  </a:gs>
                </a:gsLst>
                <a:lin ang="5400000" scaled="0"/>
              </a:gradFill>
              <a:ln/>
              <a:effectLst/>
              <a:sp3d/>
            </c:spPr>
          </c:bandFmt>
          <c:bandFmt>
            <c:idx val="14"/>
            <c:spPr>
              <a:gradFill rotWithShape="1">
                <a:gsLst>
                  <a:gs pos="0">
                    <a:schemeClr val="accent5">
                      <a:lumMod val="60000"/>
                      <a:lumOff val="40000"/>
                      <a:satMod val="103000"/>
                      <a:lumMod val="102000"/>
                      <a:tint val="94000"/>
                    </a:schemeClr>
                  </a:gs>
                  <a:gs pos="50000">
                    <a:schemeClr val="accent5">
                      <a:lumMod val="60000"/>
                      <a:lumOff val="40000"/>
                      <a:satMod val="110000"/>
                      <a:lumMod val="100000"/>
                      <a:shade val="100000"/>
                    </a:schemeClr>
                  </a:gs>
                  <a:gs pos="100000">
                    <a:schemeClr val="accent5">
                      <a:lumMod val="60000"/>
                      <a:lumOff val="40000"/>
                      <a:lumMod val="99000"/>
                      <a:satMod val="120000"/>
                      <a:shade val="78000"/>
                    </a:schemeClr>
                  </a:gs>
                </a:gsLst>
                <a:lin ang="5400000" scaled="0"/>
              </a:gradFill>
              <a:ln/>
              <a:effectLst/>
              <a:sp3d/>
            </c:spPr>
          </c:bandFmt>
        </c:bandFmts>
        <c:axId val="476544448"/>
        <c:axId val="1"/>
        <c:axId val="2"/>
      </c:surfaceChart>
      <c:catAx>
        <c:axId val="47654444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TREE ROWS</a:t>
                </a:r>
              </a:p>
            </c:rich>
          </c:tx>
          <c:overlay val="0"/>
          <c:spPr>
            <a:noFill/>
            <a:ln>
              <a:noFill/>
            </a:ln>
            <a:effectLst/>
          </c:sp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FRONT OF PLOTS</a:t>
                </a:r>
              </a:p>
            </c:rich>
          </c:tx>
          <c:layout>
            <c:manualLayout>
              <c:xMode val="edge"/>
              <c:yMode val="edge"/>
              <c:x val="0.1718894212182458"/>
              <c:y val="0.36901968167727967"/>
            </c:manualLayout>
          </c:layout>
          <c:overlay val="0"/>
          <c:spPr>
            <a:noFill/>
            <a:ln>
              <a:noFill/>
            </a:ln>
            <a:effectLst/>
          </c:spPr>
        </c:title>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76544448"/>
        <c:crosses val="autoZero"/>
        <c:crossBetween val="midCat"/>
      </c:valAx>
      <c:serAx>
        <c:axId val="2"/>
        <c:scaling>
          <c:orientation val="minMax"/>
        </c:scaling>
        <c:delete val="0"/>
        <c:axPos val="b"/>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REAR OF PLOTS</a:t>
                </a:r>
              </a:p>
            </c:rich>
          </c:tx>
          <c:overlay val="0"/>
          <c:spPr>
            <a:noFill/>
            <a:ln>
              <a:noFill/>
            </a:ln>
            <a:effectLst/>
          </c:sp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
        <c:crosses val="autoZero"/>
        <c:tickLblSkip val="2"/>
        <c:tickMarkSkip val="1"/>
      </c:serAx>
      <c:spPr>
        <a:noFill/>
        <a:ln>
          <a:noFill/>
        </a:ln>
        <a:effectLst/>
      </c:spPr>
    </c:plotArea>
    <c:legend>
      <c:legendPos val="b"/>
      <c:layout>
        <c:manualLayout>
          <c:xMode val="edge"/>
          <c:yMode val="edge"/>
          <c:x val="0.35478678393651936"/>
          <c:y val="7.482076994904488E-2"/>
          <c:w val="0.28931852164612809"/>
          <c:h val="5.1378042655613403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BASE DIAMETER GROWTH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'BLOCK D'!$CD$107</c:f>
              <c:strCache>
                <c:ptCount val="1"/>
                <c:pt idx="0">
                  <c:v>Alder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'BLOCK D'!$CE$105:$CQ$106</c:f>
              <c:strCache>
                <c:ptCount val="13"/>
                <c:pt idx="0">
                  <c:v>Year 2</c:v>
                </c:pt>
                <c:pt idx="1">
                  <c:v>Year 3</c:v>
                </c:pt>
                <c:pt idx="2">
                  <c:v>Year 4</c:v>
                </c:pt>
                <c:pt idx="3">
                  <c:v>Year 5</c:v>
                </c:pt>
                <c:pt idx="4">
                  <c:v>Year 6</c:v>
                </c:pt>
                <c:pt idx="5">
                  <c:v>Year 7</c:v>
                </c:pt>
                <c:pt idx="6">
                  <c:v>Year 8</c:v>
                </c:pt>
                <c:pt idx="7">
                  <c:v>Year 9</c:v>
                </c:pt>
                <c:pt idx="8">
                  <c:v>Year 10 </c:v>
                </c:pt>
                <c:pt idx="9">
                  <c:v>Year 11</c:v>
                </c:pt>
                <c:pt idx="10">
                  <c:v>Year 12</c:v>
                </c:pt>
                <c:pt idx="11">
                  <c:v>Year 13</c:v>
                </c:pt>
                <c:pt idx="12">
                  <c:v>Year 14</c:v>
                </c:pt>
              </c:strCache>
              <c:extLst/>
            </c:strRef>
          </c:cat>
          <c:val>
            <c:numRef>
              <c:f>'BLOCK D'!$CE$107:$CQ$107</c:f>
              <c:numCache>
                <c:formatCode>General</c:formatCode>
                <c:ptCount val="13"/>
                <c:pt idx="0">
                  <c:v>5.56</c:v>
                </c:pt>
                <c:pt idx="1">
                  <c:v>7.56</c:v>
                </c:pt>
                <c:pt idx="2">
                  <c:v>7.65</c:v>
                </c:pt>
                <c:pt idx="3">
                  <c:v>9.6300000000000008</c:v>
                </c:pt>
                <c:pt idx="4">
                  <c:v>10.18</c:v>
                </c:pt>
                <c:pt idx="5">
                  <c:v>11.25</c:v>
                </c:pt>
                <c:pt idx="6">
                  <c:v>12.59</c:v>
                </c:pt>
                <c:pt idx="7">
                  <c:v>11.38</c:v>
                </c:pt>
                <c:pt idx="8">
                  <c:v>10.72</c:v>
                </c:pt>
                <c:pt idx="9">
                  <c:v>11.36</c:v>
                </c:pt>
                <c:pt idx="10">
                  <c:v>11.13</c:v>
                </c:pt>
                <c:pt idx="11">
                  <c:v>7.38</c:v>
                </c:pt>
                <c:pt idx="12">
                  <c:v>7.54</c:v>
                </c:pt>
              </c:numCache>
            </c:numRef>
          </c:val>
          <c:smooth val="0"/>
          <c:extLst>
            <c:ext xmlns:c16="http://schemas.microsoft.com/office/drawing/2014/chart" uri="{C3380CC4-5D6E-409C-BE32-E72D297353CC}">
              <c16:uniqueId val="{00000000-917B-4D6A-8DDB-C3C36A10A11C}"/>
            </c:ext>
          </c:extLst>
        </c:ser>
        <c:ser>
          <c:idx val="1"/>
          <c:order val="1"/>
          <c:tx>
            <c:strRef>
              <c:f>'BLOCK D'!$CD$108</c:f>
              <c:strCache>
                <c:ptCount val="1"/>
                <c:pt idx="0">
                  <c:v>Downy Birch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'BLOCK D'!$CE$105:$CQ$106</c:f>
              <c:strCache>
                <c:ptCount val="13"/>
                <c:pt idx="0">
                  <c:v>Year 2</c:v>
                </c:pt>
                <c:pt idx="1">
                  <c:v>Year 3</c:v>
                </c:pt>
                <c:pt idx="2">
                  <c:v>Year 4</c:v>
                </c:pt>
                <c:pt idx="3">
                  <c:v>Year 5</c:v>
                </c:pt>
                <c:pt idx="4">
                  <c:v>Year 6</c:v>
                </c:pt>
                <c:pt idx="5">
                  <c:v>Year 7</c:v>
                </c:pt>
                <c:pt idx="6">
                  <c:v>Year 8</c:v>
                </c:pt>
                <c:pt idx="7">
                  <c:v>Year 9</c:v>
                </c:pt>
                <c:pt idx="8">
                  <c:v>Year 10 </c:v>
                </c:pt>
                <c:pt idx="9">
                  <c:v>Year 11</c:v>
                </c:pt>
                <c:pt idx="10">
                  <c:v>Year 12</c:v>
                </c:pt>
                <c:pt idx="11">
                  <c:v>Year 13</c:v>
                </c:pt>
                <c:pt idx="12">
                  <c:v>Year 14</c:v>
                </c:pt>
              </c:strCache>
              <c:extLst/>
            </c:strRef>
          </c:cat>
          <c:val>
            <c:numRef>
              <c:f>'BLOCK D'!$CE$108:$CQ$108</c:f>
              <c:numCache>
                <c:formatCode>General</c:formatCode>
                <c:ptCount val="13"/>
                <c:pt idx="0">
                  <c:v>6.2</c:v>
                </c:pt>
                <c:pt idx="1">
                  <c:v>8.8000000000000007</c:v>
                </c:pt>
                <c:pt idx="2">
                  <c:v>13</c:v>
                </c:pt>
                <c:pt idx="3">
                  <c:v>20</c:v>
                </c:pt>
                <c:pt idx="4">
                  <c:v>29.4</c:v>
                </c:pt>
                <c:pt idx="5">
                  <c:v>35.799999999999997</c:v>
                </c:pt>
                <c:pt idx="6">
                  <c:v>40.4</c:v>
                </c:pt>
                <c:pt idx="7">
                  <c:v>47</c:v>
                </c:pt>
                <c:pt idx="8">
                  <c:v>55.6</c:v>
                </c:pt>
                <c:pt idx="9">
                  <c:v>67.400000000000006</c:v>
                </c:pt>
                <c:pt idx="10">
                  <c:v>75</c:v>
                </c:pt>
                <c:pt idx="11">
                  <c:v>82.4</c:v>
                </c:pt>
                <c:pt idx="12">
                  <c:v>100</c:v>
                </c:pt>
              </c:numCache>
            </c:numRef>
          </c:val>
          <c:smooth val="0"/>
          <c:extLst>
            <c:ext xmlns:c16="http://schemas.microsoft.com/office/drawing/2014/chart" uri="{C3380CC4-5D6E-409C-BE32-E72D297353CC}">
              <c16:uniqueId val="{00000001-917B-4D6A-8DDB-C3C36A10A11C}"/>
            </c:ext>
          </c:extLst>
        </c:ser>
        <c:ser>
          <c:idx val="2"/>
          <c:order val="2"/>
          <c:tx>
            <c:strRef>
              <c:f>'BLOCK D'!$CD$109</c:f>
              <c:strCache>
                <c:ptCount val="1"/>
                <c:pt idx="0">
                  <c:v>Goat Willow</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'BLOCK D'!$CE$105:$CQ$106</c:f>
              <c:strCache>
                <c:ptCount val="13"/>
                <c:pt idx="0">
                  <c:v>Year 2</c:v>
                </c:pt>
                <c:pt idx="1">
                  <c:v>Year 3</c:v>
                </c:pt>
                <c:pt idx="2">
                  <c:v>Year 4</c:v>
                </c:pt>
                <c:pt idx="3">
                  <c:v>Year 5</c:v>
                </c:pt>
                <c:pt idx="4">
                  <c:v>Year 6</c:v>
                </c:pt>
                <c:pt idx="5">
                  <c:v>Year 7</c:v>
                </c:pt>
                <c:pt idx="6">
                  <c:v>Year 8</c:v>
                </c:pt>
                <c:pt idx="7">
                  <c:v>Year 9</c:v>
                </c:pt>
                <c:pt idx="8">
                  <c:v>Year 10 </c:v>
                </c:pt>
                <c:pt idx="9">
                  <c:v>Year 11</c:v>
                </c:pt>
                <c:pt idx="10">
                  <c:v>Year 12</c:v>
                </c:pt>
                <c:pt idx="11">
                  <c:v>Year 13</c:v>
                </c:pt>
                <c:pt idx="12">
                  <c:v>Year 14</c:v>
                </c:pt>
              </c:strCache>
              <c:extLst/>
            </c:strRef>
          </c:cat>
          <c:val>
            <c:numRef>
              <c:f>'BLOCK D'!$CE$109:$CQ$109</c:f>
              <c:numCache>
                <c:formatCode>General</c:formatCode>
                <c:ptCount val="13"/>
                <c:pt idx="0">
                  <c:v>5</c:v>
                </c:pt>
                <c:pt idx="1">
                  <c:v>5.5</c:v>
                </c:pt>
                <c:pt idx="2">
                  <c:v>8.5</c:v>
                </c:pt>
                <c:pt idx="3">
                  <c:v>11.5</c:v>
                </c:pt>
                <c:pt idx="4">
                  <c:v>12</c:v>
                </c:pt>
                <c:pt idx="5">
                  <c:v>14</c:v>
                </c:pt>
                <c:pt idx="6">
                  <c:v>14.25</c:v>
                </c:pt>
                <c:pt idx="7">
                  <c:v>16</c:v>
                </c:pt>
                <c:pt idx="8">
                  <c:v>20.25</c:v>
                </c:pt>
                <c:pt idx="9">
                  <c:v>20.2</c:v>
                </c:pt>
                <c:pt idx="10">
                  <c:v>26.5</c:v>
                </c:pt>
                <c:pt idx="11">
                  <c:v>27</c:v>
                </c:pt>
                <c:pt idx="12">
                  <c:v>30.25</c:v>
                </c:pt>
              </c:numCache>
            </c:numRef>
          </c:val>
          <c:smooth val="0"/>
          <c:extLst>
            <c:ext xmlns:c16="http://schemas.microsoft.com/office/drawing/2014/chart" uri="{C3380CC4-5D6E-409C-BE32-E72D297353CC}">
              <c16:uniqueId val="{00000002-917B-4D6A-8DDB-C3C36A10A11C}"/>
            </c:ext>
          </c:extLst>
        </c:ser>
        <c:ser>
          <c:idx val="3"/>
          <c:order val="3"/>
          <c:tx>
            <c:strRef>
              <c:f>'BLOCK D'!$CD$110</c:f>
              <c:strCache>
                <c:ptCount val="1"/>
                <c:pt idx="0">
                  <c:v>Oak</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'BLOCK D'!$CE$105:$CQ$106</c:f>
              <c:strCache>
                <c:ptCount val="13"/>
                <c:pt idx="0">
                  <c:v>Year 2</c:v>
                </c:pt>
                <c:pt idx="1">
                  <c:v>Year 3</c:v>
                </c:pt>
                <c:pt idx="2">
                  <c:v>Year 4</c:v>
                </c:pt>
                <c:pt idx="3">
                  <c:v>Year 5</c:v>
                </c:pt>
                <c:pt idx="4">
                  <c:v>Year 6</c:v>
                </c:pt>
                <c:pt idx="5">
                  <c:v>Year 7</c:v>
                </c:pt>
                <c:pt idx="6">
                  <c:v>Year 8</c:v>
                </c:pt>
                <c:pt idx="7">
                  <c:v>Year 9</c:v>
                </c:pt>
                <c:pt idx="8">
                  <c:v>Year 10 </c:v>
                </c:pt>
                <c:pt idx="9">
                  <c:v>Year 11</c:v>
                </c:pt>
                <c:pt idx="10">
                  <c:v>Year 12</c:v>
                </c:pt>
                <c:pt idx="11">
                  <c:v>Year 13</c:v>
                </c:pt>
                <c:pt idx="12">
                  <c:v>Year 14</c:v>
                </c:pt>
              </c:strCache>
              <c:extLst/>
            </c:strRef>
          </c:cat>
          <c:val>
            <c:numRef>
              <c:f>'BLOCK D'!$CE$110:$CQ$110</c:f>
              <c:numCache>
                <c:formatCode>General</c:formatCode>
                <c:ptCount val="13"/>
                <c:pt idx="0">
                  <c:v>4.8899999999999997</c:v>
                </c:pt>
                <c:pt idx="1">
                  <c:v>6.28</c:v>
                </c:pt>
                <c:pt idx="2">
                  <c:v>6.17</c:v>
                </c:pt>
                <c:pt idx="3">
                  <c:v>7.35</c:v>
                </c:pt>
                <c:pt idx="4">
                  <c:v>5.14</c:v>
                </c:pt>
                <c:pt idx="5">
                  <c:v>5.6</c:v>
                </c:pt>
                <c:pt idx="6">
                  <c:v>6.6</c:v>
                </c:pt>
                <c:pt idx="7">
                  <c:v>5.6</c:v>
                </c:pt>
                <c:pt idx="8">
                  <c:v>5.57</c:v>
                </c:pt>
                <c:pt idx="9">
                  <c:v>5.71</c:v>
                </c:pt>
                <c:pt idx="10">
                  <c:v>6.53</c:v>
                </c:pt>
                <c:pt idx="11">
                  <c:v>6.57</c:v>
                </c:pt>
                <c:pt idx="12">
                  <c:v>6.32</c:v>
                </c:pt>
              </c:numCache>
            </c:numRef>
          </c:val>
          <c:smooth val="0"/>
          <c:extLst>
            <c:ext xmlns:c16="http://schemas.microsoft.com/office/drawing/2014/chart" uri="{C3380CC4-5D6E-409C-BE32-E72D297353CC}">
              <c16:uniqueId val="{00000003-917B-4D6A-8DDB-C3C36A10A11C}"/>
            </c:ext>
          </c:extLst>
        </c:ser>
        <c:ser>
          <c:idx val="4"/>
          <c:order val="4"/>
          <c:tx>
            <c:strRef>
              <c:f>'BLOCK D'!$CD$111</c:f>
              <c:strCache>
                <c:ptCount val="1"/>
                <c:pt idx="0">
                  <c:v>Silver Birch</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'BLOCK D'!$CE$105:$CQ$106</c:f>
              <c:strCache>
                <c:ptCount val="13"/>
                <c:pt idx="0">
                  <c:v>Year 2</c:v>
                </c:pt>
                <c:pt idx="1">
                  <c:v>Year 3</c:v>
                </c:pt>
                <c:pt idx="2">
                  <c:v>Year 4</c:v>
                </c:pt>
                <c:pt idx="3">
                  <c:v>Year 5</c:v>
                </c:pt>
                <c:pt idx="4">
                  <c:v>Year 6</c:v>
                </c:pt>
                <c:pt idx="5">
                  <c:v>Year 7</c:v>
                </c:pt>
                <c:pt idx="6">
                  <c:v>Year 8</c:v>
                </c:pt>
                <c:pt idx="7">
                  <c:v>Year 9</c:v>
                </c:pt>
                <c:pt idx="8">
                  <c:v>Year 10 </c:v>
                </c:pt>
                <c:pt idx="9">
                  <c:v>Year 11</c:v>
                </c:pt>
                <c:pt idx="10">
                  <c:v>Year 12</c:v>
                </c:pt>
                <c:pt idx="11">
                  <c:v>Year 13</c:v>
                </c:pt>
                <c:pt idx="12">
                  <c:v>Year 14</c:v>
                </c:pt>
              </c:strCache>
              <c:extLst/>
            </c:strRef>
          </c:cat>
          <c:val>
            <c:numRef>
              <c:f>'BLOCK D'!$CE$111:$CQ$111</c:f>
              <c:numCache>
                <c:formatCode>General</c:formatCode>
                <c:ptCount val="13"/>
                <c:pt idx="0">
                  <c:v>5.75</c:v>
                </c:pt>
                <c:pt idx="1">
                  <c:v>8.5</c:v>
                </c:pt>
                <c:pt idx="2">
                  <c:v>10.25</c:v>
                </c:pt>
                <c:pt idx="3">
                  <c:v>15</c:v>
                </c:pt>
                <c:pt idx="4">
                  <c:v>21</c:v>
                </c:pt>
                <c:pt idx="5">
                  <c:v>27.25</c:v>
                </c:pt>
                <c:pt idx="6">
                  <c:v>22.5</c:v>
                </c:pt>
                <c:pt idx="7">
                  <c:v>17.75</c:v>
                </c:pt>
                <c:pt idx="8">
                  <c:v>22.5</c:v>
                </c:pt>
                <c:pt idx="9">
                  <c:v>26</c:v>
                </c:pt>
                <c:pt idx="10">
                  <c:v>29.5</c:v>
                </c:pt>
                <c:pt idx="11">
                  <c:v>33.75</c:v>
                </c:pt>
                <c:pt idx="12">
                  <c:v>40</c:v>
                </c:pt>
              </c:numCache>
            </c:numRef>
          </c:val>
          <c:smooth val="0"/>
          <c:extLst>
            <c:ext xmlns:c16="http://schemas.microsoft.com/office/drawing/2014/chart" uri="{C3380CC4-5D6E-409C-BE32-E72D297353CC}">
              <c16:uniqueId val="{00000004-917B-4D6A-8DDB-C3C36A10A11C}"/>
            </c:ext>
          </c:extLst>
        </c:ser>
        <c:dLbls>
          <c:dLblPos val="ctr"/>
          <c:showLegendKey val="0"/>
          <c:showVal val="1"/>
          <c:showCatName val="0"/>
          <c:showSerName val="0"/>
          <c:showPercent val="0"/>
          <c:showBubbleSize val="0"/>
        </c:dLbls>
        <c:marker val="1"/>
        <c:smooth val="0"/>
        <c:axId val="279503296"/>
        <c:axId val="719254080"/>
      </c:lineChart>
      <c:catAx>
        <c:axId val="2795032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9254080"/>
        <c:crosses val="autoZero"/>
        <c:auto val="1"/>
        <c:lblAlgn val="ctr"/>
        <c:lblOffset val="100"/>
        <c:noMultiLvlLbl val="0"/>
      </c:catAx>
      <c:valAx>
        <c:axId val="719254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503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Welnd</b:Tag>
    <b:SourceType>InternetSite</b:SourceType>
    <b:Guid>{7D7B0DEE-B924-41DB-AC79-E4D3C70E65C3}</b:Guid>
    <b:Title>Vipond's</b:Title>
    <b:Year>nd</b:Year>
    <b:Author>
      <b:Author>
        <b:Corporate>Welsh Coal Mines</b:Corporate>
      </b:Author>
    </b:Author>
    <b:InternetSiteTitle>Welsh Coal Mines</b:InternetSiteTitle>
    <b:URL>http://www.welshcoalmines.co.uk/Gwent/Vipond's.htm</b:URL>
    <b:RefOrder>1</b:RefOrder>
  </b:Source>
  <b:Source>
    <b:Tag>Ree16</b:Tag>
    <b:SourceType>BookSection</b:SourceType>
    <b:Guid>{3E2EF182-E338-45EF-A623-895461EB99BD}</b:Guid>
    <b:Title>Tareni Colliery</b:Title>
    <b:Year>2016</b:Year>
    <b:Author>
      <b:Author>
        <b:NameList>
          <b:Person>
            <b:Last>Reed</b:Last>
            <b:First>Clive</b:First>
          </b:Person>
        </b:NameList>
      </b:Author>
      <b:BookAuthor>
        <b:NameList>
          <b:Person>
            <b:Last>Reed</b:Last>
            <b:First>Clive</b:First>
          </b:Person>
        </b:NameList>
      </b:BookAuthor>
    </b:Author>
    <b:City>Swansea</b:City>
    <b:Publisher>Etifediaeth Cwmtawe - Swansea Valley Heritage</b:Publisher>
    <b:Pages>166</b:Pages>
    <b:BookTitle>Tareni Colliery</b:BookTitle>
    <b:RefOrder>2</b:RefOrder>
  </b:Source>
  <b:Source>
    <b:Tag>Indnd</b:Tag>
    <b:SourceType>InternetSite</b:SourceType>
    <b:Guid>{30072D0C-9AE1-4BB6-AE93-95CE235549D3}</b:Guid>
    <b:Title>Varteg</b:Title>
    <b:Year>nd</b:Year>
    <b:Author>
      <b:Author>
        <b:Corporate>Industrial Gwent</b:Corporate>
      </b:Author>
    </b:Author>
    <b:InternetSiteTitle>Industrial Gwent</b:InternetSiteTitle>
    <b:URL>http://www.industrialgwent.co.uk/a43-varteg/index.htm</b:URL>
    <b:RefOrder>3</b:RefOrder>
  </b:Source>
  <b:Source>
    <b:Tag>Owe06</b:Tag>
    <b:SourceType>BookSection</b:SourceType>
    <b:Guid>{5B130369-56DE-420E-9F31-48EB58546842}</b:Guid>
    <b:Title>Collins Tree Guide</b:Title>
    <b:Year>2006</b:Year>
    <b:Author>
      <b:Author>
        <b:NameList>
          <b:Person>
            <b:Last>Johnson</b:Last>
            <b:First>Owen</b:First>
          </b:Person>
          <b:Person>
            <b:Last>Moore</b:Last>
            <b:First>David</b:First>
          </b:Person>
        </b:NameList>
      </b:Author>
      <b:BookAuthor>
        <b:NameList>
          <b:Person>
            <b:Last>Johnson</b:Last>
            <b:First>Owen</b:First>
          </b:Person>
          <b:Person>
            <b:Last>Moore</b:Last>
            <b:First>David</b:First>
          </b:Person>
        </b:NameList>
      </b:BookAuthor>
    </b:Author>
    <b:BookTitle>Collins Tree Guide</b:BookTitle>
    <b:Pages>190</b:Pages>
    <b:Publisher>Harper Collins</b:Publisher>
    <b:RefOrder>6</b:RefOrder>
  </b:Source>
  <b:Source>
    <b:Tag>Aut19</b:Tag>
    <b:SourceType>Misc</b:SourceType>
    <b:Guid>{4ABA2BC7-5A19-4A80-AA05-173441D51B2C}</b:Guid>
    <b:Title>Author Images</b:Title>
    <b:Year>2019</b:Year>
    <b:Month>October</b:Month>
    <b:Author>
      <b:Author>
        <b:Corporate>Author's Own</b:Corporate>
      </b:Author>
    </b:Author>
    <b:RefOrder>5</b:RefOrder>
  </b:Source>
  <b:Source>
    <b:Tag>Firnd</b:Tag>
    <b:SourceType>InternetSite</b:SourceType>
    <b:Guid>{441A79D5-9A5C-46B3-91BD-7F94084EAEE8}</b:Guid>
    <b:Title>Boletus Edulis</b:Title>
    <b:InternetSiteTitle>First-Nature</b:InternetSiteTitle>
    <b:Year>nd</b:Year>
    <b:URL>https://www.first-nature.com/fungi/boletus-edulis.php</b:URL>
    <b:Author>
      <b:Author>
        <b:Corporate>First Nature</b:Corporate>
      </b:Author>
    </b:Author>
    <b:RefOrder>12</b:RefOrder>
  </b:Source>
  <b:Source>
    <b:Tag>Rhi19</b:Tag>
    <b:SourceType>Report</b:SourceType>
    <b:Guid>{CEDE5272-926A-45D0-90BD-57E3A6F43866}</b:Guid>
    <b:Title>Varteg - Blaenavon 2019</b:Title>
    <b:Year>2019</b:Year>
    <b:Author>
      <b:Author>
        <b:NameList>
          <b:Person>
            <b:Last>Jenkins</b:Last>
            <b:First>Rhian</b:First>
          </b:Person>
        </b:NameList>
      </b:Author>
    </b:Author>
    <b:City>Swansea</b:City>
    <b:RefOrder>4</b:RefOrder>
  </b:Source>
  <b:Source>
    <b:Tag>Met15</b:Tag>
    <b:SourceType>DocumentFromInternetSite</b:SourceType>
    <b:Guid>{B0B8C488-FD12-477D-85F9-25F01B9E108E}</b:Guid>
    <b:Title>State of UK Climate</b:Title>
    <b:Year>2015</b:Year>
    <b:Author>
      <b:Author>
        <b:Corporate>Met Office</b:Corporate>
      </b:Author>
    </b:Author>
    <b:InternetSiteTitle>Met Office</b:InternetSiteTitle>
    <b:URL>https://www.metoffice.gov.uk/binaries/content/assets/metofficegovuk/pdf/weather/learn-about/uk-past-events/state-of-uk-climate/state-of-the-uk-climate-2014-v3.pdf</b:URL>
    <b:Month>September</b:Month>
    <b:Day>23</b:Day>
    <b:RefOrder>7</b:RefOrder>
  </b:Source>
  <b:Source>
    <b:Tag>Met16</b:Tag>
    <b:SourceType>DocumentFromInternetSite</b:SourceType>
    <b:Guid>{6908C2E4-BBC6-4809-BD9D-5F239A36AFC0}</b:Guid>
    <b:Title>State of Climate UK</b:Title>
    <b:Year>2016</b:Year>
    <b:Author>
      <b:Author>
        <b:Corporate>Met Office</b:Corporate>
      </b:Author>
    </b:Author>
    <b:InternetSiteTitle>Met Office</b:InternetSiteTitle>
    <b:URL>https://www.metoffice.gov.uk/binaries/content/assets/metofficegovuk/pdf/weather/learn-about/uk-past-events/state-of-uk-climate/mo-state-of-uk-climate-2015-v3.pdf</b:URL>
    <b:Month>July</b:Month>
    <b:Day>25</b:Day>
    <b:RefOrder>8</b:RefOrder>
  </b:Source>
  <b:Source>
    <b:Tag>Met17</b:Tag>
    <b:SourceType>DocumentFromInternetSite</b:SourceType>
    <b:Guid>{2B34240F-72BA-4395-B87B-ECF333AC576F}</b:Guid>
    <b:Author>
      <b:Author>
        <b:Corporate>Met Office</b:Corporate>
      </b:Author>
    </b:Author>
    <b:Title>State of UK Climate</b:Title>
    <b:InternetSiteTitle>Met Office</b:InternetSiteTitle>
    <b:Year>2017</b:Year>
    <b:Month>July</b:Month>
    <b:Day>27</b:Day>
    <b:URL>https://www.metoffice.gov.uk/binaries/content/assets/metofficegovuk/pdf/weather/learn-about/uk-past-events/state-of-uk-climate/mo-state-of-uk-climate-2016-v4.pdf</b:URL>
    <b:RefOrder>9</b:RefOrder>
  </b:Source>
  <b:Source>
    <b:Tag>Met18</b:Tag>
    <b:SourceType>DocumentFromInternetSite</b:SourceType>
    <b:Guid>{A3ADCF29-4262-449A-BA3C-0C57FCC343FB}</b:Guid>
    <b:Author>
      <b:Author>
        <b:Corporate>Met Office</b:Corporate>
      </b:Author>
    </b:Author>
    <b:Title>State of UK Climate</b:Title>
    <b:InternetSiteTitle>Royal Meteorological Society</b:InternetSiteTitle>
    <b:Year>2018</b:Year>
    <b:Month>July</b:Month>
    <b:Day>30</b:Day>
    <b:URL>https://rmets.onlinelibrary.wiley.com/doi/10.1002/joc.5798</b:URL>
    <b:RefOrder>10</b:RefOrder>
  </b:Source>
  <b:Source>
    <b:Tag>Roynd</b:Tag>
    <b:SourceType>InternetSite</b:SourceType>
    <b:Guid>{B1E48F9D-E330-4287-A771-AD89003B2487}</b:Guid>
    <b:Title>Ulex Europaeus</b:Title>
    <b:InternetSiteTitle>Royal Horticultural Society</b:InternetSiteTitle>
    <b:Year>nd</b:Year>
    <b:URL>https://www.rhs.org.uk/plants/18575/Ulex-europaeus/Details</b:URL>
    <b:Author>
      <b:Author>
        <b:Corporate>Royal Horticultural Society</b:Corporate>
      </b:Author>
    </b:Author>
    <b:RefOrder>13</b:RefOrder>
  </b:Source>
  <b:Source>
    <b:Tag>Met19</b:Tag>
    <b:SourceType>DocumentFromInternetSite</b:SourceType>
    <b:Guid>{980F87B4-1CF8-497E-B4B7-3644A8C1FC57}</b:Guid>
    <b:Title>State of UK Climate</b:Title>
    <b:InternetSiteTitle>Royal Meteorological Society</b:InternetSiteTitle>
    <b:Year>2019</b:Year>
    <b:Month>July</b:Month>
    <b:Day>30</b:Day>
    <b:URL>https://rmets.onlinelibrary.wiley.com/doi/full/10.1002/joc.6213</b:URL>
    <b:Author>
      <b:Author>
        <b:Corporate>Met Office</b:Corporate>
      </b:Author>
    </b:Author>
    <b:RefOrder>11</b:RefOrder>
  </b:Source>
  <b:Source>
    <b:Tag>Roynd1</b:Tag>
    <b:SourceType>InternetSite</b:SourceType>
    <b:Guid>{62C53142-C4C9-4A9F-A1A6-4EAFB2CE0356}</b:Guid>
    <b:Author>
      <b:Author>
        <b:Corporate>Royal Horticultural Society</b:Corporate>
      </b:Author>
    </b:Author>
    <b:Title>Hardy Heathers</b:Title>
    <b:InternetSiteTitle>Royal Horticultural Society</b:InternetSiteTitle>
    <b:Year>nd</b:Year>
    <b:URL>https://www.rhs.org.uk/advice/profile?PID=1003</b:URL>
    <b:RefOrder>14</b:RefOrder>
  </b:Source>
</b:Sources>
</file>

<file path=customXml/itemProps1.xml><?xml version="1.0" encoding="utf-8"?>
<ds:datastoreItem xmlns:ds="http://schemas.openxmlformats.org/officeDocument/2006/customXml" ds:itemID="{15EE5B3A-C626-4D05-9378-C9BDCAE4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Rhian Jenkins</cp:lastModifiedBy>
  <cp:revision>2</cp:revision>
  <dcterms:created xsi:type="dcterms:W3CDTF">2020-06-30T08:33:00Z</dcterms:created>
  <dcterms:modified xsi:type="dcterms:W3CDTF">2020-06-30T08:33:00Z</dcterms:modified>
</cp:coreProperties>
</file>