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A4900" w14:textId="77777777" w:rsidR="00EB3C8D" w:rsidRDefault="00000000">
      <w:pPr>
        <w:spacing w:before="720" w:after="240"/>
        <w:jc w:val="center"/>
      </w:pPr>
      <w:r>
        <w:rPr>
          <w:b/>
          <w:bCs/>
          <w:sz w:val="36"/>
          <w:szCs w:val="36"/>
        </w:rPr>
        <w:t>A Comparative Security Assessment of AI-Assisted Software Development Across Developer Expertise Levels</w:t>
      </w:r>
    </w:p>
    <w:p w14:paraId="084F7D90" w14:textId="77777777" w:rsidR="00EB3C8D" w:rsidRDefault="00000000">
      <w:pPr>
        <w:spacing w:after="120"/>
        <w:jc w:val="center"/>
      </w:pPr>
      <w:r>
        <w:rPr>
          <w:i/>
          <w:iCs/>
          <w:sz w:val="26"/>
          <w:szCs w:val="26"/>
        </w:rPr>
        <w:t>MSc Computing — Research Proposal</w:t>
      </w:r>
    </w:p>
    <w:p w14:paraId="6C90BAC0" w14:textId="77777777" w:rsidR="00EB3C8D" w:rsidRDefault="00000000">
      <w:pPr>
        <w:spacing w:after="120"/>
        <w:jc w:val="center"/>
      </w:pPr>
      <w:r>
        <w:t>Module: ACFA7004</w:t>
      </w:r>
    </w:p>
    <w:p w14:paraId="13721BA2" w14:textId="77777777" w:rsidR="006E7B81" w:rsidRDefault="006E7B81">
      <w:pPr>
        <w:spacing w:before="240" w:after="80"/>
        <w:jc w:val="center"/>
      </w:pPr>
    </w:p>
    <w:p w14:paraId="093F8103" w14:textId="246A0C99" w:rsidR="00EB3C8D" w:rsidRDefault="00000000">
      <w:pPr>
        <w:spacing w:before="240" w:after="80"/>
        <w:jc w:val="center"/>
      </w:pPr>
      <w:r>
        <w:rPr>
          <w:b/>
          <w:bCs/>
        </w:rPr>
        <w:t>Abstract</w:t>
      </w:r>
    </w:p>
    <w:p w14:paraId="64450A62" w14:textId="27AE1FE7" w:rsidR="00EB3C8D" w:rsidRDefault="001A077C">
      <w:pPr>
        <w:spacing w:before="80" w:after="80" w:line="264" w:lineRule="auto"/>
        <w:ind w:left="720" w:right="720"/>
        <w:jc w:val="both"/>
      </w:pPr>
      <w:r>
        <w:rPr>
          <w:sz w:val="22"/>
          <w:szCs w:val="22"/>
        </w:rPr>
        <w:t xml:space="preserve">The </w:t>
      </w:r>
      <w:r w:rsidR="00202627">
        <w:rPr>
          <w:sz w:val="22"/>
          <w:szCs w:val="22"/>
        </w:rPr>
        <w:t xml:space="preserve">increasing </w:t>
      </w:r>
      <w:r>
        <w:rPr>
          <w:sz w:val="22"/>
          <w:szCs w:val="22"/>
        </w:rPr>
        <w:t xml:space="preserve">availability of </w:t>
      </w:r>
      <w:r w:rsidR="00000000">
        <w:rPr>
          <w:sz w:val="22"/>
          <w:szCs w:val="22"/>
        </w:rPr>
        <w:t xml:space="preserve">AI tools have made it possible for almost anyone to build and deploy </w:t>
      </w:r>
      <w:r w:rsidR="00EC6A35">
        <w:rPr>
          <w:sz w:val="22"/>
          <w:szCs w:val="22"/>
        </w:rPr>
        <w:t>code</w:t>
      </w:r>
      <w:r w:rsidR="00000000">
        <w:rPr>
          <w:sz w:val="22"/>
          <w:szCs w:val="22"/>
        </w:rPr>
        <w:t xml:space="preserve">. </w:t>
      </w:r>
      <w:r w:rsidR="00EC6A35">
        <w:rPr>
          <w:sz w:val="22"/>
          <w:szCs w:val="22"/>
        </w:rPr>
        <w:t>It can be</w:t>
      </w:r>
      <w:r w:rsidR="00000000">
        <w:rPr>
          <w:sz w:val="22"/>
          <w:szCs w:val="22"/>
        </w:rPr>
        <w:t xml:space="preserve"> genuinely useful</w:t>
      </w:r>
      <w:r>
        <w:rPr>
          <w:sz w:val="22"/>
          <w:szCs w:val="22"/>
        </w:rPr>
        <w:t xml:space="preserve"> but</w:t>
      </w:r>
      <w:r w:rsidR="00000000">
        <w:rPr>
          <w:sz w:val="22"/>
          <w:szCs w:val="22"/>
        </w:rPr>
        <w:t xml:space="preserve"> </w:t>
      </w:r>
      <w:r w:rsidR="004802B0">
        <w:rPr>
          <w:sz w:val="22"/>
          <w:szCs w:val="22"/>
        </w:rPr>
        <w:t>it</w:t>
      </w:r>
      <w:r w:rsidR="00000000">
        <w:rPr>
          <w:sz w:val="22"/>
          <w:szCs w:val="22"/>
        </w:rPr>
        <w:t xml:space="preserve"> also raises </w:t>
      </w:r>
      <w:r w:rsidR="00EC6A35">
        <w:rPr>
          <w:sz w:val="22"/>
          <w:szCs w:val="22"/>
        </w:rPr>
        <w:t>security concerns</w:t>
      </w:r>
      <w:r w:rsidR="00000000">
        <w:rPr>
          <w:sz w:val="22"/>
          <w:szCs w:val="22"/>
        </w:rPr>
        <w:t xml:space="preserve"> nobody has </w:t>
      </w:r>
      <w:r w:rsidR="00EC6A35">
        <w:rPr>
          <w:sz w:val="22"/>
          <w:szCs w:val="22"/>
        </w:rPr>
        <w:t>addressed</w:t>
      </w:r>
      <w:r w:rsidR="00000000">
        <w:rPr>
          <w:sz w:val="22"/>
          <w:szCs w:val="22"/>
        </w:rPr>
        <w:t xml:space="preserve"> yet: does it matter who is holding the tool? This pilot study investigates whether the technical background of the person directing an AI development tool produces a measurable difference in the security of the system they build with it. Eight participants, four with no professional technical background and four with a minimum of three years of experience in software-related roles, will </w:t>
      </w:r>
      <w:r w:rsidR="00EC6A35">
        <w:rPr>
          <w:sz w:val="22"/>
          <w:szCs w:val="22"/>
        </w:rPr>
        <w:t>be given full independency to</w:t>
      </w:r>
      <w:r w:rsidR="00000000">
        <w:rPr>
          <w:sz w:val="22"/>
          <w:szCs w:val="22"/>
        </w:rPr>
        <w:t xml:space="preserve"> build and deploy a three-tier web application using Claude and Claude Code under identical conditions. All deployed systems will be </w:t>
      </w:r>
      <w:r w:rsidR="00EC6A35">
        <w:rPr>
          <w:sz w:val="22"/>
          <w:szCs w:val="22"/>
        </w:rPr>
        <w:t>evaluated</w:t>
      </w:r>
      <w:r w:rsidR="00000000">
        <w:rPr>
          <w:sz w:val="22"/>
          <w:szCs w:val="22"/>
        </w:rPr>
        <w:t xml:space="preserve"> by an independent third-party security professional using static code analysis (Semgrep, Bandit), dynamic application testing (Burp Suite), infrastructure misconfiguration review (Prowler), and </w:t>
      </w:r>
      <w:r w:rsidR="00EC6A35">
        <w:rPr>
          <w:sz w:val="22"/>
          <w:szCs w:val="22"/>
        </w:rPr>
        <w:t>pentesting</w:t>
      </w:r>
      <w:r w:rsidR="00000000">
        <w:rPr>
          <w:sz w:val="22"/>
          <w:szCs w:val="22"/>
        </w:rPr>
        <w:t>. Every finding will be scored using CVSS v3.1 and categorised against the OWASP Top 10</w:t>
      </w:r>
      <w:r w:rsidR="004802B0">
        <w:rPr>
          <w:sz w:val="22"/>
          <w:szCs w:val="22"/>
        </w:rPr>
        <w:t>.</w:t>
      </w:r>
      <w:r w:rsidR="00000000">
        <w:rPr>
          <w:sz w:val="22"/>
          <w:szCs w:val="22"/>
        </w:rPr>
        <w:t xml:space="preserve"> </w:t>
      </w:r>
      <w:r w:rsidR="004802B0" w:rsidRPr="004802B0">
        <w:rPr>
          <w:sz w:val="22"/>
          <w:szCs w:val="22"/>
        </w:rPr>
        <w:t>Given the sample size, findings will be treated as exploratory rather than definitive</w:t>
      </w:r>
      <w:r w:rsidR="00000000">
        <w:rPr>
          <w:sz w:val="22"/>
          <w:szCs w:val="22"/>
        </w:rPr>
        <w:t>. The study’s primary contribution is not statistical certainty but a replicable methodology and a first empirical dataset on a question that current literature has raised but not tested.</w:t>
      </w:r>
    </w:p>
    <w:p w14:paraId="47AC3794" w14:textId="77777777" w:rsidR="00EB3C8D" w:rsidRDefault="00000000">
      <w:pPr>
        <w:spacing w:before="120" w:after="600"/>
        <w:jc w:val="center"/>
      </w:pPr>
      <w:r>
        <w:rPr>
          <w:b/>
          <w:bCs/>
          <w:i/>
          <w:iCs/>
          <w:sz w:val="22"/>
          <w:szCs w:val="22"/>
        </w:rPr>
        <w:t>Index Terms</w:t>
      </w:r>
      <w:r>
        <w:rPr>
          <w:i/>
          <w:iCs/>
          <w:sz w:val="22"/>
          <w:szCs w:val="22"/>
        </w:rPr>
        <w:t xml:space="preserve"> — AI-assisted development, software security, developer expertise, vulnerability assessment, CVSS, penetration testing</w:t>
      </w:r>
    </w:p>
    <w:p w14:paraId="34DD0AC6" w14:textId="77777777" w:rsidR="00EB3C8D" w:rsidRDefault="00000000">
      <w:r>
        <w:br w:type="page"/>
      </w:r>
    </w:p>
    <w:p w14:paraId="1EF317E3" w14:textId="77777777" w:rsidR="00EB3C8D" w:rsidRDefault="00000000">
      <w:pPr>
        <w:pStyle w:val="Heading1"/>
        <w:spacing w:before="400"/>
      </w:pPr>
      <w:r>
        <w:lastRenderedPageBreak/>
        <w:t>1. Introduction</w:t>
      </w:r>
    </w:p>
    <w:p w14:paraId="6EE81DA7" w14:textId="77777777" w:rsidR="00EB3C8D" w:rsidRDefault="00000000">
      <w:pPr>
        <w:pStyle w:val="Heading2"/>
        <w:spacing w:before="280"/>
      </w:pPr>
      <w:r>
        <w:t>1.1 Background</w:t>
      </w:r>
    </w:p>
    <w:p w14:paraId="59C686BA" w14:textId="263649E6" w:rsidR="00EB3C8D" w:rsidRDefault="00000000">
      <w:pPr>
        <w:spacing w:before="120" w:after="160" w:line="276" w:lineRule="auto"/>
        <w:jc w:val="both"/>
      </w:pPr>
      <w:r>
        <w:t xml:space="preserve">Generative AI tools have made software development accessible to almost anyone. Platforms like GitHub Copilot, ChatGPT, and Claude can take a plain English description and return working code, deployment scripts, and infrastructure configuration with minimal effort from the person asking </w:t>
      </w:r>
      <w:sdt>
        <w:sdtPr>
          <w:rPr>
            <w:color w:val="000000"/>
            <w:highlight w:val="white"/>
          </w:rPr>
          <w:alias w:val="Citation"/>
          <w:tag w:val="{&quot;referencesIds&quot;:[&quot;doc:69fd108415e256509edebe81&quot;],&quot;referencesOptions&quot;:{&quot;doc:69fd108415e256509edebe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312615,&quot;citationText&quot;:&quot;&lt;span style=\&quot;font-family:Times New Roman;font-size:16px;color:#000000\&quot;&gt;[1]&lt;/span&gt;&quot;}"/>
          <w:id w:val="-83312615"/>
          <w:placeholder>
            <w:docPart w:val="DDB2D974D4909840A8B7A7426802B4D0"/>
          </w:placeholder>
        </w:sdtPr>
        <w:sdtContent>
          <w:r w:rsidR="00202627">
            <w:rPr>
              <w:color w:val="000000"/>
            </w:rPr>
            <w:t>[1]</w:t>
          </w:r>
        </w:sdtContent>
      </w:sdt>
      <w:r>
        <w:t>. For experienced engineers, this is a powerful accelerant. For everyone else, it raises a question that has not been studied in any controlled way: what happens to the security of the systems being built when the person directing the AI has no technical background to draw on?</w:t>
      </w:r>
    </w:p>
    <w:p w14:paraId="302B7F8A" w14:textId="76BFE02E" w:rsidR="00EB3C8D" w:rsidRDefault="00000000">
      <w:pPr>
        <w:spacing w:before="120" w:after="160" w:line="276" w:lineRule="auto"/>
        <w:jc w:val="both"/>
      </w:pPr>
      <w:r>
        <w:t>A three-tier web application, the kind that handles user accounts, stores personal data, and exposes an API to the internet, is not a simple art</w:t>
      </w:r>
      <w:r w:rsidR="00C56FC0">
        <w:t>i</w:t>
      </w:r>
      <w:r>
        <w:t xml:space="preserve">fact. It carries an attack surface that spans authentication design, input validation, database access controls, secrets management, and network configuration. Getting any of those wrong in a way that creates a vulnerability is easy even for experienced developers </w:t>
      </w:r>
      <w:sdt>
        <w:sdtPr>
          <w:rPr>
            <w:color w:val="000000"/>
            <w:highlight w:val="white"/>
          </w:rPr>
          <w:alias w:val="Citation"/>
          <w:tag w:val="{&quot;referencesIds&quot;:[&quot;doc:69fd109e830abe4ffc2e2d39&quot;],&quot;referencesOptions&quot;:{&quot;doc:69fd109e830abe4ffc2e2d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116580,&quot;citationText&quot;:&quot;&lt;span style=\&quot;font-family:Times New Roman;font-size:16px;color:#000000\&quot;&gt;[2]&lt;/span&gt;&quot;}"/>
          <w:id w:val="298116580"/>
          <w:placeholder>
            <w:docPart w:val="D1B8DD7BD1A67940A2A4A03E8312C558"/>
          </w:placeholder>
        </w:sdtPr>
        <w:sdtContent>
          <w:r w:rsidR="00202627">
            <w:rPr>
              <w:color w:val="000000"/>
            </w:rPr>
            <w:t>[2]</w:t>
          </w:r>
        </w:sdtContent>
      </w:sdt>
      <w:r>
        <w:t>. For someone with no technical background relying entirely on AI output, the risk of not knowing what to look for, or what questions to even ask, is considerably higher.</w:t>
      </w:r>
    </w:p>
    <w:p w14:paraId="43AE0CE9" w14:textId="302BF844" w:rsidR="008A426F" w:rsidRDefault="008A426F">
      <w:pPr>
        <w:spacing w:before="120" w:after="160" w:line="276" w:lineRule="auto"/>
        <w:jc w:val="both"/>
      </w:pPr>
      <w:r>
        <w:t xml:space="preserve">AI tools are increasingly being used by </w:t>
      </w:r>
      <w:r>
        <w:t>technically experienced practitioners</w:t>
      </w:r>
      <w:r>
        <w:t xml:space="preserve">, but even then it can still contain security issues. With the use of AI, software engineers increased the speed of their deliveries, also causing deadlines to get shorter. Stakeholders, directors, product managers will want to deliver more features faster, </w:t>
      </w:r>
      <w:r w:rsidR="00C56FC0">
        <w:t>putting more pressure on the developers, causing them to overlook common security issues in order to deliver faster.</w:t>
      </w:r>
    </w:p>
    <w:p w14:paraId="1C29741C" w14:textId="77777777" w:rsidR="00EB3C8D" w:rsidRDefault="00000000">
      <w:pPr>
        <w:pStyle w:val="Heading2"/>
        <w:spacing w:before="280"/>
      </w:pPr>
      <w:r>
        <w:t>1.2 Research Problem</w:t>
      </w:r>
    </w:p>
    <w:p w14:paraId="7D5829F0" w14:textId="11CABF45" w:rsidR="00EB3C8D" w:rsidRDefault="00000000">
      <w:pPr>
        <w:spacing w:before="120" w:after="160" w:line="276" w:lineRule="auto"/>
        <w:jc w:val="both"/>
      </w:pPr>
      <w:r>
        <w:t xml:space="preserve">The research problem is straightforward to state but has not been tested: does the technical expertise of the person using an AI development tool influence the security of the system they produce with it? </w:t>
      </w:r>
      <w:r w:rsidR="00EC6A35">
        <w:t>The question is not focused on</w:t>
      </w:r>
      <w:r>
        <w:t xml:space="preserve"> the AI model itself. </w:t>
      </w:r>
      <w:r w:rsidR="00EC6A35">
        <w:t>Many studies</w:t>
      </w:r>
      <w:r>
        <w:t xml:space="preserve"> have repeatedly shown that current tools generate code containing exploitable vulnerabilities at a non-trivial rate</w:t>
      </w:r>
      <w:r w:rsidR="00C90961">
        <w:t xml:space="preserve"> </w:t>
      </w:r>
      <w:sdt>
        <w:sdtPr>
          <w:rPr>
            <w:color w:val="000000"/>
            <w:highlight w:val="white"/>
          </w:rPr>
          <w:alias w:val="Citation"/>
          <w:tag w:val="{&quot;referencesIds&quot;:[&quot;doc:69fd109e830abe4ffc2e2d39&quot;],&quot;referencesOptions&quot;:{&quot;doc:69fd109e830abe4ffc2e2d39&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93061617,&quot;citationText&quot;:&quot;&lt;span style=\&quot;font-family:Times New Roman;font-size:16px;color:#000000\&quot;&gt;[2]&lt;/span&gt;&quot;}"/>
          <w:id w:val="-293061617"/>
          <w:placeholder>
            <w:docPart w:val="CFF351041FBBD84CA37232DD63526957"/>
          </w:placeholder>
        </w:sdtPr>
        <w:sdtContent>
          <w:r w:rsidR="00202627">
            <w:rPr>
              <w:color w:val="000000"/>
            </w:rPr>
            <w:t>[2]</w:t>
          </w:r>
        </w:sdtContent>
      </w:sdt>
      <w:sdt>
        <w:sdtPr>
          <w:rPr>
            <w:color w:val="000000"/>
            <w:highlight w:val="white"/>
          </w:rPr>
          <w:alias w:val="Citation"/>
          <w:tag w:val="{&quot;referencesIds&quot;:[&quot;doc:69fd10ad381ffd4d1212d367&quot;],&quot;referencesOptions&quot;:{&quot;doc:69fd10ad381ffd4d1212d3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2484547,&quot;citationText&quot;:&quot;&lt;span style=\&quot;font-family:Times New Roman;font-size:16px;color:#000000\&quot;&gt;[3]&lt;/span&gt;&quot;}"/>
          <w:id w:val="-812484547"/>
          <w:placeholder>
            <w:docPart w:val="FA040837DB861447A3C588E0FAAA6215"/>
          </w:placeholder>
        </w:sdtPr>
        <w:sdtContent>
          <w:r w:rsidR="00202627">
            <w:rPr>
              <w:color w:val="000000"/>
            </w:rPr>
            <w:t>[3]</w:t>
          </w:r>
        </w:sdtContent>
      </w:sdt>
      <w:sdt>
        <w:sdtPr>
          <w:rPr>
            <w:color w:val="000000"/>
            <w:highlight w:val="white"/>
          </w:rPr>
          <w:alias w:val="Citation"/>
          <w:tag w:val="{&quot;referencesIds&quot;:[&quot;doc:69fd10bb66ddd8617ecb3bf7&quot;],&quot;referencesOptions&quot;:{&quot;doc:69fd10bb66ddd8617ecb3b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6508263,&quot;citationText&quot;:&quot;&lt;span style=\&quot;font-family:Times New Roman;font-size:16px;color:#000000\&quot;&gt;[4]&lt;/span&gt;&quot;}"/>
          <w:id w:val="-896508263"/>
          <w:placeholder>
            <w:docPart w:val="B8FABC1DB4A22C48A9CE7F79DBB5CB4A"/>
          </w:placeholder>
        </w:sdtPr>
        <w:sdtContent>
          <w:r w:rsidR="00202627">
            <w:rPr>
              <w:color w:val="000000"/>
            </w:rPr>
            <w:t>[4]</w:t>
          </w:r>
        </w:sdtContent>
      </w:sdt>
      <w:r>
        <w:t>. What has not been studied is how differently those outputs land depending on who is receiving them.</w:t>
      </w:r>
    </w:p>
    <w:p w14:paraId="3A4DDF3D" w14:textId="77777777" w:rsidR="00EB3C8D" w:rsidRDefault="00000000">
      <w:pPr>
        <w:spacing w:before="120" w:after="160" w:line="276" w:lineRule="auto"/>
        <w:jc w:val="both"/>
      </w:pPr>
      <w:r>
        <w:t>A non-expert user and an experienced solutions architect given the same AI tool and the same task will produce very different systems, not because the AI behaves differently, but because the experienced practitioner will bring prior knowledge to bear on the outputs they receive. They are more likely to catch an insecure pattern, more likely to apply additional controls the AI did not suggest, and more likely to configure their deployment environment with some security awareness. Whether this translates into a statistically meaningful improvement in security posture is what this study will measure.</w:t>
      </w:r>
    </w:p>
    <w:p w14:paraId="19131E7C" w14:textId="77777777" w:rsidR="00CC50D6" w:rsidRDefault="00CC50D6">
      <w:pPr>
        <w:pStyle w:val="Heading2"/>
        <w:spacing w:before="280"/>
      </w:pPr>
    </w:p>
    <w:p w14:paraId="48EC4123" w14:textId="77777777" w:rsidR="00CC50D6" w:rsidRDefault="00CC50D6">
      <w:pPr>
        <w:pStyle w:val="Heading2"/>
        <w:spacing w:before="280"/>
      </w:pPr>
    </w:p>
    <w:p w14:paraId="59BF031B" w14:textId="0D852BC1" w:rsidR="00EB3C8D" w:rsidRDefault="00000000">
      <w:pPr>
        <w:pStyle w:val="Heading2"/>
        <w:spacing w:before="280"/>
      </w:pPr>
      <w:r>
        <w:lastRenderedPageBreak/>
        <w:t>1.3 Research Aim and Objectives</w:t>
      </w:r>
    </w:p>
    <w:p w14:paraId="0FE6FB27" w14:textId="77777777" w:rsidR="00EB3C8D" w:rsidRDefault="00000000">
      <w:pPr>
        <w:spacing w:before="120" w:after="160" w:line="276" w:lineRule="auto"/>
        <w:jc w:val="both"/>
      </w:pPr>
      <w:r>
        <w:t>This research aims to empirically compare the security posture of AI-assisted three-tier software systems built by non-technical users against those built by technically experienced practitioners, using independent security assessment under controlled conditions.</w:t>
      </w:r>
    </w:p>
    <w:p w14:paraId="2B3DC091" w14:textId="77777777" w:rsidR="00EB3C8D" w:rsidRDefault="00000000">
      <w:pPr>
        <w:spacing w:before="120" w:after="160" w:line="276" w:lineRule="auto"/>
        <w:jc w:val="both"/>
      </w:pPr>
      <w:r>
        <w:t>To reach that aim, the following objectives structure the work:</w:t>
      </w:r>
    </w:p>
    <w:p w14:paraId="7B113365" w14:textId="77777777" w:rsidR="00EB3C8D" w:rsidRDefault="00000000">
      <w:pPr>
        <w:pStyle w:val="ListParagraph"/>
        <w:numPr>
          <w:ilvl w:val="0"/>
          <w:numId w:val="2"/>
        </w:numPr>
        <w:spacing w:before="60" w:after="60"/>
      </w:pPr>
      <w:r>
        <w:t>Recruit eight participants and assign four to Group A (no professional technical background) and four to Group B (minimum three years of professional experience in software development, solutions architecture, cybersecurity, or a comparable discipline).</w:t>
      </w:r>
    </w:p>
    <w:p w14:paraId="5DED96C9" w14:textId="77777777" w:rsidR="00EB3C8D" w:rsidRDefault="00000000">
      <w:pPr>
        <w:pStyle w:val="ListParagraph"/>
        <w:numPr>
          <w:ilvl w:val="0"/>
          <w:numId w:val="2"/>
        </w:numPr>
        <w:spacing w:before="60" w:after="60"/>
      </w:pPr>
      <w:r>
        <w:t>Produce a controlled task brief requiring all eight participants to independently design, build, and deploy a three-tier web application using Claude and Claude Code as the primary development tools, under identical constraints.</w:t>
      </w:r>
    </w:p>
    <w:p w14:paraId="7EBE88D6" w14:textId="77777777" w:rsidR="00EB3C8D" w:rsidRDefault="00000000">
      <w:pPr>
        <w:pStyle w:val="ListParagraph"/>
        <w:numPr>
          <w:ilvl w:val="0"/>
          <w:numId w:val="2"/>
        </w:numPr>
        <w:spacing w:before="60" w:after="60"/>
      </w:pPr>
      <w:r>
        <w:t>Commission an independent third-party security assessment of all eight deployed systems covering static code analysis, dynamic application testing, infrastructure misconfiguration review, and penetration testing.</w:t>
      </w:r>
    </w:p>
    <w:p w14:paraId="6E94888E" w14:textId="77777777" w:rsidR="00EB3C8D" w:rsidRDefault="00000000">
      <w:pPr>
        <w:pStyle w:val="ListParagraph"/>
        <w:numPr>
          <w:ilvl w:val="0"/>
          <w:numId w:val="2"/>
        </w:numPr>
        <w:spacing w:before="60" w:after="60"/>
      </w:pPr>
      <w:r>
        <w:t>Measure and compare the security posture of each group using CVSS v3.1 scoring, OWASP Top 10 categorisation, vulnerability counts by severity band, and the presence of specific high-risk conditions such as hardcoded credentials and exposed services.</w:t>
      </w:r>
    </w:p>
    <w:p w14:paraId="5347915E" w14:textId="77777777" w:rsidR="00EB3C8D" w:rsidRDefault="00000000">
      <w:pPr>
        <w:pStyle w:val="ListParagraph"/>
        <w:numPr>
          <w:ilvl w:val="0"/>
          <w:numId w:val="2"/>
        </w:numPr>
        <w:spacing w:before="60" w:after="60"/>
      </w:pPr>
      <w:r>
        <w:t>Determine whether technical expertise is a meaningful predictor of security outcome in this context.</w:t>
      </w:r>
    </w:p>
    <w:p w14:paraId="7BA09EA2" w14:textId="77777777" w:rsidR="00EB3C8D" w:rsidRDefault="00000000">
      <w:pPr>
        <w:pStyle w:val="ListParagraph"/>
        <w:numPr>
          <w:ilvl w:val="0"/>
          <w:numId w:val="2"/>
        </w:numPr>
        <w:spacing w:before="60" w:after="60"/>
      </w:pPr>
      <w:r>
        <w:t>Produce recommendations for secure AI-assisted development practice applicable to both individual users and the organisations that deploy AI tools across mixed-expertise teams.</w:t>
      </w:r>
    </w:p>
    <w:p w14:paraId="5BF2A4BC" w14:textId="77777777" w:rsidR="00EB3C8D" w:rsidRDefault="00000000">
      <w:pPr>
        <w:pStyle w:val="Heading2"/>
        <w:spacing w:before="280"/>
      </w:pPr>
      <w:r>
        <w:t>1.4 Why This Study Matters</w:t>
      </w:r>
    </w:p>
    <w:p w14:paraId="06A6B21E" w14:textId="77777777" w:rsidR="00EB3C8D" w:rsidRDefault="00000000">
      <w:pPr>
        <w:spacing w:before="120" w:after="160" w:line="276" w:lineRule="auto"/>
        <w:jc w:val="both"/>
      </w:pPr>
      <w:r>
        <w:t>There is a practical urgency to this question. AI development tools are being adopted by organisations whose staff span the full range of technical experience, from senior engineers to non-technical domain experts who have been given access to AI tools to build internal tooling and automate workflows. The security implications of this are not theoretical. Systems built without security awareness and deployed to production create real exposure for the organisations running them and for the users whose data those systems handle.</w:t>
      </w:r>
    </w:p>
    <w:p w14:paraId="440BD901" w14:textId="77777777" w:rsidR="00EB3C8D" w:rsidRDefault="00000000">
      <w:pPr>
        <w:spacing w:before="120" w:after="160" w:line="276" w:lineRule="auto"/>
        <w:jc w:val="both"/>
      </w:pPr>
      <w:r>
        <w:t>Academically, the study contributes the first controlled empirical comparison of AI-assisted development security outcomes across a defined expertise spectrum. The independent assessment methodology, grounded in CVSS scoring and OWASP classification, ensures findings are expressed in terms that are directly comparable with existing literature and applicable beyond the scope of this study. The recommendations produced will have practical value for security governance, AI tool policy, and the design of developer onboarding processes in organisations where AI-assisted development is already standard practice.</w:t>
      </w:r>
    </w:p>
    <w:p w14:paraId="1590C65F" w14:textId="77777777" w:rsidR="00EB3C8D" w:rsidRDefault="00000000">
      <w:r>
        <w:br w:type="page"/>
      </w:r>
    </w:p>
    <w:p w14:paraId="6E16D72B" w14:textId="77777777" w:rsidR="00EB3C8D" w:rsidRDefault="00000000">
      <w:pPr>
        <w:pStyle w:val="Heading1"/>
        <w:spacing w:before="400"/>
      </w:pPr>
      <w:r>
        <w:lastRenderedPageBreak/>
        <w:t>2. Literature Review</w:t>
      </w:r>
    </w:p>
    <w:p w14:paraId="7D497059" w14:textId="77777777" w:rsidR="00EB3C8D" w:rsidRDefault="00000000">
      <w:pPr>
        <w:pStyle w:val="Heading2"/>
        <w:spacing w:before="280"/>
      </w:pPr>
      <w:r>
        <w:t>2.1 Scope</w:t>
      </w:r>
    </w:p>
    <w:p w14:paraId="0567FD8C" w14:textId="4B27EFCB" w:rsidR="00EB3C8D" w:rsidRDefault="00000000">
      <w:pPr>
        <w:spacing w:before="120" w:after="160" w:line="276" w:lineRule="auto"/>
        <w:jc w:val="both"/>
      </w:pPr>
      <w:r>
        <w:t xml:space="preserve">This review covers three bodies of research that together provide the foundation for this study. The first </w:t>
      </w:r>
      <w:r w:rsidR="00B41F1A">
        <w:t>is</w:t>
      </w:r>
      <w:r w:rsidR="004802B0">
        <w:t xml:space="preserve"> the</w:t>
      </w:r>
      <w:r>
        <w:t xml:space="preserve"> empirical literature on security vulnerabilities in AI-generated code. The second is research on automation bias and how users interact with AI systems, particularly when they lack the expertise to independently evaluate what those systems produce. The third is literature on infrastructure and cloud misconfiguration risks, which extends the scope of the security problem beyond the application code to the environment in which that code runs.</w:t>
      </w:r>
    </w:p>
    <w:p w14:paraId="0176970A" w14:textId="77777777" w:rsidR="00EB3C8D" w:rsidRDefault="00000000">
      <w:pPr>
        <w:pStyle w:val="Heading2"/>
        <w:spacing w:before="280"/>
      </w:pPr>
      <w:r>
        <w:t>2.2 Security Vulnerabilities in AI-Generated Code</w:t>
      </w:r>
    </w:p>
    <w:p w14:paraId="3D8D106F" w14:textId="61568878" w:rsidR="00EB3C8D" w:rsidRDefault="00000000">
      <w:pPr>
        <w:spacing w:before="120" w:after="160" w:line="276" w:lineRule="auto"/>
        <w:jc w:val="both"/>
      </w:pPr>
      <w:r>
        <w:t xml:space="preserve">The most cited study in this space is Pearce et al. </w:t>
      </w:r>
      <w:sdt>
        <w:sdtPr>
          <w:rPr>
            <w:color w:val="000000"/>
            <w:highlight w:val="white"/>
          </w:rPr>
          <w:alias w:val="Citation"/>
          <w:tag w:val="{&quot;referencesIds&quot;:[&quot;doc:69fd109e830abe4ffc2e2d39&quot;],&quot;referencesOptions&quot;:{&quot;doc:69fd109e830abe4ffc2e2d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8826245,&quot;citationText&quot;:&quot;&lt;span style=\&quot;font-family:Times New Roman;font-size:16px;color:#000000\&quot;&gt;[2]&lt;/span&gt;&quot;}"/>
          <w:id w:val="-2048826245"/>
          <w:placeholder>
            <w:docPart w:val="446234FAD2A4BF42BBCF1C09F60C7D5C"/>
          </w:placeholder>
        </w:sdtPr>
        <w:sdtContent>
          <w:r w:rsidR="00202627">
            <w:rPr>
              <w:color w:val="000000"/>
            </w:rPr>
            <w:t>[2]</w:t>
          </w:r>
        </w:sdtContent>
      </w:sdt>
      <w:r>
        <w:t>, which evaluated GitHub Copilot against scenarios drawn from the MITRE CWE Top 25 and found that roughly 40% of generated code samples contained at least one exploitable vulnerability. The weaknesses identified included SQL injection, buffer overflows, and insecure cryptographic implementations. Importantly, Copilot's security performance varied depending on the language and the specificity of the prompt, which points to something relevant for this research: the quality of what the AI produces is not fixed. It is shaped in part by the user directing it.</w:t>
      </w:r>
    </w:p>
    <w:p w14:paraId="67BC35D5" w14:textId="6A0672EE" w:rsidR="00EB3C8D" w:rsidRDefault="00000000">
      <w:pPr>
        <w:spacing w:before="120" w:after="160" w:line="276" w:lineRule="auto"/>
        <w:jc w:val="both"/>
      </w:pPr>
      <w:r>
        <w:t xml:space="preserve">Perry et al. </w:t>
      </w:r>
      <w:sdt>
        <w:sdtPr>
          <w:rPr>
            <w:color w:val="000000"/>
            <w:highlight w:val="white"/>
          </w:rPr>
          <w:alias w:val="Citation"/>
          <w:tag w:val="{&quot;referencesIds&quot;:[&quot;doc:69fd10ad381ffd4d1212d367&quot;],&quot;referencesOptions&quot;:{&quot;doc:69fd10ad381ffd4d1212d3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6151276,&quot;citationText&quot;:&quot;&lt;span style=\&quot;font-family:Times New Roman;font-size:16px;color:#000000\&quot;&gt;[3]&lt;/span&gt;&quot;}"/>
          <w:id w:val="456151276"/>
          <w:placeholder>
            <w:docPart w:val="D77399DD9CFF6748825AF73957201F7F"/>
          </w:placeholder>
        </w:sdtPr>
        <w:sdtContent>
          <w:r w:rsidR="00202627">
            <w:rPr>
              <w:color w:val="000000"/>
            </w:rPr>
            <w:t>[3]</w:t>
          </w:r>
        </w:sdtContent>
      </w:sdt>
      <w:r>
        <w:t xml:space="preserve"> took this further by running a controlled user study in which participants with AI assistance produced more vulnerable code than those working without it, while rating their own code as more secure. That combination, worse outcomes paired with higher confidence, is a troubling pattern. It suggests that AI assistance does not just fail to improve security in some cases</w:t>
      </w:r>
      <w:r w:rsidR="004802B0">
        <w:t>,</w:t>
      </w:r>
      <w:r>
        <w:t xml:space="preserve"> it may actively reduce the scrutiny users apply to their own work</w:t>
      </w:r>
      <w:r w:rsidR="005108C2">
        <w:t xml:space="preserve"> by </w:t>
      </w:r>
      <w:r w:rsidR="000408A7">
        <w:t>fostering overconfidence and reinforcing pressure to produce outputs quickly, avoiding the verification that security review requires</w:t>
      </w:r>
      <w:r>
        <w:t>. Tihanyi et al. [10] reached a similar conclusion across multiple language models, finding that security awareness does not scale with model capability and that the responsibility for catching security problems remains with the user regardless of which tool is used.</w:t>
      </w:r>
    </w:p>
    <w:p w14:paraId="3A6A2AEF" w14:textId="77777777" w:rsidR="00EB3C8D" w:rsidRDefault="00000000">
      <w:pPr>
        <w:spacing w:before="120" w:after="160" w:line="276" w:lineRule="auto"/>
        <w:jc w:val="both"/>
      </w:pPr>
      <w:r>
        <w:t>A consistent limitation across all of this research is that it evaluates code in isolation rather than assessing the security of a fully deployed system. Vulnerabilities in real applications frequently arise not from a single insecure function but from how components interact across an integrated deployment. None of the studies reviewed deploy and test complete systems, and none treat the expertise of the user as an independent variable. Those are the gaps this study is designed to address.</w:t>
      </w:r>
    </w:p>
    <w:p w14:paraId="15FDE4A6" w14:textId="77777777" w:rsidR="00EB3C8D" w:rsidRDefault="00000000">
      <w:pPr>
        <w:pStyle w:val="Heading2"/>
        <w:spacing w:before="280"/>
      </w:pPr>
      <w:r>
        <w:t>2.3 Automation Bias in AI-Assisted Development</w:t>
      </w:r>
    </w:p>
    <w:p w14:paraId="48397544" w14:textId="4ADB7369" w:rsidR="00EB3C8D" w:rsidRDefault="00000000">
      <w:pPr>
        <w:spacing w:before="120" w:after="160" w:line="276" w:lineRule="auto"/>
        <w:jc w:val="both"/>
      </w:pPr>
      <w:r>
        <w:t xml:space="preserve">Automation bias is the tendency to over-rely on automated outputs and reduce independent scrutiny even when errors are present </w:t>
      </w:r>
      <w:sdt>
        <w:sdtPr>
          <w:rPr>
            <w:color w:val="000000"/>
            <w:highlight w:val="white"/>
          </w:rPr>
          <w:alias w:val="Citation"/>
          <w:tag w:val="{&quot;referencesIds&quot;:[&quot;doc:69fd10cd44b6ea2426af410e&quot;],&quot;referencesOptions&quot;:{&quot;doc:69fd10cd44b6ea2426af41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0047849,&quot;citationText&quot;:&quot;&lt;span style=\&quot;font-family:Times New Roman;font-size:16px;color:#000000\&quot;&gt;[5]&lt;/span&gt;&quot;}"/>
          <w:id w:val="1590047849"/>
          <w:placeholder>
            <w:docPart w:val="DFDDD3AA85952C44A6DA687DC17048AD"/>
          </w:placeholder>
        </w:sdtPr>
        <w:sdtContent>
          <w:r w:rsidR="00202627">
            <w:rPr>
              <w:color w:val="000000"/>
            </w:rPr>
            <w:t>[5]</w:t>
          </w:r>
        </w:sdtContent>
      </w:sdt>
      <w:r>
        <w:t>. The concept was established in aviation and process control research, where operators of highly automated systems were observed accepting erroneous guidance without challenge.</w:t>
      </w:r>
      <w:r w:rsidR="00527800">
        <w:t xml:space="preserve"> </w:t>
      </w:r>
      <w:r w:rsidR="00143166">
        <w:t>This dynamic is increasingly visible in newer generative AI contexts</w:t>
      </w:r>
      <w:r w:rsidR="00527800">
        <w:t xml:space="preserve">, where users with no technical </w:t>
      </w:r>
      <w:r w:rsidR="00143166">
        <w:t>background tend to accept model outputs as correct without verification</w:t>
      </w:r>
      <w:r w:rsidR="00527800">
        <w:t xml:space="preserve">. </w:t>
      </w:r>
      <w:r>
        <w:t xml:space="preserve">The parallel with AI-assisted software development is direct. Romeo and </w:t>
      </w:r>
      <w:r>
        <w:lastRenderedPageBreak/>
        <w:t xml:space="preserve">Conti </w:t>
      </w:r>
      <w:sdt>
        <w:sdtPr>
          <w:rPr>
            <w:color w:val="000000"/>
            <w:highlight w:val="white"/>
          </w:rPr>
          <w:alias w:val="Citation"/>
          <w:tag w:val="{&quot;referencesIds&quot;:[&quot;doc:69fd0c1febc8143f21bce71f&quot;],&quot;referencesOptions&quot;:{&quot;doc:69fd0c1febc8143f21bce7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0659110,&quot;citationText&quot;:&quot;&lt;span style=\&quot;font-family:Times New Roman;font-size:16px;color:#000000\&quot;&gt;[6]&lt;/span&gt;&quot;}"/>
          <w:id w:val="1630659110"/>
          <w:placeholder>
            <w:docPart w:val="EA9D9AC7A9947C4781401129A5DF41EA"/>
          </w:placeholder>
        </w:sdtPr>
        <w:sdtContent>
          <w:r w:rsidR="00202627">
            <w:rPr>
              <w:color w:val="000000"/>
            </w:rPr>
            <w:t>[6]</w:t>
          </w:r>
        </w:sdtContent>
      </w:sdt>
      <w:r>
        <w:t xml:space="preserve"> confirmed this pattern persists in contemporary AI collaboration contexts, finding that users with moderate AI familiarity are particularly susceptible, as sufficient knowledge to trust the system but insufficient knowledge to critically evaluate its outputs creates the conditions in which bias is most pronounced.</w:t>
      </w:r>
    </w:p>
    <w:p w14:paraId="5F549E0C" w14:textId="5388D99E" w:rsidR="00EB3C8D" w:rsidRDefault="00000000">
      <w:pPr>
        <w:spacing w:before="120" w:after="160" w:line="276" w:lineRule="auto"/>
        <w:jc w:val="both"/>
      </w:pPr>
      <w:r>
        <w:t xml:space="preserve">Empirical support for this in a software context comes from Perry et al. </w:t>
      </w:r>
      <w:sdt>
        <w:sdtPr>
          <w:rPr>
            <w:color w:val="000000"/>
            <w:highlight w:val="white"/>
          </w:rPr>
          <w:alias w:val="Citation"/>
          <w:tag w:val="{&quot;referencesIds&quot;:[&quot;doc:69fd10ad381ffd4d1212d367&quot;],&quot;referencesOptions&quot;:{&quot;doc:69fd10ad381ffd4d1212d3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7582648,&quot;citationText&quot;:&quot;&lt;span style=\&quot;font-family:Times New Roman;font-size:16px;color:#000000\&quot;&gt;[3]&lt;/span&gt;&quot;}"/>
          <w:id w:val="767582648"/>
          <w:placeholder>
            <w:docPart w:val="3BC6EB158515EF4B81417F4F33C307AD"/>
          </w:placeholder>
        </w:sdtPr>
        <w:sdtContent>
          <w:r w:rsidR="00202627">
            <w:rPr>
              <w:color w:val="000000"/>
            </w:rPr>
            <w:t>[3]</w:t>
          </w:r>
        </w:sdtContent>
      </w:sdt>
      <w:r>
        <w:t>, whose participants showed elevated confidence in AI-generated outputs despite producing more vulnerable code.</w:t>
      </w:r>
      <w:r w:rsidR="00527800">
        <w:t xml:space="preserve"> That confidence comes especially from environments or teams that rush the software engineers to push more and more code to achieve shorter deadlines.</w:t>
      </w:r>
      <w:r>
        <w:t xml:space="preserve"> Research on trust dynamics in AI-assisted development has found that developers assign trust to AI suggestions based on surface-level plausibility rather than correctness </w:t>
      </w:r>
      <w:sdt>
        <w:sdtPr>
          <w:rPr>
            <w:color w:val="000000"/>
            <w:highlight w:val="white"/>
          </w:rPr>
          <w:alias w:val="Citation"/>
          <w:tag w:val="{&quot;referencesIds&quot;:[&quot;doc:69fd0ef7381ffd4d1212d34f&quot;],&quot;referencesOptions&quot;:{&quot;doc:69fd0ef7381ffd4d1212d3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0406651,&quot;citationText&quot;:&quot;&lt;span style=\&quot;font-family:Times New Roman;font-size:16px;color:#000000\&quot;&gt;[7]&lt;/span&gt;&quot;}"/>
          <w:id w:val="400406651"/>
          <w:placeholder>
            <w:docPart w:val="62CB727457FF2B489096C930F85EC307"/>
          </w:placeholder>
        </w:sdtPr>
        <w:sdtContent>
          <w:r w:rsidR="00202627">
            <w:rPr>
              <w:color w:val="000000"/>
            </w:rPr>
            <w:t>[7]</w:t>
          </w:r>
        </w:sdtContent>
      </w:sdt>
      <w:r>
        <w:t>, which means that code which compiles and appears functional will usually be adopted even if it contains embedded security weaknesses that would only become apparent under adversarial conditions.</w:t>
      </w:r>
    </w:p>
    <w:p w14:paraId="4C402539" w14:textId="050FC530" w:rsidR="00EB3C8D" w:rsidRDefault="00527800">
      <w:pPr>
        <w:spacing w:before="120" w:after="160" w:line="276" w:lineRule="auto"/>
        <w:jc w:val="both"/>
      </w:pPr>
      <w:r>
        <w:t>The level of e</w:t>
      </w:r>
      <w:r w:rsidR="00000000">
        <w:t xml:space="preserve">xpertise is generally understood to moderate automation bias </w:t>
      </w:r>
      <w:sdt>
        <w:sdtPr>
          <w:rPr>
            <w:color w:val="000000"/>
            <w:highlight w:val="white"/>
          </w:rPr>
          <w:alias w:val="Citation"/>
          <w:tag w:val="{&quot;referencesIds&quot;:[&quot;doc:69fd0fd0830abe4ffc2e2d32&quot;],&quot;referencesOptions&quot;:{&quot;doc:69fd0fd0830abe4ffc2e2d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5266036,&quot;citationText&quot;:&quot;&lt;span style=\&quot;font-family:Times New Roman;font-size:16px;color:#000000\&quot;&gt;[8]&lt;/span&gt;&quot;}"/>
          <w:id w:val="-495266036"/>
          <w:placeholder>
            <w:docPart w:val="C07CCA5AEDDAB746A5F8F1DF8147404D"/>
          </w:placeholder>
        </w:sdtPr>
        <w:sdtContent>
          <w:r w:rsidR="00202627">
            <w:rPr>
              <w:color w:val="000000"/>
            </w:rPr>
            <w:t>[8]</w:t>
          </w:r>
        </w:sdtContent>
      </w:sdt>
      <w:r w:rsidR="00000000">
        <w:t>. Practitioners with established mental models of what correct system behaviour looks like are better positioned to detect anomalous or insecure patterns in automated outputs. However, the literature also documents cases where experienced users develop higher trust in systems they have found reliable over time, which can produce complacency rather than vigilance. The extent to which expertise translates into better security outcomes in AI-assisted development practice is an open empirical question, and one that this study is specifically designed to test.</w:t>
      </w:r>
    </w:p>
    <w:p w14:paraId="53E0E701" w14:textId="77777777" w:rsidR="00EB3C8D" w:rsidRDefault="00000000">
      <w:pPr>
        <w:pStyle w:val="Heading2"/>
        <w:spacing w:before="280"/>
      </w:pPr>
      <w:r>
        <w:t>2.4 Infrastructure Security and Misconfiguration</w:t>
      </w:r>
    </w:p>
    <w:p w14:paraId="760AEF65" w14:textId="3D21D01D" w:rsidR="00EB3C8D" w:rsidRDefault="00000000">
      <w:pPr>
        <w:spacing w:before="120" w:after="160" w:line="276" w:lineRule="auto"/>
        <w:jc w:val="both"/>
      </w:pPr>
      <w:r>
        <w:t xml:space="preserve">The security risks of AI-assisted development do not stop at the application code. When a developer deploys a three-tier system, they </w:t>
      </w:r>
      <w:r w:rsidR="002741F1">
        <w:t xml:space="preserve">should </w:t>
      </w:r>
      <w:r>
        <w:t>configure the network exposure, the database access controls, the authentication requirements, the encryption settings, and the handling of secrets and credentials. Each of these decisions shapes the security posture of the deployment, and none of them appear in the code-level evaluations reviewed above.</w:t>
      </w:r>
    </w:p>
    <w:p w14:paraId="1C8EF453" w14:textId="02308036" w:rsidR="00EB3C8D" w:rsidRDefault="00000000">
      <w:pPr>
        <w:spacing w:before="120" w:after="160" w:line="276" w:lineRule="auto"/>
        <w:jc w:val="both"/>
      </w:pPr>
      <w:r>
        <w:t xml:space="preserve">Cloud misconfiguration has been consistently identified as one of the leading causes of security incidents involving cloud-hosted systems </w:t>
      </w:r>
      <w:sdt>
        <w:sdtPr>
          <w:rPr>
            <w:color w:val="000000"/>
            <w:highlight w:val="white"/>
          </w:rPr>
          <w:alias w:val="Citation"/>
          <w:tag w:val="{&quot;referencesIds&quot;:[&quot;doc:69fd159c618c812071ab8501&quot;],&quot;referencesOptions&quot;:{&quot;doc:69fd159c618c812071ab85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6359987,&quot;citationText&quot;:&quot;&lt;span style=\&quot;font-family:Times New Roman;font-size:16px;color:#000000\&quot;&gt;[9]&lt;/span&gt;&quot;}"/>
          <w:id w:val="-396359987"/>
          <w:placeholder>
            <w:docPart w:val="1B418503135C4A47AD7BBA88875E5951"/>
          </w:placeholder>
        </w:sdtPr>
        <w:sdtContent>
          <w:r w:rsidR="00202627">
            <w:rPr>
              <w:color w:val="000000"/>
            </w:rPr>
            <w:t>[9]</w:t>
          </w:r>
        </w:sdtContent>
      </w:sdt>
      <w:r>
        <w:t>. Exposed databases, publicly accessible administrative interfaces,</w:t>
      </w:r>
      <w:r w:rsidR="002741F1">
        <w:t xml:space="preserve"> accidental ports left open,</w:t>
      </w:r>
      <w:r>
        <w:t xml:space="preserve"> and overly permissive access policies appear repeatedly across incident analyses, and many of these failures involve configurations that a security-aware practitioner would have recognised as problematic. Khoury et al. </w:t>
      </w:r>
      <w:sdt>
        <w:sdtPr>
          <w:rPr>
            <w:color w:val="000000"/>
            <w:highlight w:val="white"/>
          </w:rPr>
          <w:alias w:val="Citation"/>
          <w:tag w:val="{&quot;referencesIds&quot;:[&quot;doc:69fdaa919501de0f4ef0e0d4&quot;],&quot;referencesOptions&quot;:{&quot;doc:69fdaa919501de0f4ef0e0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7856981,&quot;citationText&quot;:&quot;&lt;span style=\&quot;font-family:Times New Roman;font-size:16px;color:#000000\&quot;&gt;[10]&lt;/span&gt;&quot;}"/>
          <w:id w:val="1967856981"/>
          <w:placeholder>
            <w:docPart w:val="3ADF01BB4133344D8008422381E0627A"/>
          </w:placeholder>
        </w:sdtPr>
        <w:sdtContent>
          <w:r w:rsidR="00202627">
            <w:rPr>
              <w:color w:val="000000"/>
            </w:rPr>
            <w:t>[10]</w:t>
          </w:r>
        </w:sdtContent>
      </w:sdt>
      <w:r>
        <w:t xml:space="preserve"> found that ChatGPT-generated code frequently relied on insecure defaults, omitted authentication controls, and used deprecated cryptographic functions across multiple languages. The same patterns apply to infrastructure: a user who asks an AI to configure a database connection is unlikely to specify encryption, access restrictions, or authentication requirements unless they know to ask for them, and the AI is unlikely to add those controls unless prompted </w:t>
      </w:r>
      <w:sdt>
        <w:sdtPr>
          <w:rPr>
            <w:color w:val="000000"/>
            <w:highlight w:val="white"/>
          </w:rPr>
          <w:alias w:val="Citation"/>
          <w:tag w:val="{&quot;referencesIds&quot;:[&quot;doc:69fd0c83f8a0f20dc2db54be&quot;],&quot;referencesOptions&quot;:{&quot;doc:69fd0c83f8a0f20dc2db54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9925394,&quot;citationText&quot;:&quot;&lt;span style=\&quot;font-family:Times New Roman;font-size:16px;color:#000000\&quot;&gt;[11]&lt;/span&gt;&quot;}"/>
          <w:id w:val="-869925394"/>
          <w:placeholder>
            <w:docPart w:val="5EF1DBE0A43FE3468B4F0892CD059CF6"/>
          </w:placeholder>
        </w:sdtPr>
        <w:sdtContent>
          <w:r w:rsidR="00202627">
            <w:rPr>
              <w:color w:val="000000"/>
            </w:rPr>
            <w:t>[11]</w:t>
          </w:r>
        </w:sdtContent>
      </w:sdt>
      <w:r w:rsidR="002741F1">
        <w:rPr>
          <w:color w:val="000000"/>
        </w:rPr>
        <w:t>, and even if it defaults to some level of security awareness, it would also depend completely on how the infrastructure is provided as well as the scope for the project in hand</w:t>
      </w:r>
      <w:r>
        <w:t>.</w:t>
      </w:r>
    </w:p>
    <w:p w14:paraId="333FC695" w14:textId="599928EA" w:rsidR="00EB3C8D" w:rsidRDefault="00000000">
      <w:pPr>
        <w:spacing w:before="120" w:after="160" w:line="276" w:lineRule="auto"/>
        <w:jc w:val="both"/>
      </w:pPr>
      <w:r>
        <w:t xml:space="preserve">Credential exposure through hardcoded values in source code and configuration files is a specific failure mode with strong empirical documentation. Meli et al. </w:t>
      </w:r>
      <w:sdt>
        <w:sdtPr>
          <w:rPr>
            <w:color w:val="000000"/>
            <w:highlight w:val="white"/>
          </w:rPr>
          <w:alias w:val="Citation"/>
          <w:tag w:val="{&quot;referencesIds&quot;:[&quot;doc:69fd10ebc973f23c7aa64c01&quot;],&quot;referencesOptions&quot;:{&quot;doc:69fd10ebc973f23c7aa64c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6213025,&quot;citationText&quot;:&quot;&lt;span style=\&quot;font-family:Times New Roman;font-size:16px;color:#000000\&quot;&gt;[12]&lt;/span&gt;&quot;}"/>
          <w:id w:val="956213025"/>
          <w:placeholder>
            <w:docPart w:val="D35BAD8C0B72324B87A5B146E20A9E2A"/>
          </w:placeholder>
        </w:sdtPr>
        <w:sdtContent>
          <w:r w:rsidR="00202627">
            <w:rPr>
              <w:color w:val="000000"/>
            </w:rPr>
            <w:t>[12]</w:t>
          </w:r>
        </w:sdtContent>
      </w:sdt>
      <w:r>
        <w:t xml:space="preserve"> found that secret </w:t>
      </w:r>
      <w:r>
        <w:lastRenderedPageBreak/>
        <w:t>leakage across public GitHub repositories was widespread and systematic, reflecting a pattern of developer behaviour rather than isolated mistakes. In an AI-assisted context, a non-expert user who receives a working database connection example with hardcoded credentials may have no way of recognising that as a security problem before deploying it.</w:t>
      </w:r>
      <w:r w:rsidR="00A84136">
        <w:t xml:space="preserve"> Another possible issue that could occur is at repository creation the user might make it public rather than keeping the repository private, increasing the risk of environment variables and/or credentials leaking.</w:t>
      </w:r>
      <w:r>
        <w:t xml:space="preserve"> War et al. </w:t>
      </w:r>
      <w:sdt>
        <w:sdtPr>
          <w:rPr>
            <w:color w:val="000000"/>
            <w:highlight w:val="white"/>
          </w:rPr>
          <w:alias w:val="Citation"/>
          <w:tag w:val="{&quot;referencesIds&quot;:[&quot;doc:69fd0d5f863af3080c87e006&quot;],&quot;referencesOptions&quot;:{&quot;doc:69fd0d5f863af3080c87e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1331036,&quot;citationText&quot;:&quot;&lt;span style=\&quot;font-family:Times New Roman;font-size:16px;color:#000000\&quot;&gt;[13]&lt;/span&gt;&quot;}"/>
          <w:id w:val="-741331036"/>
          <w:placeholder>
            <w:docPart w:val="36649D6B6FA75A42866AF4798BB4C59D"/>
          </w:placeholder>
        </w:sdtPr>
        <w:sdtContent>
          <w:r w:rsidR="00202627">
            <w:rPr>
              <w:color w:val="000000"/>
            </w:rPr>
            <w:t>[13]</w:t>
          </w:r>
        </w:sdtContent>
      </w:sdt>
      <w:r>
        <w:t xml:space="preserve"> further demonstrated that infrastructure-as-code environments are particularly susceptible to this class of vulnerability, as a single misconfigured template propagates the same weakness across an entire deployment.</w:t>
      </w:r>
    </w:p>
    <w:p w14:paraId="30B1FEF9" w14:textId="77777777" w:rsidR="00EB3C8D" w:rsidRDefault="00000000">
      <w:pPr>
        <w:pStyle w:val="Heading2"/>
        <w:spacing w:before="280"/>
      </w:pPr>
      <w:r>
        <w:t>2.5 Technical Frameworks</w:t>
      </w:r>
    </w:p>
    <w:p w14:paraId="378F5CD1" w14:textId="769A1B28" w:rsidR="00EB3C8D" w:rsidRDefault="00000000">
      <w:pPr>
        <w:spacing w:before="120" w:after="160" w:line="276" w:lineRule="auto"/>
        <w:jc w:val="both"/>
      </w:pPr>
      <w:r>
        <w:t xml:space="preserve">Three established frameworks will be used to measure and classify findings in this study. The Common Vulnerability Scoring System (CVSS) v3.1, maintained by FIRST, provides a standardised severity score between 0.0 and 10.0 based on exploitability and impact characteristics </w:t>
      </w:r>
      <w:sdt>
        <w:sdtPr>
          <w:rPr>
            <w:color w:val="000000"/>
            <w:highlight w:val="white"/>
          </w:rPr>
          <w:alias w:val="Citation"/>
          <w:tag w:val="{&quot;referencesIds&quot;:[&quot;doc:69fdabe5ffd04f76abf923b5&quot;],&quot;referencesOptions&quot;:{&quot;doc:69fdabe5ffd04f76abf923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4168329,&quot;citationText&quot;:&quot;&lt;span style=\&quot;font-family:Times New Roman;font-size:16px;color:#000000\&quot;&gt;[14]&lt;/span&gt;&quot;}"/>
          <w:id w:val="324168329"/>
          <w:placeholder>
            <w:docPart w:val="3E096499AE02054FAA56D4B2A8B4F2B2"/>
          </w:placeholder>
        </w:sdtPr>
        <w:sdtContent>
          <w:r w:rsidR="00202627">
            <w:rPr>
              <w:color w:val="000000"/>
            </w:rPr>
            <w:t>[14]</w:t>
          </w:r>
        </w:sdtContent>
      </w:sdt>
      <w:r>
        <w:t xml:space="preserve">. CVSS Base Scores will serve as the primary severity metric across all eight systems and will enable group-level comparison of average severity, total risk exposure, and severity distribution. The OWASP Top 10 </w:t>
      </w:r>
      <w:sdt>
        <w:sdtPr>
          <w:rPr>
            <w:color w:val="000000"/>
            <w:highlight w:val="white"/>
          </w:rPr>
          <w:alias w:val="Citation"/>
          <w:tag w:val="{&quot;referencesIds&quot;:[&quot;doc:69fdac1debc8143f21bcf465&quot;],&quot;referencesOptions&quot;:{&quot;doc:69fdac1debc8143f21bcf4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2562202,&quot;citationText&quot;:&quot;&lt;span style=\&quot;font-family:Times New Roman;font-size:16px;color:#000000\&quot;&gt;[15]&lt;/span&gt;&quot;}"/>
          <w:id w:val="1652562202"/>
          <w:placeholder>
            <w:docPart w:val="3E245CEECD64F74A993F8015D78D08C6"/>
          </w:placeholder>
        </w:sdtPr>
        <w:sdtContent>
          <w:r w:rsidR="00202627">
            <w:rPr>
              <w:color w:val="000000"/>
            </w:rPr>
            <w:t>[15]</w:t>
          </w:r>
        </w:sdtContent>
      </w:sdt>
      <w:r>
        <w:t xml:space="preserve"> provides a taxonomy of the most critical web application security risks and will be used to categorise findings by type across both groups. The MITRE CWE catalogue provides the classification system used by Pearce et al. </w:t>
      </w:r>
      <w:sdt>
        <w:sdtPr>
          <w:rPr>
            <w:color w:val="000000"/>
            <w:highlight w:val="white"/>
          </w:rPr>
          <w:alias w:val="Citation"/>
          <w:tag w:val="{&quot;referencesIds&quot;:[&quot;doc:69fd109e830abe4ffc2e2d39&quot;],&quot;referencesOptions&quot;:{&quot;doc:69fd109e830abe4ffc2e2d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28205,&quot;citationText&quot;:&quot;&lt;span style=\&quot;font-family:Times New Roman;font-size:16px;color:#000000\&quot;&gt;[2]&lt;/span&gt;&quot;}"/>
          <w:id w:val="4028205"/>
          <w:placeholder>
            <w:docPart w:val="94DA3E78EF97E64ABC0ADCF3A1BB4E6B"/>
          </w:placeholder>
        </w:sdtPr>
        <w:sdtContent>
          <w:r w:rsidR="00202627">
            <w:rPr>
              <w:color w:val="000000"/>
            </w:rPr>
            <w:t>[2]</w:t>
          </w:r>
        </w:sdtContent>
      </w:sdt>
      <w:r>
        <w:t>, enabling direct comparison of vulnerability type distributions between this study and prior work in the field.</w:t>
      </w:r>
    </w:p>
    <w:p w14:paraId="11E886E9" w14:textId="77777777" w:rsidR="00EB3C8D" w:rsidRDefault="00000000">
      <w:pPr>
        <w:pStyle w:val="Heading2"/>
        <w:spacing w:before="280"/>
      </w:pPr>
      <w:r>
        <w:t>2.6 What the Literature Does Not Answer</w:t>
      </w:r>
    </w:p>
    <w:p w14:paraId="208C48FA" w14:textId="7E6C8883" w:rsidR="00EB3C8D" w:rsidRDefault="00000000">
      <w:pPr>
        <w:spacing w:before="120" w:after="160" w:line="276" w:lineRule="auto"/>
        <w:jc w:val="both"/>
      </w:pPr>
      <w:r>
        <w:t xml:space="preserve">The studies reviewed above have produced useful and credible findings, but they share a structural limitation. They treat the AI model as the subject of investigation and the developer as a neutral instrument. The assumption is that any user will interact with the model in broadly similar ways, and that security outcomes therefore reflect the model's behaviour rather than the user's. That assumption becomes harder to defend as AI tools reach a broader population, one that includes people with no technical background who are building and deploying systems with no prior experience of secure development </w:t>
      </w:r>
      <w:r w:rsidR="00A84136">
        <w:t xml:space="preserve">best </w:t>
      </w:r>
      <w:r>
        <w:t>practice</w:t>
      </w:r>
      <w:r w:rsidR="00A84136">
        <w:t>s</w:t>
      </w:r>
      <w:r>
        <w:t xml:space="preserve">. Esnaola et al. </w:t>
      </w:r>
      <w:sdt>
        <w:sdtPr>
          <w:rPr>
            <w:color w:val="000000"/>
            <w:highlight w:val="white"/>
          </w:rPr>
          <w:alias w:val="Citation"/>
          <w:tag w:val="{&quot;referencesIds&quot;:[&quot;doc:69fd106666ddd8617ecb3bf2&quot;],&quot;referencesOptions&quot;:{&quot;doc:69fd106666ddd8617ecb3b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5579211,&quot;citationText&quot;:&quot;&lt;span style=\&quot;font-family:Times New Roman;font-size:16px;color:#000000\&quot;&gt;[16]&lt;/span&gt;&quot;}"/>
          <w:id w:val="-715579211"/>
          <w:placeholder>
            <w:docPart w:val="62381D677CF4914A946D7CBBDFA4CCD8"/>
          </w:placeholder>
        </w:sdtPr>
        <w:sdtContent>
          <w:r w:rsidR="00202627">
            <w:rPr>
              <w:color w:val="000000"/>
            </w:rPr>
            <w:t>[16]</w:t>
          </w:r>
        </w:sdtContent>
      </w:sdt>
      <w:r>
        <w:t xml:space="preserve"> demonstrated that non-programmers using generative AI can produce functionally comparable outputs to programmers working without it, which makes the security dimension of that equivalence a pressing open question.</w:t>
      </w:r>
    </w:p>
    <w:p w14:paraId="40D8585E" w14:textId="78C8EAFE" w:rsidR="00EB3C8D" w:rsidRDefault="00000000">
      <w:pPr>
        <w:spacing w:before="120" w:after="160" w:line="276" w:lineRule="auto"/>
        <w:jc w:val="both"/>
      </w:pPr>
      <w:r>
        <w:t>No controlled study has compared the security posture of fully deployed AI-assisted systems across users of different technical backgrounds. This study addresses that gap directly. By defining two participant groups based on professional experience, applying identical task conditions across both, and assessing all eight deployments using standardised independent security testing, it produces empirical evidence on a question the existing literature has raised but not answered. The user is the variable</w:t>
      </w:r>
      <w:r w:rsidR="00A84136">
        <w:t xml:space="preserve"> and the AI is a constant</w:t>
      </w:r>
      <w:r>
        <w:t>. The question is what difference the person makes.</w:t>
      </w:r>
    </w:p>
    <w:p w14:paraId="15F74E8F" w14:textId="77777777" w:rsidR="00C56FC0" w:rsidRDefault="00C56FC0">
      <w:pPr>
        <w:spacing w:before="120" w:after="160" w:line="276" w:lineRule="auto"/>
        <w:jc w:val="both"/>
      </w:pPr>
    </w:p>
    <w:p w14:paraId="46C2D4CE" w14:textId="77777777" w:rsidR="00EB3C8D" w:rsidRDefault="00000000">
      <w:pPr>
        <w:pStyle w:val="Heading2"/>
        <w:spacing w:before="280"/>
      </w:pPr>
      <w:r>
        <w:lastRenderedPageBreak/>
        <w:t>2.7 Summary</w:t>
      </w:r>
    </w:p>
    <w:p w14:paraId="3B6AC7B1" w14:textId="7E21BF33" w:rsidR="00EB3C8D" w:rsidRDefault="00000000">
      <w:pPr>
        <w:spacing w:before="120" w:after="160" w:line="276" w:lineRule="auto"/>
        <w:jc w:val="both"/>
      </w:pPr>
      <w:r>
        <w:t xml:space="preserve">The literature </w:t>
      </w:r>
      <w:r w:rsidR="00C56FC0">
        <w:t>says</w:t>
      </w:r>
      <w:r>
        <w:t xml:space="preserve"> that AI tools </w:t>
      </w:r>
      <w:r w:rsidR="00C56FC0">
        <w:t xml:space="preserve">tend to </w:t>
      </w:r>
      <w:r>
        <w:t>produce vulnerable outputs at a consistent rate, that users over-trust</w:t>
      </w:r>
      <w:r w:rsidR="00C56FC0">
        <w:t xml:space="preserve"> and get overconfident in</w:t>
      </w:r>
      <w:r>
        <w:t xml:space="preserve"> those outputs in ways that suppress the scrutiny that might catch security problems, and that the risks extend from application code to the full configuration of the deployment environment. What it does not establish is whether the expertise of the person directing the tool changes any of that in a measurable way</w:t>
      </w:r>
      <w:r w:rsidR="00C56FC0">
        <w:t>, which is</w:t>
      </w:r>
      <w:r>
        <w:t xml:space="preserve"> what this study will determine.</w:t>
      </w:r>
    </w:p>
    <w:p w14:paraId="0A7B9783" w14:textId="77777777" w:rsidR="00EB3C8D" w:rsidRDefault="00000000">
      <w:r>
        <w:br w:type="page"/>
      </w:r>
    </w:p>
    <w:p w14:paraId="427037A2" w14:textId="77777777" w:rsidR="00EB3C8D" w:rsidRDefault="00000000">
      <w:pPr>
        <w:pStyle w:val="Heading1"/>
        <w:spacing w:before="400"/>
      </w:pPr>
      <w:r>
        <w:lastRenderedPageBreak/>
        <w:t>3. Research Design and Methodology</w:t>
      </w:r>
    </w:p>
    <w:p w14:paraId="661320C9" w14:textId="77777777" w:rsidR="00EB3C8D" w:rsidRDefault="00000000">
      <w:pPr>
        <w:pStyle w:val="Heading2"/>
        <w:spacing w:before="280"/>
      </w:pPr>
      <w:r>
        <w:t>3.1 Study Design</w:t>
      </w:r>
    </w:p>
    <w:p w14:paraId="06DD9E2F" w14:textId="0D346FBC" w:rsidR="00EB3C8D" w:rsidRDefault="00000000">
      <w:pPr>
        <w:spacing w:before="120" w:after="160" w:line="276" w:lineRule="auto"/>
        <w:jc w:val="both"/>
      </w:pPr>
      <w:r>
        <w:t xml:space="preserve">This study uses a comparative design. Two groups of participants build and deploy identical software systems under controlled conditions, and the resulting deployments are assessed independently for security. The design isolates user expertise as the variable of interest by holding the task, the tools, the time constraints, and the evaluation methodology constant across </w:t>
      </w:r>
      <w:r w:rsidR="00867983">
        <w:t>these</w:t>
      </w:r>
      <w:r>
        <w:t xml:space="preserve"> groups.</w:t>
      </w:r>
    </w:p>
    <w:p w14:paraId="7F0A1868" w14:textId="77777777" w:rsidR="00EB3C8D" w:rsidRDefault="00000000">
      <w:pPr>
        <w:spacing w:before="120" w:after="160" w:line="276" w:lineRule="auto"/>
        <w:jc w:val="both"/>
      </w:pPr>
      <w:r>
        <w:t>The design is observational rather than experimental in the strict sense, because group assignment is based on pre-existing participant characteristics rather than random allocation. This is appropriate where the independent variable cannot be experimentally manipulated. The use of independent third-party assessment and standardised scoring addresses the primary validity concern of this design, which is evaluator subjectivity. Given the sample size of four participants per group, this study is framed as a pilot empirical investigation. The findings will be treated as exploratory rather than definitive, with the intent of establishing a replicable methodology and generating preliminary evidence that can inform and scale into larger subsequent studies.</w:t>
      </w:r>
    </w:p>
    <w:p w14:paraId="41575BD8" w14:textId="77777777" w:rsidR="00EB3C8D" w:rsidRDefault="00000000">
      <w:pPr>
        <w:pStyle w:val="Heading2"/>
        <w:spacing w:before="280"/>
      </w:pPr>
      <w:r>
        <w:t>3.2 Participants</w:t>
      </w:r>
    </w:p>
    <w:p w14:paraId="6CE2B361" w14:textId="77777777" w:rsidR="008A426F" w:rsidRPr="008A426F" w:rsidRDefault="008A426F" w:rsidP="008A426F">
      <w:pPr>
        <w:pStyle w:val="font-claude-response-body"/>
        <w:jc w:val="both"/>
        <w:rPr>
          <w:color w:val="000000" w:themeColor="text1"/>
        </w:rPr>
      </w:pPr>
      <w:r w:rsidRPr="008A426F">
        <w:rPr>
          <w:color w:val="000000" w:themeColor="text1"/>
        </w:rPr>
        <w:t>A total of eight participants will be recruited through professional networks, university contacts, relevant online communities, and personal networks. Each candidate will complete a short screening questionnaire covering their educational background, years of professional experience, job roles held, and any exposure to security concepts.</w:t>
      </w:r>
    </w:p>
    <w:p w14:paraId="42D05A29" w14:textId="4E516538" w:rsidR="008A426F" w:rsidRDefault="008A426F" w:rsidP="008A426F">
      <w:pPr>
        <w:pStyle w:val="font-claude-response-body"/>
        <w:numPr>
          <w:ilvl w:val="0"/>
          <w:numId w:val="4"/>
        </w:numPr>
        <w:jc w:val="both"/>
        <w:rPr>
          <w:color w:val="000000" w:themeColor="text1"/>
        </w:rPr>
      </w:pPr>
      <w:r w:rsidRPr="008A426F">
        <w:rPr>
          <w:color w:val="000000" w:themeColor="text1"/>
        </w:rPr>
        <w:t>Group A will consist of four non-technical users: individuals with no professional employment in software development, solutions architecture, cybersecurity, DevOps, or any directly related technical field. Incidental or hobbyist exposure to coding excludes a candidate from Group A, as such experience may develop instincts around security and performance that someone with no coding background would not have.</w:t>
      </w:r>
    </w:p>
    <w:p w14:paraId="08F195D4" w14:textId="77777777" w:rsidR="008A426F" w:rsidRPr="008A426F" w:rsidRDefault="008A426F" w:rsidP="008A426F">
      <w:pPr>
        <w:pStyle w:val="font-claude-response-body"/>
        <w:ind w:left="720"/>
        <w:jc w:val="both"/>
        <w:rPr>
          <w:color w:val="000000" w:themeColor="text1"/>
        </w:rPr>
      </w:pPr>
    </w:p>
    <w:p w14:paraId="71162DC4" w14:textId="64B22692" w:rsidR="008A426F" w:rsidRPr="008A426F" w:rsidRDefault="008A426F" w:rsidP="008A426F">
      <w:pPr>
        <w:pStyle w:val="font-claude-response-body"/>
        <w:numPr>
          <w:ilvl w:val="0"/>
          <w:numId w:val="4"/>
        </w:numPr>
        <w:jc w:val="both"/>
        <w:rPr>
          <w:color w:val="000000" w:themeColor="text1"/>
        </w:rPr>
      </w:pPr>
      <w:r w:rsidRPr="008A426F">
        <w:rPr>
          <w:color w:val="000000" w:themeColor="text1"/>
        </w:rPr>
        <w:t>Group B will consist of four technically experienced practitioners: individuals with a minimum of three years of continuous professional experience in a software-related role. This threshold maps to what the industry broadly considers mid-level seniority, the point at which a practitioner has typically completed multiple full development cycles and begun making independent technical decisions. Qualifying roles include software developer, solutions architect, DevOps engineer, cybersecurity analyst, and systems engineer.</w:t>
      </w:r>
    </w:p>
    <w:p w14:paraId="7AE69AF5" w14:textId="4EF8D0B4" w:rsidR="008A426F" w:rsidRPr="008A426F" w:rsidRDefault="008A426F" w:rsidP="008A426F">
      <w:pPr>
        <w:pStyle w:val="font-claude-response-body"/>
        <w:jc w:val="both"/>
        <w:rPr>
          <w:color w:val="000000" w:themeColor="text1"/>
        </w:rPr>
      </w:pPr>
      <w:r w:rsidRPr="008A426F">
        <w:rPr>
          <w:color w:val="000000" w:themeColor="text1"/>
        </w:rPr>
        <w:t xml:space="preserve">Participants will be told that the study involves building a web application using AI tools and that the resulting system will be reviewed upon completion. They will not be informed that the review focuses on security, nor that they are being compared against participants from another group. Both forms of concealment are deliberate: disclosing the security focus would prime participants to seek guidance they would not ordinarily consult, and disclosing the comparative structure would introduce performance pressure that could alter how they work. </w:t>
      </w:r>
    </w:p>
    <w:p w14:paraId="40B700B2" w14:textId="77777777" w:rsidR="00EB3C8D" w:rsidRDefault="00000000">
      <w:pPr>
        <w:pStyle w:val="Heading2"/>
        <w:spacing w:before="280"/>
      </w:pPr>
      <w:r>
        <w:lastRenderedPageBreak/>
        <w:t>3.3 Development Task</w:t>
      </w:r>
    </w:p>
    <w:p w14:paraId="47A290FE" w14:textId="0830B828" w:rsidR="00EB3C8D" w:rsidRDefault="00000000">
      <w:pPr>
        <w:spacing w:before="120" w:after="160" w:line="276" w:lineRule="auto"/>
        <w:jc w:val="both"/>
      </w:pPr>
      <w:r>
        <w:t xml:space="preserve">All eight participants will receive the same task brief. They are required to design, build, and deploy a three-tier web application consisting of a user-facing frontend, a backend application server, and a connected relational database. The application must support user authentication, accept and store user-submitted data, and expose some form of data retrieval interface. This scope is chosen because it requires non-trivial implementation decisions across all three tiers and creates a realistic attack surface for assessment </w:t>
      </w:r>
      <w:sdt>
        <w:sdtPr>
          <w:rPr>
            <w:color w:val="000000"/>
            <w:highlight w:val="white"/>
          </w:rPr>
          <w:alias w:val="Citation"/>
          <w:tag w:val="{&quot;referencesIds&quot;:[&quot;doc:69fd0eaaebc8143f21bce77c&quot;],&quot;referencesOptions&quot;:{&quot;doc:69fd0eaaebc8143f21bce77c&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772926930,&quot;citationText&quot;:&quot;&lt;span style=\&quot;font-family:Times New Roman;font-size:16px;color:#000000\&quot;&gt;[17]&lt;/span&gt;&quot;}"/>
          <w:id w:val="-772926930"/>
          <w:placeholder>
            <w:docPart w:val="2B420989555BA5489EAEC885B2C8259F"/>
          </w:placeholder>
        </w:sdtPr>
        <w:sdtContent>
          <w:r w:rsidR="00202627">
            <w:rPr>
              <w:color w:val="000000"/>
            </w:rPr>
            <w:t>[17]</w:t>
          </w:r>
        </w:sdtContent>
      </w:sdt>
      <w:r>
        <w:t>.</w:t>
      </w:r>
    </w:p>
    <w:p w14:paraId="5D654D06" w14:textId="46777D65" w:rsidR="00107AA3" w:rsidRDefault="00107AA3">
      <w:pPr>
        <w:spacing w:before="120" w:after="160" w:line="276" w:lineRule="auto"/>
        <w:jc w:val="both"/>
      </w:pPr>
      <w:r>
        <w:t>There will be no specific programming language and tools assigned to the participants</w:t>
      </w:r>
      <w:r w:rsidR="00225984">
        <w:t>, the choice of database, frontend and backend will be entirely up to the candidates to choose. The security assessment will start at the choice of architecture, seeing that even the language could potentially affect the security levels. The cloud environment provided will be 2 AWS accounts for both groups. They will be provided with a root user and password and the decisions from that moment will be up to them.</w:t>
      </w:r>
    </w:p>
    <w:p w14:paraId="42A1426E" w14:textId="77777777" w:rsidR="00EB3C8D" w:rsidRDefault="00000000">
      <w:pPr>
        <w:spacing w:before="120" w:after="160" w:line="276" w:lineRule="auto"/>
        <w:jc w:val="both"/>
      </w:pPr>
      <w:r>
        <w:t>The brief will not specify any security requirements. This is intentional. In a real-world scenario, a non-expert user would not receive security guidance alongside a development task, and adding it would give Group A participants knowledge they would not ordinarily have access to, undermining the validity of the comparison. Participants may consult any documentation, package registries, or reference materials they would ordinarily use during development. No restriction is placed on hosting platform or technology stack.</w:t>
      </w:r>
    </w:p>
    <w:p w14:paraId="3F7E4DDA" w14:textId="77777777" w:rsidR="00EB3C8D" w:rsidRDefault="00000000">
      <w:pPr>
        <w:spacing w:before="120" w:after="160" w:line="276" w:lineRule="auto"/>
        <w:jc w:val="both"/>
      </w:pPr>
      <w:r>
        <w:t>Claude and Claude Code will be used as the designated AI-assisted development tools by all participants. The same time constraint will apply to both groups to prevent differential investment of effort from becoming a confounding factor. On completion, each participant will provide access to their deployed application, source code repository, and infrastructure configuration files, which form the basis for the assessment phase.</w:t>
      </w:r>
    </w:p>
    <w:p w14:paraId="6B7D8081" w14:textId="77777777" w:rsidR="00EB3C8D" w:rsidRDefault="00000000">
      <w:pPr>
        <w:pStyle w:val="Heading2"/>
        <w:spacing w:before="280"/>
      </w:pPr>
      <w:r>
        <w:t>3.4 Security Assessment</w:t>
      </w:r>
    </w:p>
    <w:p w14:paraId="48B7CCAC" w14:textId="69631543" w:rsidR="00EB3C8D" w:rsidRDefault="00000000">
      <w:pPr>
        <w:spacing w:before="120" w:after="160" w:line="276" w:lineRule="auto"/>
        <w:jc w:val="both"/>
      </w:pPr>
      <w:r>
        <w:t>The security assessment of all eight deployed systems will be carried out by an independent third-party security professional. This is not a compromise option</w:t>
      </w:r>
      <w:r w:rsidR="004802B0">
        <w:t>,</w:t>
      </w:r>
      <w:r>
        <w:t xml:space="preserve"> it is a methodological requirement. Independent assessment eliminates researcher bias from the evaluation phase and ensures that all eight systems are held to the same standard. The assessor will not be told which participant belongs to which group until all assessments are complete, and the order of assessment will be randomised.</w:t>
      </w:r>
    </w:p>
    <w:p w14:paraId="4E33CD68" w14:textId="49242598" w:rsidR="00EB3C8D" w:rsidRDefault="00000000">
      <w:pPr>
        <w:spacing w:before="120" w:after="160" w:line="276" w:lineRule="auto"/>
        <w:jc w:val="both"/>
      </w:pPr>
      <w:r>
        <w:t>The assessment will cover four areas. Static code analysis, using tools such as Semgrep</w:t>
      </w:r>
      <w:r w:rsidR="00B948CA">
        <w:t>,</w:t>
      </w:r>
      <w:r>
        <w:t>Bandit</w:t>
      </w:r>
      <w:r w:rsidR="00B948CA">
        <w:t xml:space="preserve"> and SonarQube</w:t>
      </w:r>
      <w:r>
        <w:t>, will examine each codebase for known vulnerability patterns, insecure coding practices, hardcoded credentials, and the use of deprecated or vulnerable dependencies. Dynamic application testing, conducted through Burp Suite, will interact with each running application to identify vulnerabilities that only manifest at runtime, including injection points, broken authentication, session fixation, and improper error handling. Infrastructure misconfiguration review, using Prowler</w:t>
      </w:r>
      <w:r w:rsidR="00B948CA">
        <w:t>, AWS native tools</w:t>
      </w:r>
      <w:r>
        <w:t xml:space="preserve"> or an equivalent cloud security posture management tool, will examine each deployment environment for exposed services, missing encryption, overly permissive access controls, and insecure default configurations. </w:t>
      </w:r>
      <w:r>
        <w:lastRenderedPageBreak/>
        <w:t>Penetration testing will follow from the findings of the preceding three phases, targeting confirmed weaknesses to establish exploitability and realistic impact under adversarial conditions.</w:t>
      </w:r>
    </w:p>
    <w:p w14:paraId="345BF057" w14:textId="0AC31FA0" w:rsidR="00EB3C8D" w:rsidRDefault="00000000">
      <w:pPr>
        <w:spacing w:before="120" w:after="160" w:line="276" w:lineRule="auto"/>
        <w:jc w:val="both"/>
      </w:pPr>
      <w:r>
        <w:t>Every finding will be assigned a CVSS v3.1 Base Score and categorised against the OWASP Top 10 and MITRE CWE. All findings will be recorded using a standardised format across all eight systems to ensure comparability.</w:t>
      </w:r>
    </w:p>
    <w:p w14:paraId="4620001D" w14:textId="77777777" w:rsidR="00EB3C8D" w:rsidRDefault="00000000">
      <w:pPr>
        <w:pStyle w:val="Heading2"/>
        <w:spacing w:before="280"/>
      </w:pPr>
      <w:r>
        <w:t>3.5 Data Collection and Analysis</w:t>
      </w:r>
    </w:p>
    <w:p w14:paraId="54B12F73" w14:textId="77777777" w:rsidR="00EB3C8D" w:rsidRDefault="00000000">
      <w:pPr>
        <w:spacing w:before="120" w:after="160" w:line="276" w:lineRule="auto"/>
        <w:jc w:val="both"/>
      </w:pPr>
      <w:r>
        <w:t>The following metrics will be recorded for each system and used as the basis for group-level comparison:</w:t>
      </w:r>
    </w:p>
    <w:p w14:paraId="2C764398" w14:textId="2DAA8652" w:rsidR="00EB3C8D" w:rsidRDefault="00EC6A35">
      <w:pPr>
        <w:pStyle w:val="ListParagraph"/>
        <w:numPr>
          <w:ilvl w:val="0"/>
          <w:numId w:val="2"/>
        </w:numPr>
        <w:spacing w:before="60" w:after="60"/>
      </w:pPr>
      <w:r>
        <w:t>N</w:t>
      </w:r>
      <w:r w:rsidR="00000000">
        <w:t>umber of vulnerabilities identified</w:t>
      </w:r>
      <w:r>
        <w:t>;</w:t>
      </w:r>
    </w:p>
    <w:p w14:paraId="500BD883" w14:textId="77777777" w:rsidR="00EB3C8D" w:rsidRDefault="00000000">
      <w:pPr>
        <w:pStyle w:val="ListParagraph"/>
        <w:numPr>
          <w:ilvl w:val="0"/>
          <w:numId w:val="2"/>
        </w:numPr>
        <w:spacing w:before="60" w:after="60"/>
      </w:pPr>
      <w:r>
        <w:t>Severity distribution across CVSS bands: Low (0.1-3.9), Medium (4.0-6.9), High (7.0-8.9), Critical (9.0-10.0)</w:t>
      </w:r>
    </w:p>
    <w:p w14:paraId="717DFF91" w14:textId="77777777" w:rsidR="00EB3C8D" w:rsidRDefault="00000000">
      <w:pPr>
        <w:pStyle w:val="ListParagraph"/>
        <w:numPr>
          <w:ilvl w:val="0"/>
          <w:numId w:val="2"/>
        </w:numPr>
        <w:spacing w:before="60" w:after="60"/>
      </w:pPr>
      <w:r>
        <w:t>Average CVSS Base Score per system and per group</w:t>
      </w:r>
    </w:p>
    <w:p w14:paraId="09C23FB0" w14:textId="77777777" w:rsidR="00EB3C8D" w:rsidRDefault="00000000">
      <w:pPr>
        <w:pStyle w:val="ListParagraph"/>
        <w:numPr>
          <w:ilvl w:val="0"/>
          <w:numId w:val="2"/>
        </w:numPr>
        <w:spacing w:before="60" w:after="60"/>
      </w:pPr>
      <w:r>
        <w:t>Vulnerability type distribution mapped to OWASP Top 10 categories</w:t>
      </w:r>
    </w:p>
    <w:p w14:paraId="7C11E686" w14:textId="77777777" w:rsidR="00EB3C8D" w:rsidRDefault="00000000">
      <w:pPr>
        <w:pStyle w:val="ListParagraph"/>
        <w:numPr>
          <w:ilvl w:val="0"/>
          <w:numId w:val="2"/>
        </w:numPr>
        <w:spacing w:before="60" w:after="60"/>
      </w:pPr>
      <w:r>
        <w:t>Number and severity of infrastructure misconfiguration findings</w:t>
      </w:r>
    </w:p>
    <w:p w14:paraId="55C5AD99" w14:textId="77777777" w:rsidR="00EB3C8D" w:rsidRDefault="00000000">
      <w:pPr>
        <w:pStyle w:val="ListParagraph"/>
        <w:numPr>
          <w:ilvl w:val="0"/>
          <w:numId w:val="2"/>
        </w:numPr>
        <w:spacing w:before="60" w:after="60"/>
      </w:pPr>
      <w:r>
        <w:t>Presence of hardcoded secrets or exposed credentials</w:t>
      </w:r>
    </w:p>
    <w:p w14:paraId="1BA19748" w14:textId="77777777" w:rsidR="00EB3C8D" w:rsidRDefault="00000000">
      <w:pPr>
        <w:pStyle w:val="ListParagraph"/>
        <w:numPr>
          <w:ilvl w:val="0"/>
          <w:numId w:val="2"/>
        </w:numPr>
        <w:spacing w:before="60" w:after="60"/>
      </w:pPr>
      <w:r>
        <w:t>Number of services publicly accessible beyond application requirements</w:t>
      </w:r>
    </w:p>
    <w:p w14:paraId="213570B0" w14:textId="77777777" w:rsidR="00EB3C8D" w:rsidRDefault="00000000">
      <w:pPr>
        <w:spacing w:before="120" w:after="160" w:line="276" w:lineRule="auto"/>
        <w:jc w:val="both"/>
      </w:pPr>
      <w:r>
        <w:t>Group-level analysis will compare the mean and distribution of these metrics between Group A and Group B. Given the sample size of four participants per group, statistical significance testing will use appropriate non-parametric methods. As noted in section 3.1, this study is designed as a pilot investigation and findings will be treated as exploratory. The primary analytical question is whether technically experienced practitioners produce systems with fewer or less severe vulnerabilities than non-technical users when both groups use the same AI tools under identical conditions.</w:t>
      </w:r>
    </w:p>
    <w:p w14:paraId="1A30C703" w14:textId="77777777" w:rsidR="00EB3C8D" w:rsidRDefault="00000000">
      <w:pPr>
        <w:pStyle w:val="Heading2"/>
        <w:spacing w:before="280"/>
      </w:pPr>
      <w:r>
        <w:t>3.6 Ethical Considerations</w:t>
      </w:r>
    </w:p>
    <w:p w14:paraId="5C4F84F8" w14:textId="46C69CC2" w:rsidR="00EB3C8D" w:rsidRDefault="00000000">
      <w:pPr>
        <w:spacing w:before="120" w:after="160" w:line="276" w:lineRule="auto"/>
        <w:jc w:val="both"/>
      </w:pPr>
      <w:r>
        <w:t xml:space="preserve">Ethics approval will </w:t>
      </w:r>
      <w:r w:rsidR="00EC6A35">
        <w:t>need to be approved</w:t>
      </w:r>
      <w:r>
        <w:t xml:space="preserve"> before participant recruitment begins. The partial concealment of the study's comparative nature from participants will be disclosed and justified in the ethics application. All other standard </w:t>
      </w:r>
      <w:r w:rsidR="00EC6A35">
        <w:t>procedures</w:t>
      </w:r>
      <w:r>
        <w:t xml:space="preserve"> apply: informed consent before participation, the right to withdraw without consequence at any stage, full debrief following the assessment phase, and anonymisation of all participant data in reported findings. No sensitive personal data beyond what is required for group assignment and contact will be collected or retained after the study is complete.</w:t>
      </w:r>
    </w:p>
    <w:p w14:paraId="71AD17D9" w14:textId="77777777" w:rsidR="00EB3C8D" w:rsidRDefault="00000000">
      <w:r>
        <w:br w:type="page"/>
      </w:r>
    </w:p>
    <w:p w14:paraId="1878E668" w14:textId="77777777" w:rsidR="00EB3C8D" w:rsidRDefault="00000000">
      <w:pPr>
        <w:pStyle w:val="Heading1"/>
        <w:spacing w:before="400"/>
      </w:pPr>
      <w:r>
        <w:lastRenderedPageBreak/>
        <w:t>4. Expected Outcomes</w:t>
      </w:r>
    </w:p>
    <w:p w14:paraId="712BDFF2" w14:textId="6B8833E4" w:rsidR="00EB3C8D" w:rsidRDefault="00000000">
      <w:pPr>
        <w:spacing w:before="120" w:after="160" w:line="276" w:lineRule="auto"/>
        <w:jc w:val="both"/>
      </w:pPr>
      <w:r>
        <w:t>The most likely finding is that Group B</w:t>
      </w:r>
      <w:r w:rsidR="001D079E">
        <w:t xml:space="preserve"> systems</w:t>
      </w:r>
      <w:r>
        <w:t xml:space="preserve"> will exhibit lower vulnerability severity than Group A systems, reflected in a lower average CVSS score and a smaller proportion of High and Critical findings. This expectation follows from the literature:</w:t>
      </w:r>
      <w:r w:rsidR="001D079E">
        <w:t xml:space="preserve"> </w:t>
      </w:r>
      <w:r>
        <w:t>experienced practitioners</w:t>
      </w:r>
      <w:r w:rsidR="001D079E">
        <w:t xml:space="preserve"> with technical background</w:t>
      </w:r>
      <w:r>
        <w:t xml:space="preserve"> are better positioned to identify insecure patterns in AI-generated outputs, apply controls the AI did not suggest, and configure their deployment environments with some degree of security intent. However, </w:t>
      </w:r>
      <w:r w:rsidR="001D079E">
        <w:t>this</w:t>
      </w:r>
      <w:r>
        <w:t xml:space="preserve"> study is built to test that expectation rather than confirm it. Results that run counter to it would be equally significant and arguably more interesting, as they would suggest that AI tools are effective enough at producing functional systems that expertise no longer meaningfully differentiates security outcomes.</w:t>
      </w:r>
    </w:p>
    <w:p w14:paraId="4E2E5769" w14:textId="7B6EEAC2" w:rsidR="00EB3C8D" w:rsidRDefault="00000000" w:rsidP="00CC50D6">
      <w:pPr>
        <w:spacing w:before="120" w:after="160" w:line="276" w:lineRule="auto"/>
        <w:jc w:val="both"/>
      </w:pPr>
      <w:r>
        <w:t>A secondary expectation is that infrastructure misconfigurations and credential exposure will be more prevalent in Group A systems. Non-expert users are less likely to specify security requirements in their prompts and less likely to notice when the AI's output omits them. Group B participants with backgrounds in solutions architecture or DevOps are more likely to apply hardening steps as part of normal practice, even without being prompted to do so by the task brief.</w:t>
      </w:r>
      <w:r>
        <w:br w:type="page"/>
      </w:r>
    </w:p>
    <w:p w14:paraId="62DC3062" w14:textId="77777777" w:rsidR="00EB3C8D" w:rsidRDefault="00000000">
      <w:pPr>
        <w:pStyle w:val="Heading1"/>
        <w:spacing w:before="400"/>
      </w:pPr>
      <w:r>
        <w:lastRenderedPageBreak/>
        <w:t>5. Project Timeline</w:t>
      </w:r>
    </w:p>
    <w:p w14:paraId="34390641" w14:textId="526157B7" w:rsidR="00EB3C8D" w:rsidRDefault="00000000">
      <w:pPr>
        <w:spacing w:before="120" w:after="160" w:line="276" w:lineRule="auto"/>
        <w:jc w:val="both"/>
      </w:pPr>
      <w:r>
        <w:t xml:space="preserve">The study is organised into six sequential phases. Ethics approval must be in place before recruitment begins, and participant data collection cannot proceed in parallel with assessment given the need for completed deployments. </w:t>
      </w:r>
      <w:r w:rsidR="00CC50D6">
        <w:t xml:space="preserve">The time gap between the ethics submission and the start of the research is due to my part-time studies that have a different timeline. </w:t>
      </w:r>
      <w:r>
        <w:t xml:space="preserve">The timeline below </w:t>
      </w:r>
      <w:r w:rsidR="001D079E">
        <w:t>shows those dependencies</w:t>
      </w:r>
      <w:r>
        <w:t>.</w:t>
      </w:r>
    </w:p>
    <w:p w14:paraId="0AB1BF9D" w14:textId="77777777" w:rsidR="00EB3C8D" w:rsidRDefault="00EB3C8D">
      <w:pPr>
        <w:spacing w:before="200" w:after="100"/>
      </w:pPr>
    </w:p>
    <w:p w14:paraId="60108EE6" w14:textId="77777777" w:rsidR="00EB3C8D" w:rsidRDefault="00000000">
      <w:pPr>
        <w:spacing w:before="80" w:after="80"/>
        <w:jc w:val="center"/>
      </w:pPr>
      <w:r>
        <w:rPr>
          <w:b/>
          <w:bCs/>
          <w:caps/>
          <w:sz w:val="20"/>
          <w:szCs w:val="20"/>
        </w:rPr>
        <w:t>TABLE I. PROJECT TIMELINE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00"/>
        <w:gridCol w:w="4800"/>
        <w:gridCol w:w="3226"/>
      </w:tblGrid>
      <w:tr w:rsidR="00EB3C8D" w14:paraId="6AA08EB1" w14:textId="77777777">
        <w:tblPrEx>
          <w:tblCellMar>
            <w:top w:w="0" w:type="dxa"/>
            <w:bottom w:w="0" w:type="dxa"/>
          </w:tblCellMar>
        </w:tblPrEx>
        <w:trPr>
          <w:tblHeader/>
        </w:trPr>
        <w:tc>
          <w:tcPr>
            <w:tcW w:w="1000" w:type="dxa"/>
            <w:tcBorders>
              <w:top w:val="single" w:sz="1" w:space="0" w:color="AAAAAA"/>
              <w:left w:val="single" w:sz="1" w:space="0" w:color="AAAAAA"/>
              <w:bottom w:val="single" w:sz="1" w:space="0" w:color="AAAAAA"/>
              <w:right w:val="single" w:sz="1" w:space="0" w:color="AAAAAA"/>
            </w:tcBorders>
            <w:shd w:val="clear" w:color="auto" w:fill="D9E1F2"/>
            <w:tcMar>
              <w:top w:w="80" w:type="dxa"/>
              <w:left w:w="120" w:type="dxa"/>
              <w:bottom w:w="80" w:type="dxa"/>
              <w:right w:w="120" w:type="dxa"/>
            </w:tcMar>
          </w:tcPr>
          <w:p w14:paraId="7646F57A" w14:textId="77777777" w:rsidR="00EB3C8D" w:rsidRDefault="00000000">
            <w:pPr>
              <w:jc w:val="center"/>
            </w:pPr>
            <w:r>
              <w:rPr>
                <w:b/>
                <w:bCs/>
                <w:sz w:val="22"/>
                <w:szCs w:val="22"/>
              </w:rPr>
              <w:t>Phase</w:t>
            </w:r>
          </w:p>
        </w:tc>
        <w:tc>
          <w:tcPr>
            <w:tcW w:w="4800" w:type="dxa"/>
            <w:tcBorders>
              <w:top w:val="single" w:sz="1" w:space="0" w:color="AAAAAA"/>
              <w:left w:val="single" w:sz="1" w:space="0" w:color="AAAAAA"/>
              <w:bottom w:val="single" w:sz="1" w:space="0" w:color="AAAAAA"/>
              <w:right w:val="single" w:sz="1" w:space="0" w:color="AAAAAA"/>
            </w:tcBorders>
            <w:shd w:val="clear" w:color="auto" w:fill="D9E1F2"/>
            <w:tcMar>
              <w:top w:w="80" w:type="dxa"/>
              <w:left w:w="120" w:type="dxa"/>
              <w:bottom w:w="80" w:type="dxa"/>
              <w:right w:w="120" w:type="dxa"/>
            </w:tcMar>
          </w:tcPr>
          <w:p w14:paraId="1B44470D" w14:textId="77777777" w:rsidR="00EB3C8D" w:rsidRDefault="00000000">
            <w:pPr>
              <w:jc w:val="center"/>
            </w:pPr>
            <w:r>
              <w:rPr>
                <w:b/>
                <w:bCs/>
                <w:sz w:val="22"/>
                <w:szCs w:val="22"/>
              </w:rPr>
              <w:t>Activity</w:t>
            </w:r>
          </w:p>
        </w:tc>
        <w:tc>
          <w:tcPr>
            <w:tcW w:w="3226" w:type="dxa"/>
            <w:tcBorders>
              <w:top w:val="single" w:sz="1" w:space="0" w:color="AAAAAA"/>
              <w:left w:val="single" w:sz="1" w:space="0" w:color="AAAAAA"/>
              <w:bottom w:val="single" w:sz="1" w:space="0" w:color="AAAAAA"/>
              <w:right w:val="single" w:sz="1" w:space="0" w:color="AAAAAA"/>
            </w:tcBorders>
            <w:shd w:val="clear" w:color="auto" w:fill="D9E1F2"/>
            <w:tcMar>
              <w:top w:w="80" w:type="dxa"/>
              <w:left w:w="120" w:type="dxa"/>
              <w:bottom w:w="80" w:type="dxa"/>
              <w:right w:w="120" w:type="dxa"/>
            </w:tcMar>
          </w:tcPr>
          <w:p w14:paraId="25668F9F" w14:textId="77777777" w:rsidR="00EB3C8D" w:rsidRDefault="00000000">
            <w:pPr>
              <w:jc w:val="center"/>
            </w:pPr>
            <w:r>
              <w:rPr>
                <w:b/>
                <w:bCs/>
                <w:sz w:val="22"/>
                <w:szCs w:val="22"/>
              </w:rPr>
              <w:t>Period</w:t>
            </w:r>
          </w:p>
        </w:tc>
      </w:tr>
      <w:tr w:rsidR="00EB3C8D" w14:paraId="6E2C513B" w14:textId="77777777">
        <w:tblPrEx>
          <w:tblCellMar>
            <w:top w:w="0" w:type="dxa"/>
            <w:bottom w:w="0" w:type="dxa"/>
          </w:tblCellMar>
        </w:tblPrEx>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C8F0487" w14:textId="77777777" w:rsidR="00EB3C8D" w:rsidRDefault="00000000">
            <w:pPr>
              <w:jc w:val="center"/>
            </w:pPr>
            <w:r>
              <w:rPr>
                <w:sz w:val="22"/>
                <w:szCs w:val="22"/>
              </w:rPr>
              <w:t>1</w:t>
            </w:r>
          </w:p>
        </w:tc>
        <w:tc>
          <w:tcPr>
            <w:tcW w:w="4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5AD7BEC" w14:textId="77777777" w:rsidR="00EB3C8D" w:rsidRDefault="00000000">
            <w:r>
              <w:rPr>
                <w:sz w:val="22"/>
                <w:szCs w:val="22"/>
              </w:rPr>
              <w:t>Ethics application submission and approval</w:t>
            </w:r>
          </w:p>
        </w:tc>
        <w:tc>
          <w:tcPr>
            <w:tcW w:w="32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B77CE25" w14:textId="77777777" w:rsidR="00EB3C8D" w:rsidRDefault="00000000">
            <w:r>
              <w:rPr>
                <w:sz w:val="22"/>
                <w:szCs w:val="22"/>
              </w:rPr>
              <w:t>Weeks 1-2 (May 2026)</w:t>
            </w:r>
          </w:p>
        </w:tc>
      </w:tr>
      <w:tr w:rsidR="00EB3C8D" w14:paraId="2FA7957D" w14:textId="77777777">
        <w:tblPrEx>
          <w:tblCellMar>
            <w:top w:w="0" w:type="dxa"/>
            <w:bottom w:w="0" w:type="dxa"/>
          </w:tblCellMar>
        </w:tblPrEx>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53544F0" w14:textId="77777777" w:rsidR="00EB3C8D" w:rsidRDefault="00000000">
            <w:pPr>
              <w:jc w:val="center"/>
            </w:pPr>
            <w:r>
              <w:rPr>
                <w:sz w:val="22"/>
                <w:szCs w:val="22"/>
              </w:rPr>
              <w:t>2</w:t>
            </w:r>
          </w:p>
        </w:tc>
        <w:tc>
          <w:tcPr>
            <w:tcW w:w="4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7A27271" w14:textId="77777777" w:rsidR="00EB3C8D" w:rsidRDefault="00000000">
            <w:r>
              <w:rPr>
                <w:sz w:val="22"/>
                <w:szCs w:val="22"/>
              </w:rPr>
              <w:t>Participant recruitment, screening, and group assignment</w:t>
            </w:r>
          </w:p>
        </w:tc>
        <w:tc>
          <w:tcPr>
            <w:tcW w:w="32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E0D4F4A" w14:textId="0223EDC2" w:rsidR="00EB3C8D" w:rsidRDefault="00000000">
            <w:r>
              <w:rPr>
                <w:sz w:val="22"/>
                <w:szCs w:val="22"/>
              </w:rPr>
              <w:t>Weeks 3-4 (May-June 202</w:t>
            </w:r>
            <w:r w:rsidR="001D079E">
              <w:rPr>
                <w:sz w:val="22"/>
                <w:szCs w:val="22"/>
              </w:rPr>
              <w:t>7</w:t>
            </w:r>
            <w:r>
              <w:rPr>
                <w:sz w:val="22"/>
                <w:szCs w:val="22"/>
              </w:rPr>
              <w:t>)</w:t>
            </w:r>
          </w:p>
        </w:tc>
      </w:tr>
      <w:tr w:rsidR="00EB3C8D" w14:paraId="3B508FA0" w14:textId="77777777">
        <w:tblPrEx>
          <w:tblCellMar>
            <w:top w:w="0" w:type="dxa"/>
            <w:bottom w:w="0" w:type="dxa"/>
          </w:tblCellMar>
        </w:tblPrEx>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B1E9A73" w14:textId="77777777" w:rsidR="00EB3C8D" w:rsidRDefault="00000000">
            <w:pPr>
              <w:jc w:val="center"/>
            </w:pPr>
            <w:r>
              <w:rPr>
                <w:sz w:val="22"/>
                <w:szCs w:val="22"/>
              </w:rPr>
              <w:t>3</w:t>
            </w:r>
          </w:p>
        </w:tc>
        <w:tc>
          <w:tcPr>
            <w:tcW w:w="4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01816E6" w14:textId="77777777" w:rsidR="00EB3C8D" w:rsidRDefault="00000000">
            <w:r>
              <w:rPr>
                <w:sz w:val="22"/>
                <w:szCs w:val="22"/>
              </w:rPr>
              <w:t>Controlled development task: all participants build and deploy systems</w:t>
            </w:r>
          </w:p>
        </w:tc>
        <w:tc>
          <w:tcPr>
            <w:tcW w:w="32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7336FB0" w14:textId="33F8063F" w:rsidR="00EB3C8D" w:rsidRDefault="00000000">
            <w:r>
              <w:rPr>
                <w:sz w:val="22"/>
                <w:szCs w:val="22"/>
              </w:rPr>
              <w:t>Weeks 5-7 (June 202</w:t>
            </w:r>
            <w:r w:rsidR="001D079E">
              <w:rPr>
                <w:sz w:val="22"/>
                <w:szCs w:val="22"/>
              </w:rPr>
              <w:t>7</w:t>
            </w:r>
            <w:r>
              <w:rPr>
                <w:sz w:val="22"/>
                <w:szCs w:val="22"/>
              </w:rPr>
              <w:t>)</w:t>
            </w:r>
          </w:p>
        </w:tc>
      </w:tr>
      <w:tr w:rsidR="00EB3C8D" w14:paraId="15FB4630" w14:textId="77777777">
        <w:tblPrEx>
          <w:tblCellMar>
            <w:top w:w="0" w:type="dxa"/>
            <w:bottom w:w="0" w:type="dxa"/>
          </w:tblCellMar>
        </w:tblPrEx>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CA2BB0E" w14:textId="77777777" w:rsidR="00EB3C8D" w:rsidRDefault="00000000">
            <w:pPr>
              <w:jc w:val="center"/>
            </w:pPr>
            <w:r>
              <w:rPr>
                <w:sz w:val="22"/>
                <w:szCs w:val="22"/>
              </w:rPr>
              <w:t>4</w:t>
            </w:r>
          </w:p>
        </w:tc>
        <w:tc>
          <w:tcPr>
            <w:tcW w:w="4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9EEB7F7" w14:textId="77777777" w:rsidR="00EB3C8D" w:rsidRDefault="00000000">
            <w:r>
              <w:rPr>
                <w:sz w:val="22"/>
                <w:szCs w:val="22"/>
              </w:rPr>
              <w:t>Independent third-party security assessment of all eight deployments</w:t>
            </w:r>
          </w:p>
        </w:tc>
        <w:tc>
          <w:tcPr>
            <w:tcW w:w="32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6145B31" w14:textId="24A7B1E9" w:rsidR="00EB3C8D" w:rsidRDefault="00000000">
            <w:r>
              <w:rPr>
                <w:sz w:val="22"/>
                <w:szCs w:val="22"/>
              </w:rPr>
              <w:t>Weeks 8-10 (July 202</w:t>
            </w:r>
            <w:r w:rsidR="001D079E">
              <w:rPr>
                <w:sz w:val="22"/>
                <w:szCs w:val="22"/>
              </w:rPr>
              <w:t>7</w:t>
            </w:r>
            <w:r>
              <w:rPr>
                <w:sz w:val="22"/>
                <w:szCs w:val="22"/>
              </w:rPr>
              <w:t>)</w:t>
            </w:r>
          </w:p>
        </w:tc>
      </w:tr>
      <w:tr w:rsidR="00EB3C8D" w14:paraId="5A7451E5" w14:textId="77777777">
        <w:tblPrEx>
          <w:tblCellMar>
            <w:top w:w="0" w:type="dxa"/>
            <w:bottom w:w="0" w:type="dxa"/>
          </w:tblCellMar>
        </w:tblPrEx>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3C05BAE" w14:textId="77777777" w:rsidR="00EB3C8D" w:rsidRDefault="00000000">
            <w:pPr>
              <w:jc w:val="center"/>
            </w:pPr>
            <w:r>
              <w:rPr>
                <w:sz w:val="22"/>
                <w:szCs w:val="22"/>
              </w:rPr>
              <w:t>5</w:t>
            </w:r>
          </w:p>
        </w:tc>
        <w:tc>
          <w:tcPr>
            <w:tcW w:w="4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589FD8C" w14:textId="77777777" w:rsidR="00EB3C8D" w:rsidRDefault="00000000">
            <w:r>
              <w:rPr>
                <w:sz w:val="22"/>
                <w:szCs w:val="22"/>
              </w:rPr>
              <w:t>Data analysis and group-level comparison</w:t>
            </w:r>
          </w:p>
        </w:tc>
        <w:tc>
          <w:tcPr>
            <w:tcW w:w="32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9D0CDCE" w14:textId="3239E9A6" w:rsidR="00EB3C8D" w:rsidRDefault="00000000">
            <w:r>
              <w:rPr>
                <w:sz w:val="22"/>
                <w:szCs w:val="22"/>
              </w:rPr>
              <w:t>Weeks 11-13 (July-August 202</w:t>
            </w:r>
            <w:r w:rsidR="001D079E">
              <w:rPr>
                <w:sz w:val="22"/>
                <w:szCs w:val="22"/>
              </w:rPr>
              <w:t>7</w:t>
            </w:r>
            <w:r>
              <w:rPr>
                <w:sz w:val="22"/>
                <w:szCs w:val="22"/>
              </w:rPr>
              <w:t>)</w:t>
            </w:r>
          </w:p>
        </w:tc>
      </w:tr>
      <w:tr w:rsidR="00EB3C8D" w14:paraId="22C388CF" w14:textId="77777777">
        <w:tblPrEx>
          <w:tblCellMar>
            <w:top w:w="0" w:type="dxa"/>
            <w:bottom w:w="0" w:type="dxa"/>
          </w:tblCellMar>
        </w:tblPrEx>
        <w:tc>
          <w:tcPr>
            <w:tcW w:w="10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B7693FC" w14:textId="77777777" w:rsidR="00EB3C8D" w:rsidRDefault="00000000">
            <w:pPr>
              <w:jc w:val="center"/>
            </w:pPr>
            <w:r>
              <w:rPr>
                <w:sz w:val="22"/>
                <w:szCs w:val="22"/>
              </w:rPr>
              <w:t>6</w:t>
            </w:r>
          </w:p>
        </w:tc>
        <w:tc>
          <w:tcPr>
            <w:tcW w:w="48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F180390" w14:textId="77777777" w:rsidR="00EB3C8D" w:rsidRDefault="00000000">
            <w:r>
              <w:rPr>
                <w:sz w:val="22"/>
                <w:szCs w:val="22"/>
              </w:rPr>
              <w:t>Thesis writing, supervisor review, and final submission</w:t>
            </w:r>
          </w:p>
        </w:tc>
        <w:tc>
          <w:tcPr>
            <w:tcW w:w="3226"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74D7D0F" w14:textId="17A0CE79" w:rsidR="00EB3C8D" w:rsidRDefault="00000000">
            <w:r>
              <w:rPr>
                <w:sz w:val="22"/>
                <w:szCs w:val="22"/>
              </w:rPr>
              <w:t>Weeks 14-20 (August-September 202</w:t>
            </w:r>
            <w:r w:rsidR="001D079E">
              <w:rPr>
                <w:sz w:val="22"/>
                <w:szCs w:val="22"/>
              </w:rPr>
              <w:t>7</w:t>
            </w:r>
            <w:r>
              <w:rPr>
                <w:sz w:val="22"/>
                <w:szCs w:val="22"/>
              </w:rPr>
              <w:t>)</w:t>
            </w:r>
          </w:p>
        </w:tc>
      </w:tr>
    </w:tbl>
    <w:p w14:paraId="4264374E" w14:textId="77777777" w:rsidR="00EB3C8D" w:rsidRDefault="00EB3C8D">
      <w:pPr>
        <w:spacing w:before="200" w:after="160"/>
      </w:pPr>
    </w:p>
    <w:p w14:paraId="19AA7777" w14:textId="77777777" w:rsidR="00EB3C8D" w:rsidRDefault="00000000">
      <w:pPr>
        <w:spacing w:before="120" w:after="160" w:line="276" w:lineRule="auto"/>
        <w:jc w:val="both"/>
      </w:pPr>
      <w:r>
        <w:t>The assessment phase has the most external dependency, as its timing is partly determined by the availability of the third-party assessor. Some contingency has been built into that phase to absorb scheduling delays without compressing the analysis and writing phases that follow.</w:t>
      </w:r>
    </w:p>
    <w:p w14:paraId="0B72980C" w14:textId="77777777" w:rsidR="00C90961" w:rsidRDefault="00C90961" w:rsidP="00C90961"/>
    <w:p w14:paraId="1790267E" w14:textId="77777777" w:rsidR="00C90961" w:rsidRDefault="00C90961" w:rsidP="00C90961"/>
    <w:p w14:paraId="6C92F84A" w14:textId="77777777" w:rsidR="00C90961" w:rsidRDefault="00C90961" w:rsidP="00C90961"/>
    <w:p w14:paraId="4CB4A7D0" w14:textId="77777777" w:rsidR="00C90961" w:rsidRDefault="00C90961" w:rsidP="00C90961"/>
    <w:p w14:paraId="363942BC" w14:textId="77777777" w:rsidR="00C90961" w:rsidRDefault="00C90961" w:rsidP="00C90961"/>
    <w:p w14:paraId="26EAEC1F" w14:textId="77777777" w:rsidR="00C90961" w:rsidRDefault="00C90961" w:rsidP="00C90961"/>
    <w:p w14:paraId="18C1EAFA" w14:textId="77777777" w:rsidR="00C90961" w:rsidRDefault="00C90961" w:rsidP="00C90961"/>
    <w:p w14:paraId="22086952" w14:textId="77777777" w:rsidR="00C90961" w:rsidRDefault="00C90961" w:rsidP="00C90961"/>
    <w:p w14:paraId="726A47BD" w14:textId="77777777" w:rsidR="00C90961" w:rsidRDefault="00C90961" w:rsidP="00C90961"/>
    <w:p w14:paraId="5C038974" w14:textId="77777777" w:rsidR="00C90961" w:rsidRDefault="00C90961" w:rsidP="00C90961"/>
    <w:p w14:paraId="056DDCC1" w14:textId="77777777" w:rsidR="00C90961" w:rsidRDefault="00C90961" w:rsidP="00C90961"/>
    <w:p w14:paraId="293F34E4" w14:textId="77777777" w:rsidR="00C90961" w:rsidRDefault="00C90961" w:rsidP="00C90961"/>
    <w:p w14:paraId="4C94C847" w14:textId="77777777" w:rsidR="00C90961" w:rsidRDefault="00C90961" w:rsidP="00C90961"/>
    <w:p w14:paraId="1FD1483C" w14:textId="77777777" w:rsidR="00C90961" w:rsidRDefault="00C90961" w:rsidP="00C90961"/>
    <w:p w14:paraId="5F39C0CB" w14:textId="77777777" w:rsidR="00C90961" w:rsidRDefault="00C90961" w:rsidP="00C90961"/>
    <w:p w14:paraId="0FF15D7C" w14:textId="77777777" w:rsidR="00C90961" w:rsidRDefault="00C90961" w:rsidP="00C90961"/>
    <w:p w14:paraId="31734935" w14:textId="77777777" w:rsidR="00C90961" w:rsidRDefault="00C90961" w:rsidP="00C90961"/>
    <w:p w14:paraId="6FFB50F2" w14:textId="77777777" w:rsidR="00C90961" w:rsidRDefault="00C90961" w:rsidP="00C90961"/>
    <w:p w14:paraId="5C531B31" w14:textId="2ECC5590" w:rsidR="00C90961" w:rsidRPr="00C90961" w:rsidRDefault="00C90961" w:rsidP="00C90961">
      <w:r>
        <w:rPr>
          <w:sz w:val="22"/>
          <w:szCs w:val="22"/>
        </w:rPr>
        <w:lastRenderedPageBreak/>
        <w:br/>
      </w:r>
    </w:p>
    <w:sdt>
      <w:sdtPr>
        <w:rPr>
          <w:sz w:val="22"/>
          <w:szCs w:val="22"/>
        </w:rPr>
        <w:tag w:val="rw.bWnCOutputStyleIdiblio"/>
        <w:id w:val="-170564916"/>
        <w:placeholder>
          <w:docPart w:val="EEF39955F6FBB64ABBEB7DE795DD6A70"/>
        </w:placeholder>
      </w:sdtPr>
      <w:sdtEndPr>
        <w:rPr>
          <w:rFonts w:eastAsia="Times New Roman"/>
        </w:rPr>
      </w:sdtEndPr>
      <w:sdtContent>
        <w:p w14:paraId="7DA2872E" w14:textId="77777777" w:rsidR="00202627" w:rsidRDefault="00202627">
          <w:pPr>
            <w:pStyle w:val="NormalWeb"/>
            <w:jc w:val="center"/>
            <w:rPr>
              <w:color w:val="000000"/>
            </w:rPr>
          </w:pPr>
          <w:r>
            <w:rPr>
              <w:color w:val="000000"/>
            </w:rPr>
            <w:t>References</w:t>
          </w:r>
        </w:p>
        <w:p w14:paraId="5F28DFA7" w14:textId="77777777" w:rsidR="00202627" w:rsidRDefault="00202627">
          <w:pPr>
            <w:pStyle w:val="NormalWeb"/>
            <w:ind w:left="450" w:hanging="450"/>
            <w:rPr>
              <w:color w:val="000000"/>
            </w:rPr>
          </w:pPr>
          <w:r>
            <w:rPr>
              <w:color w:val="000000"/>
            </w:rPr>
            <w:t xml:space="preserve">[1] A. Yarali, J. Kelley and L. Taylor, "Artificial Intelligence: Benefits and Flaws", </w:t>
          </w:r>
          <w:r>
            <w:rPr>
              <w:i/>
              <w:iCs/>
              <w:color w:val="000000"/>
            </w:rPr>
            <w:t xml:space="preserve">2025 IEEE World AI IoT Congress (AIIoT), </w:t>
          </w:r>
          <w:r>
            <w:rPr>
              <w:color w:val="000000"/>
            </w:rPr>
            <w:t xml:space="preserve">pp. 1. </w:t>
          </w:r>
        </w:p>
        <w:p w14:paraId="3E18F1BE" w14:textId="77777777" w:rsidR="00202627" w:rsidRDefault="00202627">
          <w:pPr>
            <w:pStyle w:val="NormalWeb"/>
            <w:ind w:left="450" w:hanging="450"/>
            <w:rPr>
              <w:color w:val="000000"/>
            </w:rPr>
          </w:pPr>
          <w:r>
            <w:rPr>
              <w:color w:val="000000"/>
            </w:rPr>
            <w:t xml:space="preserve">[2] H. Pearce, B. Ahmad, B. Tan, B. Dolan-Gavitt and R. Karri, "Asleep at the keyboard? assessing the security of github copilot’s code contributions," </w:t>
          </w:r>
          <w:r>
            <w:rPr>
              <w:i/>
              <w:iCs/>
              <w:color w:val="000000"/>
            </w:rPr>
            <w:t xml:space="preserve">Commun ACM. </w:t>
          </w:r>
          <w:r>
            <w:rPr>
              <w:color w:val="000000"/>
            </w:rPr>
            <w:t xml:space="preserve">vol. 68, no. 2, pp.96–105, 2025, </w:t>
          </w:r>
        </w:p>
        <w:p w14:paraId="5DFEEB53" w14:textId="77777777" w:rsidR="00202627" w:rsidRDefault="00202627">
          <w:pPr>
            <w:pStyle w:val="NormalWeb"/>
            <w:ind w:left="450" w:hanging="450"/>
            <w:rPr>
              <w:color w:val="000000"/>
            </w:rPr>
          </w:pPr>
          <w:r>
            <w:rPr>
              <w:color w:val="000000"/>
            </w:rPr>
            <w:t xml:space="preserve">[3] N. Perry, et al., "Do users write more insecure code with ai assistants?", </w:t>
          </w:r>
          <w:r>
            <w:rPr>
              <w:i/>
              <w:iCs/>
              <w:color w:val="000000"/>
            </w:rPr>
            <w:t xml:space="preserve">Proceedings of the 2023 ACM SIGSAC conference on computer and communications security, </w:t>
          </w:r>
          <w:r>
            <w:rPr>
              <w:color w:val="000000"/>
            </w:rPr>
            <w:t xml:space="preserve">pp. 2785–2799. </w:t>
          </w:r>
        </w:p>
        <w:p w14:paraId="1796BF2C" w14:textId="77777777" w:rsidR="00202627" w:rsidRDefault="00202627">
          <w:pPr>
            <w:pStyle w:val="NormalWeb"/>
            <w:ind w:left="450" w:hanging="450"/>
            <w:rPr>
              <w:color w:val="000000"/>
            </w:rPr>
          </w:pPr>
          <w:r>
            <w:rPr>
              <w:color w:val="000000"/>
            </w:rPr>
            <w:t xml:space="preserve">[4] N. Tihanyi, et al., "The formai dataset: Generative ai in software security through the lens of formal verification", </w:t>
          </w:r>
          <w:r>
            <w:rPr>
              <w:i/>
              <w:iCs/>
              <w:color w:val="000000"/>
            </w:rPr>
            <w:t xml:space="preserve">Proceedings of the 19th international conference on predictive models and data analytics in software engineering, </w:t>
          </w:r>
          <w:r>
            <w:rPr>
              <w:color w:val="000000"/>
            </w:rPr>
            <w:t xml:space="preserve">pp. 33–43. </w:t>
          </w:r>
        </w:p>
        <w:p w14:paraId="0D30C3AB" w14:textId="77777777" w:rsidR="00202627" w:rsidRDefault="00202627">
          <w:pPr>
            <w:pStyle w:val="NormalWeb"/>
            <w:ind w:left="450" w:hanging="450"/>
            <w:rPr>
              <w:color w:val="000000"/>
            </w:rPr>
          </w:pPr>
          <w:r>
            <w:rPr>
              <w:color w:val="000000"/>
            </w:rPr>
            <w:t xml:space="preserve">[5] R. Parasuraman and D. H. Manzey, "Complacency and bias in human use of automation: An attentional integration," </w:t>
          </w:r>
          <w:r>
            <w:rPr>
              <w:i/>
              <w:iCs/>
              <w:color w:val="000000"/>
            </w:rPr>
            <w:t xml:space="preserve">Hum.Factors. </w:t>
          </w:r>
          <w:r>
            <w:rPr>
              <w:color w:val="000000"/>
            </w:rPr>
            <w:t xml:space="preserve">vol. 52, no. 3, pp.381–410, 2010, </w:t>
          </w:r>
        </w:p>
        <w:p w14:paraId="22CF31F1" w14:textId="77777777" w:rsidR="00202627" w:rsidRDefault="00202627">
          <w:pPr>
            <w:pStyle w:val="NormalWeb"/>
            <w:ind w:left="450" w:hanging="450"/>
            <w:rPr>
              <w:color w:val="000000"/>
            </w:rPr>
          </w:pPr>
          <w:r>
            <w:rPr>
              <w:color w:val="000000"/>
            </w:rPr>
            <w:t xml:space="preserve">[6] G. Romeo and D. Conti, "Exploring automation bias in human–AI collaboration: a review and implications for explainable AI," vol. 41, no. 1, pp.259–278, 2026, </w:t>
          </w:r>
        </w:p>
        <w:p w14:paraId="01BBB496" w14:textId="77777777" w:rsidR="00202627" w:rsidRDefault="00202627">
          <w:pPr>
            <w:pStyle w:val="NormalWeb"/>
            <w:ind w:left="450" w:hanging="450"/>
            <w:rPr>
              <w:color w:val="000000"/>
            </w:rPr>
          </w:pPr>
          <w:r>
            <w:rPr>
              <w:color w:val="000000"/>
            </w:rPr>
            <w:t xml:space="preserve">[7] S. Sabouri, et al., "Trust dynamics in ai-assisted development: Definitions, factors, and implications", </w:t>
          </w:r>
          <w:r>
            <w:rPr>
              <w:i/>
              <w:iCs/>
              <w:color w:val="000000"/>
            </w:rPr>
            <w:t xml:space="preserve">2025 IEEE/ACM 47th International Conference on Software Engineering (ICSE), </w:t>
          </w:r>
          <w:r>
            <w:rPr>
              <w:color w:val="000000"/>
            </w:rPr>
            <w:t xml:space="preserve">pp. 1678–1690. </w:t>
          </w:r>
        </w:p>
        <w:p w14:paraId="190B7D4A" w14:textId="77777777" w:rsidR="00202627" w:rsidRDefault="00202627">
          <w:pPr>
            <w:pStyle w:val="NormalWeb"/>
            <w:ind w:left="450" w:hanging="450"/>
            <w:rPr>
              <w:color w:val="000000"/>
            </w:rPr>
          </w:pPr>
          <w:r>
            <w:rPr>
              <w:color w:val="000000"/>
            </w:rPr>
            <w:t xml:space="preserve">[8] G. Bansal, et al., "Beyond accuracy: The role of mental models in human-AI team performance", </w:t>
          </w:r>
          <w:r>
            <w:rPr>
              <w:i/>
              <w:iCs/>
              <w:color w:val="000000"/>
            </w:rPr>
            <w:t xml:space="preserve">Proceedings of the AAAI conference on human computation and crowdsourcing, </w:t>
          </w:r>
          <w:r>
            <w:rPr>
              <w:color w:val="000000"/>
            </w:rPr>
            <w:t xml:space="preserve">pp. 2–11. </w:t>
          </w:r>
        </w:p>
        <w:p w14:paraId="68D24C76" w14:textId="77777777" w:rsidR="00202627" w:rsidRDefault="00202627">
          <w:pPr>
            <w:pStyle w:val="NormalWeb"/>
            <w:ind w:left="450" w:hanging="450"/>
            <w:rPr>
              <w:color w:val="000000"/>
            </w:rPr>
          </w:pPr>
          <w:r>
            <w:rPr>
              <w:color w:val="000000"/>
            </w:rPr>
            <w:t xml:space="preserve">[9] J. Guffey and Y. Li, "Cloud service misconfigurations: Emerging threats, enterprise data breaches and solutions", </w:t>
          </w:r>
          <w:r>
            <w:rPr>
              <w:i/>
              <w:iCs/>
              <w:color w:val="000000"/>
            </w:rPr>
            <w:t xml:space="preserve">2023 IEEE 13th Annual Computing and Communication Workshop and Conference (CCWC), </w:t>
          </w:r>
          <w:r>
            <w:rPr>
              <w:color w:val="000000"/>
            </w:rPr>
            <w:t xml:space="preserve">pp. 806. </w:t>
          </w:r>
        </w:p>
        <w:p w14:paraId="66CC2DC5" w14:textId="77777777" w:rsidR="00202627" w:rsidRDefault="00202627">
          <w:pPr>
            <w:pStyle w:val="NormalWeb"/>
            <w:ind w:left="450" w:hanging="450"/>
            <w:rPr>
              <w:color w:val="000000"/>
            </w:rPr>
          </w:pPr>
          <w:r>
            <w:rPr>
              <w:color w:val="000000"/>
            </w:rPr>
            <w:t xml:space="preserve">[10] R. Khoury, A. R. Avila, J. Brunelle and B. M. Camara, "How secure is code generated by chatgpt?" 2023, </w:t>
          </w:r>
        </w:p>
        <w:p w14:paraId="4204D5C7" w14:textId="77777777" w:rsidR="00202627" w:rsidRDefault="00202627">
          <w:pPr>
            <w:pStyle w:val="NormalWeb"/>
            <w:ind w:left="450" w:hanging="450"/>
            <w:rPr>
              <w:color w:val="000000"/>
            </w:rPr>
          </w:pPr>
          <w:r>
            <w:rPr>
              <w:color w:val="000000"/>
            </w:rPr>
            <w:t xml:space="preserve">[11] E. Vanderburg, D. Chen and S. Okonkwo, "Designing Secure-by-Default Cloud-Native Architectures Using GenAI Incident Intelligence and Configuration-as-Code," 2024, </w:t>
          </w:r>
        </w:p>
        <w:p w14:paraId="4E8A0CC2" w14:textId="77777777" w:rsidR="00202627" w:rsidRDefault="00202627">
          <w:pPr>
            <w:pStyle w:val="NormalWeb"/>
            <w:ind w:left="450" w:hanging="450"/>
            <w:rPr>
              <w:color w:val="000000"/>
            </w:rPr>
          </w:pPr>
          <w:r>
            <w:rPr>
              <w:color w:val="000000"/>
            </w:rPr>
            <w:t xml:space="preserve">[12] M. Meli, M. R. McNiece and B. Reaves, "How bad can it git? characterizing secret leakage in public github repositories.", </w:t>
          </w:r>
          <w:r>
            <w:rPr>
              <w:i/>
              <w:iCs/>
              <w:color w:val="000000"/>
            </w:rPr>
            <w:t xml:space="preserve">NDSS, </w:t>
          </w:r>
        </w:p>
        <w:p w14:paraId="211843AC" w14:textId="77777777" w:rsidR="00202627" w:rsidRDefault="00202627">
          <w:pPr>
            <w:pStyle w:val="NormalWeb"/>
            <w:ind w:left="450" w:hanging="450"/>
            <w:rPr>
              <w:color w:val="000000"/>
            </w:rPr>
          </w:pPr>
          <w:r>
            <w:rPr>
              <w:color w:val="000000"/>
            </w:rPr>
            <w:t xml:space="preserve">[13] A. War, A. Diallo, A. Habib, J. Klein and T. F. Bissyandé, "Vulnerabilities in infrastructure as code: what, how many, and who?" vol. 30, no. 5, pp.120, 2025, </w:t>
          </w:r>
        </w:p>
        <w:p w14:paraId="3AE8E51E" w14:textId="77777777" w:rsidR="00202627" w:rsidRDefault="00202627">
          <w:pPr>
            <w:pStyle w:val="NormalWeb"/>
            <w:ind w:left="450" w:hanging="450"/>
            <w:rPr>
              <w:color w:val="000000"/>
            </w:rPr>
          </w:pPr>
          <w:r>
            <w:rPr>
              <w:color w:val="000000"/>
            </w:rPr>
            <w:lastRenderedPageBreak/>
            <w:t xml:space="preserve">[14] I. FIRST.Org. "Common Vulnerability Scoring System v3.1: Specification Document." [Online]. Available: </w:t>
          </w:r>
          <w:hyperlink r:id="rId5" w:tgtFrame="_blank" w:history="1">
            <w:r>
              <w:rPr>
                <w:rStyle w:val="Hyperlink"/>
              </w:rPr>
              <w:t>https://www.first.org/cvss/specification-document</w:t>
            </w:r>
          </w:hyperlink>
        </w:p>
        <w:p w14:paraId="13AA7C41" w14:textId="77777777" w:rsidR="00202627" w:rsidRDefault="00202627">
          <w:pPr>
            <w:pStyle w:val="NormalWeb"/>
            <w:ind w:left="450" w:hanging="450"/>
            <w:rPr>
              <w:color w:val="000000"/>
            </w:rPr>
          </w:pPr>
          <w:r>
            <w:rPr>
              <w:color w:val="000000"/>
            </w:rPr>
            <w:t xml:space="preserve">[15] OWASP Foundation. "OWASP Top Ten 2021." [Online]. Available: </w:t>
          </w:r>
          <w:hyperlink r:id="rId6" w:tgtFrame="_blank" w:history="1">
            <w:r>
              <w:rPr>
                <w:rStyle w:val="Hyperlink"/>
              </w:rPr>
              <w:t>https://owasp.org/Top10/</w:t>
            </w:r>
          </w:hyperlink>
        </w:p>
        <w:p w14:paraId="0E6D809D" w14:textId="77777777" w:rsidR="00202627" w:rsidRDefault="00202627">
          <w:pPr>
            <w:pStyle w:val="NormalWeb"/>
            <w:ind w:left="450" w:hanging="450"/>
            <w:rPr>
              <w:color w:val="000000"/>
            </w:rPr>
          </w:pPr>
          <w:r>
            <w:rPr>
              <w:color w:val="000000"/>
            </w:rPr>
            <w:t xml:space="preserve">[16] L. M. Esnaola, H. D. Ramón and L. C. Lanzarini, "Can generative AI bridge the gap? A quasi-experimental study of non-programmers with AI vs. programmers without AI," vol. 31, no. 3, pp.75, 2026, </w:t>
          </w:r>
        </w:p>
        <w:p w14:paraId="19EBC6F4" w14:textId="788EC276" w:rsidR="00202627" w:rsidRDefault="00202627">
          <w:pPr>
            <w:pStyle w:val="NormalWeb"/>
            <w:ind w:left="450" w:hanging="450"/>
            <w:rPr>
              <w:color w:val="000000"/>
            </w:rPr>
          </w:pPr>
          <w:r>
            <w:rPr>
              <w:color w:val="000000"/>
            </w:rPr>
            <w:t xml:space="preserve">[17] A. Rida and A. Ait Lahcen, "Towards DevSecOps Model for Multi-tier Web Applications", </w:t>
          </w:r>
          <w:r>
            <w:rPr>
              <w:i/>
              <w:iCs/>
              <w:color w:val="000000"/>
            </w:rPr>
            <w:t xml:space="preserve">ITM Web of Conferences, </w:t>
          </w:r>
          <w:r>
            <w:rPr>
              <w:color w:val="000000"/>
            </w:rPr>
            <w:t>pp. 04018, 2024</w:t>
          </w:r>
        </w:p>
        <w:p w14:paraId="17DF7E72" w14:textId="053C2FCC" w:rsidR="00C90961" w:rsidRPr="00C90961" w:rsidRDefault="00C90961">
          <w:pPr>
            <w:spacing w:before="80" w:after="80"/>
            <w:ind w:left="360" w:hanging="360"/>
            <w:rPr>
              <w:sz w:val="22"/>
              <w:szCs w:val="22"/>
            </w:rPr>
          </w:pPr>
        </w:p>
      </w:sdtContent>
    </w:sdt>
    <w:p w14:paraId="5DD28B99" w14:textId="1AED2CE1" w:rsidR="00EB3C8D" w:rsidRDefault="00EB3C8D">
      <w:pPr>
        <w:spacing w:before="80" w:after="80"/>
        <w:ind w:left="360" w:hanging="360"/>
      </w:pPr>
    </w:p>
    <w:sectPr w:rsidR="00EB3C8D">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C1177"/>
    <w:multiLevelType w:val="hybridMultilevel"/>
    <w:tmpl w:val="5D78200E"/>
    <w:lvl w:ilvl="0" w:tplc="7C08DB3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C8768E"/>
    <w:multiLevelType w:val="hybridMultilevel"/>
    <w:tmpl w:val="00F29A80"/>
    <w:lvl w:ilvl="0" w:tplc="9354719E">
      <w:start w:val="1"/>
      <w:numFmt w:val="bullet"/>
      <w:lvlText w:val="●"/>
      <w:lvlJc w:val="left"/>
      <w:pPr>
        <w:ind w:left="720" w:hanging="360"/>
      </w:pPr>
    </w:lvl>
    <w:lvl w:ilvl="1" w:tplc="3B66057C">
      <w:start w:val="1"/>
      <w:numFmt w:val="bullet"/>
      <w:lvlText w:val="○"/>
      <w:lvlJc w:val="left"/>
      <w:pPr>
        <w:ind w:left="1440" w:hanging="360"/>
      </w:pPr>
    </w:lvl>
    <w:lvl w:ilvl="2" w:tplc="E6A043BE">
      <w:start w:val="1"/>
      <w:numFmt w:val="bullet"/>
      <w:lvlText w:val="■"/>
      <w:lvlJc w:val="left"/>
      <w:pPr>
        <w:ind w:left="2160" w:hanging="360"/>
      </w:pPr>
    </w:lvl>
    <w:lvl w:ilvl="3" w:tplc="2856F1B8">
      <w:start w:val="1"/>
      <w:numFmt w:val="bullet"/>
      <w:lvlText w:val="●"/>
      <w:lvlJc w:val="left"/>
      <w:pPr>
        <w:ind w:left="2880" w:hanging="360"/>
      </w:pPr>
    </w:lvl>
    <w:lvl w:ilvl="4" w:tplc="E954C87E">
      <w:start w:val="1"/>
      <w:numFmt w:val="bullet"/>
      <w:lvlText w:val="○"/>
      <w:lvlJc w:val="left"/>
      <w:pPr>
        <w:ind w:left="3600" w:hanging="360"/>
      </w:pPr>
    </w:lvl>
    <w:lvl w:ilvl="5" w:tplc="46ACB848">
      <w:start w:val="1"/>
      <w:numFmt w:val="bullet"/>
      <w:lvlText w:val="■"/>
      <w:lvlJc w:val="left"/>
      <w:pPr>
        <w:ind w:left="4320" w:hanging="360"/>
      </w:pPr>
    </w:lvl>
    <w:lvl w:ilvl="6" w:tplc="4E8A64B4">
      <w:start w:val="1"/>
      <w:numFmt w:val="bullet"/>
      <w:lvlText w:val="●"/>
      <w:lvlJc w:val="left"/>
      <w:pPr>
        <w:ind w:left="5040" w:hanging="360"/>
      </w:pPr>
    </w:lvl>
    <w:lvl w:ilvl="7" w:tplc="C3CE3AFE">
      <w:start w:val="1"/>
      <w:numFmt w:val="bullet"/>
      <w:lvlText w:val="●"/>
      <w:lvlJc w:val="left"/>
      <w:pPr>
        <w:ind w:left="5760" w:hanging="360"/>
      </w:pPr>
    </w:lvl>
    <w:lvl w:ilvl="8" w:tplc="A0902548">
      <w:start w:val="1"/>
      <w:numFmt w:val="bullet"/>
      <w:lvlText w:val="●"/>
      <w:lvlJc w:val="left"/>
      <w:pPr>
        <w:ind w:left="6480" w:hanging="360"/>
      </w:pPr>
    </w:lvl>
  </w:abstractNum>
  <w:abstractNum w:abstractNumId="2" w15:restartNumberingAfterBreak="0">
    <w:nsid w:val="49FC04A5"/>
    <w:multiLevelType w:val="hybridMultilevel"/>
    <w:tmpl w:val="CE5A0BF0"/>
    <w:lvl w:ilvl="0" w:tplc="4ABEB720">
      <w:start w:val="1"/>
      <w:numFmt w:val="bullet"/>
      <w:lvlText w:val="•"/>
      <w:lvlJc w:val="left"/>
      <w:pPr>
        <w:ind w:left="720" w:hanging="360"/>
      </w:pPr>
    </w:lvl>
    <w:lvl w:ilvl="1" w:tplc="CF709C1C">
      <w:numFmt w:val="decimal"/>
      <w:lvlText w:val=""/>
      <w:lvlJc w:val="left"/>
    </w:lvl>
    <w:lvl w:ilvl="2" w:tplc="6952051E">
      <w:numFmt w:val="decimal"/>
      <w:lvlText w:val=""/>
      <w:lvlJc w:val="left"/>
    </w:lvl>
    <w:lvl w:ilvl="3" w:tplc="D3B8C890">
      <w:numFmt w:val="decimal"/>
      <w:lvlText w:val=""/>
      <w:lvlJc w:val="left"/>
    </w:lvl>
    <w:lvl w:ilvl="4" w:tplc="B8D43538">
      <w:numFmt w:val="decimal"/>
      <w:lvlText w:val=""/>
      <w:lvlJc w:val="left"/>
    </w:lvl>
    <w:lvl w:ilvl="5" w:tplc="1F5A3042">
      <w:numFmt w:val="decimal"/>
      <w:lvlText w:val=""/>
      <w:lvlJc w:val="left"/>
    </w:lvl>
    <w:lvl w:ilvl="6" w:tplc="B5EA41EE">
      <w:numFmt w:val="decimal"/>
      <w:lvlText w:val=""/>
      <w:lvlJc w:val="left"/>
    </w:lvl>
    <w:lvl w:ilvl="7" w:tplc="D40C5900">
      <w:numFmt w:val="decimal"/>
      <w:lvlText w:val=""/>
      <w:lvlJc w:val="left"/>
    </w:lvl>
    <w:lvl w:ilvl="8" w:tplc="E0781BEE">
      <w:numFmt w:val="decimal"/>
      <w:lvlText w:val=""/>
      <w:lvlJc w:val="left"/>
    </w:lvl>
  </w:abstractNum>
  <w:abstractNum w:abstractNumId="3" w15:restartNumberingAfterBreak="0">
    <w:nsid w:val="66B57D76"/>
    <w:multiLevelType w:val="hybridMultilevel"/>
    <w:tmpl w:val="DA188568"/>
    <w:lvl w:ilvl="0" w:tplc="38DE21E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0206749">
    <w:abstractNumId w:val="1"/>
    <w:lvlOverride w:ilvl="0">
      <w:startOverride w:val="1"/>
    </w:lvlOverride>
  </w:num>
  <w:num w:numId="2" w16cid:durableId="1345552048">
    <w:abstractNumId w:val="2"/>
    <w:lvlOverride w:ilvl="0">
      <w:startOverride w:val="1"/>
    </w:lvlOverride>
  </w:num>
  <w:num w:numId="3" w16cid:durableId="902444449">
    <w:abstractNumId w:val="3"/>
  </w:num>
  <w:num w:numId="4" w16cid:durableId="1554195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C8D"/>
    <w:rsid w:val="000408A7"/>
    <w:rsid w:val="000551F0"/>
    <w:rsid w:val="00107AA3"/>
    <w:rsid w:val="00143166"/>
    <w:rsid w:val="001A077C"/>
    <w:rsid w:val="001D079E"/>
    <w:rsid w:val="00202627"/>
    <w:rsid w:val="00225984"/>
    <w:rsid w:val="002741F1"/>
    <w:rsid w:val="004802B0"/>
    <w:rsid w:val="005108C2"/>
    <w:rsid w:val="00527800"/>
    <w:rsid w:val="006E7B81"/>
    <w:rsid w:val="00867983"/>
    <w:rsid w:val="008A426F"/>
    <w:rsid w:val="00A84136"/>
    <w:rsid w:val="00B41F1A"/>
    <w:rsid w:val="00B67CE5"/>
    <w:rsid w:val="00B948CA"/>
    <w:rsid w:val="00C56FC0"/>
    <w:rsid w:val="00C90961"/>
    <w:rsid w:val="00CC50D6"/>
    <w:rsid w:val="00DC4ACA"/>
    <w:rsid w:val="00EB3C8D"/>
    <w:rsid w:val="00EC6A35"/>
    <w:rsid w:val="00F941F1"/>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decimalSymbol w:val=","/>
  <w:listSeparator w:val=","/>
  <w14:docId w14:val="05E0F3B7"/>
  <w15:docId w15:val="{B00572A6-E035-CC47-93BD-1BAAEBD95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60"/>
      <w:outlineLvl w:val="0"/>
    </w:pPr>
    <w:rPr>
      <w:b/>
      <w:bCs/>
      <w:sz w:val="28"/>
      <w:szCs w:val="28"/>
    </w:rPr>
  </w:style>
  <w:style w:type="paragraph" w:styleId="Heading2">
    <w:name w:val="heading 2"/>
    <w:uiPriority w:val="9"/>
    <w:unhideWhenUsed/>
    <w:qFormat/>
    <w:pPr>
      <w:spacing w:before="240" w:after="120"/>
      <w:outlineLvl w:val="1"/>
    </w:pPr>
    <w:rPr>
      <w:b/>
      <w:bCs/>
      <w:sz w:val="26"/>
      <w:szCs w:val="26"/>
    </w:rPr>
  </w:style>
  <w:style w:type="paragraph" w:styleId="Heading3">
    <w:name w:val="heading 3"/>
    <w:uiPriority w:val="9"/>
    <w:semiHidden/>
    <w:unhideWhenUsed/>
    <w:qFormat/>
    <w:pPr>
      <w:spacing w:before="200" w:after="100"/>
      <w:outlineLvl w:val="2"/>
    </w:pPr>
    <w:rPr>
      <w:b/>
      <w:bCs/>
      <w:i/>
      <w:iCs/>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PlaceholderText">
    <w:name w:val="Placeholder Text"/>
    <w:basedOn w:val="DefaultParagraphFont"/>
    <w:uiPriority w:val="99"/>
    <w:semiHidden/>
    <w:rsid w:val="00C90961"/>
    <w:rPr>
      <w:color w:val="666666"/>
    </w:rPr>
  </w:style>
  <w:style w:type="paragraph" w:styleId="NormalWeb">
    <w:name w:val="Normal (Web)"/>
    <w:basedOn w:val="Normal"/>
    <w:uiPriority w:val="99"/>
    <w:semiHidden/>
    <w:unhideWhenUsed/>
    <w:rsid w:val="00C90961"/>
    <w:pPr>
      <w:spacing w:before="100" w:beforeAutospacing="1" w:after="100" w:afterAutospacing="1"/>
    </w:pPr>
    <w:rPr>
      <w:rFonts w:eastAsiaTheme="minorEastAsia"/>
    </w:rPr>
  </w:style>
  <w:style w:type="paragraph" w:customStyle="1" w:styleId="font-claude-response-body">
    <w:name w:val="font-claude-response-body"/>
    <w:basedOn w:val="Normal"/>
    <w:rsid w:val="008A426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wasp.org/Top10/" TargetMode="External"/><Relationship Id="rId5" Type="http://schemas.openxmlformats.org/officeDocument/2006/relationships/hyperlink" Target="https://www.first.org/cvss/specification-document" TargetMode="Externa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B2D974D4909840A8B7A7426802B4D0"/>
        <w:category>
          <w:name w:val="General"/>
          <w:gallery w:val="placeholder"/>
        </w:category>
        <w:types>
          <w:type w:val="bbPlcHdr"/>
        </w:types>
        <w:behaviors>
          <w:behavior w:val="content"/>
        </w:behaviors>
        <w:guid w:val="{E5C213A6-ECB5-4E47-9669-C2D9AA3288DF}"/>
      </w:docPartPr>
      <w:docPartBody>
        <w:p w:rsidR="00000000" w:rsidRDefault="00F76400">
          <w:r w:rsidRPr="00352290">
            <w:rPr>
              <w:rStyle w:val="PlaceholderText"/>
            </w:rPr>
            <w:t>Formatting...</w:t>
          </w:r>
        </w:p>
      </w:docPartBody>
    </w:docPart>
    <w:docPart>
      <w:docPartPr>
        <w:name w:val="EEF39955F6FBB64ABBEB7DE795DD6A70"/>
        <w:category>
          <w:name w:val="General"/>
          <w:gallery w:val="placeholder"/>
        </w:category>
        <w:types>
          <w:type w:val="bbPlcHdr"/>
        </w:types>
        <w:behaviors>
          <w:behavior w:val="content"/>
        </w:behaviors>
        <w:guid w:val="{83371A96-2087-7F4E-ACDB-FF3EF496BDAB}"/>
      </w:docPartPr>
      <w:docPartBody>
        <w:p w:rsidR="00000000" w:rsidRDefault="00F76400">
          <w:r w:rsidRPr="00352290">
            <w:rPr>
              <w:rStyle w:val="PlaceholderText"/>
            </w:rPr>
            <w:t>Formatting Bibliography...</w:t>
          </w:r>
        </w:p>
      </w:docPartBody>
    </w:docPart>
    <w:docPart>
      <w:docPartPr>
        <w:name w:val="D1B8DD7BD1A67940A2A4A03E8312C558"/>
        <w:category>
          <w:name w:val="General"/>
          <w:gallery w:val="placeholder"/>
        </w:category>
        <w:types>
          <w:type w:val="bbPlcHdr"/>
        </w:types>
        <w:behaviors>
          <w:behavior w:val="content"/>
        </w:behaviors>
        <w:guid w:val="{D97B92D1-5B17-2B47-B401-D833B593156F}"/>
      </w:docPartPr>
      <w:docPartBody>
        <w:p w:rsidR="00000000" w:rsidRDefault="00F76400">
          <w:r w:rsidRPr="00352290">
            <w:rPr>
              <w:rStyle w:val="PlaceholderText"/>
            </w:rPr>
            <w:t>Formatting...</w:t>
          </w:r>
        </w:p>
      </w:docPartBody>
    </w:docPart>
    <w:docPart>
      <w:docPartPr>
        <w:name w:val="CFF351041FBBD84CA37232DD63526957"/>
        <w:category>
          <w:name w:val="General"/>
          <w:gallery w:val="placeholder"/>
        </w:category>
        <w:types>
          <w:type w:val="bbPlcHdr"/>
        </w:types>
        <w:behaviors>
          <w:behavior w:val="content"/>
        </w:behaviors>
        <w:guid w:val="{F228A16C-C797-E54A-93E4-FF2403B417CE}"/>
      </w:docPartPr>
      <w:docPartBody>
        <w:p w:rsidR="00000000" w:rsidRDefault="00F76400">
          <w:r w:rsidRPr="00352290">
            <w:rPr>
              <w:rStyle w:val="PlaceholderText"/>
            </w:rPr>
            <w:t>Formatting...</w:t>
          </w:r>
        </w:p>
      </w:docPartBody>
    </w:docPart>
    <w:docPart>
      <w:docPartPr>
        <w:name w:val="FA040837DB861447A3C588E0FAAA6215"/>
        <w:category>
          <w:name w:val="General"/>
          <w:gallery w:val="placeholder"/>
        </w:category>
        <w:types>
          <w:type w:val="bbPlcHdr"/>
        </w:types>
        <w:behaviors>
          <w:behavior w:val="content"/>
        </w:behaviors>
        <w:guid w:val="{C2129A2F-D513-A34B-B03B-DE651427E65F}"/>
      </w:docPartPr>
      <w:docPartBody>
        <w:p w:rsidR="00000000" w:rsidRDefault="00F76400">
          <w:r w:rsidRPr="00352290">
            <w:rPr>
              <w:rStyle w:val="PlaceholderText"/>
            </w:rPr>
            <w:t>Formatting...</w:t>
          </w:r>
        </w:p>
      </w:docPartBody>
    </w:docPart>
    <w:docPart>
      <w:docPartPr>
        <w:name w:val="B8FABC1DB4A22C48A9CE7F79DBB5CB4A"/>
        <w:category>
          <w:name w:val="General"/>
          <w:gallery w:val="placeholder"/>
        </w:category>
        <w:types>
          <w:type w:val="bbPlcHdr"/>
        </w:types>
        <w:behaviors>
          <w:behavior w:val="content"/>
        </w:behaviors>
        <w:guid w:val="{18B0B180-F18C-CE46-BC78-33A8AAEAD7DF}"/>
      </w:docPartPr>
      <w:docPartBody>
        <w:p w:rsidR="00000000" w:rsidRDefault="00F76400">
          <w:r w:rsidRPr="00352290">
            <w:rPr>
              <w:rStyle w:val="PlaceholderText"/>
            </w:rPr>
            <w:t>Formatting...</w:t>
          </w:r>
        </w:p>
      </w:docPartBody>
    </w:docPart>
    <w:docPart>
      <w:docPartPr>
        <w:name w:val="446234FAD2A4BF42BBCF1C09F60C7D5C"/>
        <w:category>
          <w:name w:val="General"/>
          <w:gallery w:val="placeholder"/>
        </w:category>
        <w:types>
          <w:type w:val="bbPlcHdr"/>
        </w:types>
        <w:behaviors>
          <w:behavior w:val="content"/>
        </w:behaviors>
        <w:guid w:val="{EDA05817-E7FA-4347-B0DF-858DD9F4FB40}"/>
      </w:docPartPr>
      <w:docPartBody>
        <w:p w:rsidR="00000000" w:rsidRDefault="00F76400">
          <w:r w:rsidRPr="00352290">
            <w:rPr>
              <w:rStyle w:val="PlaceholderText"/>
            </w:rPr>
            <w:t>Formatting...</w:t>
          </w:r>
        </w:p>
      </w:docPartBody>
    </w:docPart>
    <w:docPart>
      <w:docPartPr>
        <w:name w:val="D77399DD9CFF6748825AF73957201F7F"/>
        <w:category>
          <w:name w:val="General"/>
          <w:gallery w:val="placeholder"/>
        </w:category>
        <w:types>
          <w:type w:val="bbPlcHdr"/>
        </w:types>
        <w:behaviors>
          <w:behavior w:val="content"/>
        </w:behaviors>
        <w:guid w:val="{57195880-93C0-FB45-9285-7D800D8A0F52}"/>
      </w:docPartPr>
      <w:docPartBody>
        <w:p w:rsidR="00000000" w:rsidRDefault="00F76400">
          <w:r w:rsidRPr="00352290">
            <w:rPr>
              <w:rStyle w:val="PlaceholderText"/>
            </w:rPr>
            <w:t>Formatting...</w:t>
          </w:r>
        </w:p>
      </w:docPartBody>
    </w:docPart>
    <w:docPart>
      <w:docPartPr>
        <w:name w:val="DFDDD3AA85952C44A6DA687DC17048AD"/>
        <w:category>
          <w:name w:val="General"/>
          <w:gallery w:val="placeholder"/>
        </w:category>
        <w:types>
          <w:type w:val="bbPlcHdr"/>
        </w:types>
        <w:behaviors>
          <w:behavior w:val="content"/>
        </w:behaviors>
        <w:guid w:val="{01424550-9127-0644-B2D3-A95708D70951}"/>
      </w:docPartPr>
      <w:docPartBody>
        <w:p w:rsidR="00000000" w:rsidRDefault="00F76400">
          <w:r w:rsidRPr="00352290">
            <w:rPr>
              <w:rStyle w:val="PlaceholderText"/>
            </w:rPr>
            <w:t>Formatting...</w:t>
          </w:r>
        </w:p>
      </w:docPartBody>
    </w:docPart>
    <w:docPart>
      <w:docPartPr>
        <w:name w:val="EA9D9AC7A9947C4781401129A5DF41EA"/>
        <w:category>
          <w:name w:val="General"/>
          <w:gallery w:val="placeholder"/>
        </w:category>
        <w:types>
          <w:type w:val="bbPlcHdr"/>
        </w:types>
        <w:behaviors>
          <w:behavior w:val="content"/>
        </w:behaviors>
        <w:guid w:val="{99915382-4C7E-F749-84FE-F6E5C9EB8A15}"/>
      </w:docPartPr>
      <w:docPartBody>
        <w:p w:rsidR="00000000" w:rsidRDefault="00F76400">
          <w:r w:rsidRPr="00352290">
            <w:rPr>
              <w:rStyle w:val="PlaceholderText"/>
            </w:rPr>
            <w:t>Formatting...</w:t>
          </w:r>
        </w:p>
      </w:docPartBody>
    </w:docPart>
    <w:docPart>
      <w:docPartPr>
        <w:name w:val="3BC6EB158515EF4B81417F4F33C307AD"/>
        <w:category>
          <w:name w:val="General"/>
          <w:gallery w:val="placeholder"/>
        </w:category>
        <w:types>
          <w:type w:val="bbPlcHdr"/>
        </w:types>
        <w:behaviors>
          <w:behavior w:val="content"/>
        </w:behaviors>
        <w:guid w:val="{E42BECD7-75C6-854A-8827-4AAED5214173}"/>
      </w:docPartPr>
      <w:docPartBody>
        <w:p w:rsidR="00000000" w:rsidRDefault="00F76400">
          <w:r w:rsidRPr="00352290">
            <w:rPr>
              <w:rStyle w:val="PlaceholderText"/>
            </w:rPr>
            <w:t>Formatting...</w:t>
          </w:r>
        </w:p>
      </w:docPartBody>
    </w:docPart>
    <w:docPart>
      <w:docPartPr>
        <w:name w:val="62CB727457FF2B489096C930F85EC307"/>
        <w:category>
          <w:name w:val="General"/>
          <w:gallery w:val="placeholder"/>
        </w:category>
        <w:types>
          <w:type w:val="bbPlcHdr"/>
        </w:types>
        <w:behaviors>
          <w:behavior w:val="content"/>
        </w:behaviors>
        <w:guid w:val="{F9F1AD9E-7F68-C74E-AFAA-BB8A90759381}"/>
      </w:docPartPr>
      <w:docPartBody>
        <w:p w:rsidR="00000000" w:rsidRDefault="00F76400">
          <w:r w:rsidRPr="00352290">
            <w:rPr>
              <w:rStyle w:val="PlaceholderText"/>
            </w:rPr>
            <w:t>Formatting...</w:t>
          </w:r>
        </w:p>
      </w:docPartBody>
    </w:docPart>
    <w:docPart>
      <w:docPartPr>
        <w:name w:val="C07CCA5AEDDAB746A5F8F1DF8147404D"/>
        <w:category>
          <w:name w:val="General"/>
          <w:gallery w:val="placeholder"/>
        </w:category>
        <w:types>
          <w:type w:val="bbPlcHdr"/>
        </w:types>
        <w:behaviors>
          <w:behavior w:val="content"/>
        </w:behaviors>
        <w:guid w:val="{AE591787-A52E-C64A-90E2-52AD428D4B79}"/>
      </w:docPartPr>
      <w:docPartBody>
        <w:p w:rsidR="00000000" w:rsidRDefault="00F76400">
          <w:r w:rsidRPr="00352290">
            <w:rPr>
              <w:rStyle w:val="PlaceholderText"/>
            </w:rPr>
            <w:t>Formatting...</w:t>
          </w:r>
        </w:p>
      </w:docPartBody>
    </w:docPart>
    <w:docPart>
      <w:docPartPr>
        <w:name w:val="1B418503135C4A47AD7BBA88875E5951"/>
        <w:category>
          <w:name w:val="General"/>
          <w:gallery w:val="placeholder"/>
        </w:category>
        <w:types>
          <w:type w:val="bbPlcHdr"/>
        </w:types>
        <w:behaviors>
          <w:behavior w:val="content"/>
        </w:behaviors>
        <w:guid w:val="{640BDCF5-FBCF-0F4F-A440-C13D4BD099BE}"/>
      </w:docPartPr>
      <w:docPartBody>
        <w:p w:rsidR="00000000" w:rsidRDefault="00F76400">
          <w:r w:rsidRPr="00352290">
            <w:rPr>
              <w:rStyle w:val="PlaceholderText"/>
            </w:rPr>
            <w:t>Formatting...</w:t>
          </w:r>
        </w:p>
      </w:docPartBody>
    </w:docPart>
    <w:docPart>
      <w:docPartPr>
        <w:name w:val="3ADF01BB4133344D8008422381E0627A"/>
        <w:category>
          <w:name w:val="General"/>
          <w:gallery w:val="placeholder"/>
        </w:category>
        <w:types>
          <w:type w:val="bbPlcHdr"/>
        </w:types>
        <w:behaviors>
          <w:behavior w:val="content"/>
        </w:behaviors>
        <w:guid w:val="{B77AB1DE-8B6C-AB4D-A044-25D403AF4547}"/>
      </w:docPartPr>
      <w:docPartBody>
        <w:p w:rsidR="00000000" w:rsidRDefault="00F76400">
          <w:r w:rsidRPr="00352290">
            <w:rPr>
              <w:rStyle w:val="PlaceholderText"/>
            </w:rPr>
            <w:t>Formatting...</w:t>
          </w:r>
        </w:p>
      </w:docPartBody>
    </w:docPart>
    <w:docPart>
      <w:docPartPr>
        <w:name w:val="5EF1DBE0A43FE3468B4F0892CD059CF6"/>
        <w:category>
          <w:name w:val="General"/>
          <w:gallery w:val="placeholder"/>
        </w:category>
        <w:types>
          <w:type w:val="bbPlcHdr"/>
        </w:types>
        <w:behaviors>
          <w:behavior w:val="content"/>
        </w:behaviors>
        <w:guid w:val="{441C2157-0C57-F847-8FD9-52AE6822B6EE}"/>
      </w:docPartPr>
      <w:docPartBody>
        <w:p w:rsidR="00000000" w:rsidRDefault="00F76400">
          <w:r w:rsidRPr="00352290">
            <w:rPr>
              <w:rStyle w:val="PlaceholderText"/>
            </w:rPr>
            <w:t>Formatting...</w:t>
          </w:r>
        </w:p>
      </w:docPartBody>
    </w:docPart>
    <w:docPart>
      <w:docPartPr>
        <w:name w:val="D35BAD8C0B72324B87A5B146E20A9E2A"/>
        <w:category>
          <w:name w:val="General"/>
          <w:gallery w:val="placeholder"/>
        </w:category>
        <w:types>
          <w:type w:val="bbPlcHdr"/>
        </w:types>
        <w:behaviors>
          <w:behavior w:val="content"/>
        </w:behaviors>
        <w:guid w:val="{64CEC50B-6E27-6545-8EFA-D3EE7494C2EB}"/>
      </w:docPartPr>
      <w:docPartBody>
        <w:p w:rsidR="00000000" w:rsidRDefault="00F76400">
          <w:r w:rsidRPr="00352290">
            <w:rPr>
              <w:rStyle w:val="PlaceholderText"/>
            </w:rPr>
            <w:t>Formatting...</w:t>
          </w:r>
        </w:p>
      </w:docPartBody>
    </w:docPart>
    <w:docPart>
      <w:docPartPr>
        <w:name w:val="36649D6B6FA75A42866AF4798BB4C59D"/>
        <w:category>
          <w:name w:val="General"/>
          <w:gallery w:val="placeholder"/>
        </w:category>
        <w:types>
          <w:type w:val="bbPlcHdr"/>
        </w:types>
        <w:behaviors>
          <w:behavior w:val="content"/>
        </w:behaviors>
        <w:guid w:val="{C84EADE5-3733-C248-9261-A0CDD057A3F8}"/>
      </w:docPartPr>
      <w:docPartBody>
        <w:p w:rsidR="00000000" w:rsidRDefault="00F76400">
          <w:r w:rsidRPr="00352290">
            <w:rPr>
              <w:rStyle w:val="PlaceholderText"/>
            </w:rPr>
            <w:t>Formatting...</w:t>
          </w:r>
        </w:p>
      </w:docPartBody>
    </w:docPart>
    <w:docPart>
      <w:docPartPr>
        <w:name w:val="3E096499AE02054FAA56D4B2A8B4F2B2"/>
        <w:category>
          <w:name w:val="General"/>
          <w:gallery w:val="placeholder"/>
        </w:category>
        <w:types>
          <w:type w:val="bbPlcHdr"/>
        </w:types>
        <w:behaviors>
          <w:behavior w:val="content"/>
        </w:behaviors>
        <w:guid w:val="{1AEE6A19-FCA7-2A4D-9E89-1565AC595A9E}"/>
      </w:docPartPr>
      <w:docPartBody>
        <w:p w:rsidR="00000000" w:rsidRDefault="00F76400">
          <w:r w:rsidRPr="00352290">
            <w:rPr>
              <w:rStyle w:val="PlaceholderText"/>
            </w:rPr>
            <w:t>Formatting...</w:t>
          </w:r>
        </w:p>
      </w:docPartBody>
    </w:docPart>
    <w:docPart>
      <w:docPartPr>
        <w:name w:val="3E245CEECD64F74A993F8015D78D08C6"/>
        <w:category>
          <w:name w:val="General"/>
          <w:gallery w:val="placeholder"/>
        </w:category>
        <w:types>
          <w:type w:val="bbPlcHdr"/>
        </w:types>
        <w:behaviors>
          <w:behavior w:val="content"/>
        </w:behaviors>
        <w:guid w:val="{D23AFDB9-782A-574D-819D-AFED16D44CBF}"/>
      </w:docPartPr>
      <w:docPartBody>
        <w:p w:rsidR="00000000" w:rsidRDefault="00F76400">
          <w:r w:rsidRPr="00352290">
            <w:rPr>
              <w:rStyle w:val="PlaceholderText"/>
            </w:rPr>
            <w:t>Formatting...</w:t>
          </w:r>
        </w:p>
      </w:docPartBody>
    </w:docPart>
    <w:docPart>
      <w:docPartPr>
        <w:name w:val="94DA3E78EF97E64ABC0ADCF3A1BB4E6B"/>
        <w:category>
          <w:name w:val="General"/>
          <w:gallery w:val="placeholder"/>
        </w:category>
        <w:types>
          <w:type w:val="bbPlcHdr"/>
        </w:types>
        <w:behaviors>
          <w:behavior w:val="content"/>
        </w:behaviors>
        <w:guid w:val="{5481B487-9C4E-CB4B-8814-44781B4D73FC}"/>
      </w:docPartPr>
      <w:docPartBody>
        <w:p w:rsidR="00000000" w:rsidRDefault="00F76400">
          <w:r w:rsidRPr="00352290">
            <w:rPr>
              <w:rStyle w:val="PlaceholderText"/>
            </w:rPr>
            <w:t>Formatting...</w:t>
          </w:r>
        </w:p>
      </w:docPartBody>
    </w:docPart>
    <w:docPart>
      <w:docPartPr>
        <w:name w:val="62381D677CF4914A946D7CBBDFA4CCD8"/>
        <w:category>
          <w:name w:val="General"/>
          <w:gallery w:val="placeholder"/>
        </w:category>
        <w:types>
          <w:type w:val="bbPlcHdr"/>
        </w:types>
        <w:behaviors>
          <w:behavior w:val="content"/>
        </w:behaviors>
        <w:guid w:val="{EA80D433-A550-054A-8853-D76487B0420C}"/>
      </w:docPartPr>
      <w:docPartBody>
        <w:p w:rsidR="00000000" w:rsidRDefault="00F76400">
          <w:r w:rsidRPr="00352290">
            <w:rPr>
              <w:rStyle w:val="PlaceholderText"/>
            </w:rPr>
            <w:t>Formatting...</w:t>
          </w:r>
        </w:p>
      </w:docPartBody>
    </w:docPart>
    <w:docPart>
      <w:docPartPr>
        <w:name w:val="2B420989555BA5489EAEC885B2C8259F"/>
        <w:category>
          <w:name w:val="General"/>
          <w:gallery w:val="placeholder"/>
        </w:category>
        <w:types>
          <w:type w:val="bbPlcHdr"/>
        </w:types>
        <w:behaviors>
          <w:behavior w:val="content"/>
        </w:behaviors>
        <w:guid w:val="{FE6685A0-3CC9-1642-8EA2-6EAA17B24B30}"/>
      </w:docPartPr>
      <w:docPartBody>
        <w:p w:rsidR="00000000" w:rsidRDefault="00F76400">
          <w:r w:rsidRPr="00352290">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400"/>
    <w:rsid w:val="000551F0"/>
    <w:rsid w:val="007D09E5"/>
    <w:rsid w:val="00F76400"/>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7640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2FE1D28-0547-DD47-968D-37A9835F15C2}">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4028205&quot;:{&quot;referencesIds&quot;:[&quot;doc:69fd109e830abe4ffc2e2d39&quot;],&quot;referencesOptions&quot;:{&quot;doc:69fd109e830abe4ffc2e2d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28205,&quot;citationText&quot;:&quot;&lt;span style=\&quot;font-family:Times New Roman;font-size:16px;color:#000000\&quot;&gt;[2]&lt;/span&gt;&quot;},&quot;298116580&quot;:{&quot;referencesIds&quot;:[&quot;doc:69fd109e830abe4ffc2e2d39&quot;],&quot;referencesOptions&quot;:{&quot;doc:69fd109e830abe4ffc2e2d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116580,&quot;citationText&quot;:&quot;&lt;span style=\&quot;font-family:Times New Roman;font-size:16px;color:#000000\&quot;&gt;[2]&lt;/span&gt;&quot;},&quot;324168329&quot;:{&quot;referencesIds&quot;:[&quot;doc:69fdabe5ffd04f76abf923b5&quot;],&quot;referencesOptions&quot;:{&quot;doc:69fdabe5ffd04f76abf923b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4168329,&quot;citationText&quot;:&quot;&lt;span style=\&quot;font-family:Times New Roman;font-size:16px;color:#000000\&quot;&gt;[14]&lt;/span&gt;&quot;},&quot;400406651&quot;:{&quot;referencesIds&quot;:[&quot;doc:69fd0ef7381ffd4d1212d34f&quot;],&quot;referencesOptions&quot;:{&quot;doc:69fd0ef7381ffd4d1212d3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0406651,&quot;citationText&quot;:&quot;&lt;span style=\&quot;font-family:Times New Roman;font-size:16px;color:#000000\&quot;&gt;[7]&lt;/span&gt;&quot;},&quot;456151276&quot;:{&quot;referencesIds&quot;:[&quot;doc:69fd10ad381ffd4d1212d367&quot;],&quot;referencesOptions&quot;:{&quot;doc:69fd10ad381ffd4d1212d3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6151276,&quot;citationText&quot;:&quot;&lt;span style=\&quot;font-family:Times New Roman;font-size:16px;color:#000000\&quot;&gt;[3]&lt;/span&gt;&quot;},&quot;767582648&quot;:{&quot;referencesIds&quot;:[&quot;doc:69fd10ad381ffd4d1212d367&quot;],&quot;referencesOptions&quot;:{&quot;doc:69fd10ad381ffd4d1212d3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7582648,&quot;citationText&quot;:&quot;&lt;span style=\&quot;font-family:Times New Roman;font-size:16px;color:#000000\&quot;&gt;[3]&lt;/span&gt;&quot;},&quot;956213025&quot;:{&quot;referencesIds&quot;:[&quot;doc:69fd10ebc973f23c7aa64c01&quot;],&quot;referencesOptions&quot;:{&quot;doc:69fd10ebc973f23c7aa64c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6213025,&quot;citationText&quot;:&quot;&lt;span style=\&quot;font-family:Times New Roman;font-size:16px;color:#000000\&quot;&gt;[12]&lt;/span&gt;&quot;},&quot;1590047849&quot;:{&quot;referencesIds&quot;:[&quot;doc:69fd10cd44b6ea2426af410e&quot;],&quot;referencesOptions&quot;:{&quot;doc:69fd10cd44b6ea2426af410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0047849,&quot;citationText&quot;:&quot;&lt;span style=\&quot;font-family:Times New Roman;font-size:16px;color:#000000\&quot;&gt;[5]&lt;/span&gt;&quot;},&quot;1630659110&quot;:{&quot;referencesIds&quot;:[&quot;doc:69fd0c1febc8143f21bce71f&quot;],&quot;referencesOptions&quot;:{&quot;doc:69fd0c1febc8143f21bce7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0659110,&quot;citationText&quot;:&quot;&lt;span style=\&quot;font-family:Times New Roman;font-size:16px;color:#000000\&quot;&gt;[6]&lt;/span&gt;&quot;},&quot;1652562202&quot;:{&quot;referencesIds&quot;:[&quot;doc:69fdac1debc8143f21bcf465&quot;],&quot;referencesOptions&quot;:{&quot;doc:69fdac1debc8143f21bcf4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2562202,&quot;citationText&quot;:&quot;&lt;span style=\&quot;font-family:Times New Roman;font-size:16px;color:#000000\&quot;&gt;[15]&lt;/span&gt;&quot;},&quot;1967856981&quot;:{&quot;referencesIds&quot;:[&quot;doc:69fdaa919501de0f4ef0e0d4&quot;],&quot;referencesOptions&quot;:{&quot;doc:69fdaa919501de0f4ef0e0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7856981,&quot;citationText&quot;:&quot;&lt;span style=\&quot;font-family:Times New Roman;font-size:16px;color:#000000\&quot;&gt;[10]&lt;/span&gt;&quot;},&quot;-83312615&quot;:{&quot;referencesIds&quot;:[&quot;doc:69fd108415e256509edebe81&quot;],&quot;referencesOptions&quot;:{&quot;doc:69fd108415e256509edebe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312615,&quot;citationText&quot;:&quot;&lt;span style=\&quot;font-family:Times New Roman;font-size:16px;color:#000000\&quot;&gt;[1]&lt;/span&gt;&quot;},&quot;-293061617&quot;:{&quot;referencesIds&quot;:[&quot;doc:69fd109e830abe4ffc2e2d39&quot;],&quot;referencesOptions&quot;:{&quot;doc:69fd109e830abe4ffc2e2d39&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293061617,&quot;citationText&quot;:&quot;&lt;span style=\&quot;font-family:Times New Roman;font-size:16px;color:#000000\&quot;&gt;[2]&lt;/span&gt;&quot;},&quot;-812484547&quot;:{&quot;referencesIds&quot;:[&quot;doc:69fd10ad381ffd4d1212d367&quot;],&quot;referencesOptions&quot;:{&quot;doc:69fd10ad381ffd4d1212d3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2484547,&quot;citationText&quot;:&quot;&lt;span style=\&quot;font-family:Times New Roman;font-size:16px;color:#000000\&quot;&gt;[3]&lt;/span&gt;&quot;},&quot;-896508263&quot;:{&quot;referencesIds&quot;:[&quot;doc:69fd10bb66ddd8617ecb3bf7&quot;],&quot;referencesOptions&quot;:{&quot;doc:69fd10bb66ddd8617ecb3b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6508263,&quot;citationText&quot;:&quot;&lt;span style=\&quot;font-family:Times New Roman;font-size:16px;color:#000000\&quot;&gt;[4]&lt;/span&gt;&quot;},&quot;-2048826245&quot;:{&quot;referencesIds&quot;:[&quot;doc:69fd109e830abe4ffc2e2d39&quot;],&quot;referencesOptions&quot;:{&quot;doc:69fd109e830abe4ffc2e2d3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8826245,&quot;citationText&quot;:&quot;&lt;span style=\&quot;font-family:Times New Roman;font-size:16px;color:#000000\&quot;&gt;[2]&lt;/span&gt;&quot;},&quot;-495266036&quot;:{&quot;referencesIds&quot;:[&quot;doc:69fd0fd0830abe4ffc2e2d32&quot;],&quot;referencesOptions&quot;:{&quot;doc:69fd0fd0830abe4ffc2e2d3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5266036,&quot;citationText&quot;:&quot;&lt;span style=\&quot;font-family:Times New Roman;font-size:16px;color:#000000\&quot;&gt;[8]&lt;/span&gt;&quot;},&quot;-396359987&quot;:{&quot;referencesIds&quot;:[&quot;doc:69fd159c618c812071ab8501&quot;],&quot;referencesOptions&quot;:{&quot;doc:69fd159c618c812071ab85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6359987,&quot;citationText&quot;:&quot;&lt;span style=\&quot;font-family:Times New Roman;font-size:16px;color:#000000\&quot;&gt;[9]&lt;/span&gt;&quot;},&quot;-869925394&quot;:{&quot;referencesIds&quot;:[&quot;doc:69fd0c83f8a0f20dc2db54be&quot;],&quot;referencesOptions&quot;:{&quot;doc:69fd0c83f8a0f20dc2db54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9925394,&quot;citationText&quot;:&quot;&lt;span style=\&quot;font-family:Times New Roman;font-size:16px;color:#000000\&quot;&gt;[11]&lt;/span&gt;&quot;},&quot;-741331036&quot;:{&quot;referencesIds&quot;:[&quot;doc:69fd0d5f863af3080c87e006&quot;],&quot;referencesOptions&quot;:{&quot;doc:69fd0d5f863af3080c87e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1331036,&quot;citationText&quot;:&quot;&lt;span style=\&quot;font-family:Times New Roman;font-size:16px;color:#000000\&quot;&gt;[13]&lt;/span&gt;&quot;},&quot;-715579211&quot;:{&quot;referencesIds&quot;:[&quot;doc:69fd106666ddd8617ecb3bf2&quot;],&quot;referencesOptions&quot;:{&quot;doc:69fd106666ddd8617ecb3b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5579211,&quot;citationText&quot;:&quot;&lt;span style=\&quot;font-family:Times New Roman;font-size:16px;color:#000000\&quot;&gt;[16]&lt;/span&gt;&quot;},&quot;-772926930&quot;:{&quot;referencesIds&quot;:[&quot;doc:69fd0eaaebc8143f21bce77c&quot;],&quot;referencesOptions&quot;:{&quot;doc:69fd0eaaebc8143f21bce77c&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772926930,&quot;citationText&quot;:&quot;&lt;span style=\&quot;font-family:Times New Roman;font-size:16px;color:#000000\&quot;&gt;[17]&lt;/span&gt;&quot;}}"/>
    <we:property name="currentFolder" value="{&quot;id&quot;:&quot;project:69fa746c15f2a47f7703d6ff&quot;,&quot;userId&quot;:&quot;user:69395a59470e8b6ab52fd897&quot;,&quot;projectId&quot;:&quot;ap:69395a59470e8b6ab52fd898&quot;,&quot;name&quot;:&quot;Research Proposal&quot;,&quot;created&quot;:1778021484276,&quot;lastModified&quot;:1778021484276,&quot;position&quot;:2,&quot;isShared&quot;:false,&quot;isExampleCollection&quot;:false,&quot;isMyPublicationsCollection&quot;:false,&quot;notInFolder&quot;:false,&quot;isFavorite&quot;:true,&quot;totalReferences&quot;:2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121</TotalTime>
  <Pages>14</Pages>
  <Words>4734</Words>
  <Characters>26984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Gabriel Aragão (2405655)</cp:lastModifiedBy>
  <cp:revision>11</cp:revision>
  <dcterms:created xsi:type="dcterms:W3CDTF">2026-05-07T22:48:00Z</dcterms:created>
  <dcterms:modified xsi:type="dcterms:W3CDTF">2026-05-08T13:12:00Z</dcterms:modified>
</cp:coreProperties>
</file>