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DE9E8" w14:textId="1E75514D" w:rsidR="0077158B" w:rsidRPr="00AE0674" w:rsidRDefault="00F84198" w:rsidP="007212F6">
      <w:pPr>
        <w:jc w:val="center"/>
        <w:rPr>
          <w:sz w:val="32"/>
          <w:szCs w:val="32"/>
          <w:u w:val="single"/>
        </w:rPr>
      </w:pPr>
      <w:r w:rsidRPr="00AE0674">
        <w:rPr>
          <w:sz w:val="32"/>
          <w:szCs w:val="32"/>
          <w:u w:val="single"/>
        </w:rPr>
        <w:t>ACADEMIC ASSIGNMENTS</w:t>
      </w:r>
    </w:p>
    <w:p w14:paraId="4099A2C6" w14:textId="73B4CE9E" w:rsidR="00F84198" w:rsidRPr="00AE0674" w:rsidRDefault="007212F6" w:rsidP="007212F6">
      <w:pPr>
        <w:jc w:val="center"/>
        <w:rPr>
          <w:sz w:val="24"/>
          <w:szCs w:val="24"/>
        </w:rPr>
      </w:pPr>
      <w:r w:rsidRPr="00AE0674">
        <w:rPr>
          <w:sz w:val="24"/>
          <w:szCs w:val="24"/>
        </w:rPr>
        <w:t xml:space="preserve">NAME: </w:t>
      </w:r>
      <w:r w:rsidR="00F84198" w:rsidRPr="00AE0674">
        <w:rPr>
          <w:sz w:val="24"/>
          <w:szCs w:val="24"/>
        </w:rPr>
        <w:t>ASHLEY STEER</w:t>
      </w:r>
    </w:p>
    <w:p w14:paraId="4B3795B7" w14:textId="04E34CEC" w:rsidR="00F84198" w:rsidRPr="00AE0674" w:rsidRDefault="00F84198" w:rsidP="007212F6">
      <w:pPr>
        <w:jc w:val="center"/>
        <w:rPr>
          <w:sz w:val="24"/>
          <w:szCs w:val="24"/>
        </w:rPr>
      </w:pPr>
      <w:r w:rsidRPr="00AE0674">
        <w:rPr>
          <w:sz w:val="24"/>
          <w:szCs w:val="24"/>
        </w:rPr>
        <w:t>LEARNER NUMBER: 2131753</w:t>
      </w:r>
    </w:p>
    <w:p w14:paraId="507156FA" w14:textId="1F0AB8FA" w:rsidR="00F84198" w:rsidRPr="00AE0674" w:rsidRDefault="00F84198" w:rsidP="007212F6">
      <w:pPr>
        <w:jc w:val="center"/>
        <w:rPr>
          <w:sz w:val="24"/>
          <w:szCs w:val="24"/>
        </w:rPr>
      </w:pPr>
      <w:r w:rsidRPr="00AE0674">
        <w:rPr>
          <w:sz w:val="24"/>
          <w:szCs w:val="24"/>
        </w:rPr>
        <w:t>COHORT: DHEP 2.22.</w:t>
      </w:r>
    </w:p>
    <w:p w14:paraId="247A54AA" w14:textId="77777777" w:rsidR="00F84198" w:rsidRPr="00AE0674" w:rsidRDefault="00F84198">
      <w:pPr>
        <w:rPr>
          <w:sz w:val="24"/>
          <w:szCs w:val="24"/>
        </w:rPr>
      </w:pPr>
    </w:p>
    <w:p w14:paraId="3D6D3652" w14:textId="03D9AD02" w:rsidR="00F84198" w:rsidRPr="00AE0674" w:rsidRDefault="00F84198" w:rsidP="007212F6">
      <w:pPr>
        <w:spacing w:line="360" w:lineRule="auto"/>
        <w:jc w:val="both"/>
        <w:rPr>
          <w:sz w:val="28"/>
          <w:szCs w:val="28"/>
        </w:rPr>
      </w:pPr>
      <w:r w:rsidRPr="00AE0674">
        <w:rPr>
          <w:sz w:val="28"/>
          <w:szCs w:val="28"/>
        </w:rPr>
        <w:t>Essay one:</w:t>
      </w:r>
    </w:p>
    <w:p w14:paraId="21C9AE13" w14:textId="79E7317A" w:rsidR="00F84198" w:rsidRPr="007212F6" w:rsidRDefault="00F84198" w:rsidP="007212F6">
      <w:pPr>
        <w:spacing w:line="360" w:lineRule="auto"/>
        <w:jc w:val="both"/>
        <w:rPr>
          <w:sz w:val="24"/>
          <w:szCs w:val="24"/>
        </w:rPr>
      </w:pPr>
      <w:r w:rsidRPr="007212F6">
        <w:rPr>
          <w:sz w:val="24"/>
          <w:szCs w:val="24"/>
        </w:rPr>
        <w:t>Diversity, in a workforce context has been described previously in the literature as a “double edged sword, owing to that it can bring both positive and negative contributions to the performance of an organisation</w:t>
      </w:r>
      <w:r w:rsidR="00C108F4">
        <w:rPr>
          <w:sz w:val="24"/>
          <w:szCs w:val="24"/>
        </w:rPr>
        <w:t>”</w:t>
      </w:r>
      <w:r w:rsidRPr="007212F6">
        <w:rPr>
          <w:sz w:val="24"/>
          <w:szCs w:val="24"/>
        </w:rPr>
        <w:t xml:space="preserve"> (Milliken &amp; Martins, 1996). It has been shown that Diversity Climate, Employees’ positive perceptions with respect to the way in which an organisation manages diversity within its workforce, is likely to have a positive effect on that organisation’s performance (Moon &amp; Christensen 2019). In the health care sector, lack of diversity within a workforce has been shown to have negative effect on outcomes for both patients and clinicians (Reede &amp; Jena, 2021). Improved diversity has also been linked to a positive effect on organizational innovation. (Chaudhry et al, 2021). </w:t>
      </w:r>
    </w:p>
    <w:p w14:paraId="5127D0EA" w14:textId="0FE05BD8" w:rsidR="00F84198" w:rsidRPr="007212F6" w:rsidRDefault="00F84198" w:rsidP="007212F6">
      <w:pPr>
        <w:spacing w:line="360" w:lineRule="auto"/>
        <w:jc w:val="both"/>
        <w:rPr>
          <w:sz w:val="24"/>
          <w:szCs w:val="24"/>
        </w:rPr>
      </w:pPr>
      <w:r w:rsidRPr="007212F6">
        <w:rPr>
          <w:sz w:val="24"/>
          <w:szCs w:val="24"/>
        </w:rPr>
        <w:t xml:space="preserve">The literature presents mixed evidence for the relationship of organizational diversity and </w:t>
      </w:r>
      <w:proofErr w:type="gramStart"/>
      <w:r w:rsidR="00C108F4">
        <w:rPr>
          <w:sz w:val="24"/>
          <w:szCs w:val="24"/>
        </w:rPr>
        <w:t>p</w:t>
      </w:r>
      <w:r w:rsidRPr="007212F6">
        <w:rPr>
          <w:sz w:val="24"/>
          <w:szCs w:val="24"/>
        </w:rPr>
        <w:t>erformance,</w:t>
      </w:r>
      <w:proofErr w:type="gramEnd"/>
      <w:r w:rsidRPr="007212F6">
        <w:rPr>
          <w:sz w:val="24"/>
          <w:szCs w:val="24"/>
        </w:rPr>
        <w:t xml:space="preserve"> however, some studies have found that organizational diversity has no causal effect on markers for performance over time which are consistent over time (Horwitz &amp; Horwitz, 2007). </w:t>
      </w:r>
    </w:p>
    <w:p w14:paraId="7F867BD1" w14:textId="77777777" w:rsidR="00F84198" w:rsidRPr="007212F6" w:rsidRDefault="00F84198" w:rsidP="007212F6">
      <w:pPr>
        <w:spacing w:line="360" w:lineRule="auto"/>
        <w:jc w:val="both"/>
        <w:rPr>
          <w:sz w:val="24"/>
          <w:szCs w:val="24"/>
        </w:rPr>
      </w:pPr>
      <w:r w:rsidRPr="007212F6">
        <w:rPr>
          <w:sz w:val="24"/>
          <w:szCs w:val="24"/>
        </w:rPr>
        <w:t>In a policing context, a method which has drawn some attention in recent time is the concept of “</w:t>
      </w:r>
      <w:proofErr w:type="spellStart"/>
      <w:r w:rsidRPr="007212F6">
        <w:rPr>
          <w:sz w:val="24"/>
          <w:szCs w:val="24"/>
        </w:rPr>
        <w:t>showability</w:t>
      </w:r>
      <w:proofErr w:type="spellEnd"/>
      <w:r w:rsidRPr="007212F6">
        <w:rPr>
          <w:sz w:val="24"/>
          <w:szCs w:val="24"/>
        </w:rPr>
        <w:t>” (</w:t>
      </w:r>
      <w:proofErr w:type="spellStart"/>
      <w:r w:rsidRPr="007212F6">
        <w:rPr>
          <w:sz w:val="24"/>
          <w:szCs w:val="24"/>
        </w:rPr>
        <w:t>Keesman</w:t>
      </w:r>
      <w:proofErr w:type="spellEnd"/>
      <w:r w:rsidRPr="007212F6">
        <w:rPr>
          <w:sz w:val="24"/>
          <w:szCs w:val="24"/>
        </w:rPr>
        <w:t xml:space="preserve">, 2023). The term relates to how police officers use videos in order to share information within a police context and therefore pass and experiences and learning to other colleagues within the organisation. This could be used as a viable method to promote inclusion organisational culture and therefore contribute to increasing the organisations overall positive perceptions in relation to diversity management and inclusion in the improvement of everyday policing culture. </w:t>
      </w:r>
    </w:p>
    <w:p w14:paraId="654906D2" w14:textId="77777777" w:rsidR="00F84198" w:rsidRPr="007212F6" w:rsidRDefault="00F84198" w:rsidP="007212F6">
      <w:pPr>
        <w:spacing w:line="360" w:lineRule="auto"/>
        <w:jc w:val="both"/>
        <w:rPr>
          <w:sz w:val="24"/>
          <w:szCs w:val="24"/>
        </w:rPr>
      </w:pPr>
      <w:r w:rsidRPr="007212F6">
        <w:rPr>
          <w:sz w:val="24"/>
          <w:szCs w:val="24"/>
        </w:rPr>
        <w:t xml:space="preserve">Inclusion of different groups of peoples within policing may be beneficial to the organisation. </w:t>
      </w:r>
    </w:p>
    <w:p w14:paraId="3D9796E8" w14:textId="77777777" w:rsidR="00F84198" w:rsidRPr="007212F6" w:rsidRDefault="00F84198" w:rsidP="007212F6">
      <w:pPr>
        <w:spacing w:line="360" w:lineRule="auto"/>
        <w:jc w:val="both"/>
        <w:rPr>
          <w:sz w:val="24"/>
          <w:szCs w:val="24"/>
        </w:rPr>
      </w:pPr>
      <w:r w:rsidRPr="007212F6">
        <w:rPr>
          <w:sz w:val="24"/>
          <w:szCs w:val="24"/>
        </w:rPr>
        <w:t>Within a historical context, little attention has been played to ethical variables on which the organisation operates and has resolved in the past to a culture of hyper-masculinity (</w:t>
      </w:r>
      <w:proofErr w:type="spellStart"/>
      <w:r w:rsidRPr="007212F6">
        <w:rPr>
          <w:sz w:val="24"/>
          <w:szCs w:val="24"/>
        </w:rPr>
        <w:t>Kingshot</w:t>
      </w:r>
      <w:proofErr w:type="spellEnd"/>
      <w:r w:rsidRPr="007212F6">
        <w:rPr>
          <w:sz w:val="24"/>
          <w:szCs w:val="24"/>
        </w:rPr>
        <w:t xml:space="preserve">, </w:t>
      </w:r>
      <w:r w:rsidRPr="007212F6">
        <w:rPr>
          <w:sz w:val="24"/>
          <w:szCs w:val="24"/>
        </w:rPr>
        <w:lastRenderedPageBreak/>
        <w:t>2009), (Silvestri, 2017). A more inclusive and diverse take on leadership roles within the police, specifically with respect to the inclusion of females has been discussed in the literature and has drawn conclusions that the inclusion of women within the police. A higher likelihood of the police being able to fulfil the expectations placed on them in a social context may be achieved, in addition to a greater emphasis on the legitimacy of the police through greater representation of the communities in which it operates (Workman-</w:t>
      </w:r>
      <w:proofErr w:type="gramStart"/>
      <w:r w:rsidRPr="007212F6">
        <w:rPr>
          <w:sz w:val="24"/>
          <w:szCs w:val="24"/>
        </w:rPr>
        <w:t>Stark ,</w:t>
      </w:r>
      <w:proofErr w:type="gramEnd"/>
      <w:r w:rsidRPr="007212F6">
        <w:rPr>
          <w:sz w:val="24"/>
          <w:szCs w:val="24"/>
        </w:rPr>
        <w:t xml:space="preserve"> 2015). </w:t>
      </w:r>
    </w:p>
    <w:p w14:paraId="7B851C57" w14:textId="2CE23944" w:rsidR="00F84198" w:rsidRPr="007212F6" w:rsidRDefault="00F84198" w:rsidP="007212F6">
      <w:pPr>
        <w:spacing w:line="360" w:lineRule="auto"/>
        <w:jc w:val="both"/>
        <w:rPr>
          <w:sz w:val="24"/>
          <w:szCs w:val="24"/>
        </w:rPr>
      </w:pPr>
      <w:r w:rsidRPr="007212F6">
        <w:rPr>
          <w:sz w:val="24"/>
          <w:szCs w:val="24"/>
        </w:rPr>
        <w:t xml:space="preserve">The numbers of female </w:t>
      </w:r>
      <w:proofErr w:type="gramStart"/>
      <w:r w:rsidRPr="007212F6">
        <w:rPr>
          <w:sz w:val="24"/>
          <w:szCs w:val="24"/>
        </w:rPr>
        <w:t>officers</w:t>
      </w:r>
      <w:proofErr w:type="gramEnd"/>
      <w:r w:rsidRPr="007212F6">
        <w:rPr>
          <w:sz w:val="24"/>
          <w:szCs w:val="24"/>
        </w:rPr>
        <w:t xml:space="preserve"> present within policing have been studied world-wide in English speaking police organisations and concluded that policing was not inclusive of women during </w:t>
      </w:r>
      <w:proofErr w:type="spellStart"/>
      <w:r w:rsidRPr="007212F6">
        <w:rPr>
          <w:sz w:val="24"/>
          <w:szCs w:val="24"/>
        </w:rPr>
        <w:t>it’s</w:t>
      </w:r>
      <w:proofErr w:type="spellEnd"/>
      <w:r w:rsidRPr="007212F6">
        <w:rPr>
          <w:sz w:val="24"/>
          <w:szCs w:val="24"/>
        </w:rPr>
        <w:t xml:space="preserve"> inception and still more can be done with the aim of improving gender based statistic to provide a more inclusive workforce. One of the findings included in the work was </w:t>
      </w:r>
      <w:r w:rsidR="00C108F4" w:rsidRPr="007212F6">
        <w:rPr>
          <w:sz w:val="24"/>
          <w:szCs w:val="24"/>
        </w:rPr>
        <w:t>noted that</w:t>
      </w:r>
      <w:r w:rsidRPr="007212F6">
        <w:rPr>
          <w:sz w:val="24"/>
          <w:szCs w:val="24"/>
        </w:rPr>
        <w:t xml:space="preserve"> over the past 10 years, substantial progress has been made in representation of female officers within policing, with more female officers than ever before in history and their chances of promotion being on par with their male colleagues. An additional finding of the study provided that the police forces found within England and Wales had one of the highest proportions of female officers of all that countries which were sampled at 25%, this was beaten only by Tasmania (28.8%), Northern Ireland (26.7%), and some of the Australian states including South Australia (25.8%) and Queensland (25.7%) (</w:t>
      </w:r>
      <w:proofErr w:type="spellStart"/>
      <w:r w:rsidRPr="007212F6">
        <w:rPr>
          <w:sz w:val="24"/>
          <w:szCs w:val="24"/>
        </w:rPr>
        <w:t>Prenzler</w:t>
      </w:r>
      <w:proofErr w:type="spellEnd"/>
      <w:r w:rsidRPr="007212F6">
        <w:rPr>
          <w:sz w:val="24"/>
          <w:szCs w:val="24"/>
        </w:rPr>
        <w:t xml:space="preserve">, 2013), (Silvestri, 2013). </w:t>
      </w:r>
    </w:p>
    <w:p w14:paraId="3C9D428C" w14:textId="5116496D" w:rsidR="00F84198" w:rsidRPr="007212F6" w:rsidRDefault="00F84198" w:rsidP="007212F6">
      <w:pPr>
        <w:spacing w:line="360" w:lineRule="auto"/>
        <w:jc w:val="both"/>
        <w:rPr>
          <w:sz w:val="24"/>
          <w:szCs w:val="24"/>
        </w:rPr>
      </w:pPr>
      <w:r w:rsidRPr="007212F6">
        <w:rPr>
          <w:sz w:val="24"/>
          <w:szCs w:val="24"/>
        </w:rPr>
        <w:t xml:space="preserve">Inclusion as a tool for diversity improvement may be the key to improving organisational culture and diminishing the previously held hyper masculine structure on which the police </w:t>
      </w:r>
      <w:r w:rsidR="00C108F4" w:rsidRPr="007212F6">
        <w:rPr>
          <w:sz w:val="24"/>
          <w:szCs w:val="24"/>
        </w:rPr>
        <w:t>has operated</w:t>
      </w:r>
      <w:r w:rsidRPr="007212F6">
        <w:rPr>
          <w:sz w:val="24"/>
          <w:szCs w:val="24"/>
        </w:rPr>
        <w:t xml:space="preserve"> in the past. A view that a greater female presence in policing is present in the academic literature could be an antidote to corruption and misconduct within policing, (Keddie, 2023). Statistically, female officer </w:t>
      </w:r>
      <w:proofErr w:type="gramStart"/>
      <w:r w:rsidRPr="007212F6">
        <w:rPr>
          <w:sz w:val="24"/>
          <w:szCs w:val="24"/>
        </w:rPr>
        <w:t>use</w:t>
      </w:r>
      <w:proofErr w:type="gramEnd"/>
      <w:r w:rsidRPr="007212F6">
        <w:rPr>
          <w:sz w:val="24"/>
          <w:szCs w:val="24"/>
        </w:rPr>
        <w:t xml:space="preserve"> less aggression, less force, adopt less confrontational communication styles, demonstrate greater empathy when dealing with vulnerable peoples and have stronger relationships with the communities which they serve (Silvestri, 2013). A study of Masculinity Contest Cultures within policing found that the inverse is true when cultures of “Showing no weakness”, “strength and Stamina”, “Putting work first and “dog eat dog”. The findings showed that these four categories of male contest culture are directly related to police misconduct (Rawski, 2018). In contrast to what might be a logical remedy to these negative cultures, the study found that training interventions which are at odds with the cultural norms of an organisation are unlikely to have a positive outcome within the context of what the training message is trying to deliver and therefore culture change must be brought about in a different way than just spreading a message through training (Rawski, 2018). </w:t>
      </w:r>
    </w:p>
    <w:p w14:paraId="780EC1F5" w14:textId="5F0BAB98" w:rsidR="00F84198" w:rsidRPr="007212F6" w:rsidRDefault="00F84198" w:rsidP="007212F6">
      <w:pPr>
        <w:spacing w:line="360" w:lineRule="auto"/>
        <w:jc w:val="both"/>
        <w:rPr>
          <w:sz w:val="24"/>
          <w:szCs w:val="24"/>
        </w:rPr>
      </w:pPr>
      <w:r w:rsidRPr="007212F6">
        <w:rPr>
          <w:sz w:val="24"/>
          <w:szCs w:val="24"/>
        </w:rPr>
        <w:t xml:space="preserve">Although it has been shown that there are more women within police currently than ever before, the literature presents that there still exists a number of formal and informal barriers to their recruitment and career progression and it has been suggested that this may be due to a latent symptom of what is a historically male dominated organisation (Silvestri &amp; Tong, 2022). </w:t>
      </w:r>
    </w:p>
    <w:p w14:paraId="6933D0AF" w14:textId="498249DC" w:rsidR="00F84198" w:rsidRPr="007212F6" w:rsidRDefault="00F84198" w:rsidP="007212F6">
      <w:pPr>
        <w:spacing w:line="360" w:lineRule="auto"/>
        <w:jc w:val="both"/>
        <w:rPr>
          <w:sz w:val="24"/>
          <w:szCs w:val="24"/>
        </w:rPr>
      </w:pPr>
      <w:r w:rsidRPr="007212F6">
        <w:rPr>
          <w:sz w:val="24"/>
          <w:szCs w:val="24"/>
        </w:rPr>
        <w:t xml:space="preserve">In conclusion, a relevant proportion of academic research has been presented which suggests that organisational culture in a policing context has historically been male dominated and may have </w:t>
      </w:r>
      <w:r w:rsidR="00C108F4" w:rsidRPr="007212F6">
        <w:rPr>
          <w:sz w:val="24"/>
          <w:szCs w:val="24"/>
        </w:rPr>
        <w:t>been</w:t>
      </w:r>
      <w:r w:rsidRPr="007212F6">
        <w:rPr>
          <w:sz w:val="24"/>
          <w:szCs w:val="24"/>
        </w:rPr>
        <w:t xml:space="preserve"> linked to misconduct. In more recent times, diversity, specifically related to gender has improved and this diversity improvement, through the inclusion of female officers within policing may be linked to more beneficial symptoms of how the police operate within their communities. The inclusion of females, creating a more gender diverse workforce may be an obvious remedy to the traditional male dominated organisational culture of the past and, although this essay does not have the scope to explore other categories of organisational diversity, it may suggest that a  great degree of inclusivity within policing will lead to a more efficient and accountable police force which is more fit to serve the communities in which they exist.  </w:t>
      </w:r>
    </w:p>
    <w:p w14:paraId="2AA60F1B" w14:textId="604E57D1" w:rsidR="00F84198" w:rsidRDefault="00F84198" w:rsidP="007212F6">
      <w:pPr>
        <w:spacing w:line="360" w:lineRule="auto"/>
        <w:jc w:val="both"/>
        <w:rPr>
          <w:sz w:val="24"/>
          <w:szCs w:val="24"/>
        </w:rPr>
      </w:pPr>
      <w:r w:rsidRPr="007212F6">
        <w:rPr>
          <w:sz w:val="24"/>
          <w:szCs w:val="24"/>
        </w:rPr>
        <w:t xml:space="preserve">Word count: 960 words. </w:t>
      </w:r>
    </w:p>
    <w:p w14:paraId="3E348342" w14:textId="77777777" w:rsidR="00AE0674" w:rsidRDefault="00AE0674" w:rsidP="007212F6">
      <w:pPr>
        <w:spacing w:line="360" w:lineRule="auto"/>
        <w:jc w:val="both"/>
        <w:rPr>
          <w:sz w:val="24"/>
          <w:szCs w:val="24"/>
        </w:rPr>
      </w:pPr>
    </w:p>
    <w:p w14:paraId="28218D9F" w14:textId="77777777" w:rsidR="00AE0674" w:rsidRDefault="00AE0674" w:rsidP="007212F6">
      <w:pPr>
        <w:spacing w:line="360" w:lineRule="auto"/>
        <w:jc w:val="both"/>
        <w:rPr>
          <w:sz w:val="24"/>
          <w:szCs w:val="24"/>
        </w:rPr>
      </w:pPr>
    </w:p>
    <w:p w14:paraId="611D1011" w14:textId="77777777" w:rsidR="00AE0674" w:rsidRDefault="00AE0674" w:rsidP="007212F6">
      <w:pPr>
        <w:spacing w:line="360" w:lineRule="auto"/>
        <w:jc w:val="both"/>
        <w:rPr>
          <w:sz w:val="24"/>
          <w:szCs w:val="24"/>
        </w:rPr>
      </w:pPr>
    </w:p>
    <w:p w14:paraId="60FD1FFF" w14:textId="77777777" w:rsidR="00AE0674" w:rsidRDefault="00AE0674" w:rsidP="007212F6">
      <w:pPr>
        <w:spacing w:line="360" w:lineRule="auto"/>
        <w:jc w:val="both"/>
        <w:rPr>
          <w:sz w:val="24"/>
          <w:szCs w:val="24"/>
        </w:rPr>
      </w:pPr>
    </w:p>
    <w:p w14:paraId="3D6F0A29" w14:textId="77777777" w:rsidR="00AE0674" w:rsidRDefault="00AE0674" w:rsidP="007212F6">
      <w:pPr>
        <w:spacing w:line="360" w:lineRule="auto"/>
        <w:jc w:val="both"/>
        <w:rPr>
          <w:sz w:val="24"/>
          <w:szCs w:val="24"/>
        </w:rPr>
      </w:pPr>
    </w:p>
    <w:p w14:paraId="6C1E02F4" w14:textId="77777777" w:rsidR="00AE0674" w:rsidRDefault="00AE0674" w:rsidP="007212F6">
      <w:pPr>
        <w:spacing w:line="360" w:lineRule="auto"/>
        <w:jc w:val="both"/>
        <w:rPr>
          <w:sz w:val="24"/>
          <w:szCs w:val="24"/>
        </w:rPr>
      </w:pPr>
    </w:p>
    <w:p w14:paraId="5EEEA55B" w14:textId="77777777" w:rsidR="00AE0674" w:rsidRPr="007212F6" w:rsidRDefault="00AE0674" w:rsidP="007212F6">
      <w:pPr>
        <w:spacing w:line="360" w:lineRule="auto"/>
        <w:jc w:val="both"/>
        <w:rPr>
          <w:sz w:val="24"/>
          <w:szCs w:val="24"/>
        </w:rPr>
      </w:pPr>
    </w:p>
    <w:p w14:paraId="67AB03F9" w14:textId="77777777" w:rsidR="00F84198" w:rsidRPr="00AE0674" w:rsidRDefault="00F84198" w:rsidP="007212F6">
      <w:pPr>
        <w:spacing w:line="360" w:lineRule="auto"/>
        <w:jc w:val="both"/>
        <w:rPr>
          <w:sz w:val="28"/>
          <w:szCs w:val="28"/>
        </w:rPr>
      </w:pPr>
    </w:p>
    <w:p w14:paraId="4350355B" w14:textId="076049D8" w:rsidR="00F84198" w:rsidRPr="00AE0674" w:rsidRDefault="00F84198" w:rsidP="007212F6">
      <w:pPr>
        <w:spacing w:line="360" w:lineRule="auto"/>
        <w:jc w:val="both"/>
        <w:rPr>
          <w:b/>
          <w:bCs/>
          <w:sz w:val="28"/>
          <w:szCs w:val="28"/>
        </w:rPr>
      </w:pPr>
      <w:r w:rsidRPr="00AE0674">
        <w:rPr>
          <w:sz w:val="28"/>
          <w:szCs w:val="28"/>
        </w:rPr>
        <w:t xml:space="preserve">Essay two – </w:t>
      </w:r>
      <w:r w:rsidRPr="00AE0674">
        <w:rPr>
          <w:b/>
          <w:bCs/>
          <w:sz w:val="28"/>
          <w:szCs w:val="28"/>
        </w:rPr>
        <w:t>Counter terrorism policing</w:t>
      </w:r>
    </w:p>
    <w:p w14:paraId="5D821A44" w14:textId="77777777" w:rsidR="00F84198" w:rsidRPr="007212F6" w:rsidRDefault="00F84198" w:rsidP="007212F6">
      <w:pPr>
        <w:spacing w:line="360" w:lineRule="auto"/>
        <w:jc w:val="both"/>
        <w:rPr>
          <w:sz w:val="24"/>
          <w:szCs w:val="24"/>
        </w:rPr>
      </w:pPr>
      <w:r w:rsidRPr="007212F6">
        <w:rPr>
          <w:sz w:val="24"/>
          <w:szCs w:val="24"/>
        </w:rPr>
        <w:t xml:space="preserve">This essay will present an introduction of the term “Insider Threats” to the reader. It will also provide information from academic research and literature to elucidate some of the context behind insider threats. The focus will then turn to policies which are in place, which police forces uses to identify and neutralise insider threats, along with a critical assessment of how these methods are effective or in effective. </w:t>
      </w:r>
    </w:p>
    <w:p w14:paraId="63369425" w14:textId="77777777" w:rsidR="00F84198" w:rsidRPr="007212F6" w:rsidRDefault="00F84198" w:rsidP="007212F6">
      <w:pPr>
        <w:spacing w:line="360" w:lineRule="auto"/>
        <w:jc w:val="both"/>
        <w:rPr>
          <w:sz w:val="24"/>
          <w:szCs w:val="24"/>
        </w:rPr>
      </w:pPr>
      <w:r w:rsidRPr="007212F6">
        <w:rPr>
          <w:sz w:val="24"/>
          <w:szCs w:val="24"/>
        </w:rPr>
        <w:t xml:space="preserve">In their 2017 book, Sagan and Bunn define an insider as a person with authorised access to items that an organisation wishes to protect. Items can include buts are not limited to information, </w:t>
      </w:r>
      <w:proofErr w:type="gramStart"/>
      <w:r w:rsidRPr="007212F6">
        <w:rPr>
          <w:sz w:val="24"/>
          <w:szCs w:val="24"/>
        </w:rPr>
        <w:t>materials</w:t>
      </w:r>
      <w:proofErr w:type="gramEnd"/>
      <w:r w:rsidRPr="007212F6">
        <w:rPr>
          <w:sz w:val="24"/>
          <w:szCs w:val="24"/>
        </w:rPr>
        <w:t xml:space="preserve"> and other people (</w:t>
      </w:r>
      <w:proofErr w:type="spellStart"/>
      <w:r w:rsidRPr="007212F6">
        <w:rPr>
          <w:sz w:val="24"/>
          <w:szCs w:val="24"/>
        </w:rPr>
        <w:t>Sagan&amp;Bunn</w:t>
      </w:r>
      <w:proofErr w:type="spellEnd"/>
      <w:r w:rsidRPr="007212F6">
        <w:rPr>
          <w:sz w:val="24"/>
          <w:szCs w:val="24"/>
        </w:rPr>
        <w:t>, 2016). An insider threat is therefore a threat to the items which an organisation deems valuable, made vulnerable by the risk of an insider causing sabotage to the item. Threats can include espionage, thefts/</w:t>
      </w:r>
      <w:proofErr w:type="gramStart"/>
      <w:r w:rsidRPr="007212F6">
        <w:rPr>
          <w:sz w:val="24"/>
          <w:szCs w:val="24"/>
        </w:rPr>
        <w:t>heists</w:t>
      </w:r>
      <w:proofErr w:type="gramEnd"/>
      <w:r w:rsidRPr="007212F6">
        <w:rPr>
          <w:sz w:val="24"/>
          <w:szCs w:val="24"/>
        </w:rPr>
        <w:t xml:space="preserve"> and security failings. </w:t>
      </w:r>
    </w:p>
    <w:p w14:paraId="3FDE296E" w14:textId="26586899" w:rsidR="00F84198" w:rsidRPr="007212F6" w:rsidRDefault="00F84198" w:rsidP="007212F6">
      <w:pPr>
        <w:spacing w:line="360" w:lineRule="auto"/>
        <w:jc w:val="both"/>
        <w:rPr>
          <w:sz w:val="24"/>
          <w:szCs w:val="24"/>
        </w:rPr>
      </w:pPr>
      <w:r w:rsidRPr="007212F6">
        <w:rPr>
          <w:sz w:val="24"/>
          <w:szCs w:val="24"/>
        </w:rPr>
        <w:t>Insider threats have been categorised via the methods in which their mechanisms of action are undertaken. Insider threats may be though</w:t>
      </w:r>
      <w:r w:rsidR="00C108F4">
        <w:rPr>
          <w:sz w:val="24"/>
          <w:szCs w:val="24"/>
        </w:rPr>
        <w:t>t</w:t>
      </w:r>
      <w:r w:rsidRPr="007212F6">
        <w:rPr>
          <w:sz w:val="24"/>
          <w:szCs w:val="24"/>
        </w:rPr>
        <w:t xml:space="preserve"> of in a few different ways. Active threats are those which actively seek to sabotage and organisation. Passive threat may be caused by an individual or group doing a small action which exposes a vulnerability of an organisation, allowing a secondary active individual or group to conduct sabotage. Violent insider threats are those which use violence to secure sabotage, such as damage to property or causing physical harm to organisational personnel. Recruited threats are persons which already hold a position at some level of an organisation, but who are convinced by some other outsider to conduct sabotage.  Infiltrated threats are those which secure a position within an organisation with the prior intent to conduct sabotage on it. There are also threat which are not deliberate, instead being cause by some sort of mistake within the organisation, these are known as inadvertent or non-malicious threats (</w:t>
      </w:r>
      <w:proofErr w:type="spellStart"/>
      <w:r w:rsidRPr="007212F6">
        <w:rPr>
          <w:sz w:val="24"/>
          <w:szCs w:val="24"/>
        </w:rPr>
        <w:t>Sagan&amp;Bunn</w:t>
      </w:r>
      <w:proofErr w:type="spellEnd"/>
      <w:r w:rsidRPr="007212F6">
        <w:rPr>
          <w:sz w:val="24"/>
          <w:szCs w:val="24"/>
        </w:rPr>
        <w:t>, 2016).</w:t>
      </w:r>
    </w:p>
    <w:p w14:paraId="48E84092" w14:textId="393214F5" w:rsidR="00F84198" w:rsidRPr="007212F6" w:rsidRDefault="00F84198" w:rsidP="007212F6">
      <w:pPr>
        <w:spacing w:line="360" w:lineRule="auto"/>
        <w:jc w:val="both"/>
        <w:rPr>
          <w:sz w:val="24"/>
          <w:szCs w:val="24"/>
        </w:rPr>
      </w:pPr>
      <w:r w:rsidRPr="007212F6">
        <w:rPr>
          <w:sz w:val="24"/>
          <w:szCs w:val="24"/>
        </w:rPr>
        <w:t xml:space="preserve">Insider threats are an important topic, especially when looked at through the context of national and global security. Insider threats can </w:t>
      </w:r>
      <w:r w:rsidR="00C108F4" w:rsidRPr="007212F6">
        <w:rPr>
          <w:sz w:val="24"/>
          <w:szCs w:val="24"/>
        </w:rPr>
        <w:t>pose</w:t>
      </w:r>
      <w:r w:rsidRPr="007212F6">
        <w:rPr>
          <w:sz w:val="24"/>
          <w:szCs w:val="24"/>
        </w:rPr>
        <w:t xml:space="preserve"> risk of harm to many important </w:t>
      </w:r>
      <w:proofErr w:type="gramStart"/>
      <w:r w:rsidRPr="007212F6">
        <w:rPr>
          <w:sz w:val="24"/>
          <w:szCs w:val="24"/>
        </w:rPr>
        <w:t>organisation</w:t>
      </w:r>
      <w:proofErr w:type="gramEnd"/>
      <w:r w:rsidRPr="007212F6">
        <w:rPr>
          <w:sz w:val="24"/>
          <w:szCs w:val="24"/>
        </w:rPr>
        <w:t xml:space="preserve">, including the government, police, military and other high security establishments. </w:t>
      </w:r>
    </w:p>
    <w:p w14:paraId="1101F231" w14:textId="77777777" w:rsidR="00F84198" w:rsidRPr="007212F6" w:rsidRDefault="00F84198" w:rsidP="007212F6">
      <w:pPr>
        <w:spacing w:line="360" w:lineRule="auto"/>
        <w:jc w:val="both"/>
        <w:rPr>
          <w:sz w:val="24"/>
          <w:szCs w:val="24"/>
        </w:rPr>
      </w:pPr>
      <w:r w:rsidRPr="007212F6">
        <w:rPr>
          <w:sz w:val="24"/>
          <w:szCs w:val="24"/>
        </w:rPr>
        <w:t xml:space="preserve">Ways in which insider threats originate include financial problems, anger, ideological affiliation or in fact may have no motive in their origin at all if they are inadvertent. </w:t>
      </w:r>
    </w:p>
    <w:p w14:paraId="4191A938" w14:textId="044A7086" w:rsidR="00F84198" w:rsidRPr="007212F6" w:rsidRDefault="00F84198" w:rsidP="007212F6">
      <w:pPr>
        <w:spacing w:line="360" w:lineRule="auto"/>
        <w:jc w:val="both"/>
        <w:rPr>
          <w:sz w:val="24"/>
          <w:szCs w:val="24"/>
        </w:rPr>
      </w:pPr>
      <w:r w:rsidRPr="007212F6">
        <w:rPr>
          <w:sz w:val="24"/>
          <w:szCs w:val="24"/>
        </w:rPr>
        <w:t xml:space="preserve">There are many reasons why an individual would want to do harm to a given organisation, looking at data taken from the CMU, SEI and CPNI reasons for </w:t>
      </w:r>
      <w:proofErr w:type="gramStart"/>
      <w:r w:rsidRPr="007212F6">
        <w:rPr>
          <w:sz w:val="24"/>
          <w:szCs w:val="24"/>
        </w:rPr>
        <w:t>insiders</w:t>
      </w:r>
      <w:proofErr w:type="gramEnd"/>
      <w:r w:rsidRPr="007212F6">
        <w:rPr>
          <w:sz w:val="24"/>
          <w:szCs w:val="24"/>
        </w:rPr>
        <w:t xml:space="preserve"> threats can be collated into the following; Greed (46%), Ideology (20%), Ego (14%), Opportunity (14%) and finally, Revenge (6%) (Mehan, 2016). </w:t>
      </w:r>
    </w:p>
    <w:p w14:paraId="0C15927A" w14:textId="77777777" w:rsidR="00F84198" w:rsidRPr="007212F6" w:rsidRDefault="00F84198" w:rsidP="007212F6">
      <w:pPr>
        <w:spacing w:line="360" w:lineRule="auto"/>
        <w:jc w:val="both"/>
        <w:rPr>
          <w:sz w:val="24"/>
          <w:szCs w:val="24"/>
        </w:rPr>
      </w:pPr>
      <w:r w:rsidRPr="007212F6">
        <w:rPr>
          <w:sz w:val="24"/>
          <w:szCs w:val="24"/>
        </w:rPr>
        <w:t xml:space="preserve">A 2022 work has studied the use of a “Survival Analysis Based Framework” </w:t>
      </w:r>
      <w:proofErr w:type="gramStart"/>
      <w:r w:rsidRPr="007212F6">
        <w:rPr>
          <w:sz w:val="24"/>
          <w:szCs w:val="24"/>
        </w:rPr>
        <w:t>in order to</w:t>
      </w:r>
      <w:proofErr w:type="gramEnd"/>
      <w:r w:rsidRPr="007212F6">
        <w:rPr>
          <w:sz w:val="24"/>
          <w:szCs w:val="24"/>
        </w:rPr>
        <w:t xml:space="preserve"> elucidate the estimation of high-risk employees within an organisation based on their personality traits. The analysis had been evaluated on an established insider threat data set and has found causal relationship between traits of contentiousness and neuroticism, positively correlating to potential risk of insider threats (</w:t>
      </w:r>
      <w:proofErr w:type="spellStart"/>
      <w:r w:rsidRPr="007212F6">
        <w:rPr>
          <w:sz w:val="24"/>
          <w:szCs w:val="24"/>
        </w:rPr>
        <w:t>Alhajjar</w:t>
      </w:r>
      <w:proofErr w:type="spellEnd"/>
      <w:r w:rsidRPr="007212F6">
        <w:rPr>
          <w:sz w:val="24"/>
          <w:szCs w:val="24"/>
        </w:rPr>
        <w:t xml:space="preserve"> &amp; Bradley, 2022). These findings have been based on a sample handful of synthetic datasets, so their applicability to a real-life situation may have doubts cast upon it.</w:t>
      </w:r>
    </w:p>
    <w:p w14:paraId="32A11096" w14:textId="77777777" w:rsidR="00F84198" w:rsidRPr="007212F6" w:rsidRDefault="00F84198" w:rsidP="007212F6">
      <w:pPr>
        <w:spacing w:line="360" w:lineRule="auto"/>
        <w:jc w:val="both"/>
        <w:rPr>
          <w:sz w:val="24"/>
          <w:szCs w:val="24"/>
        </w:rPr>
      </w:pPr>
      <w:r w:rsidRPr="007212F6">
        <w:rPr>
          <w:sz w:val="24"/>
          <w:szCs w:val="24"/>
        </w:rPr>
        <w:t xml:space="preserve">Within a policing context, an insider threat could be any of the described above, it is therefore policy in some forces for Police Staff to undergo vetting procedures to verify the person and diminish the risk of insider threats. Northern Ireland Police have described this policy, including enhanced checks for those persons looking to obtain role which handle sensitive information (Police Service of Northern Ireland, 2023). The publication does not elaborate on the exact methods for vetting processes which are employed. Given the deceitful nature of insider threats, it could be argued that if the vetting processes are not sufficiently thorough, false information may be simply employed to bypass this kind of safeguarding against insider threats. </w:t>
      </w:r>
    </w:p>
    <w:p w14:paraId="68062228" w14:textId="77777777" w:rsidR="00F84198" w:rsidRPr="007212F6" w:rsidRDefault="00F84198" w:rsidP="007212F6">
      <w:pPr>
        <w:spacing w:line="360" w:lineRule="auto"/>
        <w:jc w:val="both"/>
        <w:rPr>
          <w:sz w:val="24"/>
          <w:szCs w:val="24"/>
        </w:rPr>
      </w:pPr>
      <w:r w:rsidRPr="007212F6">
        <w:rPr>
          <w:sz w:val="24"/>
          <w:szCs w:val="24"/>
        </w:rPr>
        <w:t xml:space="preserve">This is evident in the case of ex-Met Police officer, Ben Hannam, was jailed in April 2021 for terrorism offences, becoming the first service police officer in the UK to be given a sentence for this kind of offence. The officer was convicted of being a member of the National Action while in service. The trial of Hannam brought evidence that he had expressed Neo-Nazi beliefs in a recorded video days before he applied to join the police force. The whistle blower on this insider threat then came not from the police force but from another extreme-right wing forum which leaked information. It was later concluded by a counter-terrorism policing investigation that for Hannam’s beliefs to have been picked up in the vetting process, there would have needed to complete an “extensive” search of his historical use of the internet. (Jacques, 2022). </w:t>
      </w:r>
    </w:p>
    <w:p w14:paraId="51EAD5C8" w14:textId="3751F6A1" w:rsidR="00F84198" w:rsidRPr="007212F6" w:rsidRDefault="00F84198" w:rsidP="007212F6">
      <w:pPr>
        <w:spacing w:line="360" w:lineRule="auto"/>
        <w:jc w:val="both"/>
        <w:rPr>
          <w:sz w:val="24"/>
          <w:szCs w:val="24"/>
        </w:rPr>
      </w:pPr>
      <w:r w:rsidRPr="007212F6">
        <w:rPr>
          <w:sz w:val="24"/>
          <w:szCs w:val="24"/>
        </w:rPr>
        <w:t xml:space="preserve">This presents a question of how thorough background and vetting checks on police staff and employees need to be the effectively identify insider threats. Hannam was the first UK police officer to be convicted of this kind of offence, the sole officer out of hundreds of officers who would have gone through the same process to obtain the role and who would have gained the position without posing an insider threat to the respective police service.  It would be unreasonable to delve extensively into a candidate’s use of the internet </w:t>
      </w:r>
      <w:proofErr w:type="gramStart"/>
      <w:r w:rsidRPr="007212F6">
        <w:rPr>
          <w:sz w:val="24"/>
          <w:szCs w:val="24"/>
        </w:rPr>
        <w:t>on the basis of</w:t>
      </w:r>
      <w:proofErr w:type="gramEnd"/>
      <w:r w:rsidRPr="007212F6">
        <w:rPr>
          <w:sz w:val="24"/>
          <w:szCs w:val="24"/>
        </w:rPr>
        <w:t xml:space="preserve"> a vetting check as this would be a breach of Article 8 of the Human Right Act, the right to a private life (Human Rights Act, 1998). </w:t>
      </w:r>
      <w:r w:rsidRPr="007212F6">
        <w:rPr>
          <w:sz w:val="24"/>
          <w:szCs w:val="24"/>
        </w:rPr>
        <w:tab/>
      </w:r>
    </w:p>
    <w:p w14:paraId="39184361" w14:textId="77777777" w:rsidR="00F84198" w:rsidRPr="007212F6" w:rsidRDefault="00F84198" w:rsidP="007212F6">
      <w:pPr>
        <w:tabs>
          <w:tab w:val="left" w:pos="6202"/>
        </w:tabs>
        <w:spacing w:line="360" w:lineRule="auto"/>
        <w:jc w:val="both"/>
        <w:rPr>
          <w:sz w:val="24"/>
          <w:szCs w:val="24"/>
        </w:rPr>
      </w:pPr>
      <w:r w:rsidRPr="007212F6">
        <w:rPr>
          <w:sz w:val="24"/>
          <w:szCs w:val="24"/>
        </w:rPr>
        <w:t xml:space="preserve">In conclusion, there are many ways in which an insider threat could take place within the police. An insider threat may pose more risk of harm to the police service than on outside attack due to the vulnerabilities which are exposed to the insider. This essay has covered the types and methods of insider threats and the initial phase of vetting personnel as a policy of identification a neutralisation of insider threats, before the threats become inside the organisation. It has been discussed how valid this method is and a case study has been presented which has exposed a failing in vetting checks in respect to an insider threat. </w:t>
      </w:r>
    </w:p>
    <w:p w14:paraId="70BEDEA2" w14:textId="229C8AF8" w:rsidR="00F84198" w:rsidRPr="007212F6" w:rsidRDefault="00F84198" w:rsidP="007212F6">
      <w:pPr>
        <w:tabs>
          <w:tab w:val="left" w:pos="6202"/>
        </w:tabs>
        <w:spacing w:line="360" w:lineRule="auto"/>
        <w:jc w:val="both"/>
        <w:rPr>
          <w:sz w:val="24"/>
          <w:szCs w:val="24"/>
        </w:rPr>
      </w:pPr>
      <w:r w:rsidRPr="007212F6">
        <w:rPr>
          <w:sz w:val="24"/>
          <w:szCs w:val="24"/>
        </w:rPr>
        <w:t xml:space="preserve">Word Count: 1005 words. </w:t>
      </w:r>
    </w:p>
    <w:p w14:paraId="1C72E0B1" w14:textId="77777777" w:rsidR="00F84198" w:rsidRPr="007212F6" w:rsidRDefault="00F84198" w:rsidP="007212F6">
      <w:pPr>
        <w:tabs>
          <w:tab w:val="left" w:pos="6202"/>
        </w:tabs>
        <w:spacing w:line="360" w:lineRule="auto"/>
        <w:jc w:val="both"/>
        <w:rPr>
          <w:sz w:val="24"/>
          <w:szCs w:val="24"/>
        </w:rPr>
      </w:pPr>
    </w:p>
    <w:p w14:paraId="1F0DF5D7" w14:textId="77777777" w:rsidR="008A5198" w:rsidRDefault="008A5198" w:rsidP="007212F6">
      <w:pPr>
        <w:tabs>
          <w:tab w:val="left" w:pos="6202"/>
        </w:tabs>
        <w:spacing w:line="360" w:lineRule="auto"/>
        <w:jc w:val="both"/>
        <w:rPr>
          <w:sz w:val="24"/>
          <w:szCs w:val="24"/>
        </w:rPr>
      </w:pPr>
    </w:p>
    <w:p w14:paraId="37A21EA2" w14:textId="77777777" w:rsidR="00AE0674" w:rsidRDefault="00AE0674" w:rsidP="007212F6">
      <w:pPr>
        <w:tabs>
          <w:tab w:val="left" w:pos="6202"/>
        </w:tabs>
        <w:spacing w:line="360" w:lineRule="auto"/>
        <w:jc w:val="both"/>
        <w:rPr>
          <w:sz w:val="24"/>
          <w:szCs w:val="24"/>
        </w:rPr>
      </w:pPr>
    </w:p>
    <w:p w14:paraId="3B0D0363" w14:textId="77777777" w:rsidR="00AE0674" w:rsidRDefault="00AE0674" w:rsidP="007212F6">
      <w:pPr>
        <w:tabs>
          <w:tab w:val="left" w:pos="6202"/>
        </w:tabs>
        <w:spacing w:line="360" w:lineRule="auto"/>
        <w:jc w:val="both"/>
        <w:rPr>
          <w:sz w:val="24"/>
          <w:szCs w:val="24"/>
        </w:rPr>
      </w:pPr>
    </w:p>
    <w:p w14:paraId="44B6E91D" w14:textId="77777777" w:rsidR="00AE0674" w:rsidRDefault="00AE0674" w:rsidP="007212F6">
      <w:pPr>
        <w:tabs>
          <w:tab w:val="left" w:pos="6202"/>
        </w:tabs>
        <w:spacing w:line="360" w:lineRule="auto"/>
        <w:jc w:val="both"/>
        <w:rPr>
          <w:sz w:val="24"/>
          <w:szCs w:val="24"/>
        </w:rPr>
      </w:pPr>
    </w:p>
    <w:p w14:paraId="513D5CFF" w14:textId="77777777" w:rsidR="00AE0674" w:rsidRDefault="00AE0674" w:rsidP="007212F6">
      <w:pPr>
        <w:tabs>
          <w:tab w:val="left" w:pos="6202"/>
        </w:tabs>
        <w:spacing w:line="360" w:lineRule="auto"/>
        <w:jc w:val="both"/>
        <w:rPr>
          <w:sz w:val="24"/>
          <w:szCs w:val="24"/>
        </w:rPr>
      </w:pPr>
    </w:p>
    <w:p w14:paraId="4C10DB63" w14:textId="77777777" w:rsidR="00AE0674" w:rsidRDefault="00AE0674" w:rsidP="007212F6">
      <w:pPr>
        <w:tabs>
          <w:tab w:val="left" w:pos="6202"/>
        </w:tabs>
        <w:spacing w:line="360" w:lineRule="auto"/>
        <w:jc w:val="both"/>
        <w:rPr>
          <w:sz w:val="24"/>
          <w:szCs w:val="24"/>
        </w:rPr>
      </w:pPr>
    </w:p>
    <w:p w14:paraId="2127AA9D" w14:textId="77777777" w:rsidR="00AE0674" w:rsidRDefault="00AE0674" w:rsidP="007212F6">
      <w:pPr>
        <w:tabs>
          <w:tab w:val="left" w:pos="6202"/>
        </w:tabs>
        <w:spacing w:line="360" w:lineRule="auto"/>
        <w:jc w:val="both"/>
        <w:rPr>
          <w:sz w:val="24"/>
          <w:szCs w:val="24"/>
        </w:rPr>
      </w:pPr>
    </w:p>
    <w:p w14:paraId="7F273846" w14:textId="77777777" w:rsidR="00AE0674" w:rsidRDefault="00AE0674" w:rsidP="007212F6">
      <w:pPr>
        <w:tabs>
          <w:tab w:val="left" w:pos="6202"/>
        </w:tabs>
        <w:spacing w:line="360" w:lineRule="auto"/>
        <w:jc w:val="both"/>
        <w:rPr>
          <w:sz w:val="24"/>
          <w:szCs w:val="24"/>
        </w:rPr>
      </w:pPr>
    </w:p>
    <w:p w14:paraId="02726D30" w14:textId="77777777" w:rsidR="00AE0674" w:rsidRPr="007212F6" w:rsidRDefault="00AE0674" w:rsidP="007212F6">
      <w:pPr>
        <w:tabs>
          <w:tab w:val="left" w:pos="6202"/>
        </w:tabs>
        <w:spacing w:line="360" w:lineRule="auto"/>
        <w:jc w:val="both"/>
        <w:rPr>
          <w:sz w:val="24"/>
          <w:szCs w:val="24"/>
        </w:rPr>
      </w:pPr>
    </w:p>
    <w:p w14:paraId="245FF16F" w14:textId="77777777" w:rsidR="008A5198" w:rsidRPr="007212F6" w:rsidRDefault="008A5198" w:rsidP="007212F6">
      <w:pPr>
        <w:tabs>
          <w:tab w:val="left" w:pos="6202"/>
        </w:tabs>
        <w:spacing w:line="360" w:lineRule="auto"/>
        <w:jc w:val="both"/>
        <w:rPr>
          <w:sz w:val="24"/>
          <w:szCs w:val="24"/>
        </w:rPr>
      </w:pPr>
    </w:p>
    <w:p w14:paraId="650C25F4" w14:textId="47F0D832" w:rsidR="008A5198" w:rsidRPr="00AE0674" w:rsidRDefault="008A5198" w:rsidP="007212F6">
      <w:pPr>
        <w:tabs>
          <w:tab w:val="left" w:pos="6202"/>
        </w:tabs>
        <w:spacing w:line="360" w:lineRule="auto"/>
        <w:jc w:val="both"/>
        <w:rPr>
          <w:sz w:val="28"/>
          <w:szCs w:val="28"/>
        </w:rPr>
      </w:pPr>
      <w:r w:rsidRPr="00AE0674">
        <w:rPr>
          <w:sz w:val="28"/>
          <w:szCs w:val="28"/>
        </w:rPr>
        <w:t xml:space="preserve">Essay Three: </w:t>
      </w:r>
    </w:p>
    <w:p w14:paraId="02D5C9D8" w14:textId="77777777" w:rsidR="008A5198" w:rsidRPr="007212F6" w:rsidRDefault="008A5198" w:rsidP="007212F6">
      <w:pPr>
        <w:spacing w:line="360" w:lineRule="auto"/>
        <w:jc w:val="both"/>
        <w:rPr>
          <w:sz w:val="24"/>
          <w:szCs w:val="24"/>
        </w:rPr>
      </w:pPr>
      <w:r w:rsidRPr="007212F6">
        <w:rPr>
          <w:sz w:val="24"/>
          <w:szCs w:val="24"/>
        </w:rPr>
        <w:t xml:space="preserve">This essay will provide a critical evaluation of the following </w:t>
      </w:r>
      <w:proofErr w:type="gramStart"/>
      <w:r w:rsidRPr="007212F6">
        <w:rPr>
          <w:sz w:val="24"/>
          <w:szCs w:val="24"/>
        </w:rPr>
        <w:t>statement;</w:t>
      </w:r>
      <w:proofErr w:type="gramEnd"/>
      <w:r w:rsidRPr="007212F6">
        <w:rPr>
          <w:sz w:val="24"/>
          <w:szCs w:val="24"/>
        </w:rPr>
        <w:t xml:space="preserve"> “Covert Human Intelligence Sources (CHIS) are crucial in preventing and safeguarding victims from many serious crimes” (Home Office, 2021). An outline of a CHIS will be </w:t>
      </w:r>
      <w:proofErr w:type="gramStart"/>
      <w:r w:rsidRPr="007212F6">
        <w:rPr>
          <w:sz w:val="24"/>
          <w:szCs w:val="24"/>
        </w:rPr>
        <w:t>given</w:t>
      </w:r>
      <w:proofErr w:type="gramEnd"/>
      <w:r w:rsidRPr="007212F6">
        <w:rPr>
          <w:sz w:val="24"/>
          <w:szCs w:val="24"/>
        </w:rPr>
        <w:t xml:space="preserve"> and sources of information will be presented which both agree and contradict the statement. A verdict will finally be given based on the information presented, along with a justification as to why the verdict has been reached.</w:t>
      </w:r>
    </w:p>
    <w:p w14:paraId="5EAD1478" w14:textId="77777777" w:rsidR="008A5198" w:rsidRPr="007212F6" w:rsidRDefault="008A5198" w:rsidP="007212F6">
      <w:pPr>
        <w:spacing w:line="360" w:lineRule="auto"/>
        <w:jc w:val="both"/>
        <w:rPr>
          <w:sz w:val="24"/>
          <w:szCs w:val="24"/>
        </w:rPr>
      </w:pPr>
      <w:r w:rsidRPr="007212F6">
        <w:rPr>
          <w:sz w:val="24"/>
          <w:szCs w:val="24"/>
        </w:rPr>
        <w:t xml:space="preserve">A CHIS is a person who is a source of intelligence for intelligence agencies and law enforcement organisations such as the police. Historically, a CHIS has been used to prevent and secure prosecutions for serious crimes including terrorism. </w:t>
      </w:r>
      <w:proofErr w:type="gramStart"/>
      <w:r w:rsidRPr="007212F6">
        <w:rPr>
          <w:sz w:val="24"/>
          <w:szCs w:val="24"/>
        </w:rPr>
        <w:t>The Criminal Conduct Act 2021,</w:t>
      </w:r>
      <w:proofErr w:type="gramEnd"/>
      <w:r w:rsidRPr="007212F6">
        <w:rPr>
          <w:sz w:val="24"/>
          <w:szCs w:val="24"/>
        </w:rPr>
        <w:t xml:space="preserve"> gives powers to organisations receiving intelligence from a CHIS to authorise an criminal activity that the CHIS may partake in as a method of keeping the CHIS covert and un-detected from the bodies which they may be receiving their intelligence from (Tudor, 2021). The Regulation of investigatory Powers Act (RIPA) 2000 (also lays out the legislation that a CHIS may partake in criminal activity, provided that </w:t>
      </w:r>
      <w:proofErr w:type="gramStart"/>
      <w:r w:rsidRPr="007212F6">
        <w:rPr>
          <w:sz w:val="24"/>
          <w:szCs w:val="24"/>
        </w:rPr>
        <w:t>a number of</w:t>
      </w:r>
      <w:proofErr w:type="gramEnd"/>
      <w:r w:rsidRPr="007212F6">
        <w:rPr>
          <w:sz w:val="24"/>
          <w:szCs w:val="24"/>
        </w:rPr>
        <w:t xml:space="preserve"> thresholds are met. These include that the activity is proportionate to want is being investigated and that the activity is necessary for the prevention and detection of crime and or protecting the United Kingdom’s economic interests (RIPA, 2000).</w:t>
      </w:r>
    </w:p>
    <w:p w14:paraId="30F737DB" w14:textId="77777777" w:rsidR="008A5198" w:rsidRPr="007212F6" w:rsidRDefault="008A5198" w:rsidP="007212F6">
      <w:pPr>
        <w:spacing w:line="360" w:lineRule="auto"/>
        <w:jc w:val="both"/>
        <w:rPr>
          <w:sz w:val="24"/>
          <w:szCs w:val="24"/>
        </w:rPr>
      </w:pPr>
      <w:r w:rsidRPr="007212F6">
        <w:rPr>
          <w:sz w:val="24"/>
          <w:szCs w:val="24"/>
        </w:rPr>
        <w:t xml:space="preserve">RIPA defines a CHIS as a person who maintains a personal relationship with another person for the covert purpose of obtaining information or providing access to information by another person. A person is also a CHIS if they covertly disclose information obtained through their relationship with another person or </w:t>
      </w:r>
      <w:proofErr w:type="gramStart"/>
      <w:r w:rsidRPr="007212F6">
        <w:rPr>
          <w:sz w:val="24"/>
          <w:szCs w:val="24"/>
        </w:rPr>
        <w:t>as a consequence of</w:t>
      </w:r>
      <w:proofErr w:type="gramEnd"/>
      <w:r w:rsidRPr="007212F6">
        <w:rPr>
          <w:sz w:val="24"/>
          <w:szCs w:val="24"/>
        </w:rPr>
        <w:t xml:space="preserve"> the existence of that relationship (RIPA, 2000). This can be summarised into a CHIS being a person who establishes a relationship with another person and who uses that relationship to supply information from that relationship to another person. </w:t>
      </w:r>
    </w:p>
    <w:p w14:paraId="1726AB7F" w14:textId="77777777" w:rsidR="008A5198" w:rsidRPr="007212F6" w:rsidRDefault="008A5198" w:rsidP="007212F6">
      <w:pPr>
        <w:spacing w:line="360" w:lineRule="auto"/>
        <w:jc w:val="both"/>
        <w:rPr>
          <w:sz w:val="24"/>
          <w:szCs w:val="24"/>
        </w:rPr>
      </w:pPr>
      <w:r w:rsidRPr="007212F6">
        <w:rPr>
          <w:sz w:val="24"/>
          <w:szCs w:val="24"/>
        </w:rPr>
        <w:t xml:space="preserve">One negative and potential damaging aspect of a CHIS is that their covert nature within a personal relationship has the potential to cause a great deal of upset to persons involved. This Is that case in a hearing in the Home Affairs Committee in February 2013 where female witnesses gave testimony that </w:t>
      </w:r>
      <w:proofErr w:type="spellStart"/>
      <w:r w:rsidRPr="007212F6">
        <w:rPr>
          <w:sz w:val="24"/>
          <w:szCs w:val="24"/>
        </w:rPr>
        <w:t>under cover</w:t>
      </w:r>
      <w:proofErr w:type="spellEnd"/>
      <w:r w:rsidRPr="007212F6">
        <w:rPr>
          <w:sz w:val="24"/>
          <w:szCs w:val="24"/>
        </w:rPr>
        <w:t xml:space="preserve"> police officers had entered long term sexual relationships with them, without their knowledge of the officers being members of the police service at all. In one case, a female had a child with an undercover police officer. This behaviour has since been banned. The main points of what the witnesses had to say is that they felt wrongdoing had taken place, that their most personal relationships were in fact a lie and were being controlled by the state. These happenings lead to the evocative headlines “Raped by the state” (McCartney, 2014). </w:t>
      </w:r>
    </w:p>
    <w:p w14:paraId="418DDFEF" w14:textId="77777777" w:rsidR="008A5198" w:rsidRPr="007212F6" w:rsidRDefault="008A5198" w:rsidP="007212F6">
      <w:pPr>
        <w:spacing w:line="360" w:lineRule="auto"/>
        <w:jc w:val="both"/>
        <w:rPr>
          <w:sz w:val="24"/>
          <w:szCs w:val="24"/>
        </w:rPr>
      </w:pPr>
      <w:r w:rsidRPr="007212F6">
        <w:rPr>
          <w:sz w:val="24"/>
          <w:szCs w:val="24"/>
        </w:rPr>
        <w:t xml:space="preserve">A second negative point regarding the use of a CHIS brings forward again the question of ethics. Under the Criminal Conduct Act 2021, the police and other intelligence authorities have the power to designate children as Covert Human Intelligence Sources and to furthermore authorised their engagement in criminal activity in pursuit of intelligence. The use of this kind of CHIS necessitates that the child remains in their current situation where they are at risk of harm. Arguments have been made that this practise is not positive, further entrenching children in a lifestyle of crime, rather than helping them to escape it (Arthur, 2023), (Gillespie, 2020). </w:t>
      </w:r>
    </w:p>
    <w:p w14:paraId="7AD4A186" w14:textId="01F680F3" w:rsidR="008A5198" w:rsidRPr="007212F6" w:rsidRDefault="008A5198" w:rsidP="007212F6">
      <w:pPr>
        <w:spacing w:line="360" w:lineRule="auto"/>
        <w:jc w:val="both"/>
        <w:rPr>
          <w:sz w:val="24"/>
          <w:szCs w:val="24"/>
        </w:rPr>
      </w:pPr>
      <w:r w:rsidRPr="007212F6">
        <w:rPr>
          <w:sz w:val="24"/>
          <w:szCs w:val="24"/>
        </w:rPr>
        <w:t xml:space="preserve">One ethically ambiguous aspect of a CHIS is that they </w:t>
      </w:r>
      <w:proofErr w:type="gramStart"/>
      <w:r w:rsidRPr="007212F6">
        <w:rPr>
          <w:sz w:val="24"/>
          <w:szCs w:val="24"/>
        </w:rPr>
        <w:t>are able to</w:t>
      </w:r>
      <w:proofErr w:type="gramEnd"/>
      <w:r w:rsidRPr="007212F6">
        <w:rPr>
          <w:sz w:val="24"/>
          <w:szCs w:val="24"/>
        </w:rPr>
        <w:t xml:space="preserve"> involve themselves in crime and even commit crime without ramifications of punishment by the state. This can take place if their actions are authorised by an organisation with the relevant power. Recently in the United Kingdom, a bill of law has been passed which gives a power to </w:t>
      </w:r>
      <w:proofErr w:type="gramStart"/>
      <w:r w:rsidRPr="007212F6">
        <w:rPr>
          <w:sz w:val="24"/>
          <w:szCs w:val="24"/>
        </w:rPr>
        <w:t>a number of</w:t>
      </w:r>
      <w:proofErr w:type="gramEnd"/>
      <w:r w:rsidRPr="007212F6">
        <w:rPr>
          <w:sz w:val="24"/>
          <w:szCs w:val="24"/>
        </w:rPr>
        <w:t xml:space="preserve"> authorising bodies which can absolve a CHIS from partaking in criminal behaviour, as long as their actions are in the best interests of protecting the public (Scott, 2021). This power has limits and d</w:t>
      </w:r>
      <w:r w:rsidR="0077158B">
        <w:rPr>
          <w:sz w:val="24"/>
          <w:szCs w:val="24"/>
        </w:rPr>
        <w:t>o</w:t>
      </w:r>
      <w:r w:rsidRPr="007212F6">
        <w:rPr>
          <w:sz w:val="24"/>
          <w:szCs w:val="24"/>
        </w:rPr>
        <w:t xml:space="preserve">es not extend to the most serious of crimes such as rape, </w:t>
      </w:r>
      <w:proofErr w:type="gramStart"/>
      <w:r w:rsidRPr="007212F6">
        <w:rPr>
          <w:sz w:val="24"/>
          <w:szCs w:val="24"/>
        </w:rPr>
        <w:t>murder</w:t>
      </w:r>
      <w:proofErr w:type="gramEnd"/>
      <w:r w:rsidRPr="007212F6">
        <w:rPr>
          <w:sz w:val="24"/>
          <w:szCs w:val="24"/>
        </w:rPr>
        <w:t xml:space="preserve"> or torture (Criminal Conduct Act, 2021). On the face of it, this appears to be further evidence that a CHIS is a negative entity, however, one must consider where and who </w:t>
      </w:r>
      <w:proofErr w:type="gramStart"/>
      <w:r w:rsidRPr="007212F6">
        <w:rPr>
          <w:sz w:val="24"/>
          <w:szCs w:val="24"/>
        </w:rPr>
        <w:t>CHIS’</w:t>
      </w:r>
      <w:proofErr w:type="gramEnd"/>
      <w:r w:rsidRPr="007212F6">
        <w:rPr>
          <w:sz w:val="24"/>
          <w:szCs w:val="24"/>
        </w:rPr>
        <w:t xml:space="preserve"> are extracting their information from. In preventing serious crime, CHIS’ may be involved directly and indirectly with persons committing or attempting to commit indictable offences.  Their mere rapport building with these persons may mean that the CHIS commits offences under the </w:t>
      </w:r>
      <w:r w:rsidRPr="007212F6">
        <w:rPr>
          <w:i/>
          <w:iCs/>
          <w:sz w:val="24"/>
          <w:szCs w:val="24"/>
        </w:rPr>
        <w:t>Accessories and Abettors Act</w:t>
      </w:r>
      <w:r w:rsidRPr="007212F6">
        <w:rPr>
          <w:sz w:val="24"/>
          <w:szCs w:val="24"/>
        </w:rPr>
        <w:t xml:space="preserve"> </w:t>
      </w:r>
      <w:r w:rsidRPr="007212F6">
        <w:rPr>
          <w:i/>
          <w:iCs/>
          <w:sz w:val="24"/>
          <w:szCs w:val="24"/>
        </w:rPr>
        <w:t xml:space="preserve">1861 </w:t>
      </w:r>
      <w:r w:rsidRPr="007212F6">
        <w:rPr>
          <w:sz w:val="24"/>
          <w:szCs w:val="24"/>
        </w:rPr>
        <w:t>(Accessories and Abettors Act, 1861, S.8).</w:t>
      </w:r>
      <w:r w:rsidRPr="007212F6">
        <w:rPr>
          <w:i/>
          <w:iCs/>
          <w:sz w:val="24"/>
          <w:szCs w:val="24"/>
        </w:rPr>
        <w:t xml:space="preserve"> </w:t>
      </w:r>
      <w:r w:rsidRPr="007212F6">
        <w:rPr>
          <w:sz w:val="24"/>
          <w:szCs w:val="24"/>
        </w:rPr>
        <w:t xml:space="preserve">When acknowledging this point, the necessity for CHIS to engage in criminal action becomes apparent to protect the public. </w:t>
      </w:r>
    </w:p>
    <w:p w14:paraId="4A457961" w14:textId="77777777" w:rsidR="008A5198" w:rsidRPr="007212F6" w:rsidRDefault="008A5198" w:rsidP="007212F6">
      <w:pPr>
        <w:spacing w:line="360" w:lineRule="auto"/>
        <w:jc w:val="both"/>
        <w:rPr>
          <w:sz w:val="24"/>
          <w:szCs w:val="24"/>
        </w:rPr>
      </w:pPr>
      <w:r w:rsidRPr="007212F6">
        <w:rPr>
          <w:sz w:val="24"/>
          <w:szCs w:val="24"/>
        </w:rPr>
        <w:t xml:space="preserve">Given their questionable ethical standpoint, the use of a CHIS has had a positive effect in disrupting and preventing serious crime such as terrorism. This is true in Northern Ireland where the implementation of a CHIS has been used effectively in a counter terrorism utility (Cochrane, 2011). </w:t>
      </w:r>
    </w:p>
    <w:p w14:paraId="664E6710" w14:textId="77777777" w:rsidR="008A5198" w:rsidRPr="007212F6" w:rsidRDefault="008A5198" w:rsidP="007212F6">
      <w:pPr>
        <w:spacing w:line="360" w:lineRule="auto"/>
        <w:jc w:val="both"/>
        <w:rPr>
          <w:sz w:val="24"/>
          <w:szCs w:val="24"/>
        </w:rPr>
      </w:pPr>
      <w:r w:rsidRPr="007212F6">
        <w:rPr>
          <w:sz w:val="24"/>
          <w:szCs w:val="24"/>
        </w:rPr>
        <w:t xml:space="preserve">I mostly agree with the statement “Covert Human Intelligence Sources (CHIS) are crucial in preventing and safeguarding victims from many serious crimes" this is because a CHIS is an essential tool in the Police’s arsenal. However, it cannot be denied that the nature of a CHIS has great potential to both protect victims from great harm, but also cause great harm to those involved in the process. There are aspects of disrupting serious crime and protecting victims which could not be achieved without the utilization of a CHIS. Although an overall positive, the use of a CHIS can have a large, damaging, and lasting effect on those who the CHIS is involved with in their information gathering task and this has been observed in past cases. As such, there are a plethora of publications questioning if the role of a CHIS is necessary and presenting their negative aspects. I would agree that a CHIS is crucial in presenting and safeguarding victims from many serious crimes, it is a necessary evil which needs to be used with great responsibility by </w:t>
      </w:r>
      <w:proofErr w:type="spellStart"/>
      <w:proofErr w:type="gramStart"/>
      <w:r w:rsidRPr="007212F6">
        <w:rPr>
          <w:sz w:val="24"/>
          <w:szCs w:val="24"/>
        </w:rPr>
        <w:t>it’s</w:t>
      </w:r>
      <w:proofErr w:type="spellEnd"/>
      <w:proofErr w:type="gramEnd"/>
      <w:r w:rsidRPr="007212F6">
        <w:rPr>
          <w:sz w:val="24"/>
          <w:szCs w:val="24"/>
        </w:rPr>
        <w:t xml:space="preserve"> facilitators. </w:t>
      </w:r>
    </w:p>
    <w:p w14:paraId="69E48A1A" w14:textId="725C0B17" w:rsidR="008A5198" w:rsidRPr="007212F6" w:rsidRDefault="008A5198" w:rsidP="007212F6">
      <w:pPr>
        <w:tabs>
          <w:tab w:val="left" w:pos="6202"/>
        </w:tabs>
        <w:spacing w:line="360" w:lineRule="auto"/>
        <w:jc w:val="both"/>
        <w:rPr>
          <w:sz w:val="24"/>
          <w:szCs w:val="24"/>
        </w:rPr>
      </w:pPr>
      <w:r w:rsidRPr="007212F6">
        <w:rPr>
          <w:sz w:val="24"/>
          <w:szCs w:val="24"/>
        </w:rPr>
        <w:t xml:space="preserve">Word count: 1007 words. </w:t>
      </w:r>
    </w:p>
    <w:p w14:paraId="5099F8AB" w14:textId="2A006FA9" w:rsidR="008A5198" w:rsidRDefault="008A5198" w:rsidP="007212F6">
      <w:pPr>
        <w:tabs>
          <w:tab w:val="left" w:pos="6202"/>
        </w:tabs>
        <w:spacing w:line="360" w:lineRule="auto"/>
        <w:jc w:val="both"/>
        <w:rPr>
          <w:sz w:val="24"/>
          <w:szCs w:val="24"/>
        </w:rPr>
      </w:pPr>
    </w:p>
    <w:p w14:paraId="1DC07520" w14:textId="77777777" w:rsidR="00AE0674" w:rsidRDefault="00AE0674" w:rsidP="007212F6">
      <w:pPr>
        <w:tabs>
          <w:tab w:val="left" w:pos="6202"/>
        </w:tabs>
        <w:spacing w:line="360" w:lineRule="auto"/>
        <w:jc w:val="both"/>
        <w:rPr>
          <w:sz w:val="24"/>
          <w:szCs w:val="24"/>
        </w:rPr>
      </w:pPr>
    </w:p>
    <w:p w14:paraId="493B1AAA" w14:textId="77777777" w:rsidR="00AE0674" w:rsidRDefault="00AE0674" w:rsidP="007212F6">
      <w:pPr>
        <w:tabs>
          <w:tab w:val="left" w:pos="6202"/>
        </w:tabs>
        <w:spacing w:line="360" w:lineRule="auto"/>
        <w:jc w:val="both"/>
        <w:rPr>
          <w:sz w:val="24"/>
          <w:szCs w:val="24"/>
        </w:rPr>
      </w:pPr>
    </w:p>
    <w:p w14:paraId="320C3876" w14:textId="77777777" w:rsidR="00AE0674" w:rsidRDefault="00AE0674" w:rsidP="007212F6">
      <w:pPr>
        <w:tabs>
          <w:tab w:val="left" w:pos="6202"/>
        </w:tabs>
        <w:spacing w:line="360" w:lineRule="auto"/>
        <w:jc w:val="both"/>
        <w:rPr>
          <w:sz w:val="24"/>
          <w:szCs w:val="24"/>
        </w:rPr>
      </w:pPr>
    </w:p>
    <w:p w14:paraId="11ED04A4" w14:textId="77777777" w:rsidR="00AE0674" w:rsidRDefault="00AE0674" w:rsidP="007212F6">
      <w:pPr>
        <w:tabs>
          <w:tab w:val="left" w:pos="6202"/>
        </w:tabs>
        <w:spacing w:line="360" w:lineRule="auto"/>
        <w:jc w:val="both"/>
        <w:rPr>
          <w:sz w:val="24"/>
          <w:szCs w:val="24"/>
        </w:rPr>
      </w:pPr>
    </w:p>
    <w:p w14:paraId="0E37F6D8" w14:textId="77777777" w:rsidR="00AE0674" w:rsidRDefault="00AE0674" w:rsidP="007212F6">
      <w:pPr>
        <w:tabs>
          <w:tab w:val="left" w:pos="6202"/>
        </w:tabs>
        <w:spacing w:line="360" w:lineRule="auto"/>
        <w:jc w:val="both"/>
        <w:rPr>
          <w:sz w:val="24"/>
          <w:szCs w:val="24"/>
        </w:rPr>
      </w:pPr>
    </w:p>
    <w:p w14:paraId="2F8D699F" w14:textId="77777777" w:rsidR="00AE0674" w:rsidRDefault="00AE0674" w:rsidP="007212F6">
      <w:pPr>
        <w:tabs>
          <w:tab w:val="left" w:pos="6202"/>
        </w:tabs>
        <w:spacing w:line="360" w:lineRule="auto"/>
        <w:jc w:val="both"/>
        <w:rPr>
          <w:sz w:val="24"/>
          <w:szCs w:val="24"/>
        </w:rPr>
      </w:pPr>
    </w:p>
    <w:p w14:paraId="7BD0F9B4" w14:textId="77777777" w:rsidR="00AE0674" w:rsidRDefault="00AE0674" w:rsidP="007212F6">
      <w:pPr>
        <w:tabs>
          <w:tab w:val="left" w:pos="6202"/>
        </w:tabs>
        <w:spacing w:line="360" w:lineRule="auto"/>
        <w:jc w:val="both"/>
        <w:rPr>
          <w:sz w:val="24"/>
          <w:szCs w:val="24"/>
        </w:rPr>
      </w:pPr>
    </w:p>
    <w:p w14:paraId="29E438DE" w14:textId="77777777" w:rsidR="00AE0674" w:rsidRDefault="00AE0674" w:rsidP="007212F6">
      <w:pPr>
        <w:tabs>
          <w:tab w:val="left" w:pos="6202"/>
        </w:tabs>
        <w:spacing w:line="360" w:lineRule="auto"/>
        <w:jc w:val="both"/>
        <w:rPr>
          <w:sz w:val="24"/>
          <w:szCs w:val="24"/>
        </w:rPr>
      </w:pPr>
    </w:p>
    <w:p w14:paraId="7CB70CC3" w14:textId="77777777" w:rsidR="00AE0674" w:rsidRDefault="00AE0674" w:rsidP="007212F6">
      <w:pPr>
        <w:tabs>
          <w:tab w:val="left" w:pos="6202"/>
        </w:tabs>
        <w:spacing w:line="360" w:lineRule="auto"/>
        <w:jc w:val="both"/>
        <w:rPr>
          <w:sz w:val="24"/>
          <w:szCs w:val="24"/>
        </w:rPr>
      </w:pPr>
    </w:p>
    <w:p w14:paraId="3DE62168" w14:textId="77777777" w:rsidR="00AE0674" w:rsidRDefault="00AE0674" w:rsidP="007212F6">
      <w:pPr>
        <w:tabs>
          <w:tab w:val="left" w:pos="6202"/>
        </w:tabs>
        <w:spacing w:line="360" w:lineRule="auto"/>
        <w:jc w:val="both"/>
        <w:rPr>
          <w:sz w:val="24"/>
          <w:szCs w:val="24"/>
        </w:rPr>
      </w:pPr>
    </w:p>
    <w:p w14:paraId="4B000CF1" w14:textId="77777777" w:rsidR="00AE0674" w:rsidRDefault="00AE0674" w:rsidP="007212F6">
      <w:pPr>
        <w:tabs>
          <w:tab w:val="left" w:pos="6202"/>
        </w:tabs>
        <w:spacing w:line="360" w:lineRule="auto"/>
        <w:jc w:val="both"/>
        <w:rPr>
          <w:sz w:val="24"/>
          <w:szCs w:val="24"/>
        </w:rPr>
      </w:pPr>
    </w:p>
    <w:p w14:paraId="239CB0A9" w14:textId="77777777" w:rsidR="00AE0674" w:rsidRPr="007212F6" w:rsidRDefault="00AE0674" w:rsidP="007212F6">
      <w:pPr>
        <w:tabs>
          <w:tab w:val="left" w:pos="6202"/>
        </w:tabs>
        <w:spacing w:line="360" w:lineRule="auto"/>
        <w:jc w:val="both"/>
        <w:rPr>
          <w:sz w:val="24"/>
          <w:szCs w:val="24"/>
        </w:rPr>
      </w:pPr>
    </w:p>
    <w:p w14:paraId="7E7A3341" w14:textId="11E938DE" w:rsidR="008A5198" w:rsidRPr="00AE0674" w:rsidRDefault="008A5198" w:rsidP="007212F6">
      <w:pPr>
        <w:tabs>
          <w:tab w:val="left" w:pos="6202"/>
        </w:tabs>
        <w:spacing w:line="360" w:lineRule="auto"/>
        <w:jc w:val="both"/>
        <w:rPr>
          <w:sz w:val="28"/>
          <w:szCs w:val="28"/>
        </w:rPr>
      </w:pPr>
      <w:r w:rsidRPr="00AE0674">
        <w:rPr>
          <w:sz w:val="28"/>
          <w:szCs w:val="28"/>
        </w:rPr>
        <w:t xml:space="preserve">Essay Five: </w:t>
      </w:r>
    </w:p>
    <w:p w14:paraId="1B8AFD83" w14:textId="77777777" w:rsidR="008A5198" w:rsidRPr="007212F6" w:rsidRDefault="008A5198" w:rsidP="007212F6">
      <w:pPr>
        <w:spacing w:line="360" w:lineRule="auto"/>
        <w:jc w:val="both"/>
        <w:rPr>
          <w:sz w:val="24"/>
          <w:szCs w:val="24"/>
        </w:rPr>
      </w:pPr>
      <w:r w:rsidRPr="007212F6">
        <w:rPr>
          <w:sz w:val="24"/>
          <w:szCs w:val="24"/>
        </w:rPr>
        <w:t xml:space="preserve">This essay will provide an evaluation of the effectiveness of Crime Prevention Theories (CPTs) as a means of combatting Anti-social behaviour (ASB). Crime prevention theories will be described, and their effectiveness will be weighed up using academic research to give a conclusion on how much of an impact they have on anti-social behaviour. </w:t>
      </w:r>
    </w:p>
    <w:p w14:paraId="3E2C3B12" w14:textId="77777777" w:rsidR="008A5198" w:rsidRPr="007212F6" w:rsidRDefault="008A5198" w:rsidP="007212F6">
      <w:pPr>
        <w:spacing w:line="360" w:lineRule="auto"/>
        <w:jc w:val="both"/>
        <w:rPr>
          <w:sz w:val="24"/>
          <w:szCs w:val="24"/>
        </w:rPr>
      </w:pPr>
      <w:r w:rsidRPr="007212F6">
        <w:rPr>
          <w:sz w:val="24"/>
          <w:szCs w:val="24"/>
        </w:rPr>
        <w:t xml:space="preserve">On kind of crime prevention theory is Situation Crime Prevention Theory (SCPT), which focuses on the area or setting in which crimes take place, rather than the individual people or groups who are committing the crime (Clarke, 1997). The introduction of this theory shifted the paradigms of criminological thought which had previously focused solely on the offender as a mean of preventing crime (Clarke, 1980). </w:t>
      </w:r>
    </w:p>
    <w:p w14:paraId="41E2E905" w14:textId="77777777" w:rsidR="008A5198" w:rsidRPr="007212F6" w:rsidRDefault="008A5198" w:rsidP="007212F6">
      <w:pPr>
        <w:spacing w:line="360" w:lineRule="auto"/>
        <w:jc w:val="both"/>
        <w:rPr>
          <w:sz w:val="24"/>
          <w:szCs w:val="24"/>
        </w:rPr>
      </w:pPr>
      <w:r w:rsidRPr="007212F6">
        <w:rPr>
          <w:sz w:val="24"/>
          <w:szCs w:val="24"/>
        </w:rPr>
        <w:t xml:space="preserve">SCPT encompasses the employment of discrete changes in the environment and the way in which the environment is managed to reduce the opportunity for the commission of crimes to take place. This is evidence in the numerous examples where implementation of changes such as security cameras, target hardening, and alcohol control have been used to reduce crime and as such anti-social behaviour (Clarke, 1995). </w:t>
      </w:r>
    </w:p>
    <w:p w14:paraId="39124999" w14:textId="77777777" w:rsidR="008A5198" w:rsidRPr="007212F6" w:rsidRDefault="008A5198" w:rsidP="007212F6">
      <w:pPr>
        <w:spacing w:line="360" w:lineRule="auto"/>
        <w:jc w:val="both"/>
        <w:rPr>
          <w:sz w:val="24"/>
          <w:szCs w:val="24"/>
        </w:rPr>
      </w:pPr>
      <w:r w:rsidRPr="007212F6">
        <w:rPr>
          <w:sz w:val="24"/>
          <w:szCs w:val="24"/>
        </w:rPr>
        <w:t xml:space="preserve">Theory is built upon a previous Criminological school of thought which describes that for a crime to take place, it needs to have both a motivated offender and a suitable opportunity for a crime to take place. (Cohen and Felson, 1979). Comprehensive publications have been made on practical techniques of SCPT. An authoritative publication consists of 25 techniques which are split into five distinct categories of Increasing the effort and risk involved in the commission of an offence, reducing the reward, and provocation of offences and removal of the excuses for committing offences (Cornish and Clarke, 2003). These techniques are built on three presumptions, firstly, that every crime involves elements on offender, target, and an insufficient target guard. Secondly, that criminals think rationally and thus may be rationally influenced and thirdly, that crime in inherently opportunistic. </w:t>
      </w:r>
    </w:p>
    <w:p w14:paraId="0D9E31D3" w14:textId="77777777" w:rsidR="008A5198" w:rsidRPr="007212F6" w:rsidRDefault="008A5198" w:rsidP="007212F6">
      <w:pPr>
        <w:spacing w:line="360" w:lineRule="auto"/>
        <w:jc w:val="both"/>
        <w:rPr>
          <w:sz w:val="24"/>
          <w:szCs w:val="24"/>
        </w:rPr>
      </w:pPr>
      <w:r w:rsidRPr="007212F6">
        <w:rPr>
          <w:sz w:val="24"/>
          <w:szCs w:val="24"/>
        </w:rPr>
        <w:t xml:space="preserve">SCPT and the techniques involved would appear to let themselves very preferably to a successful application of preventing antisocial behaviour. The techniques such as target hardening, fitting of gates on alley ways and other methods from the five categories should be a very effective method of reducing the commission of antisocial behaviour. </w:t>
      </w:r>
    </w:p>
    <w:p w14:paraId="08EA2AD2" w14:textId="6ED6D70B" w:rsidR="008A5198" w:rsidRPr="007212F6" w:rsidRDefault="008A5198" w:rsidP="007212F6">
      <w:pPr>
        <w:spacing w:line="360" w:lineRule="auto"/>
        <w:jc w:val="both"/>
        <w:rPr>
          <w:sz w:val="24"/>
          <w:szCs w:val="24"/>
        </w:rPr>
      </w:pPr>
      <w:r w:rsidRPr="007212F6">
        <w:rPr>
          <w:sz w:val="24"/>
          <w:szCs w:val="24"/>
        </w:rPr>
        <w:t xml:space="preserve">One simple application of SCPT in a practical setting is the installation of close circuit television cameras (CCTV). The effectiveness of their implantation has been analyses and shown that the installation and visible presence of the cameras are indeed a positive preventative measure for crime and ASB. There are limitations however, whereby if the CCTV is in a visible area without proper signage, their presence is not as effective in reducing crime and ASB. </w:t>
      </w:r>
      <w:proofErr w:type="spellStart"/>
      <w:r w:rsidR="0077158B" w:rsidRPr="007212F6">
        <w:rPr>
          <w:sz w:val="24"/>
          <w:szCs w:val="24"/>
        </w:rPr>
        <w:t>Along</w:t>
      </w:r>
      <w:r w:rsidR="0077158B">
        <w:rPr>
          <w:sz w:val="24"/>
          <w:szCs w:val="24"/>
        </w:rPr>
        <w:t xml:space="preserve"> </w:t>
      </w:r>
      <w:r w:rsidR="0077158B" w:rsidRPr="007212F6">
        <w:rPr>
          <w:sz w:val="24"/>
          <w:szCs w:val="24"/>
        </w:rPr>
        <w:t>side</w:t>
      </w:r>
      <w:proofErr w:type="spellEnd"/>
      <w:r w:rsidRPr="007212F6">
        <w:rPr>
          <w:sz w:val="24"/>
          <w:szCs w:val="24"/>
        </w:rPr>
        <w:t xml:space="preserve"> this, if the CCTV is installed in an area which does not cover “GREY-ZONES” which are essentially hiding spots, the implementation does little in the way of reducing the crime and anti-social behaviour in the area (Molepo </w:t>
      </w:r>
      <w:r w:rsidRPr="007212F6">
        <w:rPr>
          <w:i/>
          <w:iCs/>
          <w:sz w:val="24"/>
          <w:szCs w:val="24"/>
        </w:rPr>
        <w:t>et al</w:t>
      </w:r>
      <w:r w:rsidRPr="007212F6">
        <w:rPr>
          <w:sz w:val="24"/>
          <w:szCs w:val="24"/>
        </w:rPr>
        <w:t xml:space="preserve">, 2020). It is evident that if a given person with the relevant intention to commit a crime or engage in anti-social behaviour does not realise that a prevention tactic is being used in the area, then their behaviour and course of action will not be affected, and they will carry on in the way they mean to. This ultimately results in the continuation in the commission of a crime or engagement in antisocial behaviour. Similarly, if a person believes that the CCTV cannot see them in dark corners and areas which are out of view, this will not deter them from their actions, and may play a role in in increasing the likelihood that crime or Anti-social Behaviour will be committed in GREY ZONES where the CCTV does not cover. </w:t>
      </w:r>
    </w:p>
    <w:p w14:paraId="1A79727D" w14:textId="52538B4F" w:rsidR="008A5198" w:rsidRPr="007212F6" w:rsidRDefault="008A5198" w:rsidP="007212F6">
      <w:pPr>
        <w:spacing w:line="360" w:lineRule="auto"/>
        <w:jc w:val="both"/>
        <w:rPr>
          <w:sz w:val="24"/>
          <w:szCs w:val="24"/>
        </w:rPr>
      </w:pPr>
      <w:r w:rsidRPr="007212F6">
        <w:rPr>
          <w:sz w:val="24"/>
          <w:szCs w:val="24"/>
        </w:rPr>
        <w:t xml:space="preserve">There is evidence to suggest that SCPT does not have an effect positive bearing on reducing the incidents and rates of </w:t>
      </w:r>
      <w:r w:rsidR="0077158B">
        <w:rPr>
          <w:sz w:val="24"/>
          <w:szCs w:val="24"/>
        </w:rPr>
        <w:t>a</w:t>
      </w:r>
      <w:r w:rsidRPr="007212F6">
        <w:rPr>
          <w:sz w:val="24"/>
          <w:szCs w:val="24"/>
        </w:rPr>
        <w:t xml:space="preserve">ni-social behaviour. The title of the theory being focused of crime prevention. A 2009 review of governmental implementation of SPCT presented that although the utilization of the theory had done well to reduce the amount of vehicle crime and burglaries, however, did little to reduce the amount of youth offending and Anti-Social Behaviour in some inner-city areas (Solomon, 2009). This may be because crime has associated objective parameters which area needed for offences to be complete, whereas anti-social behaviour can be a range of different actions which is not clearly objective, instead being more subjective. It could be argued that SPCT may be effective at reducing crime because of its inhibition of specific elemental of the commission of crime, but it cannot inhibit specific elements of anti-social behaviour because it is not comprised of such. </w:t>
      </w:r>
    </w:p>
    <w:p w14:paraId="4029E1BA" w14:textId="77777777" w:rsidR="008A5198" w:rsidRPr="007212F6" w:rsidRDefault="008A5198" w:rsidP="0077158B">
      <w:pPr>
        <w:spacing w:line="360" w:lineRule="auto"/>
        <w:rPr>
          <w:sz w:val="24"/>
          <w:szCs w:val="24"/>
        </w:rPr>
      </w:pPr>
      <w:r w:rsidRPr="007212F6">
        <w:rPr>
          <w:sz w:val="24"/>
          <w:szCs w:val="24"/>
        </w:rPr>
        <w:t xml:space="preserve">Another method of crime or ASB prevention, focusing on the areas in which criminal and anti-social behaviour takes place is so-called ‘Hot Spot Policing’. Hot Spot policing has been shown to significantly reduced the amount of crime and disorder which takes place in a given geographical area in a way which is positive and statistically significant (Braga </w:t>
      </w:r>
      <w:r w:rsidRPr="007212F6">
        <w:rPr>
          <w:i/>
          <w:iCs/>
          <w:sz w:val="24"/>
          <w:szCs w:val="24"/>
        </w:rPr>
        <w:t xml:space="preserve">et al, </w:t>
      </w:r>
      <w:r w:rsidRPr="007212F6">
        <w:rPr>
          <w:sz w:val="24"/>
          <w:szCs w:val="24"/>
        </w:rPr>
        <w:t xml:space="preserve">2019).  A Hot spot is a geographical location where crime and disorder rates are significantly higher than average. Hot spot policing is a targeted police effort centred around those areas is which crime and disorder rates are higher than average. This can include a higher than usual policing presence in the area. It has been shows that hot spot policing can have appositive impact and significantly reduced the amounts of disorder (ASB), violent crimes, property crimes, and drug offences (Braga </w:t>
      </w:r>
      <w:r w:rsidRPr="007212F6">
        <w:rPr>
          <w:i/>
          <w:iCs/>
          <w:sz w:val="24"/>
          <w:szCs w:val="24"/>
        </w:rPr>
        <w:t>et al, 2019)</w:t>
      </w:r>
      <w:r w:rsidRPr="007212F6">
        <w:rPr>
          <w:sz w:val="24"/>
          <w:szCs w:val="24"/>
        </w:rPr>
        <w:t xml:space="preserve">. </w:t>
      </w:r>
    </w:p>
    <w:p w14:paraId="21C57EE1" w14:textId="77777777" w:rsidR="008A5198" w:rsidRPr="007212F6" w:rsidRDefault="008A5198" w:rsidP="0077158B">
      <w:pPr>
        <w:spacing w:line="360" w:lineRule="auto"/>
        <w:rPr>
          <w:sz w:val="24"/>
          <w:szCs w:val="24"/>
        </w:rPr>
      </w:pPr>
      <w:r w:rsidRPr="007212F6">
        <w:rPr>
          <w:sz w:val="24"/>
          <w:szCs w:val="24"/>
        </w:rPr>
        <w:t xml:space="preserve">In conclusion, crime prevention theories have been presented and both positive and negative aspects of their impact on crime and ASB have been discussed. Their effectiveness as a strategy towards combatting ASB has been evaluated using academic literature which has shown how they can be effective and non-effective under given circumstances. An argument can be made that crime prevention theories in practise can be effective in combatting ASB, however they need to be specific to the exact behaviour which is ongoing </w:t>
      </w:r>
      <w:proofErr w:type="gramStart"/>
      <w:r w:rsidRPr="007212F6">
        <w:rPr>
          <w:sz w:val="24"/>
          <w:szCs w:val="24"/>
        </w:rPr>
        <w:t>in a given</w:t>
      </w:r>
      <w:proofErr w:type="gramEnd"/>
      <w:r w:rsidRPr="007212F6">
        <w:rPr>
          <w:sz w:val="24"/>
          <w:szCs w:val="24"/>
        </w:rPr>
        <w:t xml:space="preserve"> geographical area and in order to get the most out of the implementation of the theory in practise, they should be used in combination to tackle different aspects of a given anti-social behaviour from multiple aspects. </w:t>
      </w:r>
    </w:p>
    <w:p w14:paraId="0771CF9D" w14:textId="4DE46F31" w:rsidR="008A5198" w:rsidRPr="007212F6" w:rsidRDefault="008A5198" w:rsidP="007212F6">
      <w:pPr>
        <w:spacing w:line="360" w:lineRule="auto"/>
        <w:jc w:val="both"/>
        <w:rPr>
          <w:sz w:val="24"/>
          <w:szCs w:val="24"/>
        </w:rPr>
      </w:pPr>
      <w:r w:rsidRPr="007212F6">
        <w:rPr>
          <w:sz w:val="24"/>
          <w:szCs w:val="24"/>
        </w:rPr>
        <w:t xml:space="preserve">Word Count: 1033 words. </w:t>
      </w:r>
    </w:p>
    <w:p w14:paraId="54D2E43E" w14:textId="77777777" w:rsidR="008A5198" w:rsidRDefault="008A5198" w:rsidP="00F84198">
      <w:pPr>
        <w:tabs>
          <w:tab w:val="left" w:pos="6202"/>
        </w:tabs>
        <w:jc w:val="both"/>
        <w:rPr>
          <w:sz w:val="24"/>
          <w:szCs w:val="24"/>
        </w:rPr>
      </w:pPr>
    </w:p>
    <w:p w14:paraId="1021BC97" w14:textId="77777777" w:rsidR="00F84198" w:rsidRDefault="00F84198" w:rsidP="00F84198">
      <w:pPr>
        <w:tabs>
          <w:tab w:val="left" w:pos="6202"/>
        </w:tabs>
        <w:jc w:val="both"/>
        <w:rPr>
          <w:sz w:val="24"/>
          <w:szCs w:val="24"/>
        </w:rPr>
      </w:pPr>
    </w:p>
    <w:p w14:paraId="0BAFAE8E" w14:textId="77777777" w:rsidR="00F84198" w:rsidRDefault="00F84198" w:rsidP="00F84198">
      <w:pPr>
        <w:tabs>
          <w:tab w:val="left" w:pos="6202"/>
        </w:tabs>
        <w:jc w:val="both"/>
        <w:rPr>
          <w:sz w:val="24"/>
          <w:szCs w:val="24"/>
        </w:rPr>
      </w:pPr>
    </w:p>
    <w:p w14:paraId="15760589" w14:textId="77777777" w:rsidR="00AE0674" w:rsidRDefault="00AE0674" w:rsidP="00F84198">
      <w:pPr>
        <w:tabs>
          <w:tab w:val="left" w:pos="6202"/>
        </w:tabs>
        <w:jc w:val="both"/>
        <w:rPr>
          <w:sz w:val="24"/>
          <w:szCs w:val="24"/>
        </w:rPr>
      </w:pPr>
    </w:p>
    <w:p w14:paraId="1A57094C" w14:textId="77777777" w:rsidR="00AE0674" w:rsidRDefault="00AE0674" w:rsidP="00F84198">
      <w:pPr>
        <w:tabs>
          <w:tab w:val="left" w:pos="6202"/>
        </w:tabs>
        <w:jc w:val="both"/>
        <w:rPr>
          <w:sz w:val="24"/>
          <w:szCs w:val="24"/>
        </w:rPr>
      </w:pPr>
    </w:p>
    <w:p w14:paraId="2CAB8FE0" w14:textId="77777777" w:rsidR="00AE0674" w:rsidRDefault="00AE0674" w:rsidP="00F84198">
      <w:pPr>
        <w:tabs>
          <w:tab w:val="left" w:pos="6202"/>
        </w:tabs>
        <w:jc w:val="both"/>
        <w:rPr>
          <w:sz w:val="24"/>
          <w:szCs w:val="24"/>
        </w:rPr>
      </w:pPr>
    </w:p>
    <w:p w14:paraId="462F2E4C" w14:textId="77777777" w:rsidR="00AE0674" w:rsidRDefault="00AE0674" w:rsidP="00F84198">
      <w:pPr>
        <w:tabs>
          <w:tab w:val="left" w:pos="6202"/>
        </w:tabs>
        <w:jc w:val="both"/>
        <w:rPr>
          <w:sz w:val="24"/>
          <w:szCs w:val="24"/>
        </w:rPr>
      </w:pPr>
    </w:p>
    <w:p w14:paraId="4E34D1DD" w14:textId="77777777" w:rsidR="00AE0674" w:rsidRDefault="00AE0674" w:rsidP="00F84198">
      <w:pPr>
        <w:tabs>
          <w:tab w:val="left" w:pos="6202"/>
        </w:tabs>
        <w:jc w:val="both"/>
        <w:rPr>
          <w:sz w:val="24"/>
          <w:szCs w:val="24"/>
        </w:rPr>
      </w:pPr>
    </w:p>
    <w:p w14:paraId="216E18E7" w14:textId="77777777" w:rsidR="00AE0674" w:rsidRDefault="00AE0674" w:rsidP="00F84198">
      <w:pPr>
        <w:tabs>
          <w:tab w:val="left" w:pos="6202"/>
        </w:tabs>
        <w:jc w:val="both"/>
        <w:rPr>
          <w:sz w:val="24"/>
          <w:szCs w:val="24"/>
        </w:rPr>
      </w:pPr>
    </w:p>
    <w:p w14:paraId="75100498" w14:textId="77777777" w:rsidR="00AE0674" w:rsidRDefault="00AE0674" w:rsidP="00F84198">
      <w:pPr>
        <w:tabs>
          <w:tab w:val="left" w:pos="6202"/>
        </w:tabs>
        <w:jc w:val="both"/>
        <w:rPr>
          <w:sz w:val="24"/>
          <w:szCs w:val="24"/>
        </w:rPr>
      </w:pPr>
    </w:p>
    <w:p w14:paraId="00192561" w14:textId="77777777" w:rsidR="00AE0674" w:rsidRDefault="00AE0674" w:rsidP="00F84198">
      <w:pPr>
        <w:tabs>
          <w:tab w:val="left" w:pos="6202"/>
        </w:tabs>
        <w:jc w:val="both"/>
        <w:rPr>
          <w:sz w:val="24"/>
          <w:szCs w:val="24"/>
        </w:rPr>
      </w:pPr>
    </w:p>
    <w:p w14:paraId="34038501" w14:textId="77777777" w:rsidR="00F84198" w:rsidRDefault="00F84198" w:rsidP="00F84198">
      <w:pPr>
        <w:tabs>
          <w:tab w:val="left" w:pos="6202"/>
        </w:tabs>
        <w:jc w:val="both"/>
        <w:rPr>
          <w:sz w:val="24"/>
          <w:szCs w:val="24"/>
        </w:rPr>
      </w:pPr>
    </w:p>
    <w:p w14:paraId="72DDC564" w14:textId="77777777" w:rsidR="00F84198" w:rsidRPr="00833ECB" w:rsidRDefault="00F84198" w:rsidP="00833ECB">
      <w:pPr>
        <w:jc w:val="center"/>
        <w:rPr>
          <w:sz w:val="24"/>
          <w:szCs w:val="24"/>
          <w:u w:val="single"/>
        </w:rPr>
      </w:pPr>
    </w:p>
    <w:p w14:paraId="40EA6F69" w14:textId="6DA606F7" w:rsidR="00F84198" w:rsidRPr="00833ECB" w:rsidRDefault="00833ECB" w:rsidP="00833ECB">
      <w:pPr>
        <w:jc w:val="center"/>
        <w:rPr>
          <w:sz w:val="24"/>
          <w:szCs w:val="24"/>
          <w:u w:val="single"/>
        </w:rPr>
      </w:pPr>
      <w:r w:rsidRPr="00833ECB">
        <w:rPr>
          <w:sz w:val="24"/>
          <w:szCs w:val="24"/>
          <w:u w:val="single"/>
        </w:rPr>
        <w:t>BIBLIOGRAPHY</w:t>
      </w:r>
    </w:p>
    <w:p w14:paraId="7CC0E023" w14:textId="1BDFBD6F" w:rsidR="00F84198" w:rsidRDefault="00F84198" w:rsidP="004C2EB0">
      <w:pPr>
        <w:rPr>
          <w:sz w:val="24"/>
          <w:szCs w:val="24"/>
        </w:rPr>
      </w:pPr>
      <w:proofErr w:type="spellStart"/>
      <w:r w:rsidRPr="007212F6">
        <w:rPr>
          <w:sz w:val="24"/>
          <w:szCs w:val="24"/>
        </w:rPr>
        <w:t>Alhajjar</w:t>
      </w:r>
      <w:proofErr w:type="spellEnd"/>
      <w:r w:rsidRPr="007212F6">
        <w:rPr>
          <w:sz w:val="24"/>
          <w:szCs w:val="24"/>
        </w:rPr>
        <w:t xml:space="preserve">, E., Bradley, T. (2022) ‘Survival Analysis for insider threat, </w:t>
      </w:r>
      <w:proofErr w:type="gramStart"/>
      <w:r w:rsidRPr="007212F6">
        <w:rPr>
          <w:sz w:val="24"/>
          <w:szCs w:val="24"/>
        </w:rPr>
        <w:t>Detecting</w:t>
      </w:r>
      <w:proofErr w:type="gramEnd"/>
      <w:r w:rsidRPr="007212F6">
        <w:rPr>
          <w:sz w:val="24"/>
          <w:szCs w:val="24"/>
        </w:rPr>
        <w:t xml:space="preserve"> insider threats using survival analysis techniques’. </w:t>
      </w:r>
      <w:r w:rsidRPr="007212F6">
        <w:rPr>
          <w:i/>
          <w:iCs/>
          <w:sz w:val="24"/>
          <w:szCs w:val="24"/>
        </w:rPr>
        <w:t>Computational and Mathematical Organization Theory</w:t>
      </w:r>
      <w:r w:rsidRPr="007212F6">
        <w:rPr>
          <w:sz w:val="24"/>
          <w:szCs w:val="24"/>
        </w:rPr>
        <w:t xml:space="preserve">. 28. Pp-335-351. </w:t>
      </w:r>
    </w:p>
    <w:p w14:paraId="29DE2B8E" w14:textId="77777777" w:rsidR="004C2EB0" w:rsidRDefault="004C2EB0" w:rsidP="004C2EB0">
      <w:pPr>
        <w:rPr>
          <w:sz w:val="24"/>
          <w:szCs w:val="24"/>
        </w:rPr>
      </w:pPr>
      <w:r w:rsidRPr="007212F6">
        <w:rPr>
          <w:sz w:val="24"/>
          <w:szCs w:val="24"/>
        </w:rPr>
        <w:t xml:space="preserve">Arthur, R., Krik, T., (2023) ‘Children as Covert Human Intelligence Sources: Spies first, Children Second’, </w:t>
      </w:r>
      <w:r w:rsidRPr="007212F6">
        <w:rPr>
          <w:i/>
          <w:iCs/>
          <w:sz w:val="24"/>
          <w:szCs w:val="24"/>
        </w:rPr>
        <w:t xml:space="preserve">Youth Justice, </w:t>
      </w:r>
      <w:r w:rsidRPr="007212F6">
        <w:rPr>
          <w:sz w:val="24"/>
          <w:szCs w:val="24"/>
        </w:rPr>
        <w:t>1(1), pp.1-16.</w:t>
      </w:r>
    </w:p>
    <w:p w14:paraId="0B8F2CFA" w14:textId="77777777" w:rsidR="004C2EB0" w:rsidRPr="007212F6" w:rsidRDefault="004C2EB0" w:rsidP="004C2EB0">
      <w:pPr>
        <w:rPr>
          <w:sz w:val="24"/>
          <w:szCs w:val="24"/>
        </w:rPr>
      </w:pPr>
      <w:r w:rsidRPr="007212F6">
        <w:rPr>
          <w:sz w:val="24"/>
          <w:szCs w:val="24"/>
        </w:rPr>
        <w:t xml:space="preserve">Accessories and Abettors Act, (2021) </w:t>
      </w:r>
      <w:r w:rsidRPr="007212F6">
        <w:rPr>
          <w:i/>
          <w:iCs/>
          <w:sz w:val="24"/>
          <w:szCs w:val="24"/>
        </w:rPr>
        <w:t>Section 8. Abettors and misdemeanours.</w:t>
      </w:r>
      <w:r w:rsidRPr="007212F6">
        <w:rPr>
          <w:sz w:val="24"/>
          <w:szCs w:val="24"/>
        </w:rPr>
        <w:t xml:space="preserve"> Available at: </w:t>
      </w:r>
      <w:hyperlink r:id="rId4" w:history="1">
        <w:r w:rsidRPr="007212F6">
          <w:rPr>
            <w:rStyle w:val="Hyperlink"/>
            <w:sz w:val="24"/>
            <w:szCs w:val="24"/>
          </w:rPr>
          <w:t>https://www.legislation.gov.uk/ukpga/Vict/24-25/94/section/8</w:t>
        </w:r>
      </w:hyperlink>
      <w:r w:rsidRPr="007212F6">
        <w:rPr>
          <w:sz w:val="24"/>
          <w:szCs w:val="24"/>
        </w:rPr>
        <w:t xml:space="preserve"> (Accessed: October 2023). </w:t>
      </w:r>
    </w:p>
    <w:p w14:paraId="66D5E143" w14:textId="6088A25E" w:rsidR="004C2EB0" w:rsidRPr="007212F6" w:rsidRDefault="004C2EB0" w:rsidP="004C2EB0">
      <w:pPr>
        <w:rPr>
          <w:sz w:val="24"/>
          <w:szCs w:val="24"/>
        </w:rPr>
      </w:pPr>
      <w:r w:rsidRPr="007212F6">
        <w:rPr>
          <w:sz w:val="24"/>
          <w:szCs w:val="24"/>
        </w:rPr>
        <w:t xml:space="preserve">Braga, A, A. </w:t>
      </w:r>
      <w:proofErr w:type="gramStart"/>
      <w:r w:rsidRPr="007212F6">
        <w:rPr>
          <w:sz w:val="24"/>
          <w:szCs w:val="24"/>
        </w:rPr>
        <w:t>Turchan ,</w:t>
      </w:r>
      <w:proofErr w:type="gramEnd"/>
      <w:r w:rsidRPr="007212F6">
        <w:rPr>
          <w:sz w:val="24"/>
          <w:szCs w:val="24"/>
        </w:rPr>
        <w:t xml:space="preserve"> B. </w:t>
      </w:r>
      <w:proofErr w:type="spellStart"/>
      <w:r w:rsidRPr="007212F6">
        <w:rPr>
          <w:sz w:val="24"/>
          <w:szCs w:val="24"/>
        </w:rPr>
        <w:t>Papachritos</w:t>
      </w:r>
      <w:proofErr w:type="spellEnd"/>
      <w:r w:rsidRPr="007212F6">
        <w:rPr>
          <w:sz w:val="24"/>
          <w:szCs w:val="24"/>
        </w:rPr>
        <w:t xml:space="preserve">, A, V. Hureau, D, M. (2019) ‘Hot spots policing of small geographical areas effects on crime’, </w:t>
      </w:r>
      <w:r w:rsidRPr="007212F6">
        <w:rPr>
          <w:i/>
          <w:iCs/>
          <w:sz w:val="24"/>
          <w:szCs w:val="24"/>
        </w:rPr>
        <w:t>Campbell Systematic Reviews</w:t>
      </w:r>
      <w:r w:rsidRPr="007212F6">
        <w:rPr>
          <w:sz w:val="24"/>
          <w:szCs w:val="24"/>
        </w:rPr>
        <w:t xml:space="preserve">, 15(3), pp.1046-1134. </w:t>
      </w:r>
    </w:p>
    <w:p w14:paraId="24AB9DEA" w14:textId="74C9D48D" w:rsidR="004C2EB0" w:rsidRDefault="004C2EB0" w:rsidP="004C2EB0">
      <w:pPr>
        <w:rPr>
          <w:sz w:val="24"/>
          <w:szCs w:val="24"/>
        </w:rPr>
      </w:pPr>
      <w:r w:rsidRPr="007212F6">
        <w:rPr>
          <w:sz w:val="24"/>
          <w:szCs w:val="24"/>
        </w:rPr>
        <w:t xml:space="preserve">Bunn, M. Sagan, S, D. (2017) </w:t>
      </w:r>
      <w:r w:rsidRPr="007212F6">
        <w:rPr>
          <w:i/>
          <w:iCs/>
          <w:sz w:val="24"/>
          <w:szCs w:val="24"/>
        </w:rPr>
        <w:t>Insider Threats.</w:t>
      </w:r>
      <w:r w:rsidRPr="007212F6">
        <w:rPr>
          <w:sz w:val="24"/>
          <w:szCs w:val="24"/>
        </w:rPr>
        <w:t xml:space="preserve"> Cambridge, Massachusetts. Cornell University Press. </w:t>
      </w:r>
    </w:p>
    <w:p w14:paraId="20F2EEA5" w14:textId="77777777" w:rsidR="004C2EB0" w:rsidRPr="007212F6" w:rsidRDefault="004C2EB0" w:rsidP="004C2EB0">
      <w:pPr>
        <w:rPr>
          <w:sz w:val="24"/>
          <w:szCs w:val="24"/>
        </w:rPr>
      </w:pPr>
      <w:r w:rsidRPr="007212F6">
        <w:rPr>
          <w:sz w:val="24"/>
          <w:szCs w:val="24"/>
        </w:rPr>
        <w:t xml:space="preserve">Clarke, R, </w:t>
      </w:r>
      <w:proofErr w:type="gramStart"/>
      <w:r w:rsidRPr="007212F6">
        <w:rPr>
          <w:sz w:val="24"/>
          <w:szCs w:val="24"/>
        </w:rPr>
        <w:t>V,.</w:t>
      </w:r>
      <w:proofErr w:type="gramEnd"/>
      <w:r w:rsidRPr="007212F6">
        <w:rPr>
          <w:sz w:val="24"/>
          <w:szCs w:val="24"/>
        </w:rPr>
        <w:t xml:space="preserve"> (1997) </w:t>
      </w:r>
      <w:r w:rsidRPr="007212F6">
        <w:rPr>
          <w:i/>
          <w:iCs/>
          <w:sz w:val="24"/>
          <w:szCs w:val="24"/>
        </w:rPr>
        <w:t xml:space="preserve">Situational Crime Prevention, Successful Case Studies. </w:t>
      </w:r>
      <w:r w:rsidRPr="007212F6">
        <w:rPr>
          <w:sz w:val="24"/>
          <w:szCs w:val="24"/>
        </w:rPr>
        <w:t>2</w:t>
      </w:r>
      <w:r w:rsidRPr="007212F6">
        <w:rPr>
          <w:sz w:val="24"/>
          <w:szCs w:val="24"/>
          <w:vertAlign w:val="superscript"/>
        </w:rPr>
        <w:t>nd</w:t>
      </w:r>
      <w:r w:rsidRPr="007212F6">
        <w:rPr>
          <w:sz w:val="24"/>
          <w:szCs w:val="24"/>
        </w:rPr>
        <w:t xml:space="preserve"> </w:t>
      </w:r>
      <w:proofErr w:type="spellStart"/>
      <w:r w:rsidRPr="007212F6">
        <w:rPr>
          <w:sz w:val="24"/>
          <w:szCs w:val="24"/>
        </w:rPr>
        <w:t>edn</w:t>
      </w:r>
      <w:proofErr w:type="spellEnd"/>
      <w:r w:rsidRPr="007212F6">
        <w:rPr>
          <w:sz w:val="24"/>
          <w:szCs w:val="24"/>
        </w:rPr>
        <w:t xml:space="preserve">. New York: Harrow and Heston. </w:t>
      </w:r>
    </w:p>
    <w:p w14:paraId="22B9EBE3" w14:textId="77777777" w:rsidR="004C2EB0" w:rsidRPr="007212F6" w:rsidRDefault="004C2EB0" w:rsidP="004C2EB0">
      <w:pPr>
        <w:rPr>
          <w:sz w:val="24"/>
          <w:szCs w:val="24"/>
        </w:rPr>
      </w:pPr>
      <w:r w:rsidRPr="007212F6">
        <w:rPr>
          <w:sz w:val="24"/>
          <w:szCs w:val="24"/>
        </w:rPr>
        <w:t xml:space="preserve">Clarke, R, </w:t>
      </w:r>
      <w:proofErr w:type="gramStart"/>
      <w:r w:rsidRPr="007212F6">
        <w:rPr>
          <w:sz w:val="24"/>
          <w:szCs w:val="24"/>
        </w:rPr>
        <w:t>V,.</w:t>
      </w:r>
      <w:proofErr w:type="gramEnd"/>
      <w:r w:rsidRPr="007212F6">
        <w:rPr>
          <w:sz w:val="24"/>
          <w:szCs w:val="24"/>
        </w:rPr>
        <w:t xml:space="preserve"> (1980). ‘Situational Crime Prevention: Theory and Practise’, </w:t>
      </w:r>
      <w:r w:rsidRPr="007212F6">
        <w:rPr>
          <w:i/>
          <w:iCs/>
          <w:sz w:val="24"/>
          <w:szCs w:val="24"/>
        </w:rPr>
        <w:t xml:space="preserve">The British Journal of Criminology, </w:t>
      </w:r>
      <w:r w:rsidRPr="007212F6">
        <w:rPr>
          <w:sz w:val="24"/>
          <w:szCs w:val="24"/>
        </w:rPr>
        <w:t xml:space="preserve">20(2), pp.136-147. </w:t>
      </w:r>
    </w:p>
    <w:p w14:paraId="519B39EE" w14:textId="77777777" w:rsidR="004C2EB0" w:rsidRPr="007212F6" w:rsidRDefault="004C2EB0" w:rsidP="004C2EB0">
      <w:pPr>
        <w:rPr>
          <w:sz w:val="24"/>
          <w:szCs w:val="24"/>
        </w:rPr>
      </w:pPr>
      <w:r w:rsidRPr="007212F6">
        <w:rPr>
          <w:sz w:val="24"/>
          <w:szCs w:val="24"/>
        </w:rPr>
        <w:t xml:space="preserve">Clarke, R, </w:t>
      </w:r>
      <w:proofErr w:type="gramStart"/>
      <w:r w:rsidRPr="007212F6">
        <w:rPr>
          <w:sz w:val="24"/>
          <w:szCs w:val="24"/>
        </w:rPr>
        <w:t>V,.</w:t>
      </w:r>
      <w:proofErr w:type="gramEnd"/>
      <w:r w:rsidRPr="007212F6">
        <w:rPr>
          <w:sz w:val="24"/>
          <w:szCs w:val="24"/>
        </w:rPr>
        <w:t xml:space="preserve"> (1995). ‘Situational Crime Prevention’, </w:t>
      </w:r>
      <w:r w:rsidRPr="007212F6">
        <w:rPr>
          <w:i/>
          <w:iCs/>
          <w:sz w:val="24"/>
          <w:szCs w:val="24"/>
        </w:rPr>
        <w:t>Crime and Justice</w:t>
      </w:r>
      <w:r w:rsidRPr="007212F6">
        <w:rPr>
          <w:sz w:val="24"/>
          <w:szCs w:val="24"/>
        </w:rPr>
        <w:t xml:space="preserve">, 19, pp.91-150. </w:t>
      </w:r>
    </w:p>
    <w:p w14:paraId="4B0A50D4" w14:textId="77777777" w:rsidR="004C2EB0" w:rsidRPr="007212F6" w:rsidRDefault="004C2EB0" w:rsidP="004C2EB0">
      <w:pPr>
        <w:rPr>
          <w:sz w:val="24"/>
          <w:szCs w:val="24"/>
        </w:rPr>
      </w:pPr>
      <w:r w:rsidRPr="007212F6">
        <w:rPr>
          <w:sz w:val="24"/>
          <w:szCs w:val="24"/>
        </w:rPr>
        <w:t xml:space="preserve">Cohen E, </w:t>
      </w:r>
      <w:proofErr w:type="gramStart"/>
      <w:r w:rsidRPr="007212F6">
        <w:rPr>
          <w:sz w:val="24"/>
          <w:szCs w:val="24"/>
        </w:rPr>
        <w:t>L,.</w:t>
      </w:r>
      <w:proofErr w:type="gramEnd"/>
      <w:r w:rsidRPr="007212F6">
        <w:rPr>
          <w:sz w:val="24"/>
          <w:szCs w:val="24"/>
        </w:rPr>
        <w:t xml:space="preserve"> Felson, </w:t>
      </w:r>
      <w:proofErr w:type="gramStart"/>
      <w:r w:rsidRPr="007212F6">
        <w:rPr>
          <w:sz w:val="24"/>
          <w:szCs w:val="24"/>
        </w:rPr>
        <w:t>M,.</w:t>
      </w:r>
      <w:proofErr w:type="gramEnd"/>
      <w:r w:rsidRPr="007212F6">
        <w:rPr>
          <w:sz w:val="24"/>
          <w:szCs w:val="24"/>
        </w:rPr>
        <w:t xml:space="preserve"> (1979) Social Change and Crime rate trends: A routine Activity Approach, </w:t>
      </w:r>
      <w:r w:rsidRPr="007212F6">
        <w:rPr>
          <w:i/>
          <w:iCs/>
          <w:sz w:val="24"/>
          <w:szCs w:val="24"/>
        </w:rPr>
        <w:t xml:space="preserve">American Sociological review, </w:t>
      </w:r>
      <w:r w:rsidRPr="007212F6">
        <w:rPr>
          <w:sz w:val="24"/>
          <w:szCs w:val="24"/>
        </w:rPr>
        <w:t xml:space="preserve">44, pp. 588-608. </w:t>
      </w:r>
    </w:p>
    <w:p w14:paraId="65CBA809" w14:textId="77777777" w:rsidR="004C2EB0" w:rsidRDefault="004C2EB0" w:rsidP="004C2EB0">
      <w:pPr>
        <w:rPr>
          <w:sz w:val="24"/>
          <w:szCs w:val="24"/>
        </w:rPr>
      </w:pPr>
      <w:r w:rsidRPr="007212F6">
        <w:rPr>
          <w:sz w:val="24"/>
          <w:szCs w:val="24"/>
        </w:rPr>
        <w:t xml:space="preserve">Cornish, D, </w:t>
      </w:r>
      <w:proofErr w:type="gramStart"/>
      <w:r w:rsidRPr="007212F6">
        <w:rPr>
          <w:sz w:val="24"/>
          <w:szCs w:val="24"/>
        </w:rPr>
        <w:t>B,.</w:t>
      </w:r>
      <w:proofErr w:type="gramEnd"/>
      <w:r w:rsidRPr="007212F6">
        <w:rPr>
          <w:sz w:val="24"/>
          <w:szCs w:val="24"/>
        </w:rPr>
        <w:t xml:space="preserve"> Clarke, R, </w:t>
      </w:r>
      <w:proofErr w:type="gramStart"/>
      <w:r w:rsidRPr="007212F6">
        <w:rPr>
          <w:sz w:val="24"/>
          <w:szCs w:val="24"/>
        </w:rPr>
        <w:t>V,.</w:t>
      </w:r>
      <w:proofErr w:type="gramEnd"/>
      <w:r w:rsidRPr="007212F6">
        <w:rPr>
          <w:sz w:val="24"/>
          <w:szCs w:val="24"/>
        </w:rPr>
        <w:t xml:space="preserve"> (2003), ‘Opportunities, Precipitators and Criminal Decisions’, </w:t>
      </w:r>
      <w:r w:rsidRPr="007212F6">
        <w:rPr>
          <w:i/>
          <w:iCs/>
          <w:sz w:val="24"/>
          <w:szCs w:val="24"/>
        </w:rPr>
        <w:t>Crime Prevention Studies</w:t>
      </w:r>
      <w:r w:rsidRPr="007212F6">
        <w:rPr>
          <w:sz w:val="24"/>
          <w:szCs w:val="24"/>
        </w:rPr>
        <w:t xml:space="preserve">, 16, pp. 41-96. </w:t>
      </w:r>
    </w:p>
    <w:p w14:paraId="055D5448" w14:textId="77777777" w:rsidR="004C2EB0" w:rsidRPr="007212F6" w:rsidRDefault="004C2EB0" w:rsidP="004C2EB0">
      <w:pPr>
        <w:rPr>
          <w:sz w:val="24"/>
          <w:szCs w:val="24"/>
        </w:rPr>
      </w:pPr>
      <w:r w:rsidRPr="007212F6">
        <w:rPr>
          <w:sz w:val="24"/>
          <w:szCs w:val="24"/>
        </w:rPr>
        <w:t xml:space="preserve">Cochrane, </w:t>
      </w:r>
      <w:proofErr w:type="gramStart"/>
      <w:r w:rsidRPr="007212F6">
        <w:rPr>
          <w:sz w:val="24"/>
          <w:szCs w:val="24"/>
        </w:rPr>
        <w:t>M,.</w:t>
      </w:r>
      <w:proofErr w:type="gramEnd"/>
      <w:r w:rsidRPr="007212F6">
        <w:rPr>
          <w:sz w:val="24"/>
          <w:szCs w:val="24"/>
        </w:rPr>
        <w:t xml:space="preserve"> Monaghan, </w:t>
      </w:r>
      <w:proofErr w:type="gramStart"/>
      <w:r w:rsidRPr="007212F6">
        <w:rPr>
          <w:sz w:val="24"/>
          <w:szCs w:val="24"/>
        </w:rPr>
        <w:t>R,.</w:t>
      </w:r>
      <w:proofErr w:type="gramEnd"/>
      <w:r w:rsidRPr="007212F6">
        <w:rPr>
          <w:sz w:val="24"/>
          <w:szCs w:val="24"/>
        </w:rPr>
        <w:t xml:space="preserve"> (2011), ‘Countering through the use of informants: the Northern Ireland Experience’, </w:t>
      </w:r>
      <w:r w:rsidRPr="007212F6">
        <w:rPr>
          <w:i/>
          <w:iCs/>
          <w:sz w:val="24"/>
          <w:szCs w:val="24"/>
        </w:rPr>
        <w:t>Behavioural sciences of Terrorism and Political Aggression</w:t>
      </w:r>
      <w:r w:rsidRPr="007212F6">
        <w:rPr>
          <w:sz w:val="24"/>
          <w:szCs w:val="24"/>
        </w:rPr>
        <w:t xml:space="preserve">, 4(1), pp.26-40. </w:t>
      </w:r>
    </w:p>
    <w:p w14:paraId="68770F0B" w14:textId="77777777" w:rsidR="004C2EB0" w:rsidRDefault="004C2EB0" w:rsidP="004C2EB0">
      <w:pPr>
        <w:rPr>
          <w:sz w:val="24"/>
          <w:szCs w:val="24"/>
        </w:rPr>
      </w:pPr>
      <w:r w:rsidRPr="007212F6">
        <w:rPr>
          <w:sz w:val="24"/>
          <w:szCs w:val="24"/>
        </w:rPr>
        <w:t xml:space="preserve">Criminal Conduct Act, (2021) </w:t>
      </w:r>
      <w:r w:rsidRPr="007212F6">
        <w:rPr>
          <w:i/>
          <w:iCs/>
          <w:sz w:val="24"/>
          <w:szCs w:val="24"/>
        </w:rPr>
        <w:t>Section 1, Authorisation of Criminal Conduct.</w:t>
      </w:r>
      <w:r w:rsidRPr="007212F6">
        <w:rPr>
          <w:sz w:val="24"/>
          <w:szCs w:val="24"/>
        </w:rPr>
        <w:t xml:space="preserve"> Available at: </w:t>
      </w:r>
      <w:proofErr w:type="gramStart"/>
      <w:r w:rsidRPr="007212F6">
        <w:rPr>
          <w:sz w:val="24"/>
          <w:szCs w:val="24"/>
        </w:rPr>
        <w:t>https://www.legislation.gov.uk/ukpga/2021/4/section/1/enacted  (</w:t>
      </w:r>
      <w:proofErr w:type="gramEnd"/>
      <w:r w:rsidRPr="007212F6">
        <w:rPr>
          <w:sz w:val="24"/>
          <w:szCs w:val="24"/>
        </w:rPr>
        <w:t xml:space="preserve">Accessed October 2023). </w:t>
      </w:r>
    </w:p>
    <w:p w14:paraId="22DB6902" w14:textId="77777777" w:rsidR="004C2EB0" w:rsidRDefault="004C2EB0" w:rsidP="004C2EB0">
      <w:pPr>
        <w:rPr>
          <w:sz w:val="24"/>
          <w:szCs w:val="24"/>
        </w:rPr>
      </w:pPr>
      <w:r w:rsidRPr="007212F6">
        <w:rPr>
          <w:sz w:val="24"/>
          <w:szCs w:val="24"/>
        </w:rPr>
        <w:t xml:space="preserve">Gillespie, A, </w:t>
      </w:r>
      <w:proofErr w:type="gramStart"/>
      <w:r w:rsidRPr="007212F6">
        <w:rPr>
          <w:sz w:val="24"/>
          <w:szCs w:val="24"/>
        </w:rPr>
        <w:t>A,.</w:t>
      </w:r>
      <w:proofErr w:type="gramEnd"/>
      <w:r w:rsidRPr="007212F6">
        <w:rPr>
          <w:sz w:val="24"/>
          <w:szCs w:val="24"/>
        </w:rPr>
        <w:t xml:space="preserve"> (2020), ‘Juvenile Informers: Is it appropriate to use children as covert human intelligence sources?’, </w:t>
      </w:r>
      <w:r w:rsidRPr="007212F6">
        <w:rPr>
          <w:i/>
          <w:iCs/>
          <w:sz w:val="24"/>
          <w:szCs w:val="24"/>
        </w:rPr>
        <w:t>Cambridge Law Journal</w:t>
      </w:r>
      <w:r w:rsidRPr="007212F6">
        <w:rPr>
          <w:sz w:val="24"/>
          <w:szCs w:val="24"/>
        </w:rPr>
        <w:t xml:space="preserve">, 79(3), pp.459-489. </w:t>
      </w:r>
    </w:p>
    <w:p w14:paraId="495849E0" w14:textId="77777777" w:rsidR="004C2EB0" w:rsidRPr="007212F6" w:rsidRDefault="004C2EB0" w:rsidP="004C2EB0">
      <w:pPr>
        <w:rPr>
          <w:sz w:val="24"/>
          <w:szCs w:val="24"/>
        </w:rPr>
      </w:pPr>
      <w:r w:rsidRPr="007212F6">
        <w:rPr>
          <w:sz w:val="24"/>
          <w:szCs w:val="24"/>
        </w:rPr>
        <w:t xml:space="preserve">Human Rights Act. (1998) </w:t>
      </w:r>
      <w:r w:rsidRPr="007212F6">
        <w:rPr>
          <w:i/>
          <w:iCs/>
          <w:sz w:val="24"/>
          <w:szCs w:val="24"/>
        </w:rPr>
        <w:t xml:space="preserve">Article 8, Right to respect for private and family life, </w:t>
      </w:r>
      <w:r w:rsidRPr="007212F6">
        <w:rPr>
          <w:sz w:val="24"/>
          <w:szCs w:val="24"/>
        </w:rPr>
        <w:t xml:space="preserve">Available at: https://www.legislation.gov.uk/ukpga/1998/42/schedule/1, (Accessed October 2023). </w:t>
      </w:r>
    </w:p>
    <w:p w14:paraId="5B16F861" w14:textId="77777777" w:rsidR="004C2EB0" w:rsidRDefault="004C2EB0" w:rsidP="004C2EB0">
      <w:pPr>
        <w:rPr>
          <w:sz w:val="24"/>
          <w:szCs w:val="24"/>
        </w:rPr>
      </w:pPr>
      <w:r w:rsidRPr="007212F6">
        <w:rPr>
          <w:sz w:val="24"/>
          <w:szCs w:val="24"/>
        </w:rPr>
        <w:t xml:space="preserve">Horwitz, S. K., &amp; Horwitz, I. B. (2007). ‘The effects of team diversity on team outcomes: A meta-analytic review of team demography.’ </w:t>
      </w:r>
      <w:r w:rsidRPr="007212F6">
        <w:rPr>
          <w:i/>
          <w:iCs/>
          <w:sz w:val="24"/>
          <w:szCs w:val="24"/>
        </w:rPr>
        <w:t>Journal of Management</w:t>
      </w:r>
      <w:r w:rsidRPr="007212F6">
        <w:rPr>
          <w:sz w:val="24"/>
          <w:szCs w:val="24"/>
        </w:rPr>
        <w:t>, 33, 987-1015.</w:t>
      </w:r>
    </w:p>
    <w:p w14:paraId="55903FD2" w14:textId="77777777" w:rsidR="004C2EB0" w:rsidRDefault="004C2EB0" w:rsidP="004C2EB0">
      <w:pPr>
        <w:rPr>
          <w:sz w:val="24"/>
          <w:szCs w:val="24"/>
        </w:rPr>
      </w:pPr>
      <w:r w:rsidRPr="007212F6">
        <w:rPr>
          <w:sz w:val="24"/>
          <w:szCs w:val="24"/>
        </w:rPr>
        <w:t xml:space="preserve">IFFAT, S.C., PAQUIBUT, R.Y. and MUHAMMAD, </w:t>
      </w:r>
      <w:proofErr w:type="gramStart"/>
      <w:r w:rsidRPr="007212F6">
        <w:rPr>
          <w:sz w:val="24"/>
          <w:szCs w:val="24"/>
        </w:rPr>
        <w:t>N.T.,(</w:t>
      </w:r>
      <w:proofErr w:type="gramEnd"/>
      <w:r w:rsidRPr="007212F6">
        <w:rPr>
          <w:sz w:val="24"/>
          <w:szCs w:val="24"/>
        </w:rPr>
        <w:t xml:space="preserve">2021). ‘Do workforce diversity, inclusion practices, &amp; organizational characteristics contribute to organizational innovation? Evidence from the U.A.E. Cogent Business &amp; Management.’ </w:t>
      </w:r>
      <w:r w:rsidRPr="007212F6">
        <w:rPr>
          <w:i/>
          <w:iCs/>
          <w:sz w:val="24"/>
          <w:szCs w:val="24"/>
        </w:rPr>
        <w:t xml:space="preserve">Cogent Business &amp; Management, </w:t>
      </w:r>
      <w:r w:rsidRPr="007212F6">
        <w:rPr>
          <w:sz w:val="24"/>
          <w:szCs w:val="24"/>
        </w:rPr>
        <w:t xml:space="preserve">8(1), pp. </w:t>
      </w:r>
      <w:proofErr w:type="spellStart"/>
      <w:r w:rsidRPr="007212F6">
        <w:rPr>
          <w:sz w:val="24"/>
          <w:szCs w:val="24"/>
        </w:rPr>
        <w:t>doi</w:t>
      </w:r>
      <w:proofErr w:type="spellEnd"/>
      <w:r w:rsidRPr="007212F6">
        <w:rPr>
          <w:sz w:val="24"/>
          <w:szCs w:val="24"/>
        </w:rPr>
        <w:t>: 10.1080/23311975.2021.1947549</w:t>
      </w:r>
    </w:p>
    <w:p w14:paraId="5C441369" w14:textId="77777777" w:rsidR="004C2EB0" w:rsidRDefault="004C2EB0" w:rsidP="004C2EB0">
      <w:pPr>
        <w:rPr>
          <w:sz w:val="24"/>
          <w:szCs w:val="24"/>
        </w:rPr>
      </w:pPr>
      <w:r w:rsidRPr="007212F6">
        <w:rPr>
          <w:sz w:val="24"/>
          <w:szCs w:val="24"/>
        </w:rPr>
        <w:t xml:space="preserve">Jacques, P. (2022) </w:t>
      </w:r>
      <w:r w:rsidRPr="007212F6">
        <w:rPr>
          <w:i/>
          <w:iCs/>
          <w:sz w:val="24"/>
          <w:szCs w:val="24"/>
        </w:rPr>
        <w:t xml:space="preserve">‘Concerning police vetting process’ risks ‘insider threat’ from extremism, warns report, </w:t>
      </w:r>
      <w:r w:rsidRPr="007212F6">
        <w:rPr>
          <w:sz w:val="24"/>
          <w:szCs w:val="24"/>
        </w:rPr>
        <w:t xml:space="preserve">Available at: https://www.policeprofessional.com/news/concerning-police-vetting-process-risks-insider-threat-from-extremism-warns-report/, </w:t>
      </w:r>
      <w:proofErr w:type="gramStart"/>
      <w:r w:rsidRPr="007212F6">
        <w:rPr>
          <w:sz w:val="24"/>
          <w:szCs w:val="24"/>
        </w:rPr>
        <w:t>( Accessed</w:t>
      </w:r>
      <w:proofErr w:type="gramEnd"/>
      <w:r w:rsidRPr="007212F6">
        <w:rPr>
          <w:sz w:val="24"/>
          <w:szCs w:val="24"/>
        </w:rPr>
        <w:t xml:space="preserve"> October 2023). </w:t>
      </w:r>
    </w:p>
    <w:p w14:paraId="6DBD7BDD" w14:textId="77777777" w:rsidR="004C2EB0" w:rsidRPr="007212F6" w:rsidRDefault="004C2EB0" w:rsidP="004C2EB0">
      <w:pPr>
        <w:rPr>
          <w:sz w:val="24"/>
          <w:szCs w:val="24"/>
        </w:rPr>
      </w:pPr>
      <w:r w:rsidRPr="007212F6">
        <w:rPr>
          <w:sz w:val="24"/>
          <w:szCs w:val="24"/>
        </w:rPr>
        <w:t xml:space="preserve">KEESMAN, L.D., (2023). ‘The </w:t>
      </w:r>
      <w:proofErr w:type="spellStart"/>
      <w:r w:rsidRPr="007212F6">
        <w:rPr>
          <w:sz w:val="24"/>
          <w:szCs w:val="24"/>
        </w:rPr>
        <w:t>Showability</w:t>
      </w:r>
      <w:proofErr w:type="spellEnd"/>
      <w:r w:rsidRPr="007212F6">
        <w:rPr>
          <w:sz w:val="24"/>
          <w:szCs w:val="24"/>
        </w:rPr>
        <w:t xml:space="preserve"> of policing: How police officers’ use of videos in organisational contexts reproduces police culture’. </w:t>
      </w:r>
      <w:r w:rsidRPr="007212F6">
        <w:rPr>
          <w:i/>
          <w:iCs/>
          <w:sz w:val="24"/>
          <w:szCs w:val="24"/>
        </w:rPr>
        <w:t xml:space="preserve">European Journal of Criminology, </w:t>
      </w:r>
      <w:r w:rsidRPr="007212F6">
        <w:rPr>
          <w:sz w:val="24"/>
          <w:szCs w:val="24"/>
        </w:rPr>
        <w:t>20(3), pp.905-924. Doi: 10.1177/14773708221144826</w:t>
      </w:r>
    </w:p>
    <w:p w14:paraId="1945C88B" w14:textId="77777777" w:rsidR="004C2EB0" w:rsidRDefault="004C2EB0" w:rsidP="004C2EB0">
      <w:pPr>
        <w:rPr>
          <w:sz w:val="24"/>
          <w:szCs w:val="24"/>
        </w:rPr>
      </w:pPr>
      <w:r w:rsidRPr="007212F6">
        <w:rPr>
          <w:sz w:val="24"/>
          <w:szCs w:val="24"/>
        </w:rPr>
        <w:t xml:space="preserve">KINGSHOTT, B. F., (2009). </w:t>
      </w:r>
      <w:proofErr w:type="gramStart"/>
      <w:r w:rsidRPr="007212F6">
        <w:rPr>
          <w:sz w:val="24"/>
          <w:szCs w:val="24"/>
        </w:rPr>
        <w:t>‘ Women</w:t>
      </w:r>
      <w:proofErr w:type="gramEnd"/>
      <w:r w:rsidRPr="007212F6">
        <w:rPr>
          <w:sz w:val="24"/>
          <w:szCs w:val="24"/>
        </w:rPr>
        <w:t xml:space="preserve"> in policing: changing the organisational culture by adopting a feminist perspective on leadership’. </w:t>
      </w:r>
      <w:r w:rsidRPr="007212F6">
        <w:rPr>
          <w:i/>
          <w:iCs/>
          <w:sz w:val="24"/>
          <w:szCs w:val="24"/>
        </w:rPr>
        <w:t>Criminal Justice Studies</w:t>
      </w:r>
      <w:r w:rsidRPr="007212F6">
        <w:rPr>
          <w:sz w:val="24"/>
          <w:szCs w:val="24"/>
        </w:rPr>
        <w:t xml:space="preserve">, 22(1), pp.49-72. Doi: 10.1080/14786010902796481. </w:t>
      </w:r>
    </w:p>
    <w:p w14:paraId="4BF32699" w14:textId="77777777" w:rsidR="004C2EB0" w:rsidRPr="007212F6" w:rsidRDefault="004C2EB0" w:rsidP="004C2EB0">
      <w:pPr>
        <w:rPr>
          <w:sz w:val="24"/>
          <w:szCs w:val="24"/>
        </w:rPr>
      </w:pPr>
      <w:r w:rsidRPr="007212F6">
        <w:rPr>
          <w:sz w:val="24"/>
          <w:szCs w:val="24"/>
        </w:rPr>
        <w:t xml:space="preserve">KEDDIE, A., (2023). ‘Gender equality reform and police organizations: A social justice approach’. </w:t>
      </w:r>
      <w:r w:rsidRPr="007212F6">
        <w:rPr>
          <w:i/>
          <w:iCs/>
          <w:sz w:val="24"/>
          <w:szCs w:val="24"/>
        </w:rPr>
        <w:t xml:space="preserve">Gender, Work and Organization, </w:t>
      </w:r>
      <w:r w:rsidRPr="007212F6">
        <w:rPr>
          <w:sz w:val="24"/>
          <w:szCs w:val="24"/>
        </w:rPr>
        <w:t xml:space="preserve">30(3), pp. 810-825. </w:t>
      </w:r>
    </w:p>
    <w:p w14:paraId="4597622A" w14:textId="77777777" w:rsidR="004C2EB0" w:rsidRPr="007212F6" w:rsidRDefault="004C2EB0" w:rsidP="004C2EB0">
      <w:pPr>
        <w:rPr>
          <w:sz w:val="24"/>
          <w:szCs w:val="24"/>
        </w:rPr>
      </w:pPr>
      <w:r w:rsidRPr="007212F6">
        <w:rPr>
          <w:sz w:val="24"/>
          <w:szCs w:val="24"/>
        </w:rPr>
        <w:t>Mehan, J, E</w:t>
      </w:r>
      <w:proofErr w:type="gramStart"/>
      <w:r w:rsidRPr="007212F6">
        <w:rPr>
          <w:sz w:val="24"/>
          <w:szCs w:val="24"/>
        </w:rPr>
        <w:t>,.(</w:t>
      </w:r>
      <w:proofErr w:type="gramEnd"/>
      <w:r w:rsidRPr="007212F6">
        <w:rPr>
          <w:sz w:val="24"/>
          <w:szCs w:val="24"/>
        </w:rPr>
        <w:t xml:space="preserve">2016) </w:t>
      </w:r>
      <w:r w:rsidRPr="007212F6">
        <w:rPr>
          <w:i/>
          <w:iCs/>
          <w:sz w:val="24"/>
          <w:szCs w:val="24"/>
        </w:rPr>
        <w:t>Insider Threat: a guide to understanding, detecting and defending against the enemy from within</w:t>
      </w:r>
      <w:r w:rsidRPr="007212F6">
        <w:rPr>
          <w:sz w:val="24"/>
          <w:szCs w:val="24"/>
        </w:rPr>
        <w:t xml:space="preserve">. IT Governance Publishing. </w:t>
      </w:r>
    </w:p>
    <w:p w14:paraId="18071122" w14:textId="77777777" w:rsidR="004C2EB0" w:rsidRPr="007212F6" w:rsidRDefault="004C2EB0" w:rsidP="004C2EB0">
      <w:pPr>
        <w:rPr>
          <w:sz w:val="24"/>
          <w:szCs w:val="24"/>
        </w:rPr>
      </w:pPr>
      <w:r w:rsidRPr="007212F6">
        <w:rPr>
          <w:sz w:val="24"/>
          <w:szCs w:val="24"/>
        </w:rPr>
        <w:t xml:space="preserve">Moon, K-K. Christensen, R K. (2019). ‘Realizing the Performance Benefits of Workforce Diversity in the U.S. Federal Government: The Moderating Role of Diversity Climate’ </w:t>
      </w:r>
      <w:r w:rsidRPr="007212F6">
        <w:rPr>
          <w:i/>
          <w:iCs/>
          <w:sz w:val="24"/>
          <w:szCs w:val="24"/>
        </w:rPr>
        <w:t xml:space="preserve">Public Personnel Management, </w:t>
      </w:r>
      <w:r w:rsidRPr="007212F6">
        <w:rPr>
          <w:sz w:val="24"/>
          <w:szCs w:val="24"/>
        </w:rPr>
        <w:t xml:space="preserve">49(1) pp. 141-165. </w:t>
      </w:r>
      <w:proofErr w:type="spellStart"/>
      <w:r w:rsidRPr="007212F6">
        <w:rPr>
          <w:sz w:val="24"/>
          <w:szCs w:val="24"/>
        </w:rPr>
        <w:t>doi</w:t>
      </w:r>
      <w:proofErr w:type="spellEnd"/>
      <w:r w:rsidRPr="007212F6">
        <w:rPr>
          <w:sz w:val="24"/>
          <w:szCs w:val="24"/>
        </w:rPr>
        <w:t>: 10.1177/0091026019848458.</w:t>
      </w:r>
    </w:p>
    <w:p w14:paraId="5CF7DF7B" w14:textId="77777777" w:rsidR="004C2EB0" w:rsidRPr="007212F6" w:rsidRDefault="004C2EB0" w:rsidP="004C2EB0">
      <w:pPr>
        <w:rPr>
          <w:sz w:val="24"/>
          <w:szCs w:val="24"/>
        </w:rPr>
      </w:pPr>
      <w:r w:rsidRPr="007212F6">
        <w:rPr>
          <w:sz w:val="24"/>
          <w:szCs w:val="24"/>
        </w:rPr>
        <w:t xml:space="preserve">Molepo, S, P, S. Gabriel, F. </w:t>
      </w:r>
      <w:proofErr w:type="spellStart"/>
      <w:r w:rsidRPr="007212F6">
        <w:rPr>
          <w:sz w:val="24"/>
          <w:szCs w:val="24"/>
        </w:rPr>
        <w:t>Kebonyengwana</w:t>
      </w:r>
      <w:proofErr w:type="spellEnd"/>
      <w:r w:rsidRPr="007212F6">
        <w:rPr>
          <w:sz w:val="24"/>
          <w:szCs w:val="24"/>
        </w:rPr>
        <w:t xml:space="preserve">, M, T, </w:t>
      </w:r>
      <w:proofErr w:type="gramStart"/>
      <w:r w:rsidRPr="007212F6">
        <w:rPr>
          <w:sz w:val="24"/>
          <w:szCs w:val="24"/>
        </w:rPr>
        <w:t>O,.</w:t>
      </w:r>
      <w:proofErr w:type="gramEnd"/>
      <w:r w:rsidRPr="007212F6">
        <w:rPr>
          <w:sz w:val="24"/>
          <w:szCs w:val="24"/>
        </w:rPr>
        <w:t xml:space="preserve"> (2020) ‘CCTV placement in Gaborone City, Botswana: A critical review through the lens of Situational Crime Prevention theory’ </w:t>
      </w:r>
      <w:proofErr w:type="spellStart"/>
      <w:r w:rsidRPr="007212F6">
        <w:rPr>
          <w:i/>
          <w:iCs/>
          <w:sz w:val="24"/>
          <w:szCs w:val="24"/>
        </w:rPr>
        <w:t>Kriminologija</w:t>
      </w:r>
      <w:proofErr w:type="spellEnd"/>
      <w:r w:rsidRPr="007212F6">
        <w:rPr>
          <w:i/>
          <w:iCs/>
          <w:sz w:val="24"/>
          <w:szCs w:val="24"/>
        </w:rPr>
        <w:t xml:space="preserve"> &amp; </w:t>
      </w:r>
      <w:proofErr w:type="spellStart"/>
      <w:r w:rsidRPr="007212F6">
        <w:rPr>
          <w:i/>
          <w:iCs/>
          <w:sz w:val="24"/>
          <w:szCs w:val="24"/>
        </w:rPr>
        <w:t>Socijalna</w:t>
      </w:r>
      <w:proofErr w:type="spellEnd"/>
      <w:r w:rsidRPr="007212F6">
        <w:rPr>
          <w:i/>
          <w:iCs/>
          <w:sz w:val="24"/>
          <w:szCs w:val="24"/>
        </w:rPr>
        <w:t xml:space="preserve"> </w:t>
      </w:r>
      <w:proofErr w:type="spellStart"/>
      <w:r w:rsidRPr="007212F6">
        <w:rPr>
          <w:i/>
          <w:iCs/>
          <w:sz w:val="24"/>
          <w:szCs w:val="24"/>
        </w:rPr>
        <w:t>Integracija</w:t>
      </w:r>
      <w:proofErr w:type="spellEnd"/>
      <w:r w:rsidRPr="007212F6">
        <w:rPr>
          <w:sz w:val="24"/>
          <w:szCs w:val="24"/>
        </w:rPr>
        <w:t xml:space="preserve">, 28(2), pp. 144-163. </w:t>
      </w:r>
    </w:p>
    <w:p w14:paraId="7DEA11BF" w14:textId="77777777" w:rsidR="004C2EB0" w:rsidRDefault="004C2EB0" w:rsidP="004C2EB0">
      <w:pPr>
        <w:rPr>
          <w:sz w:val="24"/>
          <w:szCs w:val="24"/>
        </w:rPr>
      </w:pPr>
      <w:r w:rsidRPr="007212F6">
        <w:rPr>
          <w:sz w:val="24"/>
          <w:szCs w:val="24"/>
        </w:rPr>
        <w:t xml:space="preserve">Milliken, F. J., &amp; Martins, L. L. (1996). ‘Searching for common threads: Understanding the multiple effects of diversity in organizational </w:t>
      </w:r>
      <w:proofErr w:type="gramStart"/>
      <w:r w:rsidRPr="007212F6">
        <w:rPr>
          <w:sz w:val="24"/>
          <w:szCs w:val="24"/>
        </w:rPr>
        <w:t>groups’</w:t>
      </w:r>
      <w:proofErr w:type="gramEnd"/>
      <w:r w:rsidRPr="007212F6">
        <w:rPr>
          <w:sz w:val="24"/>
          <w:szCs w:val="24"/>
        </w:rPr>
        <w:t xml:space="preserve">. </w:t>
      </w:r>
      <w:r w:rsidRPr="007212F6">
        <w:rPr>
          <w:i/>
          <w:iCs/>
          <w:sz w:val="24"/>
          <w:szCs w:val="24"/>
        </w:rPr>
        <w:t>Academy of Management Review</w:t>
      </w:r>
      <w:r w:rsidRPr="007212F6">
        <w:rPr>
          <w:sz w:val="24"/>
          <w:szCs w:val="24"/>
        </w:rPr>
        <w:t>, 21, 402-433.</w:t>
      </w:r>
    </w:p>
    <w:p w14:paraId="6F6F8FBB" w14:textId="77777777" w:rsidR="004C2EB0" w:rsidRDefault="004C2EB0" w:rsidP="004C2EB0">
      <w:pPr>
        <w:rPr>
          <w:sz w:val="24"/>
          <w:szCs w:val="24"/>
        </w:rPr>
      </w:pPr>
      <w:r w:rsidRPr="007212F6">
        <w:rPr>
          <w:sz w:val="24"/>
          <w:szCs w:val="24"/>
        </w:rPr>
        <w:t xml:space="preserve">McCartney, C., Wortley, N., (2014) ‘Raped by the State’, </w:t>
      </w:r>
      <w:r w:rsidRPr="007212F6">
        <w:rPr>
          <w:i/>
          <w:iCs/>
          <w:sz w:val="24"/>
          <w:szCs w:val="24"/>
        </w:rPr>
        <w:t xml:space="preserve">The Journal of Criminal Law, </w:t>
      </w:r>
      <w:r w:rsidRPr="007212F6">
        <w:rPr>
          <w:sz w:val="24"/>
          <w:szCs w:val="24"/>
        </w:rPr>
        <w:t>78(1), pp.1-3.</w:t>
      </w:r>
    </w:p>
    <w:p w14:paraId="706C0EEE" w14:textId="77777777" w:rsidR="004C2EB0" w:rsidRDefault="004C2EB0" w:rsidP="004C2EB0">
      <w:pPr>
        <w:rPr>
          <w:sz w:val="24"/>
          <w:szCs w:val="24"/>
        </w:rPr>
      </w:pPr>
      <w:r w:rsidRPr="007212F6">
        <w:rPr>
          <w:sz w:val="24"/>
          <w:szCs w:val="24"/>
        </w:rPr>
        <w:t xml:space="preserve">Police </w:t>
      </w:r>
      <w:proofErr w:type="spellStart"/>
      <w:r w:rsidRPr="007212F6">
        <w:rPr>
          <w:sz w:val="24"/>
          <w:szCs w:val="24"/>
        </w:rPr>
        <w:t>Serivice</w:t>
      </w:r>
      <w:proofErr w:type="spellEnd"/>
      <w:r w:rsidRPr="007212F6">
        <w:rPr>
          <w:sz w:val="24"/>
          <w:szCs w:val="24"/>
        </w:rPr>
        <w:t xml:space="preserve"> of Northern Ireland, (2023) </w:t>
      </w:r>
      <w:r w:rsidRPr="007212F6">
        <w:rPr>
          <w:i/>
          <w:iCs/>
          <w:sz w:val="24"/>
          <w:szCs w:val="24"/>
        </w:rPr>
        <w:t>Employee and Insider Threats</w:t>
      </w:r>
      <w:r w:rsidRPr="007212F6">
        <w:rPr>
          <w:sz w:val="24"/>
          <w:szCs w:val="24"/>
        </w:rPr>
        <w:t xml:space="preserve">, Available at: https://www.psni.police.uk/safety-and-support/keeping-safe/protecting-yourself/scams/employee-and-insider-threats, (Accessed October 2023).  </w:t>
      </w:r>
    </w:p>
    <w:p w14:paraId="0427C950" w14:textId="77777777" w:rsidR="004C2EB0" w:rsidRDefault="004C2EB0" w:rsidP="004C2EB0">
      <w:pPr>
        <w:rPr>
          <w:sz w:val="24"/>
          <w:szCs w:val="24"/>
        </w:rPr>
      </w:pPr>
      <w:r w:rsidRPr="007212F6">
        <w:rPr>
          <w:sz w:val="24"/>
          <w:szCs w:val="24"/>
        </w:rPr>
        <w:t xml:space="preserve">PRENZLER, T., SINCLAIR, G., (2013). ‘The Status of Women Police Officers: An International Review’. </w:t>
      </w:r>
      <w:r w:rsidRPr="007212F6">
        <w:rPr>
          <w:i/>
          <w:iCs/>
          <w:sz w:val="24"/>
          <w:szCs w:val="24"/>
        </w:rPr>
        <w:t>International Journal of Law, Crime and Justice</w:t>
      </w:r>
      <w:r w:rsidRPr="007212F6">
        <w:rPr>
          <w:sz w:val="24"/>
          <w:szCs w:val="24"/>
        </w:rPr>
        <w:t xml:space="preserve">, 41, pp.115-131. </w:t>
      </w:r>
    </w:p>
    <w:p w14:paraId="3DB867D7" w14:textId="77777777" w:rsidR="004C2EB0" w:rsidRPr="007212F6" w:rsidRDefault="004C2EB0" w:rsidP="004C2EB0">
      <w:pPr>
        <w:rPr>
          <w:sz w:val="24"/>
          <w:szCs w:val="24"/>
        </w:rPr>
      </w:pPr>
      <w:r w:rsidRPr="007212F6">
        <w:rPr>
          <w:sz w:val="24"/>
          <w:szCs w:val="24"/>
        </w:rPr>
        <w:t xml:space="preserve">REEDE, J.Y. and JENA, A.B., (2021). ‘Addressing Workforce Diversity — A Quality-Improvement Framework.’ </w:t>
      </w:r>
      <w:r w:rsidRPr="007212F6">
        <w:rPr>
          <w:i/>
          <w:iCs/>
          <w:sz w:val="24"/>
          <w:szCs w:val="24"/>
        </w:rPr>
        <w:t>The New England journal of medicine</w:t>
      </w:r>
      <w:r w:rsidRPr="007212F6">
        <w:rPr>
          <w:sz w:val="24"/>
          <w:szCs w:val="24"/>
        </w:rPr>
        <w:t xml:space="preserve">, 384(12), pp. 1083-1086. </w:t>
      </w:r>
      <w:proofErr w:type="spellStart"/>
      <w:r w:rsidRPr="007212F6">
        <w:rPr>
          <w:sz w:val="24"/>
          <w:szCs w:val="24"/>
        </w:rPr>
        <w:t>doi</w:t>
      </w:r>
      <w:proofErr w:type="spellEnd"/>
      <w:r w:rsidRPr="007212F6">
        <w:rPr>
          <w:sz w:val="24"/>
          <w:szCs w:val="24"/>
        </w:rPr>
        <w:t>: 10.1056/NEJMp2032224.</w:t>
      </w:r>
    </w:p>
    <w:p w14:paraId="66746963" w14:textId="77777777" w:rsidR="004C2EB0" w:rsidRDefault="004C2EB0" w:rsidP="004C2EB0">
      <w:pPr>
        <w:rPr>
          <w:sz w:val="24"/>
          <w:szCs w:val="24"/>
        </w:rPr>
      </w:pPr>
      <w:r w:rsidRPr="007212F6">
        <w:rPr>
          <w:sz w:val="24"/>
          <w:szCs w:val="24"/>
        </w:rPr>
        <w:t xml:space="preserve">RAWSKI, S. L., WORKMAN-STARK, A. L., (2018) ‘Masculinity </w:t>
      </w:r>
      <w:proofErr w:type="spellStart"/>
      <w:r w:rsidRPr="007212F6">
        <w:rPr>
          <w:sz w:val="24"/>
          <w:szCs w:val="24"/>
        </w:rPr>
        <w:t>Contenst</w:t>
      </w:r>
      <w:proofErr w:type="spellEnd"/>
      <w:r w:rsidRPr="007212F6">
        <w:rPr>
          <w:sz w:val="24"/>
          <w:szCs w:val="24"/>
        </w:rPr>
        <w:t xml:space="preserve"> Cultures in Policing Organizations and Recommendations for Training Interventions’. </w:t>
      </w:r>
      <w:r w:rsidRPr="007212F6">
        <w:rPr>
          <w:i/>
          <w:iCs/>
          <w:sz w:val="24"/>
          <w:szCs w:val="24"/>
        </w:rPr>
        <w:t xml:space="preserve"> Journal of Social Issues</w:t>
      </w:r>
      <w:r w:rsidRPr="007212F6">
        <w:rPr>
          <w:sz w:val="24"/>
          <w:szCs w:val="24"/>
        </w:rPr>
        <w:t>, 74(3), pp.607-627.</w:t>
      </w:r>
    </w:p>
    <w:p w14:paraId="2C8644BA" w14:textId="77777777" w:rsidR="004C2EB0" w:rsidRPr="007212F6" w:rsidRDefault="004C2EB0" w:rsidP="004C2EB0">
      <w:pPr>
        <w:rPr>
          <w:sz w:val="24"/>
          <w:szCs w:val="24"/>
        </w:rPr>
      </w:pPr>
    </w:p>
    <w:p w14:paraId="1849F391" w14:textId="55E0681C" w:rsidR="004C2EB0" w:rsidRPr="007212F6" w:rsidRDefault="004C2EB0" w:rsidP="004C2EB0">
      <w:pPr>
        <w:rPr>
          <w:sz w:val="24"/>
          <w:szCs w:val="24"/>
        </w:rPr>
      </w:pPr>
      <w:r w:rsidRPr="007212F6">
        <w:rPr>
          <w:sz w:val="24"/>
          <w:szCs w:val="24"/>
        </w:rPr>
        <w:t xml:space="preserve">Regulation of Investigatory Powers Act, (2000) </w:t>
      </w:r>
      <w:r w:rsidRPr="007212F6">
        <w:rPr>
          <w:i/>
          <w:iCs/>
          <w:sz w:val="24"/>
          <w:szCs w:val="24"/>
        </w:rPr>
        <w:t xml:space="preserve">Section 29B.Covert human intelligence sources: criminal conduct authorisations, </w:t>
      </w:r>
      <w:r w:rsidRPr="007212F6">
        <w:rPr>
          <w:sz w:val="24"/>
          <w:szCs w:val="24"/>
        </w:rPr>
        <w:t xml:space="preserve">Available at: </w:t>
      </w:r>
      <w:hyperlink r:id="rId5" w:history="1">
        <w:r w:rsidRPr="007212F6">
          <w:rPr>
            <w:rStyle w:val="Hyperlink"/>
            <w:sz w:val="24"/>
            <w:szCs w:val="24"/>
          </w:rPr>
          <w:t>https://www.legislation.gov.uk/ukpga/2000/23/contents</w:t>
        </w:r>
      </w:hyperlink>
      <w:r w:rsidRPr="007212F6">
        <w:rPr>
          <w:sz w:val="24"/>
          <w:szCs w:val="24"/>
        </w:rPr>
        <w:t xml:space="preserve"> (Accessed October 2023). </w:t>
      </w:r>
    </w:p>
    <w:p w14:paraId="6811CE53" w14:textId="77777777" w:rsidR="004C2EB0" w:rsidRPr="007212F6" w:rsidRDefault="004C2EB0" w:rsidP="004C2EB0">
      <w:pPr>
        <w:rPr>
          <w:sz w:val="24"/>
          <w:szCs w:val="24"/>
        </w:rPr>
      </w:pPr>
      <w:r w:rsidRPr="007212F6">
        <w:rPr>
          <w:sz w:val="24"/>
          <w:szCs w:val="24"/>
        </w:rPr>
        <w:t xml:space="preserve">SILVESTRI, M., (2017). ‘Police Culture and Gender: Revisiting the Cult of Masculinity’. </w:t>
      </w:r>
      <w:r w:rsidRPr="007212F6">
        <w:rPr>
          <w:i/>
          <w:iCs/>
          <w:sz w:val="24"/>
          <w:szCs w:val="24"/>
        </w:rPr>
        <w:t xml:space="preserve">Policing: A Journal of Policy and Practise, </w:t>
      </w:r>
      <w:r w:rsidRPr="007212F6">
        <w:rPr>
          <w:sz w:val="24"/>
          <w:szCs w:val="24"/>
        </w:rPr>
        <w:t xml:space="preserve">11(3), pp.289-300. </w:t>
      </w:r>
    </w:p>
    <w:p w14:paraId="0E253F64" w14:textId="77777777" w:rsidR="004C2EB0" w:rsidRPr="007212F6" w:rsidRDefault="004C2EB0" w:rsidP="004C2EB0">
      <w:pPr>
        <w:rPr>
          <w:sz w:val="24"/>
          <w:szCs w:val="24"/>
        </w:rPr>
      </w:pPr>
      <w:r w:rsidRPr="007212F6">
        <w:rPr>
          <w:sz w:val="24"/>
          <w:szCs w:val="24"/>
        </w:rPr>
        <w:t xml:space="preserve">SILVERSRI, M., TONG, </w:t>
      </w:r>
      <w:proofErr w:type="gramStart"/>
      <w:r w:rsidRPr="007212F6">
        <w:rPr>
          <w:sz w:val="24"/>
          <w:szCs w:val="24"/>
        </w:rPr>
        <w:t>S.,(</w:t>
      </w:r>
      <w:proofErr w:type="gramEnd"/>
      <w:r w:rsidRPr="007212F6">
        <w:rPr>
          <w:sz w:val="24"/>
          <w:szCs w:val="24"/>
        </w:rPr>
        <w:t xml:space="preserve">2022) ‘Women police leaders in Europe: A tale of prejudice and patronage’ </w:t>
      </w:r>
      <w:r w:rsidRPr="007212F6">
        <w:rPr>
          <w:i/>
          <w:iCs/>
          <w:sz w:val="24"/>
          <w:szCs w:val="24"/>
        </w:rPr>
        <w:t xml:space="preserve">European Journal of Criminology, </w:t>
      </w:r>
      <w:r w:rsidRPr="007212F6">
        <w:rPr>
          <w:sz w:val="24"/>
          <w:szCs w:val="24"/>
        </w:rPr>
        <w:t>19(5), pp. 871-1279</w:t>
      </w:r>
    </w:p>
    <w:p w14:paraId="2B5A817E" w14:textId="77777777" w:rsidR="004C2EB0" w:rsidRPr="007212F6" w:rsidRDefault="004C2EB0" w:rsidP="004C2EB0">
      <w:pPr>
        <w:rPr>
          <w:sz w:val="24"/>
          <w:szCs w:val="24"/>
        </w:rPr>
      </w:pPr>
      <w:r w:rsidRPr="007212F6">
        <w:rPr>
          <w:sz w:val="24"/>
          <w:szCs w:val="24"/>
        </w:rPr>
        <w:t xml:space="preserve">Scott, P, F., (2021) ‘Authorising Crime: The Covert Human Intelligence Sources (Criminal Conduct) Act 2021’, </w:t>
      </w:r>
      <w:r w:rsidRPr="007212F6">
        <w:rPr>
          <w:i/>
          <w:iCs/>
          <w:sz w:val="24"/>
          <w:szCs w:val="24"/>
        </w:rPr>
        <w:t xml:space="preserve">The Modern Law Review, </w:t>
      </w:r>
      <w:r w:rsidRPr="007212F6">
        <w:rPr>
          <w:sz w:val="24"/>
          <w:szCs w:val="24"/>
        </w:rPr>
        <w:t xml:space="preserve">85(5), pp.1218-1244. </w:t>
      </w:r>
    </w:p>
    <w:p w14:paraId="3E676F0C" w14:textId="45250C4E" w:rsidR="004C2EB0" w:rsidRPr="007212F6" w:rsidRDefault="004C2EB0" w:rsidP="004C2EB0">
      <w:pPr>
        <w:rPr>
          <w:sz w:val="24"/>
          <w:szCs w:val="24"/>
        </w:rPr>
      </w:pPr>
      <w:r w:rsidRPr="007212F6">
        <w:rPr>
          <w:sz w:val="24"/>
          <w:szCs w:val="24"/>
        </w:rPr>
        <w:t xml:space="preserve">Tudor, Sarah., (2021), </w:t>
      </w:r>
      <w:r w:rsidRPr="007212F6">
        <w:rPr>
          <w:i/>
          <w:iCs/>
          <w:sz w:val="24"/>
          <w:szCs w:val="24"/>
        </w:rPr>
        <w:t>Covert human intelligence sources: criminal conduct</w:t>
      </w:r>
      <w:r w:rsidRPr="007212F6">
        <w:rPr>
          <w:sz w:val="24"/>
          <w:szCs w:val="24"/>
        </w:rPr>
        <w:t xml:space="preserve">, Available at: https://lordslibrary.parliament.uk/covert-human-intelligence-sources-criminal-conduct/, (Accessed: October 2023). </w:t>
      </w:r>
    </w:p>
    <w:p w14:paraId="211BF155" w14:textId="77777777" w:rsidR="004C2EB0" w:rsidRPr="007212F6" w:rsidRDefault="004C2EB0" w:rsidP="004C2EB0">
      <w:pPr>
        <w:rPr>
          <w:sz w:val="24"/>
          <w:szCs w:val="24"/>
        </w:rPr>
      </w:pPr>
      <w:r w:rsidRPr="007212F6">
        <w:rPr>
          <w:sz w:val="24"/>
          <w:szCs w:val="24"/>
        </w:rPr>
        <w:t xml:space="preserve">WORKMAN-STARK, A., (2015). ’From exclusion to inclusion’. </w:t>
      </w:r>
      <w:r w:rsidRPr="007212F6">
        <w:rPr>
          <w:i/>
          <w:iCs/>
          <w:sz w:val="24"/>
          <w:szCs w:val="24"/>
        </w:rPr>
        <w:t xml:space="preserve">Equality, </w:t>
      </w:r>
      <w:proofErr w:type="gramStart"/>
      <w:r w:rsidRPr="007212F6">
        <w:rPr>
          <w:i/>
          <w:iCs/>
          <w:sz w:val="24"/>
          <w:szCs w:val="24"/>
        </w:rPr>
        <w:t>diversity</w:t>
      </w:r>
      <w:proofErr w:type="gramEnd"/>
      <w:r w:rsidRPr="007212F6">
        <w:rPr>
          <w:i/>
          <w:iCs/>
          <w:sz w:val="24"/>
          <w:szCs w:val="24"/>
        </w:rPr>
        <w:t xml:space="preserve"> and Inclusion: An international Journal.</w:t>
      </w:r>
      <w:r w:rsidRPr="007212F6">
        <w:rPr>
          <w:sz w:val="24"/>
          <w:szCs w:val="24"/>
        </w:rPr>
        <w:t xml:space="preserve"> 34(8), pp. 764-775. Doi: 10.1108/EDI-01-2015-0006</w:t>
      </w:r>
    </w:p>
    <w:p w14:paraId="34DDD81C" w14:textId="77777777" w:rsidR="004C2EB0" w:rsidRPr="007212F6" w:rsidRDefault="004C2EB0" w:rsidP="004C2EB0">
      <w:pPr>
        <w:jc w:val="both"/>
        <w:rPr>
          <w:sz w:val="24"/>
          <w:szCs w:val="24"/>
        </w:rPr>
      </w:pPr>
    </w:p>
    <w:p w14:paraId="3D7D1F55" w14:textId="77777777" w:rsidR="004C2EB0" w:rsidRPr="007212F6" w:rsidRDefault="004C2EB0" w:rsidP="004C2EB0">
      <w:pPr>
        <w:jc w:val="both"/>
        <w:rPr>
          <w:sz w:val="24"/>
          <w:szCs w:val="24"/>
        </w:rPr>
      </w:pPr>
    </w:p>
    <w:p w14:paraId="702C5955" w14:textId="77777777" w:rsidR="004C2EB0" w:rsidRPr="007212F6" w:rsidRDefault="004C2EB0" w:rsidP="004C2EB0">
      <w:pPr>
        <w:jc w:val="both"/>
        <w:rPr>
          <w:sz w:val="24"/>
          <w:szCs w:val="24"/>
        </w:rPr>
      </w:pPr>
    </w:p>
    <w:p w14:paraId="3EB98D53" w14:textId="77777777" w:rsidR="004C2EB0" w:rsidRPr="007212F6" w:rsidRDefault="004C2EB0" w:rsidP="004C2EB0">
      <w:pPr>
        <w:jc w:val="both"/>
        <w:rPr>
          <w:sz w:val="24"/>
          <w:szCs w:val="24"/>
        </w:rPr>
      </w:pPr>
    </w:p>
    <w:p w14:paraId="2BB4A38D" w14:textId="77777777" w:rsidR="004C2EB0" w:rsidRPr="007212F6" w:rsidRDefault="004C2EB0" w:rsidP="004C2EB0">
      <w:pPr>
        <w:jc w:val="both"/>
        <w:rPr>
          <w:sz w:val="24"/>
          <w:szCs w:val="24"/>
        </w:rPr>
      </w:pPr>
    </w:p>
    <w:p w14:paraId="429D48C5" w14:textId="77777777" w:rsidR="008A5198" w:rsidRDefault="008A5198" w:rsidP="008A5198"/>
    <w:p w14:paraId="14765D94" w14:textId="77777777" w:rsidR="008A5198" w:rsidRDefault="008A5198" w:rsidP="008A5198"/>
    <w:p w14:paraId="1DFFD4ED" w14:textId="77777777" w:rsidR="008A5198" w:rsidRPr="007D29E5" w:rsidRDefault="008A5198" w:rsidP="008A5198">
      <w:pPr>
        <w:jc w:val="both"/>
        <w:rPr>
          <w:sz w:val="24"/>
          <w:szCs w:val="24"/>
        </w:rPr>
      </w:pPr>
    </w:p>
    <w:p w14:paraId="015D4BD7" w14:textId="77777777" w:rsidR="008A5198" w:rsidRPr="00D50535" w:rsidRDefault="008A5198" w:rsidP="00F84198"/>
    <w:p w14:paraId="051B567E" w14:textId="77777777" w:rsidR="00F84198" w:rsidRPr="00F84198" w:rsidRDefault="00F84198">
      <w:pPr>
        <w:rPr>
          <w:b/>
          <w:bCs/>
        </w:rPr>
      </w:pPr>
    </w:p>
    <w:sectPr w:rsidR="00F84198" w:rsidRPr="00F841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198"/>
    <w:rsid w:val="00165212"/>
    <w:rsid w:val="00282241"/>
    <w:rsid w:val="004A3960"/>
    <w:rsid w:val="004C2EB0"/>
    <w:rsid w:val="007212F6"/>
    <w:rsid w:val="0077158B"/>
    <w:rsid w:val="00833ECB"/>
    <w:rsid w:val="0085185A"/>
    <w:rsid w:val="00895CC6"/>
    <w:rsid w:val="008A5198"/>
    <w:rsid w:val="00AE0674"/>
    <w:rsid w:val="00C108F4"/>
    <w:rsid w:val="00CF3378"/>
    <w:rsid w:val="00F841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49A18"/>
  <w15:chartTrackingRefBased/>
  <w15:docId w15:val="{B067E8A0-C961-47DA-BBDB-F1F246D8A4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519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legislation.gov.uk/ukpga/2000/23/contents" TargetMode="External"/><Relationship Id="rId4" Type="http://schemas.openxmlformats.org/officeDocument/2006/relationships/hyperlink" Target="https://www.legislation.gov.uk/ukpga/Vict/24-25/94/section/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15</Pages>
  <Words>4743</Words>
  <Characters>27037</Characters>
  <Application>Microsoft Office Word</Application>
  <DocSecurity>0</DocSecurity>
  <Lines>225</Lines>
  <Paragraphs>63</Paragraphs>
  <ScaleCrop>false</ScaleCrop>
  <Company/>
  <LinksUpToDate>false</LinksUpToDate>
  <CharactersWithSpaces>31717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Steer,Ashley swp8240</dc:creator>
  <cp:keywords/>
  <dc:description/>
  <cp:lastModifiedBy>Steer,Ashley swp8240</cp:lastModifiedBy>
  <cp:revision>11</cp:revision>
  <dcterms:created xsi:type="dcterms:W3CDTF">2023-11-25T18:48:00Z</dcterms:created>
  <dcterms:modified xsi:type="dcterms:W3CDTF">2023-11-25T19:29:00Z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2023-11-25T18:54:22Z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97904853-5436-45a4-bd97-806b3e6b0737</vt:lpwstr>
  </property>
  <property fmtid="{D5CDD505-2E9C-101B-9397-08002B2CF9AE}" pid="8" name="MSIP_Label_66cf8fe5-b7b7-4df7-b38d-1c61ac2f6639_ContentBits">
    <vt:lpwstr>0</vt:lpwstr>
  </property>
</Properties>
</file>