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1B0F31" w14:textId="77777777" w:rsidR="00F517E2" w:rsidRPr="00DF0C1F" w:rsidRDefault="00F517E2" w:rsidP="00F517E2">
      <w:pPr>
        <w:rPr>
          <w:rFonts w:ascii="Arial" w:hAnsi="Arial" w:cs="Arial"/>
          <w:b/>
          <w:sz w:val="22"/>
          <w:szCs w:val="22"/>
          <w:u w:val="single"/>
        </w:rPr>
      </w:pPr>
      <w:r w:rsidRPr="00DF0C1F">
        <w:rPr>
          <w:rFonts w:ascii="Arial" w:hAnsi="Arial" w:cs="Arial"/>
          <w:b/>
          <w:sz w:val="22"/>
          <w:szCs w:val="22"/>
          <w:u w:val="single"/>
        </w:rPr>
        <w:t>SECTION 1:</w:t>
      </w:r>
    </w:p>
    <w:p w14:paraId="05228819" w14:textId="77777777" w:rsidR="00F517E2" w:rsidRPr="00DF0C1F" w:rsidRDefault="00F517E2" w:rsidP="00F517E2">
      <w:pPr>
        <w:rPr>
          <w:rFonts w:ascii="Arial" w:hAnsi="Arial" w:cs="Arial"/>
          <w:b/>
          <w:sz w:val="22"/>
          <w:szCs w:val="22"/>
          <w:u w:val="single"/>
        </w:rPr>
      </w:pPr>
    </w:p>
    <w:p w14:paraId="18CBCA87" w14:textId="77777777" w:rsidR="00F517E2" w:rsidRPr="00DF0C1F" w:rsidRDefault="00F517E2" w:rsidP="00F517E2">
      <w:pPr>
        <w:rPr>
          <w:rFonts w:ascii="Arial" w:hAnsi="Arial" w:cs="Arial"/>
          <w:b/>
          <w:sz w:val="22"/>
          <w:szCs w:val="22"/>
          <w:u w:val="single"/>
        </w:rPr>
      </w:pPr>
      <w:r w:rsidRPr="00DF0C1F">
        <w:rPr>
          <w:rFonts w:ascii="Arial" w:hAnsi="Arial" w:cs="Arial"/>
          <w:b/>
          <w:sz w:val="22"/>
          <w:szCs w:val="22"/>
          <w:u w:val="single"/>
        </w:rPr>
        <w:t>Article:</w:t>
      </w:r>
    </w:p>
    <w:p w14:paraId="5D254D4C" w14:textId="77777777" w:rsidR="00F517E2" w:rsidRPr="00DF0C1F" w:rsidRDefault="00F517E2" w:rsidP="00F517E2">
      <w:pPr>
        <w:rPr>
          <w:rFonts w:ascii="Arial" w:hAnsi="Arial" w:cs="Arial"/>
          <w:b/>
          <w:color w:val="000000" w:themeColor="text1"/>
          <w:sz w:val="22"/>
          <w:szCs w:val="22"/>
          <w:u w:val="single"/>
        </w:rPr>
      </w:pPr>
    </w:p>
    <w:p w14:paraId="2AFA2D01" w14:textId="77777777" w:rsidR="00F517E2" w:rsidRPr="00DF0C1F" w:rsidRDefault="00F517E2" w:rsidP="00F517E2">
      <w:pPr>
        <w:spacing w:after="200" w:line="276" w:lineRule="auto"/>
        <w:jc w:val="both"/>
        <w:rPr>
          <w:rFonts w:ascii="Arial" w:eastAsiaTheme="minorHAnsi" w:hAnsi="Arial" w:cs="Arial"/>
          <w:sz w:val="22"/>
          <w:szCs w:val="22"/>
          <w:lang w:eastAsia="en-US"/>
        </w:rPr>
      </w:pPr>
      <w:r w:rsidRPr="00DF0C1F">
        <w:rPr>
          <w:rFonts w:ascii="Arial" w:eastAsiaTheme="minorHAnsi" w:hAnsi="Arial" w:cs="Arial"/>
          <w:sz w:val="22"/>
          <w:szCs w:val="22"/>
          <w:lang w:eastAsia="en-US"/>
        </w:rPr>
        <w:t xml:space="preserve">In </w:t>
      </w:r>
      <w:r>
        <w:rPr>
          <w:rFonts w:ascii="Arial" w:eastAsiaTheme="minorHAnsi" w:hAnsi="Arial" w:cs="Arial"/>
          <w:sz w:val="22"/>
          <w:szCs w:val="22"/>
          <w:lang w:eastAsia="en-US"/>
        </w:rPr>
        <w:t>their</w:t>
      </w:r>
      <w:r w:rsidRPr="00DF0C1F">
        <w:rPr>
          <w:rFonts w:ascii="Arial" w:eastAsiaTheme="minorHAnsi" w:hAnsi="Arial" w:cs="Arial"/>
          <w:sz w:val="22"/>
          <w:szCs w:val="22"/>
          <w:lang w:eastAsia="en-US"/>
        </w:rPr>
        <w:t xml:space="preserve"> seminal work</w:t>
      </w:r>
      <w:r>
        <w:rPr>
          <w:rFonts w:ascii="Arial" w:eastAsiaTheme="minorHAnsi" w:hAnsi="Arial" w:cs="Arial"/>
          <w:sz w:val="22"/>
          <w:szCs w:val="22"/>
          <w:lang w:eastAsia="en-US"/>
        </w:rPr>
        <w:t xml:space="preserve"> </w:t>
      </w:r>
      <w:r w:rsidRPr="00745557">
        <w:rPr>
          <w:rFonts w:ascii="Arial" w:eastAsiaTheme="minorHAnsi" w:hAnsi="Arial" w:cs="Arial"/>
          <w:i/>
          <w:iCs/>
          <w:sz w:val="22"/>
          <w:szCs w:val="22"/>
          <w:lang w:eastAsia="en-US"/>
        </w:rPr>
        <w:t>Engage for Success</w:t>
      </w:r>
      <w:r>
        <w:rPr>
          <w:rFonts w:ascii="Arial" w:eastAsiaTheme="minorHAnsi" w:hAnsi="Arial" w:cs="Arial"/>
          <w:sz w:val="22"/>
          <w:szCs w:val="22"/>
          <w:lang w:eastAsia="en-US"/>
        </w:rPr>
        <w:t>:</w:t>
      </w:r>
      <w:r w:rsidRPr="00C61C59">
        <w:rPr>
          <w:rFonts w:ascii="Arial" w:eastAsiaTheme="minorHAnsi" w:hAnsi="Arial" w:cs="Arial"/>
          <w:i/>
          <w:iCs/>
          <w:sz w:val="22"/>
          <w:szCs w:val="22"/>
          <w:lang w:eastAsia="en-US"/>
        </w:rPr>
        <w:t xml:space="preserve"> enhancing performance through employee engagement </w:t>
      </w:r>
      <w:r>
        <w:rPr>
          <w:rFonts w:ascii="Arial" w:eastAsiaTheme="minorHAnsi" w:hAnsi="Arial" w:cs="Arial"/>
          <w:sz w:val="22"/>
          <w:szCs w:val="22"/>
          <w:lang w:eastAsia="en-US"/>
        </w:rPr>
        <w:t>MacLeod and Clarke (</w:t>
      </w:r>
      <w:r w:rsidRPr="00DF0C1F">
        <w:rPr>
          <w:rFonts w:ascii="Arial" w:eastAsiaTheme="minorHAnsi" w:hAnsi="Arial" w:cs="Arial"/>
          <w:sz w:val="22"/>
          <w:szCs w:val="22"/>
          <w:lang w:eastAsia="en-US"/>
        </w:rPr>
        <w:t>2009</w:t>
      </w:r>
      <w:r>
        <w:rPr>
          <w:rFonts w:ascii="Arial" w:eastAsiaTheme="minorHAnsi" w:hAnsi="Arial" w:cs="Arial"/>
          <w:sz w:val="22"/>
          <w:szCs w:val="22"/>
          <w:lang w:eastAsia="en-US"/>
        </w:rPr>
        <w:t>)</w:t>
      </w:r>
      <w:r w:rsidRPr="00DF0C1F">
        <w:rPr>
          <w:rFonts w:ascii="Arial" w:eastAsiaTheme="minorHAnsi" w:hAnsi="Arial" w:cs="Arial"/>
          <w:sz w:val="22"/>
          <w:szCs w:val="22"/>
          <w:lang w:eastAsia="en-US"/>
        </w:rPr>
        <w:t xml:space="preserve"> </w:t>
      </w:r>
      <w:r>
        <w:rPr>
          <w:rFonts w:ascii="Arial" w:eastAsiaTheme="minorHAnsi" w:hAnsi="Arial" w:cs="Arial"/>
          <w:sz w:val="22"/>
          <w:szCs w:val="22"/>
          <w:lang w:eastAsia="en-US"/>
        </w:rPr>
        <w:t xml:space="preserve">set </w:t>
      </w:r>
      <w:r w:rsidRPr="00DF0C1F">
        <w:rPr>
          <w:rFonts w:ascii="Arial" w:eastAsiaTheme="minorHAnsi" w:hAnsi="Arial" w:cs="Arial"/>
          <w:sz w:val="22"/>
          <w:szCs w:val="22"/>
          <w:lang w:eastAsia="en-US"/>
        </w:rPr>
        <w:t xml:space="preserve">out four </w:t>
      </w:r>
      <w:proofErr w:type="gramStart"/>
      <w:r w:rsidRPr="00DF0C1F">
        <w:rPr>
          <w:rFonts w:ascii="Arial" w:eastAsiaTheme="minorHAnsi" w:hAnsi="Arial" w:cs="Arial"/>
          <w:sz w:val="22"/>
          <w:szCs w:val="22"/>
          <w:lang w:eastAsia="en-US"/>
        </w:rPr>
        <w:t>enabler’s</w:t>
      </w:r>
      <w:proofErr w:type="gramEnd"/>
      <w:r w:rsidRPr="00DF0C1F">
        <w:rPr>
          <w:rFonts w:ascii="Arial" w:eastAsiaTheme="minorHAnsi" w:hAnsi="Arial" w:cs="Arial"/>
          <w:sz w:val="22"/>
          <w:szCs w:val="22"/>
          <w:lang w:eastAsia="en-US"/>
        </w:rPr>
        <w:t xml:space="preserve"> of engagement in the workplace</w:t>
      </w:r>
      <w:r>
        <w:rPr>
          <w:rFonts w:ascii="Arial" w:eastAsiaTheme="minorHAnsi" w:hAnsi="Arial" w:cs="Arial"/>
          <w:sz w:val="22"/>
          <w:szCs w:val="22"/>
          <w:lang w:eastAsia="en-US"/>
        </w:rPr>
        <w:t>.</w:t>
      </w:r>
      <w:r w:rsidRPr="00DF0C1F">
        <w:rPr>
          <w:rFonts w:ascii="Arial" w:eastAsiaTheme="minorHAnsi" w:hAnsi="Arial" w:cs="Arial"/>
          <w:sz w:val="22"/>
          <w:szCs w:val="22"/>
          <w:lang w:eastAsia="en-US"/>
        </w:rPr>
        <w:t xml:space="preserve">  Since then there has been ample debate </w:t>
      </w:r>
      <w:r>
        <w:rPr>
          <w:rFonts w:ascii="Arial" w:eastAsiaTheme="minorHAnsi" w:hAnsi="Arial" w:cs="Arial"/>
          <w:sz w:val="22"/>
          <w:szCs w:val="22"/>
          <w:lang w:eastAsia="en-US"/>
        </w:rPr>
        <w:t>centred around the</w:t>
      </w:r>
      <w:r w:rsidRPr="00DF0C1F">
        <w:rPr>
          <w:rFonts w:ascii="Arial" w:eastAsiaTheme="minorHAnsi" w:hAnsi="Arial" w:cs="Arial"/>
          <w:sz w:val="22"/>
          <w:szCs w:val="22"/>
          <w:lang w:eastAsia="en-US"/>
        </w:rPr>
        <w:t xml:space="preserve"> concepts that are closely aligned to engagement; commitment, motivation, satisfaction, discretionary effort and so the list goes on.  Some authors even go as far as to say ‘engagement’ as a term does not exis</w:t>
      </w:r>
      <w:r>
        <w:rPr>
          <w:rFonts w:ascii="Arial" w:eastAsiaTheme="minorHAnsi" w:hAnsi="Arial" w:cs="Arial"/>
          <w:sz w:val="22"/>
          <w:szCs w:val="22"/>
          <w:lang w:eastAsia="en-US"/>
        </w:rPr>
        <w:t xml:space="preserve">t, take this extract from </w:t>
      </w:r>
      <w:bookmarkStart w:id="0" w:name="_Hlk43910112"/>
      <w:r w:rsidRPr="00C61C59">
        <w:rPr>
          <w:rFonts w:ascii="Arial" w:eastAsiaTheme="minorHAnsi" w:hAnsi="Arial" w:cs="Arial"/>
          <w:i/>
          <w:iCs/>
          <w:sz w:val="22"/>
          <w:szCs w:val="22"/>
          <w:lang w:eastAsia="en-US"/>
        </w:rPr>
        <w:t>The Future of Engagement</w:t>
      </w:r>
      <w:r>
        <w:rPr>
          <w:rFonts w:ascii="Arial" w:eastAsiaTheme="minorHAnsi" w:hAnsi="Arial" w:cs="Arial"/>
          <w:i/>
          <w:iCs/>
          <w:sz w:val="22"/>
          <w:szCs w:val="22"/>
          <w:lang w:eastAsia="en-US"/>
        </w:rPr>
        <w:t>:</w:t>
      </w:r>
      <w:r w:rsidRPr="00C61C59">
        <w:rPr>
          <w:rFonts w:ascii="Arial" w:eastAsiaTheme="minorHAnsi" w:hAnsi="Arial" w:cs="Arial"/>
          <w:i/>
          <w:iCs/>
          <w:sz w:val="22"/>
          <w:szCs w:val="22"/>
          <w:lang w:eastAsia="en-US"/>
        </w:rPr>
        <w:t xml:space="preserve"> Thought Piece Collectio</w:t>
      </w:r>
      <w:r>
        <w:rPr>
          <w:rFonts w:ascii="Arial" w:eastAsiaTheme="minorHAnsi" w:hAnsi="Arial" w:cs="Arial"/>
          <w:i/>
          <w:iCs/>
          <w:sz w:val="22"/>
          <w:szCs w:val="22"/>
          <w:lang w:eastAsia="en-US"/>
        </w:rPr>
        <w:t xml:space="preserve">n. What is employee engagement and does it </w:t>
      </w:r>
      <w:proofErr w:type="gramStart"/>
      <w:r>
        <w:rPr>
          <w:rFonts w:ascii="Arial" w:eastAsiaTheme="minorHAnsi" w:hAnsi="Arial" w:cs="Arial"/>
          <w:i/>
          <w:iCs/>
          <w:sz w:val="22"/>
          <w:szCs w:val="22"/>
          <w:lang w:eastAsia="en-US"/>
        </w:rPr>
        <w:t>matter?:</w:t>
      </w:r>
      <w:proofErr w:type="gramEnd"/>
      <w:r>
        <w:rPr>
          <w:rFonts w:ascii="Arial" w:eastAsiaTheme="minorHAnsi" w:hAnsi="Arial" w:cs="Arial"/>
          <w:i/>
          <w:iCs/>
          <w:sz w:val="22"/>
          <w:szCs w:val="22"/>
          <w:lang w:eastAsia="en-US"/>
        </w:rPr>
        <w:t xml:space="preserve"> An evidenced-based approach</w:t>
      </w:r>
      <w:bookmarkEnd w:id="0"/>
      <w:r>
        <w:rPr>
          <w:rFonts w:ascii="Arial" w:eastAsiaTheme="minorHAnsi" w:hAnsi="Arial" w:cs="Arial"/>
          <w:i/>
          <w:iCs/>
          <w:sz w:val="22"/>
          <w:szCs w:val="22"/>
          <w:lang w:eastAsia="en-US"/>
        </w:rPr>
        <w:t xml:space="preserve">. </w:t>
      </w:r>
      <w:r w:rsidRPr="00ED3030">
        <w:rPr>
          <w:rFonts w:ascii="Arial" w:eastAsiaTheme="minorHAnsi" w:hAnsi="Arial" w:cs="Arial"/>
          <w:b/>
          <w:bCs/>
          <w:sz w:val="22"/>
          <w:szCs w:val="22"/>
          <w:lang w:eastAsia="en-US"/>
        </w:rPr>
        <w:t>Briner (2014).</w:t>
      </w:r>
    </w:p>
    <w:p w14:paraId="5A9D3DA1" w14:textId="77777777" w:rsidR="00F517E2" w:rsidRPr="00C109FC" w:rsidRDefault="00F517E2" w:rsidP="00F517E2">
      <w:pPr>
        <w:autoSpaceDE w:val="0"/>
        <w:autoSpaceDN w:val="0"/>
        <w:adjustRightInd w:val="0"/>
        <w:ind w:left="720"/>
        <w:rPr>
          <w:rFonts w:ascii="Arial" w:hAnsi="Arial" w:cs="Arial"/>
          <w:i/>
          <w:iCs/>
          <w:color w:val="000000"/>
          <w:sz w:val="22"/>
          <w:szCs w:val="22"/>
        </w:rPr>
      </w:pPr>
      <w:r w:rsidRPr="00C109FC">
        <w:rPr>
          <w:rFonts w:ascii="Arial" w:hAnsi="Arial" w:cs="Arial"/>
          <w:i/>
          <w:iCs/>
          <w:color w:val="000000"/>
          <w:sz w:val="22"/>
          <w:szCs w:val="22"/>
        </w:rPr>
        <w:t xml:space="preserve">Imagine this, I approach a senior HR manager of a large organisation and ask if we can arrange a meeting to discuss a wonderful new and proven idea about how they can motivate and retain their employees. They are very </w:t>
      </w:r>
      <w:proofErr w:type="gramStart"/>
      <w:r w:rsidRPr="00C109FC">
        <w:rPr>
          <w:rFonts w:ascii="Arial" w:hAnsi="Arial" w:cs="Arial"/>
          <w:i/>
          <w:iCs/>
          <w:color w:val="000000"/>
          <w:sz w:val="22"/>
          <w:szCs w:val="22"/>
        </w:rPr>
        <w:t>busy, but</w:t>
      </w:r>
      <w:proofErr w:type="gramEnd"/>
      <w:r w:rsidRPr="00C109FC">
        <w:rPr>
          <w:rFonts w:ascii="Arial" w:hAnsi="Arial" w:cs="Arial"/>
          <w:i/>
          <w:iCs/>
          <w:color w:val="000000"/>
          <w:sz w:val="22"/>
          <w:szCs w:val="22"/>
        </w:rPr>
        <w:t xml:space="preserve"> agree. I start the meeting with a more truthful account of this idea. I tell them that in reality it has </w:t>
      </w:r>
      <w:proofErr w:type="gramStart"/>
      <w:r w:rsidRPr="00C109FC">
        <w:rPr>
          <w:rFonts w:ascii="Arial" w:hAnsi="Arial" w:cs="Arial"/>
          <w:i/>
          <w:iCs/>
          <w:color w:val="000000"/>
          <w:sz w:val="22"/>
          <w:szCs w:val="22"/>
        </w:rPr>
        <w:t>no</w:t>
      </w:r>
      <w:proofErr w:type="gramEnd"/>
      <w:r w:rsidRPr="00C109FC">
        <w:rPr>
          <w:rFonts w:ascii="Arial" w:hAnsi="Arial" w:cs="Arial"/>
          <w:i/>
          <w:iCs/>
          <w:color w:val="000000"/>
          <w:sz w:val="22"/>
          <w:szCs w:val="22"/>
        </w:rPr>
        <w:t xml:space="preserve"> agreed upon definition and that there is no evidence about whether it can be measured in a valid or reliable way. I then tell them that the idea is </w:t>
      </w:r>
      <w:proofErr w:type="gramStart"/>
      <w:r w:rsidRPr="00C109FC">
        <w:rPr>
          <w:rFonts w:ascii="Arial" w:hAnsi="Arial" w:cs="Arial"/>
          <w:i/>
          <w:iCs/>
          <w:color w:val="000000"/>
          <w:sz w:val="22"/>
          <w:szCs w:val="22"/>
        </w:rPr>
        <w:t>actually quite</w:t>
      </w:r>
      <w:proofErr w:type="gramEnd"/>
      <w:r w:rsidRPr="00C109FC">
        <w:rPr>
          <w:rFonts w:ascii="Arial" w:hAnsi="Arial" w:cs="Arial"/>
          <w:i/>
          <w:iCs/>
          <w:color w:val="000000"/>
          <w:sz w:val="22"/>
          <w:szCs w:val="22"/>
        </w:rPr>
        <w:t xml:space="preserve"> similar to if not precisely the same as a lot of other ideas that have been around for about 50 years. Finally, I let them know that there is at the present time absolutely no good quality evidence that shows that if you implement this idea it will produce the desired results – though there are plenty of people and organisations with vested interests who will happily tell you their neat anecdotes and ‘success stories’.</w:t>
      </w:r>
      <w:r w:rsidRPr="00325BAB">
        <w:rPr>
          <w:rFonts w:ascii="Arial" w:hAnsi="Arial" w:cs="Arial"/>
          <w:i/>
          <w:iCs/>
          <w:color w:val="000000"/>
          <w:sz w:val="22"/>
          <w:szCs w:val="22"/>
        </w:rPr>
        <w:t xml:space="preserve"> </w:t>
      </w:r>
      <w:r w:rsidRPr="00C109FC">
        <w:rPr>
          <w:rFonts w:ascii="Arial" w:hAnsi="Arial" w:cs="Arial"/>
          <w:i/>
          <w:iCs/>
          <w:color w:val="000000"/>
          <w:sz w:val="22"/>
          <w:szCs w:val="22"/>
        </w:rPr>
        <w:t xml:space="preserve"> Very soon that HR manager will get </w:t>
      </w:r>
      <w:proofErr w:type="gramStart"/>
      <w:r w:rsidRPr="00C109FC">
        <w:rPr>
          <w:rFonts w:ascii="Arial" w:hAnsi="Arial" w:cs="Arial"/>
          <w:i/>
          <w:iCs/>
          <w:color w:val="000000"/>
          <w:sz w:val="22"/>
          <w:szCs w:val="22"/>
        </w:rPr>
        <w:t>pretty annoyed</w:t>
      </w:r>
      <w:proofErr w:type="gramEnd"/>
      <w:r w:rsidRPr="00C109FC">
        <w:rPr>
          <w:rFonts w:ascii="Arial" w:hAnsi="Arial" w:cs="Arial"/>
          <w:i/>
          <w:iCs/>
          <w:color w:val="000000"/>
          <w:sz w:val="22"/>
          <w:szCs w:val="22"/>
        </w:rPr>
        <w:t xml:space="preserve"> with me for wasting their time on this not-so-new and pretty unhelpful idea and quite rightly show me the door. Wouldn’t you do the same? </w:t>
      </w:r>
    </w:p>
    <w:p w14:paraId="5D522127" w14:textId="77777777" w:rsidR="00F517E2" w:rsidRPr="00325BAB" w:rsidRDefault="00F517E2" w:rsidP="00F517E2">
      <w:pPr>
        <w:autoSpaceDE w:val="0"/>
        <w:autoSpaceDN w:val="0"/>
        <w:adjustRightInd w:val="0"/>
        <w:ind w:left="720"/>
        <w:rPr>
          <w:rFonts w:ascii="Arial" w:hAnsi="Arial" w:cs="Arial"/>
          <w:i/>
          <w:iCs/>
          <w:color w:val="000000"/>
          <w:sz w:val="22"/>
          <w:szCs w:val="22"/>
        </w:rPr>
      </w:pPr>
      <w:r w:rsidRPr="00C109FC">
        <w:rPr>
          <w:rFonts w:ascii="Arial" w:hAnsi="Arial" w:cs="Arial"/>
          <w:i/>
          <w:iCs/>
          <w:color w:val="000000"/>
          <w:sz w:val="22"/>
          <w:szCs w:val="22"/>
        </w:rPr>
        <w:t xml:space="preserve">The idea of employee engagement1 (henceforth just engagement) shares </w:t>
      </w:r>
      <w:proofErr w:type="gramStart"/>
      <w:r w:rsidRPr="00C109FC">
        <w:rPr>
          <w:rFonts w:ascii="Arial" w:hAnsi="Arial" w:cs="Arial"/>
          <w:i/>
          <w:iCs/>
          <w:color w:val="000000"/>
          <w:sz w:val="22"/>
          <w:szCs w:val="22"/>
        </w:rPr>
        <w:t>exactly the same</w:t>
      </w:r>
      <w:proofErr w:type="gramEnd"/>
      <w:r w:rsidRPr="00C109FC">
        <w:rPr>
          <w:rFonts w:ascii="Arial" w:hAnsi="Arial" w:cs="Arial"/>
          <w:i/>
          <w:iCs/>
          <w:color w:val="000000"/>
          <w:sz w:val="22"/>
          <w:szCs w:val="22"/>
        </w:rPr>
        <w:t xml:space="preserve"> characteristics as the idea described above. However, rather than showing engagement the door, many HR practitioners (and some HR academics) have invited it in, sat it down, given it a nice cup of tea, asked it to stay for as long as it wants and given it a prominent role. </w:t>
      </w:r>
      <w:proofErr w:type="gramStart"/>
      <w:r w:rsidRPr="00C109FC">
        <w:rPr>
          <w:rFonts w:ascii="Arial" w:hAnsi="Arial" w:cs="Arial"/>
          <w:i/>
          <w:iCs/>
          <w:color w:val="000000"/>
          <w:sz w:val="22"/>
          <w:szCs w:val="22"/>
        </w:rPr>
        <w:t>What’s</w:t>
      </w:r>
      <w:proofErr w:type="gramEnd"/>
      <w:r w:rsidRPr="00C109FC">
        <w:rPr>
          <w:rFonts w:ascii="Arial" w:hAnsi="Arial" w:cs="Arial"/>
          <w:i/>
          <w:iCs/>
          <w:color w:val="000000"/>
          <w:sz w:val="22"/>
          <w:szCs w:val="22"/>
        </w:rPr>
        <w:t xml:space="preserve"> going on? Whatever your personal views about engagement my goals here are simple: To stimulate a more balanced, deeper, more critical and more evidence-based approach to how we think about and use engagement in organisations. </w:t>
      </w:r>
    </w:p>
    <w:p w14:paraId="32CEC2F0" w14:textId="77777777" w:rsidR="00F517E2" w:rsidRPr="00C109FC" w:rsidRDefault="00F517E2" w:rsidP="00F517E2">
      <w:pPr>
        <w:autoSpaceDE w:val="0"/>
        <w:autoSpaceDN w:val="0"/>
        <w:adjustRightInd w:val="0"/>
        <w:ind w:left="720"/>
        <w:rPr>
          <w:rFonts w:ascii="Arial" w:hAnsi="Arial" w:cs="Arial"/>
          <w:i/>
          <w:iCs/>
          <w:color w:val="000000"/>
          <w:sz w:val="22"/>
          <w:szCs w:val="22"/>
        </w:rPr>
      </w:pPr>
      <w:r w:rsidRPr="00C109FC">
        <w:rPr>
          <w:rFonts w:ascii="Arial" w:hAnsi="Arial" w:cs="Arial"/>
          <w:i/>
          <w:iCs/>
          <w:color w:val="000000"/>
          <w:sz w:val="22"/>
          <w:szCs w:val="22"/>
        </w:rPr>
        <w:t>Problem 1: Defining engagement</w:t>
      </w:r>
      <w:r w:rsidRPr="00325BAB">
        <w:rPr>
          <w:rFonts w:ascii="Arial" w:hAnsi="Arial" w:cs="Arial"/>
          <w:i/>
          <w:iCs/>
          <w:color w:val="000000"/>
          <w:sz w:val="22"/>
          <w:szCs w:val="22"/>
        </w:rPr>
        <w:t>:</w:t>
      </w:r>
    </w:p>
    <w:p w14:paraId="41194EFF" w14:textId="77777777" w:rsidR="00F517E2" w:rsidRPr="00C109FC" w:rsidRDefault="00F517E2" w:rsidP="00F517E2">
      <w:pPr>
        <w:autoSpaceDE w:val="0"/>
        <w:autoSpaceDN w:val="0"/>
        <w:adjustRightInd w:val="0"/>
        <w:ind w:left="720"/>
        <w:rPr>
          <w:rFonts w:ascii="Arial" w:hAnsi="Arial" w:cs="Arial"/>
          <w:i/>
          <w:iCs/>
          <w:color w:val="000000"/>
          <w:sz w:val="22"/>
          <w:szCs w:val="22"/>
        </w:rPr>
      </w:pPr>
      <w:r w:rsidRPr="00C109FC">
        <w:rPr>
          <w:rFonts w:ascii="Arial" w:hAnsi="Arial" w:cs="Arial"/>
          <w:i/>
          <w:iCs/>
          <w:color w:val="000000"/>
          <w:sz w:val="22"/>
          <w:szCs w:val="22"/>
        </w:rPr>
        <w:t>The one thing everyone knows about engagement is that nobody agrees what it is. For example, McLeod and Clarke</w:t>
      </w:r>
      <w:r>
        <w:rPr>
          <w:rFonts w:ascii="Arial" w:hAnsi="Arial" w:cs="Arial"/>
          <w:i/>
          <w:iCs/>
          <w:color w:val="000000"/>
          <w:sz w:val="22"/>
          <w:szCs w:val="22"/>
        </w:rPr>
        <w:t xml:space="preserve"> (2009)</w:t>
      </w:r>
      <w:r w:rsidRPr="00C109FC">
        <w:rPr>
          <w:rFonts w:ascii="Arial" w:hAnsi="Arial" w:cs="Arial"/>
          <w:i/>
          <w:iCs/>
          <w:color w:val="000000"/>
          <w:sz w:val="22"/>
          <w:szCs w:val="22"/>
        </w:rPr>
        <w:t xml:space="preserve"> stated: ‘There is no one agreed definition of employee engagement – during the course of this review we have come across more than 50 </w:t>
      </w:r>
      <w:proofErr w:type="gramStart"/>
      <w:r w:rsidRPr="00C109FC">
        <w:rPr>
          <w:rFonts w:ascii="Arial" w:hAnsi="Arial" w:cs="Arial"/>
          <w:i/>
          <w:iCs/>
          <w:color w:val="000000"/>
          <w:sz w:val="22"/>
          <w:szCs w:val="22"/>
        </w:rPr>
        <w:t>definitions’</w:t>
      </w:r>
      <w:proofErr w:type="gramEnd"/>
      <w:r w:rsidRPr="00C109FC">
        <w:rPr>
          <w:rFonts w:ascii="Arial" w:hAnsi="Arial" w:cs="Arial"/>
          <w:i/>
          <w:iCs/>
          <w:color w:val="000000"/>
          <w:sz w:val="22"/>
          <w:szCs w:val="22"/>
        </w:rPr>
        <w:t xml:space="preserve">. Not only are definitions numerous but, more importantly, they are </w:t>
      </w:r>
      <w:proofErr w:type="gramStart"/>
      <w:r w:rsidRPr="00C109FC">
        <w:rPr>
          <w:rFonts w:ascii="Arial" w:hAnsi="Arial" w:cs="Arial"/>
          <w:i/>
          <w:iCs/>
          <w:color w:val="000000"/>
          <w:sz w:val="22"/>
          <w:szCs w:val="22"/>
        </w:rPr>
        <w:t>very different</w:t>
      </w:r>
      <w:proofErr w:type="gramEnd"/>
      <w:r w:rsidRPr="00C109FC">
        <w:rPr>
          <w:rFonts w:ascii="Arial" w:hAnsi="Arial" w:cs="Arial"/>
          <w:i/>
          <w:iCs/>
          <w:color w:val="000000"/>
          <w:sz w:val="22"/>
          <w:szCs w:val="22"/>
        </w:rPr>
        <w:t xml:space="preserve"> (see Robertson-Smith and Marwick, 2009). Some definitions focus on employee behaviour (</w:t>
      </w:r>
      <w:proofErr w:type="spellStart"/>
      <w:r w:rsidRPr="00C109FC">
        <w:rPr>
          <w:rFonts w:ascii="Arial" w:hAnsi="Arial" w:cs="Arial"/>
          <w:i/>
          <w:iCs/>
          <w:color w:val="000000"/>
          <w:sz w:val="22"/>
          <w:szCs w:val="22"/>
        </w:rPr>
        <w:t>eg</w:t>
      </w:r>
      <w:proofErr w:type="spellEnd"/>
      <w:r w:rsidRPr="00C109FC">
        <w:rPr>
          <w:rFonts w:ascii="Arial" w:hAnsi="Arial" w:cs="Arial"/>
          <w:i/>
          <w:iCs/>
          <w:color w:val="000000"/>
          <w:sz w:val="22"/>
          <w:szCs w:val="22"/>
        </w:rPr>
        <w:t>, discretionary effort), some on employee attitudes (</w:t>
      </w:r>
      <w:proofErr w:type="spellStart"/>
      <w:r w:rsidRPr="00C109FC">
        <w:rPr>
          <w:rFonts w:ascii="Arial" w:hAnsi="Arial" w:cs="Arial"/>
          <w:i/>
          <w:iCs/>
          <w:color w:val="000000"/>
          <w:sz w:val="22"/>
          <w:szCs w:val="22"/>
        </w:rPr>
        <w:t>eg</w:t>
      </w:r>
      <w:proofErr w:type="spellEnd"/>
      <w:r w:rsidRPr="00C109FC">
        <w:rPr>
          <w:rFonts w:ascii="Arial" w:hAnsi="Arial" w:cs="Arial"/>
          <w:i/>
          <w:iCs/>
          <w:color w:val="000000"/>
          <w:sz w:val="22"/>
          <w:szCs w:val="22"/>
        </w:rPr>
        <w:t>, commitment), some on employee feelings (</w:t>
      </w:r>
      <w:proofErr w:type="spellStart"/>
      <w:r w:rsidRPr="00C109FC">
        <w:rPr>
          <w:rFonts w:ascii="Arial" w:hAnsi="Arial" w:cs="Arial"/>
          <w:i/>
          <w:iCs/>
          <w:color w:val="000000"/>
          <w:sz w:val="22"/>
          <w:szCs w:val="22"/>
        </w:rPr>
        <w:t>eg</w:t>
      </w:r>
      <w:proofErr w:type="spellEnd"/>
      <w:r w:rsidRPr="00C109FC">
        <w:rPr>
          <w:rFonts w:ascii="Arial" w:hAnsi="Arial" w:cs="Arial"/>
          <w:i/>
          <w:iCs/>
          <w:color w:val="000000"/>
          <w:sz w:val="22"/>
          <w:szCs w:val="22"/>
        </w:rPr>
        <w:t>, enthusiasm), some on the conditions of work and what the organisation does (</w:t>
      </w:r>
      <w:proofErr w:type="spellStart"/>
      <w:r w:rsidRPr="00C109FC">
        <w:rPr>
          <w:rFonts w:ascii="Arial" w:hAnsi="Arial" w:cs="Arial"/>
          <w:i/>
          <w:iCs/>
          <w:color w:val="000000"/>
          <w:sz w:val="22"/>
          <w:szCs w:val="22"/>
        </w:rPr>
        <w:t>eg</w:t>
      </w:r>
      <w:proofErr w:type="spellEnd"/>
      <w:r w:rsidRPr="00C109FC">
        <w:rPr>
          <w:rFonts w:ascii="Arial" w:hAnsi="Arial" w:cs="Arial"/>
          <w:i/>
          <w:iCs/>
          <w:color w:val="000000"/>
          <w:sz w:val="22"/>
          <w:szCs w:val="22"/>
        </w:rPr>
        <w:t xml:space="preserve">, provides support), some on various combinations of these, and yet others define engagement as a situation in which one of these things, such as attitudes, causes another, such as behaviour. In other </w:t>
      </w:r>
      <w:proofErr w:type="gramStart"/>
      <w:r w:rsidRPr="00C109FC">
        <w:rPr>
          <w:rFonts w:ascii="Arial" w:hAnsi="Arial" w:cs="Arial"/>
          <w:i/>
          <w:iCs/>
          <w:color w:val="000000"/>
          <w:sz w:val="22"/>
          <w:szCs w:val="22"/>
        </w:rPr>
        <w:t>words, when</w:t>
      </w:r>
      <w:proofErr w:type="gramEnd"/>
      <w:r w:rsidRPr="00C109FC">
        <w:rPr>
          <w:rFonts w:ascii="Arial" w:hAnsi="Arial" w:cs="Arial"/>
          <w:i/>
          <w:iCs/>
          <w:color w:val="000000"/>
          <w:sz w:val="22"/>
          <w:szCs w:val="22"/>
        </w:rPr>
        <w:t xml:space="preserve"> it comes to defining engagement it appears that almost anything goes. </w:t>
      </w:r>
    </w:p>
    <w:p w14:paraId="02F8765D" w14:textId="77777777" w:rsidR="00F517E2" w:rsidRPr="00C109FC" w:rsidRDefault="00F517E2" w:rsidP="00F517E2">
      <w:pPr>
        <w:autoSpaceDE w:val="0"/>
        <w:autoSpaceDN w:val="0"/>
        <w:adjustRightInd w:val="0"/>
        <w:ind w:left="720"/>
        <w:rPr>
          <w:rFonts w:ascii="Arial" w:hAnsi="Arial" w:cs="Arial"/>
          <w:i/>
          <w:iCs/>
          <w:color w:val="000000"/>
          <w:sz w:val="22"/>
          <w:szCs w:val="22"/>
        </w:rPr>
      </w:pPr>
      <w:r w:rsidRPr="00C109FC">
        <w:rPr>
          <w:rFonts w:ascii="Arial" w:hAnsi="Arial" w:cs="Arial"/>
          <w:i/>
          <w:iCs/>
          <w:color w:val="000000"/>
          <w:sz w:val="22"/>
          <w:szCs w:val="22"/>
        </w:rPr>
        <w:t xml:space="preserve">From a practical (and academic) perspective the absence of agreement about what something means – and an absence of concern about that lack of agreement – is not funny or weird or cute or unfortunate or inconvenient. </w:t>
      </w:r>
      <w:proofErr w:type="gramStart"/>
      <w:r w:rsidRPr="00C109FC">
        <w:rPr>
          <w:rFonts w:ascii="Arial" w:hAnsi="Arial" w:cs="Arial"/>
          <w:i/>
          <w:iCs/>
          <w:color w:val="000000"/>
          <w:sz w:val="22"/>
          <w:szCs w:val="22"/>
        </w:rPr>
        <w:t>It’s</w:t>
      </w:r>
      <w:proofErr w:type="gramEnd"/>
      <w:r w:rsidRPr="00C109FC">
        <w:rPr>
          <w:rFonts w:ascii="Arial" w:hAnsi="Arial" w:cs="Arial"/>
          <w:i/>
          <w:iCs/>
          <w:color w:val="000000"/>
          <w:sz w:val="22"/>
          <w:szCs w:val="22"/>
        </w:rPr>
        <w:t xml:space="preserve"> a confused, confusing and chaotic mess that is almost bound to lead to messy and undesired outcomes. It means that whenever we talk about or think about or try to measure ‘engagement’ we are almost certainly saying different things, understanding different things, measuring different things and doing different things but believing quite incorrectly they are all the same. </w:t>
      </w:r>
    </w:p>
    <w:p w14:paraId="10E18C94" w14:textId="77777777" w:rsidR="00F517E2" w:rsidRPr="00325BAB" w:rsidRDefault="00F517E2" w:rsidP="00F517E2">
      <w:pPr>
        <w:autoSpaceDE w:val="0"/>
        <w:autoSpaceDN w:val="0"/>
        <w:adjustRightInd w:val="0"/>
        <w:ind w:left="720"/>
        <w:rPr>
          <w:rFonts w:ascii="Arial" w:eastAsiaTheme="minorHAnsi" w:hAnsi="Arial" w:cs="Arial"/>
          <w:i/>
          <w:iCs/>
          <w:sz w:val="22"/>
          <w:szCs w:val="22"/>
          <w:lang w:eastAsia="en-US"/>
        </w:rPr>
      </w:pPr>
      <w:r w:rsidRPr="00C109FC">
        <w:rPr>
          <w:rFonts w:ascii="Arial" w:hAnsi="Arial" w:cs="Arial"/>
          <w:i/>
          <w:iCs/>
          <w:color w:val="000000"/>
          <w:sz w:val="22"/>
          <w:szCs w:val="22"/>
        </w:rPr>
        <w:lastRenderedPageBreak/>
        <w:t>David Guest got it pretty much right when he said: ‘…the concept of employee engagement needs to be more clearly defined (…) or it needs to be abandoned’ (McLeod and Clarke, 2009). Since that time, far from increased definitional clarity this definitional chaos has continued and perhaps even worsened</w:t>
      </w:r>
      <w:r w:rsidRPr="00325BAB">
        <w:rPr>
          <w:rFonts w:ascii="Arial" w:hAnsi="Arial" w:cs="Arial"/>
          <w:i/>
          <w:iCs/>
          <w:color w:val="000000"/>
          <w:sz w:val="22"/>
          <w:szCs w:val="22"/>
        </w:rPr>
        <w:t>…</w:t>
      </w:r>
    </w:p>
    <w:p w14:paraId="37DAC57D" w14:textId="77777777" w:rsidR="00F517E2" w:rsidRPr="00DF0C1F" w:rsidRDefault="00F517E2" w:rsidP="00F517E2">
      <w:pPr>
        <w:spacing w:after="200" w:line="276" w:lineRule="auto"/>
        <w:jc w:val="both"/>
        <w:rPr>
          <w:rFonts w:ascii="Arial" w:eastAsiaTheme="minorHAnsi" w:hAnsi="Arial" w:cs="Arial"/>
          <w:sz w:val="22"/>
          <w:szCs w:val="22"/>
          <w:lang w:eastAsia="en-US"/>
        </w:rPr>
      </w:pPr>
    </w:p>
    <w:p w14:paraId="5ED70DF9" w14:textId="77777777" w:rsidR="00F517E2" w:rsidRDefault="00F517E2" w:rsidP="00F517E2">
      <w:pPr>
        <w:spacing w:after="200" w:line="276" w:lineRule="auto"/>
        <w:jc w:val="both"/>
        <w:rPr>
          <w:rFonts w:ascii="Arial" w:eastAsiaTheme="minorHAnsi" w:hAnsi="Arial" w:cs="Arial"/>
          <w:sz w:val="22"/>
          <w:szCs w:val="22"/>
          <w:lang w:eastAsia="en-US"/>
        </w:rPr>
      </w:pPr>
      <w:r>
        <w:rPr>
          <w:rFonts w:ascii="Arial" w:eastAsiaTheme="minorHAnsi" w:hAnsi="Arial" w:cs="Arial"/>
          <w:sz w:val="22"/>
          <w:szCs w:val="22"/>
          <w:lang w:eastAsia="en-US"/>
        </w:rPr>
        <w:t xml:space="preserve">More recently, the CIPD Profession Map now refers to ‘employee experience’ under specialist knowledge as opposed to ‘employee engagement’ and in </w:t>
      </w:r>
      <w:proofErr w:type="spellStart"/>
      <w:r>
        <w:rPr>
          <w:rFonts w:ascii="Arial" w:eastAsiaTheme="minorHAnsi" w:hAnsi="Arial" w:cs="Arial"/>
          <w:sz w:val="22"/>
          <w:szCs w:val="22"/>
          <w:lang w:eastAsia="en-US"/>
        </w:rPr>
        <w:t>HRZones</w:t>
      </w:r>
      <w:proofErr w:type="spellEnd"/>
      <w:r>
        <w:rPr>
          <w:rFonts w:ascii="Arial" w:eastAsiaTheme="minorHAnsi" w:hAnsi="Arial" w:cs="Arial"/>
          <w:sz w:val="22"/>
          <w:szCs w:val="22"/>
          <w:lang w:eastAsia="en-US"/>
        </w:rPr>
        <w:t xml:space="preserve">’ </w:t>
      </w:r>
      <w:r w:rsidRPr="00022B64">
        <w:rPr>
          <w:rFonts w:ascii="Arial" w:eastAsiaTheme="minorHAnsi" w:hAnsi="Arial" w:cs="Arial"/>
          <w:i/>
          <w:iCs/>
          <w:sz w:val="22"/>
          <w:szCs w:val="22"/>
          <w:lang w:eastAsia="en-US"/>
        </w:rPr>
        <w:t>HR predictions for 2020</w:t>
      </w:r>
      <w:r>
        <w:rPr>
          <w:rFonts w:ascii="Arial" w:eastAsiaTheme="minorHAnsi" w:hAnsi="Arial" w:cs="Arial"/>
          <w:sz w:val="22"/>
          <w:szCs w:val="22"/>
          <w:lang w:eastAsia="en-US"/>
        </w:rPr>
        <w:t xml:space="preserve"> Perry Timms wrote ‘e is for energy not engagement’ </w:t>
      </w:r>
      <w:r w:rsidRPr="00022B64">
        <w:rPr>
          <w:rFonts w:ascii="Arial" w:eastAsiaTheme="minorHAnsi" w:hAnsi="Arial" w:cs="Arial"/>
          <w:b/>
          <w:bCs/>
          <w:sz w:val="22"/>
          <w:szCs w:val="22"/>
          <w:lang w:eastAsia="en-US"/>
        </w:rPr>
        <w:t>Timms</w:t>
      </w:r>
      <w:r>
        <w:rPr>
          <w:rFonts w:ascii="Arial" w:eastAsiaTheme="minorHAnsi" w:hAnsi="Arial" w:cs="Arial"/>
          <w:b/>
          <w:bCs/>
          <w:sz w:val="22"/>
          <w:szCs w:val="22"/>
          <w:lang w:eastAsia="en-US"/>
        </w:rPr>
        <w:t xml:space="preserve"> (</w:t>
      </w:r>
      <w:r w:rsidRPr="00022B64">
        <w:rPr>
          <w:rFonts w:ascii="Arial" w:eastAsiaTheme="minorHAnsi" w:hAnsi="Arial" w:cs="Arial"/>
          <w:b/>
          <w:bCs/>
          <w:sz w:val="22"/>
          <w:szCs w:val="22"/>
          <w:lang w:eastAsia="en-US"/>
        </w:rPr>
        <w:t>2020</w:t>
      </w:r>
      <w:r>
        <w:rPr>
          <w:rFonts w:ascii="Arial" w:eastAsiaTheme="minorHAnsi" w:hAnsi="Arial" w:cs="Arial"/>
          <w:sz w:val="22"/>
          <w:szCs w:val="22"/>
          <w:lang w:eastAsia="en-US"/>
        </w:rPr>
        <w:t>).  Therefore, one can assume the debate under the very loose heading of ‘employee engagement’ is set to rage on a little longer. Given recent macro factors affecting the entire workforce not only across the UK but across the globe, I purport an engaged workforce is going to be a pivotal factor for any business or organisation to pull forward in the next twelve months.  Drawing on recent literature, business examples and academic viewpoints answer the following questions.</w:t>
      </w:r>
    </w:p>
    <w:p w14:paraId="1C9E23A1" w14:textId="77777777" w:rsidR="00F517E2" w:rsidRPr="00347F66" w:rsidRDefault="00F517E2" w:rsidP="00F517E2">
      <w:pPr>
        <w:spacing w:after="200" w:line="276" w:lineRule="auto"/>
        <w:rPr>
          <w:rFonts w:ascii="Arial" w:eastAsiaTheme="minorHAnsi" w:hAnsi="Arial" w:cs="Arial"/>
          <w:b/>
          <w:bCs/>
          <w:sz w:val="22"/>
          <w:szCs w:val="22"/>
          <w:u w:val="single"/>
          <w:lang w:eastAsia="en-US"/>
        </w:rPr>
      </w:pPr>
      <w:r w:rsidRPr="00347F66">
        <w:rPr>
          <w:rFonts w:ascii="Arial" w:eastAsiaTheme="minorHAnsi" w:hAnsi="Arial" w:cs="Arial"/>
          <w:b/>
          <w:bCs/>
          <w:sz w:val="22"/>
          <w:szCs w:val="22"/>
          <w:u w:val="single"/>
          <w:lang w:eastAsia="en-US"/>
        </w:rPr>
        <w:t xml:space="preserve">Reference List </w:t>
      </w:r>
    </w:p>
    <w:p w14:paraId="79C9A616" w14:textId="77777777" w:rsidR="00F517E2" w:rsidRDefault="00F517E2" w:rsidP="00F517E2">
      <w:pPr>
        <w:spacing w:line="276" w:lineRule="auto"/>
        <w:rPr>
          <w:rFonts w:ascii="Arial" w:eastAsiaTheme="minorHAnsi" w:hAnsi="Arial" w:cs="Arial"/>
          <w:sz w:val="22"/>
          <w:szCs w:val="22"/>
          <w:lang w:eastAsia="en-US"/>
        </w:rPr>
      </w:pPr>
      <w:r w:rsidRPr="009156DA">
        <w:rPr>
          <w:rFonts w:ascii="Arial" w:eastAsiaTheme="minorHAnsi" w:hAnsi="Arial" w:cs="Arial"/>
          <w:sz w:val="22"/>
          <w:szCs w:val="22"/>
          <w:lang w:eastAsia="en-US"/>
        </w:rPr>
        <w:t xml:space="preserve">Adams, L. (2017). </w:t>
      </w:r>
      <w:r w:rsidRPr="009156DA">
        <w:rPr>
          <w:rFonts w:ascii="Arial" w:eastAsiaTheme="minorHAnsi" w:hAnsi="Arial" w:cs="Arial"/>
          <w:i/>
          <w:sz w:val="22"/>
          <w:szCs w:val="22"/>
          <w:lang w:eastAsia="en-US"/>
        </w:rPr>
        <w:t xml:space="preserve">HR Disrupted </w:t>
      </w:r>
      <w:proofErr w:type="gramStart"/>
      <w:r w:rsidRPr="009156DA">
        <w:rPr>
          <w:rFonts w:ascii="Arial" w:eastAsiaTheme="minorHAnsi" w:hAnsi="Arial" w:cs="Arial"/>
          <w:i/>
          <w:sz w:val="22"/>
          <w:szCs w:val="22"/>
          <w:lang w:eastAsia="en-US"/>
        </w:rPr>
        <w:t>it’s</w:t>
      </w:r>
      <w:proofErr w:type="gramEnd"/>
      <w:r w:rsidRPr="009156DA">
        <w:rPr>
          <w:rFonts w:ascii="Arial" w:eastAsiaTheme="minorHAnsi" w:hAnsi="Arial" w:cs="Arial"/>
          <w:i/>
          <w:sz w:val="22"/>
          <w:szCs w:val="22"/>
          <w:lang w:eastAsia="en-US"/>
        </w:rPr>
        <w:t xml:space="preserve"> Time for Something Different</w:t>
      </w:r>
      <w:r w:rsidRPr="009156DA">
        <w:rPr>
          <w:rFonts w:ascii="Arial" w:eastAsiaTheme="minorHAnsi" w:hAnsi="Arial" w:cs="Arial"/>
          <w:sz w:val="22"/>
          <w:szCs w:val="22"/>
          <w:lang w:eastAsia="en-US"/>
        </w:rPr>
        <w:t>. Great Britain: Practical Inspiration Publishing.</w:t>
      </w:r>
    </w:p>
    <w:p w14:paraId="47F58896" w14:textId="77777777" w:rsidR="00F517E2" w:rsidRDefault="00F517E2" w:rsidP="00F517E2">
      <w:pPr>
        <w:spacing w:line="276" w:lineRule="auto"/>
        <w:rPr>
          <w:rFonts w:ascii="Arial" w:eastAsiaTheme="minorHAnsi" w:hAnsi="Arial" w:cs="Arial"/>
          <w:sz w:val="22"/>
          <w:szCs w:val="22"/>
          <w:lang w:eastAsia="en-US"/>
        </w:rPr>
      </w:pPr>
    </w:p>
    <w:p w14:paraId="3185C03B" w14:textId="77777777" w:rsidR="00F517E2" w:rsidRDefault="00F517E2" w:rsidP="00F517E2">
      <w:pPr>
        <w:rPr>
          <w:rFonts w:ascii="Arial" w:eastAsiaTheme="minorEastAsia" w:hAnsi="Arial" w:cs="Arial"/>
          <w:color w:val="000000" w:themeColor="text1"/>
          <w:kern w:val="24"/>
          <w:sz w:val="22"/>
          <w:szCs w:val="22"/>
        </w:rPr>
      </w:pPr>
      <w:r w:rsidRPr="009156DA">
        <w:rPr>
          <w:rFonts w:ascii="Arial" w:eastAsiaTheme="minorEastAsia" w:hAnsi="Arial" w:cs="Arial"/>
          <w:color w:val="000000" w:themeColor="text1"/>
          <w:kern w:val="24"/>
          <w:sz w:val="22"/>
          <w:szCs w:val="22"/>
        </w:rPr>
        <w:t xml:space="preserve">Bock, L. (2016) </w:t>
      </w:r>
      <w:r w:rsidRPr="009156DA">
        <w:rPr>
          <w:rFonts w:ascii="Arial" w:eastAsiaTheme="minorEastAsia" w:hAnsi="Arial" w:cs="Arial"/>
          <w:i/>
          <w:iCs/>
          <w:color w:val="000000" w:themeColor="text1"/>
          <w:kern w:val="24"/>
          <w:sz w:val="22"/>
          <w:szCs w:val="22"/>
        </w:rPr>
        <w:t xml:space="preserve">Work Rules! Insights from inside Google that will transform how you live and lead. </w:t>
      </w:r>
      <w:r w:rsidRPr="009156DA">
        <w:rPr>
          <w:rFonts w:ascii="Arial" w:eastAsiaTheme="minorEastAsia" w:hAnsi="Arial" w:cs="Arial"/>
          <w:color w:val="000000" w:themeColor="text1"/>
          <w:kern w:val="24"/>
          <w:sz w:val="22"/>
          <w:szCs w:val="22"/>
        </w:rPr>
        <w:t>London: John Murray</w:t>
      </w:r>
      <w:r>
        <w:rPr>
          <w:rFonts w:ascii="Arial" w:eastAsiaTheme="minorEastAsia" w:hAnsi="Arial" w:cs="Arial"/>
          <w:color w:val="000000" w:themeColor="text1"/>
          <w:kern w:val="24"/>
          <w:sz w:val="22"/>
          <w:szCs w:val="22"/>
        </w:rPr>
        <w:t>.</w:t>
      </w:r>
    </w:p>
    <w:p w14:paraId="732C53D3" w14:textId="77777777" w:rsidR="00F517E2" w:rsidRPr="009156DA" w:rsidRDefault="00F517E2" w:rsidP="00F517E2">
      <w:pPr>
        <w:rPr>
          <w:rFonts w:ascii="Arial" w:hAnsi="Arial" w:cs="Arial"/>
          <w:sz w:val="22"/>
          <w:szCs w:val="22"/>
        </w:rPr>
      </w:pPr>
    </w:p>
    <w:p w14:paraId="0698AEEE" w14:textId="77777777" w:rsidR="00F517E2" w:rsidRDefault="00F517E2" w:rsidP="00F517E2">
      <w:pPr>
        <w:spacing w:line="276" w:lineRule="auto"/>
        <w:rPr>
          <w:rFonts w:ascii="Arial" w:eastAsiaTheme="minorHAnsi" w:hAnsi="Arial" w:cs="Arial"/>
          <w:sz w:val="22"/>
          <w:szCs w:val="22"/>
          <w:lang w:eastAsia="en-US"/>
        </w:rPr>
      </w:pPr>
      <w:r>
        <w:rPr>
          <w:rFonts w:ascii="Arial" w:eastAsia="Calibri" w:hAnsi="Arial" w:cs="Arial"/>
          <w:sz w:val="22"/>
          <w:szCs w:val="22"/>
          <w:lang w:val="en-US" w:eastAsia="en-US"/>
        </w:rPr>
        <w:t xml:space="preserve">Briner, R. (2014) </w:t>
      </w:r>
      <w:r w:rsidRPr="00C61C59">
        <w:rPr>
          <w:rFonts w:ascii="Arial" w:eastAsiaTheme="minorHAnsi" w:hAnsi="Arial" w:cs="Arial"/>
          <w:i/>
          <w:iCs/>
          <w:sz w:val="22"/>
          <w:szCs w:val="22"/>
          <w:lang w:eastAsia="en-US"/>
        </w:rPr>
        <w:t>The Future of Engagement</w:t>
      </w:r>
      <w:r>
        <w:rPr>
          <w:rFonts w:ascii="Arial" w:eastAsiaTheme="minorHAnsi" w:hAnsi="Arial" w:cs="Arial"/>
          <w:i/>
          <w:iCs/>
          <w:sz w:val="22"/>
          <w:szCs w:val="22"/>
          <w:lang w:eastAsia="en-US"/>
        </w:rPr>
        <w:t>:</w:t>
      </w:r>
      <w:r w:rsidRPr="00C61C59">
        <w:rPr>
          <w:rFonts w:ascii="Arial" w:eastAsiaTheme="minorHAnsi" w:hAnsi="Arial" w:cs="Arial"/>
          <w:i/>
          <w:iCs/>
          <w:sz w:val="22"/>
          <w:szCs w:val="22"/>
          <w:lang w:eastAsia="en-US"/>
        </w:rPr>
        <w:t xml:space="preserve"> Thought Piece Collectio</w:t>
      </w:r>
      <w:r>
        <w:rPr>
          <w:rFonts w:ascii="Arial" w:eastAsiaTheme="minorHAnsi" w:hAnsi="Arial" w:cs="Arial"/>
          <w:i/>
          <w:iCs/>
          <w:sz w:val="22"/>
          <w:szCs w:val="22"/>
          <w:lang w:eastAsia="en-US"/>
        </w:rPr>
        <w:t xml:space="preserve">n. What is employee engagement and does it </w:t>
      </w:r>
      <w:proofErr w:type="gramStart"/>
      <w:r>
        <w:rPr>
          <w:rFonts w:ascii="Arial" w:eastAsiaTheme="minorHAnsi" w:hAnsi="Arial" w:cs="Arial"/>
          <w:i/>
          <w:iCs/>
          <w:sz w:val="22"/>
          <w:szCs w:val="22"/>
          <w:lang w:eastAsia="en-US"/>
        </w:rPr>
        <w:t>matter?:</w:t>
      </w:r>
      <w:proofErr w:type="gramEnd"/>
      <w:r>
        <w:rPr>
          <w:rFonts w:ascii="Arial" w:eastAsiaTheme="minorHAnsi" w:hAnsi="Arial" w:cs="Arial"/>
          <w:i/>
          <w:iCs/>
          <w:sz w:val="22"/>
          <w:szCs w:val="22"/>
          <w:lang w:eastAsia="en-US"/>
        </w:rPr>
        <w:t xml:space="preserve"> An evidenced-based approach. </w:t>
      </w:r>
      <w:r>
        <w:rPr>
          <w:rFonts w:ascii="Arial" w:eastAsiaTheme="minorHAnsi" w:hAnsi="Arial" w:cs="Arial"/>
          <w:sz w:val="22"/>
          <w:szCs w:val="22"/>
          <w:lang w:eastAsia="en-US"/>
        </w:rPr>
        <w:t xml:space="preserve">Brighton: Institute for Employment Studies. </w:t>
      </w:r>
    </w:p>
    <w:p w14:paraId="2A7B9BE1" w14:textId="77777777" w:rsidR="00F517E2" w:rsidRDefault="00F517E2" w:rsidP="00F517E2">
      <w:pPr>
        <w:spacing w:line="276" w:lineRule="auto"/>
        <w:rPr>
          <w:rFonts w:ascii="Arial" w:eastAsiaTheme="minorHAnsi" w:hAnsi="Arial" w:cs="Arial"/>
          <w:sz w:val="22"/>
          <w:szCs w:val="22"/>
          <w:lang w:eastAsia="en-US"/>
        </w:rPr>
      </w:pPr>
    </w:p>
    <w:p w14:paraId="6317E226" w14:textId="77777777" w:rsidR="00F517E2" w:rsidRDefault="00F517E2" w:rsidP="00F517E2">
      <w:pPr>
        <w:spacing w:line="276" w:lineRule="auto"/>
        <w:rPr>
          <w:rFonts w:ascii="Arial" w:hAnsi="Arial" w:cs="Arial"/>
          <w:sz w:val="22"/>
          <w:szCs w:val="22"/>
        </w:rPr>
      </w:pPr>
      <w:r w:rsidRPr="00087F40">
        <w:rPr>
          <w:rFonts w:ascii="Arial" w:eastAsiaTheme="minorHAnsi" w:hAnsi="Arial" w:cs="Arial"/>
          <w:sz w:val="22"/>
          <w:szCs w:val="22"/>
          <w:lang w:eastAsia="en-US"/>
        </w:rPr>
        <w:t xml:space="preserve">CIPD. (2020) CIPD Festival or Work 2020. Available at: </w:t>
      </w:r>
      <w:hyperlink r:id="rId4" w:history="1">
        <w:r w:rsidRPr="00087F40">
          <w:rPr>
            <w:rFonts w:ascii="Arial" w:hAnsi="Arial" w:cs="Arial"/>
            <w:color w:val="0000FF"/>
            <w:sz w:val="22"/>
            <w:szCs w:val="22"/>
            <w:u w:val="single"/>
          </w:rPr>
          <w:t>https://virtual.festivalofwork.com/en/hall</w:t>
        </w:r>
      </w:hyperlink>
      <w:r w:rsidRPr="00087F40">
        <w:rPr>
          <w:rFonts w:ascii="Arial" w:hAnsi="Arial" w:cs="Arial"/>
          <w:sz w:val="22"/>
          <w:szCs w:val="22"/>
        </w:rPr>
        <w:t xml:space="preserve"> Accessed: 24/06/2020</w:t>
      </w:r>
    </w:p>
    <w:p w14:paraId="264BBCB9" w14:textId="77777777" w:rsidR="00F517E2" w:rsidRDefault="00F517E2" w:rsidP="00F517E2">
      <w:pPr>
        <w:spacing w:line="276" w:lineRule="auto"/>
        <w:rPr>
          <w:rFonts w:ascii="Arial" w:hAnsi="Arial" w:cs="Arial"/>
          <w:sz w:val="22"/>
          <w:szCs w:val="22"/>
        </w:rPr>
      </w:pPr>
    </w:p>
    <w:p w14:paraId="4293D4C8" w14:textId="77777777" w:rsidR="00F517E2" w:rsidRDefault="00F517E2" w:rsidP="00F517E2">
      <w:pPr>
        <w:spacing w:line="276" w:lineRule="auto"/>
        <w:rPr>
          <w:rFonts w:ascii="Arial" w:hAnsi="Arial" w:cs="Arial"/>
          <w:sz w:val="22"/>
          <w:szCs w:val="22"/>
        </w:rPr>
      </w:pPr>
      <w:r>
        <w:rPr>
          <w:rFonts w:ascii="Arial" w:hAnsi="Arial" w:cs="Arial"/>
          <w:sz w:val="22"/>
          <w:szCs w:val="22"/>
        </w:rPr>
        <w:t xml:space="preserve">Deloitte. (2020)   </w:t>
      </w:r>
      <w:r w:rsidRPr="001361A4">
        <w:rPr>
          <w:rFonts w:ascii="Arial" w:hAnsi="Arial" w:cs="Arial"/>
          <w:i/>
          <w:iCs/>
          <w:sz w:val="22"/>
          <w:szCs w:val="22"/>
        </w:rPr>
        <w:t>Leading the Social Enterprise:  Reinvent with a Human Focus</w:t>
      </w:r>
      <w:r>
        <w:rPr>
          <w:rFonts w:ascii="Arial" w:hAnsi="Arial" w:cs="Arial"/>
          <w:sz w:val="22"/>
          <w:szCs w:val="22"/>
        </w:rPr>
        <w:t>. Global Human Capital Trends Report.  U.S: Deloitte.</w:t>
      </w:r>
    </w:p>
    <w:p w14:paraId="3C56D2C0" w14:textId="77777777" w:rsidR="00F517E2" w:rsidRDefault="00F517E2" w:rsidP="00F517E2">
      <w:pPr>
        <w:spacing w:line="276" w:lineRule="auto"/>
        <w:rPr>
          <w:rFonts w:ascii="Arial" w:hAnsi="Arial" w:cs="Arial"/>
          <w:sz w:val="22"/>
          <w:szCs w:val="22"/>
        </w:rPr>
      </w:pPr>
    </w:p>
    <w:p w14:paraId="69DFDE46" w14:textId="77777777" w:rsidR="00F517E2" w:rsidRDefault="00F517E2" w:rsidP="00F517E2">
      <w:pPr>
        <w:spacing w:line="276" w:lineRule="auto"/>
        <w:rPr>
          <w:rFonts w:ascii="Arial" w:eastAsiaTheme="minorHAnsi" w:hAnsi="Arial" w:cs="Arial"/>
          <w:sz w:val="22"/>
          <w:szCs w:val="22"/>
          <w:lang w:eastAsia="en-US"/>
        </w:rPr>
      </w:pPr>
      <w:proofErr w:type="spellStart"/>
      <w:r w:rsidRPr="00C26F4C">
        <w:rPr>
          <w:rFonts w:ascii="Arial" w:eastAsiaTheme="minorHAnsi" w:hAnsi="Arial" w:cs="Arial"/>
          <w:sz w:val="22"/>
          <w:szCs w:val="22"/>
          <w:lang w:eastAsia="en-US"/>
        </w:rPr>
        <w:t>Eades</w:t>
      </w:r>
      <w:proofErr w:type="spellEnd"/>
      <w:r w:rsidRPr="00C26F4C">
        <w:rPr>
          <w:rFonts w:ascii="Arial" w:eastAsiaTheme="minorHAnsi" w:hAnsi="Arial" w:cs="Arial"/>
          <w:sz w:val="22"/>
          <w:szCs w:val="22"/>
          <w:lang w:eastAsia="en-US"/>
        </w:rPr>
        <w:t xml:space="preserve">, J (2019) </w:t>
      </w:r>
      <w:r w:rsidRPr="009156DA">
        <w:rPr>
          <w:rFonts w:ascii="Arial" w:eastAsiaTheme="minorHAnsi" w:hAnsi="Arial" w:cs="Arial"/>
          <w:i/>
          <w:iCs/>
          <w:sz w:val="22"/>
          <w:szCs w:val="22"/>
          <w:lang w:eastAsia="en-US"/>
        </w:rPr>
        <w:t>Building the Best 8 Proven Leadership Principals to Elevate Others to Success</w:t>
      </w:r>
      <w:r w:rsidRPr="00C26F4C">
        <w:rPr>
          <w:rFonts w:ascii="Arial" w:eastAsiaTheme="minorHAnsi" w:hAnsi="Arial" w:cs="Arial"/>
          <w:sz w:val="22"/>
          <w:szCs w:val="22"/>
          <w:lang w:eastAsia="en-US"/>
        </w:rPr>
        <w:t>. U.S: McGraw Hill.</w:t>
      </w:r>
    </w:p>
    <w:p w14:paraId="4C5F0B0E" w14:textId="77777777" w:rsidR="00F517E2" w:rsidRDefault="00F517E2" w:rsidP="00F517E2">
      <w:pPr>
        <w:spacing w:line="276" w:lineRule="auto"/>
        <w:rPr>
          <w:rFonts w:ascii="Arial" w:eastAsiaTheme="minorHAnsi" w:hAnsi="Arial" w:cs="Arial"/>
          <w:sz w:val="22"/>
          <w:szCs w:val="22"/>
          <w:lang w:eastAsia="en-US"/>
        </w:rPr>
      </w:pPr>
    </w:p>
    <w:p w14:paraId="7537F9F0" w14:textId="77777777" w:rsidR="00F517E2" w:rsidRDefault="00F517E2" w:rsidP="00F517E2">
      <w:pPr>
        <w:spacing w:line="276" w:lineRule="auto"/>
        <w:rPr>
          <w:rFonts w:ascii="Arial" w:eastAsia="Calibri" w:hAnsi="Arial" w:cs="Arial"/>
          <w:sz w:val="22"/>
          <w:szCs w:val="22"/>
          <w:lang w:val="en-US" w:eastAsia="en-US"/>
        </w:rPr>
      </w:pPr>
      <w:r w:rsidRPr="00C26F4C">
        <w:rPr>
          <w:rFonts w:ascii="Arial" w:eastAsia="Calibri" w:hAnsi="Arial" w:cs="Arial"/>
          <w:sz w:val="22"/>
          <w:szCs w:val="22"/>
          <w:lang w:val="en-US" w:eastAsia="en-US"/>
        </w:rPr>
        <w:t xml:space="preserve">Mullins, </w:t>
      </w:r>
      <w:proofErr w:type="gramStart"/>
      <w:r w:rsidRPr="00C26F4C">
        <w:rPr>
          <w:rFonts w:ascii="Arial" w:eastAsia="Calibri" w:hAnsi="Arial" w:cs="Arial"/>
          <w:sz w:val="22"/>
          <w:szCs w:val="22"/>
          <w:lang w:val="en-US" w:eastAsia="en-US"/>
        </w:rPr>
        <w:t>L,J.</w:t>
      </w:r>
      <w:proofErr w:type="gramEnd"/>
      <w:r w:rsidRPr="00C26F4C">
        <w:rPr>
          <w:rFonts w:ascii="Arial" w:eastAsia="Calibri" w:hAnsi="Arial" w:cs="Arial"/>
          <w:sz w:val="22"/>
          <w:szCs w:val="22"/>
          <w:lang w:val="en-US" w:eastAsia="en-US"/>
        </w:rPr>
        <w:t>(2019</w:t>
      </w:r>
      <w:r w:rsidRPr="00C26F4C">
        <w:rPr>
          <w:rFonts w:ascii="Arial" w:eastAsia="Calibri" w:hAnsi="Arial" w:cs="Arial"/>
          <w:i/>
          <w:sz w:val="22"/>
          <w:szCs w:val="22"/>
          <w:lang w:val="en-US" w:eastAsia="en-US"/>
        </w:rPr>
        <w:t xml:space="preserve">) </w:t>
      </w:r>
      <w:proofErr w:type="spellStart"/>
      <w:r w:rsidRPr="00C26F4C">
        <w:rPr>
          <w:rFonts w:ascii="Arial" w:eastAsia="Calibri" w:hAnsi="Arial" w:cs="Arial"/>
          <w:i/>
          <w:sz w:val="22"/>
          <w:szCs w:val="22"/>
          <w:lang w:val="en-US" w:eastAsia="en-US"/>
        </w:rPr>
        <w:t>Organisational</w:t>
      </w:r>
      <w:proofErr w:type="spellEnd"/>
      <w:r w:rsidRPr="00C26F4C">
        <w:rPr>
          <w:rFonts w:ascii="Arial" w:eastAsia="Calibri" w:hAnsi="Arial" w:cs="Arial"/>
          <w:i/>
          <w:sz w:val="22"/>
          <w:szCs w:val="22"/>
          <w:lang w:val="en-US" w:eastAsia="en-US"/>
        </w:rPr>
        <w:t xml:space="preserve"> </w:t>
      </w:r>
      <w:proofErr w:type="spellStart"/>
      <w:r w:rsidRPr="00C26F4C">
        <w:rPr>
          <w:rFonts w:ascii="Arial" w:eastAsia="Calibri" w:hAnsi="Arial" w:cs="Arial"/>
          <w:i/>
          <w:sz w:val="22"/>
          <w:szCs w:val="22"/>
          <w:lang w:val="en-US" w:eastAsia="en-US"/>
        </w:rPr>
        <w:t>Behaviour</w:t>
      </w:r>
      <w:proofErr w:type="spellEnd"/>
      <w:r w:rsidRPr="00C26F4C">
        <w:rPr>
          <w:rFonts w:ascii="Arial" w:eastAsia="Calibri" w:hAnsi="Arial" w:cs="Arial"/>
          <w:i/>
          <w:sz w:val="22"/>
          <w:szCs w:val="22"/>
          <w:lang w:val="en-US" w:eastAsia="en-US"/>
        </w:rPr>
        <w:t xml:space="preserve"> in the Workplace </w:t>
      </w:r>
      <w:r w:rsidRPr="00C26F4C">
        <w:rPr>
          <w:rFonts w:ascii="Arial" w:eastAsia="Calibri" w:hAnsi="Arial" w:cs="Arial"/>
          <w:sz w:val="22"/>
          <w:szCs w:val="22"/>
          <w:lang w:val="en-US" w:eastAsia="en-US"/>
        </w:rPr>
        <w:t>12</w:t>
      </w:r>
      <w:r w:rsidRPr="00C26F4C">
        <w:rPr>
          <w:rFonts w:ascii="Arial" w:eastAsia="Calibri" w:hAnsi="Arial" w:cs="Arial"/>
          <w:sz w:val="22"/>
          <w:szCs w:val="22"/>
          <w:vertAlign w:val="superscript"/>
          <w:lang w:val="en-US" w:eastAsia="en-US"/>
        </w:rPr>
        <w:t>th</w:t>
      </w:r>
      <w:r w:rsidRPr="00C26F4C">
        <w:rPr>
          <w:rFonts w:ascii="Arial" w:eastAsia="Calibri" w:hAnsi="Arial" w:cs="Arial"/>
          <w:sz w:val="22"/>
          <w:szCs w:val="22"/>
          <w:lang w:val="en-US" w:eastAsia="en-US"/>
        </w:rPr>
        <w:t xml:space="preserve"> ed. New York: Pearson.</w:t>
      </w:r>
    </w:p>
    <w:p w14:paraId="7F7C74EE" w14:textId="77777777" w:rsidR="00F517E2" w:rsidRPr="00C26F4C" w:rsidRDefault="00F517E2" w:rsidP="00F517E2">
      <w:pPr>
        <w:spacing w:line="276" w:lineRule="auto"/>
        <w:rPr>
          <w:rFonts w:ascii="Arial" w:eastAsiaTheme="minorHAnsi" w:hAnsi="Arial" w:cs="Arial"/>
          <w:sz w:val="22"/>
          <w:szCs w:val="22"/>
          <w:lang w:eastAsia="en-US"/>
        </w:rPr>
      </w:pPr>
    </w:p>
    <w:p w14:paraId="649EBB54" w14:textId="77777777" w:rsidR="00F517E2" w:rsidRDefault="00F517E2" w:rsidP="00F517E2">
      <w:pPr>
        <w:spacing w:line="276" w:lineRule="auto"/>
        <w:rPr>
          <w:rFonts w:ascii="Arial" w:hAnsi="Arial" w:cs="Arial"/>
          <w:sz w:val="22"/>
          <w:szCs w:val="22"/>
        </w:rPr>
      </w:pPr>
      <w:r w:rsidRPr="00C26F4C">
        <w:rPr>
          <w:rFonts w:ascii="Arial" w:hAnsi="Arial" w:cs="Arial"/>
          <w:sz w:val="22"/>
          <w:szCs w:val="22"/>
        </w:rPr>
        <w:t xml:space="preserve">Office for National Statistics (2020) </w:t>
      </w:r>
      <w:r w:rsidRPr="00BE7923">
        <w:rPr>
          <w:rFonts w:ascii="Arial" w:hAnsi="Arial" w:cs="Arial"/>
          <w:i/>
          <w:iCs/>
          <w:sz w:val="22"/>
          <w:szCs w:val="22"/>
        </w:rPr>
        <w:t>Technology Intensity and Homeworking in the UK</w:t>
      </w:r>
      <w:r w:rsidRPr="00C26F4C">
        <w:rPr>
          <w:rFonts w:ascii="Arial" w:hAnsi="Arial" w:cs="Arial"/>
          <w:sz w:val="22"/>
          <w:szCs w:val="22"/>
        </w:rPr>
        <w:t xml:space="preserve">.  Available at: </w:t>
      </w:r>
      <w:hyperlink r:id="rId5" w:history="1">
        <w:r w:rsidRPr="007A435C">
          <w:rPr>
            <w:rStyle w:val="Hyperlink"/>
            <w:rFonts w:ascii="Arial" w:hAnsi="Arial" w:cs="Arial"/>
            <w:sz w:val="22"/>
            <w:szCs w:val="22"/>
          </w:rPr>
          <w:t xml:space="preserve">https://www.ons.gov.uk/employmentandlabourmarket/peopleinwork/employmentandemployeetypes/articles/technologyintensityandhomeworkingintheuk/2020-05-01 </w:t>
        </w:r>
      </w:hyperlink>
      <w:r>
        <w:rPr>
          <w:rFonts w:ascii="Arial" w:hAnsi="Arial" w:cs="Arial"/>
          <w:sz w:val="22"/>
          <w:szCs w:val="22"/>
        </w:rPr>
        <w:t xml:space="preserve">Accessed: </w:t>
      </w:r>
      <w:r w:rsidRPr="00C26F4C">
        <w:rPr>
          <w:rFonts w:ascii="Arial" w:hAnsi="Arial" w:cs="Arial"/>
          <w:sz w:val="22"/>
          <w:szCs w:val="22"/>
        </w:rPr>
        <w:t>06/2020</w:t>
      </w:r>
    </w:p>
    <w:p w14:paraId="388582DF" w14:textId="77777777" w:rsidR="00F517E2" w:rsidRDefault="00F517E2" w:rsidP="00F517E2">
      <w:pPr>
        <w:spacing w:line="276" w:lineRule="auto"/>
        <w:rPr>
          <w:rFonts w:ascii="Arial" w:hAnsi="Arial" w:cs="Arial"/>
          <w:sz w:val="22"/>
          <w:szCs w:val="22"/>
        </w:rPr>
      </w:pPr>
    </w:p>
    <w:p w14:paraId="74FA7A6D" w14:textId="77777777" w:rsidR="00F517E2" w:rsidRDefault="00F517E2" w:rsidP="00F517E2">
      <w:pPr>
        <w:spacing w:line="276" w:lineRule="auto"/>
        <w:rPr>
          <w:rFonts w:ascii="Arial" w:eastAsiaTheme="minorHAnsi" w:hAnsi="Arial" w:cs="Arial"/>
          <w:sz w:val="22"/>
          <w:szCs w:val="22"/>
          <w:lang w:eastAsia="en-US"/>
        </w:rPr>
      </w:pPr>
      <w:r w:rsidRPr="00BE7923">
        <w:rPr>
          <w:rFonts w:ascii="Arial" w:eastAsiaTheme="minorHAnsi" w:hAnsi="Arial" w:cs="Arial"/>
          <w:sz w:val="22"/>
          <w:szCs w:val="22"/>
          <w:lang w:eastAsia="en-US"/>
        </w:rPr>
        <w:t>Timms</w:t>
      </w:r>
      <w:r>
        <w:rPr>
          <w:rFonts w:ascii="Arial" w:eastAsiaTheme="minorHAnsi" w:hAnsi="Arial" w:cs="Arial"/>
          <w:sz w:val="22"/>
          <w:szCs w:val="22"/>
          <w:lang w:eastAsia="en-US"/>
        </w:rPr>
        <w:t>, P</w:t>
      </w:r>
      <w:r w:rsidRPr="00BE7923">
        <w:rPr>
          <w:rFonts w:ascii="Arial" w:eastAsiaTheme="minorHAnsi" w:hAnsi="Arial" w:cs="Arial"/>
          <w:sz w:val="22"/>
          <w:szCs w:val="22"/>
          <w:lang w:eastAsia="en-US"/>
        </w:rPr>
        <w:t xml:space="preserve">. (2020) </w:t>
      </w:r>
      <w:r w:rsidRPr="00BE7923">
        <w:rPr>
          <w:rFonts w:ascii="Arial" w:eastAsiaTheme="minorHAnsi" w:hAnsi="Arial" w:cs="Arial"/>
          <w:i/>
          <w:iCs/>
          <w:sz w:val="22"/>
          <w:szCs w:val="22"/>
          <w:lang w:eastAsia="en-US"/>
        </w:rPr>
        <w:t>HR Zone 2020 HR Trends Report</w:t>
      </w:r>
      <w:r w:rsidRPr="00BE7923">
        <w:rPr>
          <w:rFonts w:ascii="Arial" w:eastAsiaTheme="minorHAnsi" w:hAnsi="Arial" w:cs="Arial"/>
          <w:sz w:val="22"/>
          <w:szCs w:val="22"/>
          <w:lang w:eastAsia="en-US"/>
        </w:rPr>
        <w:t>. pp.5-7</w:t>
      </w:r>
      <w:r>
        <w:rPr>
          <w:rFonts w:ascii="Arial" w:eastAsiaTheme="minorHAnsi" w:hAnsi="Arial" w:cs="Arial"/>
          <w:sz w:val="22"/>
          <w:szCs w:val="22"/>
          <w:lang w:eastAsia="en-US"/>
        </w:rPr>
        <w:t>. UK: Achievers.</w:t>
      </w:r>
    </w:p>
    <w:p w14:paraId="4837AA7F" w14:textId="77777777" w:rsidR="00F517E2" w:rsidRDefault="00F517E2" w:rsidP="00F517E2">
      <w:pPr>
        <w:spacing w:line="276" w:lineRule="auto"/>
        <w:rPr>
          <w:rFonts w:ascii="Arial" w:eastAsiaTheme="minorHAnsi" w:hAnsi="Arial" w:cs="Arial"/>
          <w:sz w:val="22"/>
          <w:szCs w:val="22"/>
          <w:lang w:eastAsia="en-US"/>
        </w:rPr>
      </w:pPr>
    </w:p>
    <w:p w14:paraId="1A94B091" w14:textId="77777777" w:rsidR="00F517E2" w:rsidRDefault="00F517E2" w:rsidP="00F517E2">
      <w:pPr>
        <w:spacing w:line="276" w:lineRule="auto"/>
        <w:rPr>
          <w:rFonts w:ascii="Arial" w:eastAsia="Calibri" w:hAnsi="Arial" w:cs="Arial"/>
          <w:sz w:val="22"/>
          <w:szCs w:val="22"/>
          <w:lang w:val="en-US" w:eastAsia="en-US"/>
        </w:rPr>
      </w:pPr>
      <w:r w:rsidRPr="00C26F4C">
        <w:rPr>
          <w:rFonts w:ascii="Arial" w:eastAsia="Calibri" w:hAnsi="Arial" w:cs="Arial"/>
          <w:sz w:val="22"/>
          <w:szCs w:val="22"/>
          <w:lang w:val="en-US" w:eastAsia="en-US"/>
        </w:rPr>
        <w:t>Rees, G</w:t>
      </w:r>
      <w:r>
        <w:rPr>
          <w:rFonts w:ascii="Arial" w:eastAsia="Calibri" w:hAnsi="Arial" w:cs="Arial"/>
          <w:sz w:val="22"/>
          <w:szCs w:val="22"/>
          <w:lang w:val="en-US" w:eastAsia="en-US"/>
        </w:rPr>
        <w:t xml:space="preserve">, </w:t>
      </w:r>
      <w:r w:rsidRPr="00C26F4C">
        <w:rPr>
          <w:rFonts w:ascii="Arial" w:eastAsia="Calibri" w:hAnsi="Arial" w:cs="Arial"/>
          <w:sz w:val="22"/>
          <w:szCs w:val="22"/>
          <w:lang w:val="en-US" w:eastAsia="en-US"/>
        </w:rPr>
        <w:t>French, R. (5</w:t>
      </w:r>
      <w:r w:rsidRPr="00C26F4C">
        <w:rPr>
          <w:rFonts w:ascii="Arial" w:eastAsia="Calibri" w:hAnsi="Arial" w:cs="Arial"/>
          <w:sz w:val="22"/>
          <w:szCs w:val="22"/>
          <w:vertAlign w:val="superscript"/>
          <w:lang w:val="en-US" w:eastAsia="en-US"/>
        </w:rPr>
        <w:t>th</w:t>
      </w:r>
      <w:r w:rsidRPr="00C26F4C">
        <w:rPr>
          <w:rFonts w:ascii="Arial" w:eastAsia="Calibri" w:hAnsi="Arial" w:cs="Arial"/>
          <w:sz w:val="22"/>
          <w:szCs w:val="22"/>
          <w:lang w:val="en-US" w:eastAsia="en-US"/>
        </w:rPr>
        <w:t xml:space="preserve"> eds). (2016) </w:t>
      </w:r>
      <w:r w:rsidRPr="00C26F4C">
        <w:rPr>
          <w:rFonts w:ascii="Arial" w:eastAsia="Calibri" w:hAnsi="Arial" w:cs="Arial"/>
          <w:i/>
          <w:iCs/>
          <w:sz w:val="22"/>
          <w:szCs w:val="22"/>
          <w:lang w:val="en-US" w:eastAsia="en-US"/>
        </w:rPr>
        <w:t xml:space="preserve">Leading, </w:t>
      </w:r>
      <w:proofErr w:type="gramStart"/>
      <w:r w:rsidRPr="00C26F4C">
        <w:rPr>
          <w:rFonts w:ascii="Arial" w:eastAsia="Calibri" w:hAnsi="Arial" w:cs="Arial"/>
          <w:i/>
          <w:iCs/>
          <w:sz w:val="22"/>
          <w:szCs w:val="22"/>
          <w:lang w:val="en-US" w:eastAsia="en-US"/>
        </w:rPr>
        <w:t>managing</w:t>
      </w:r>
      <w:proofErr w:type="gramEnd"/>
      <w:r w:rsidRPr="00C26F4C">
        <w:rPr>
          <w:rFonts w:ascii="Arial" w:eastAsia="Calibri" w:hAnsi="Arial" w:cs="Arial"/>
          <w:i/>
          <w:iCs/>
          <w:sz w:val="22"/>
          <w:szCs w:val="22"/>
          <w:lang w:val="en-US" w:eastAsia="en-US"/>
        </w:rPr>
        <w:t xml:space="preserve"> and developing people</w:t>
      </w:r>
      <w:r w:rsidRPr="00C26F4C">
        <w:rPr>
          <w:rFonts w:ascii="Arial" w:eastAsia="Calibri" w:hAnsi="Arial" w:cs="Arial"/>
          <w:sz w:val="22"/>
          <w:szCs w:val="22"/>
          <w:lang w:val="en-US" w:eastAsia="en-US"/>
        </w:rPr>
        <w:t>. London: Chartered Institute of Personnel and Development.</w:t>
      </w:r>
    </w:p>
    <w:p w14:paraId="554669C4" w14:textId="77777777" w:rsidR="00F517E2" w:rsidRDefault="00F517E2" w:rsidP="00F517E2">
      <w:pPr>
        <w:spacing w:line="276" w:lineRule="auto"/>
        <w:rPr>
          <w:rFonts w:ascii="Arial" w:eastAsia="Calibri" w:hAnsi="Arial" w:cs="Arial"/>
          <w:sz w:val="22"/>
          <w:szCs w:val="22"/>
          <w:lang w:val="en-US" w:eastAsia="en-US"/>
        </w:rPr>
      </w:pPr>
    </w:p>
    <w:p w14:paraId="23916A0C" w14:textId="1F5C890B" w:rsidR="00F517E2" w:rsidRDefault="00F517E2">
      <w:pPr>
        <w:contextualSpacing/>
      </w:pPr>
      <w:r w:rsidRPr="009156DA">
        <w:rPr>
          <w:rFonts w:ascii="Arial" w:eastAsia="Calibri" w:hAnsi="Arial" w:cs="Arial"/>
          <w:sz w:val="22"/>
          <w:szCs w:val="22"/>
          <w:lang w:val="en-US" w:eastAsia="en-US"/>
        </w:rPr>
        <w:t xml:space="preserve">Ulrich, D. Younger, J. Brockbank, W. Ulrich, M. (2012) </w:t>
      </w:r>
      <w:r w:rsidRPr="009156DA">
        <w:rPr>
          <w:rFonts w:ascii="Arial" w:eastAsia="Calibri" w:hAnsi="Arial" w:cs="Arial"/>
          <w:i/>
          <w:iCs/>
          <w:sz w:val="22"/>
          <w:szCs w:val="22"/>
          <w:lang w:val="en-US" w:eastAsia="en-US"/>
        </w:rPr>
        <w:t xml:space="preserve">HR from the Outside </w:t>
      </w:r>
      <w:proofErr w:type="gramStart"/>
      <w:r w:rsidRPr="009156DA">
        <w:rPr>
          <w:rFonts w:ascii="Arial" w:eastAsia="Calibri" w:hAnsi="Arial" w:cs="Arial"/>
          <w:i/>
          <w:iCs/>
          <w:sz w:val="22"/>
          <w:szCs w:val="22"/>
          <w:lang w:val="en-US" w:eastAsia="en-US"/>
        </w:rPr>
        <w:t>In</w:t>
      </w:r>
      <w:proofErr w:type="gramEnd"/>
      <w:r w:rsidRPr="009156DA">
        <w:rPr>
          <w:rFonts w:ascii="Arial" w:eastAsia="Calibri" w:hAnsi="Arial" w:cs="Arial"/>
          <w:i/>
          <w:iCs/>
          <w:sz w:val="22"/>
          <w:szCs w:val="22"/>
          <w:lang w:val="en-US" w:eastAsia="en-US"/>
        </w:rPr>
        <w:t xml:space="preserve"> Six Competencies for the Future of Human Resources</w:t>
      </w:r>
      <w:r w:rsidRPr="009156DA">
        <w:rPr>
          <w:rFonts w:ascii="Arial" w:eastAsia="Calibri" w:hAnsi="Arial" w:cs="Arial"/>
          <w:sz w:val="22"/>
          <w:szCs w:val="22"/>
          <w:lang w:val="en-US" w:eastAsia="en-US"/>
        </w:rPr>
        <w:t>. U.S: McGraw-Hill.</w:t>
      </w:r>
    </w:p>
    <w:sectPr w:rsidR="00F517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7E2"/>
    <w:rsid w:val="00A55AC2"/>
    <w:rsid w:val="00F517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E63DA"/>
  <w15:chartTrackingRefBased/>
  <w15:docId w15:val="{09044086-78B2-4947-9A0C-B57C14EBD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17E2"/>
    <w:pPr>
      <w:spacing w:after="0" w:line="240" w:lineRule="auto"/>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ear">
    <w:name w:val="Year"/>
    <w:basedOn w:val="Normal"/>
    <w:next w:val="Exam"/>
    <w:rsid w:val="00F517E2"/>
    <w:pPr>
      <w:spacing w:after="240"/>
    </w:pPr>
    <w:rPr>
      <w:b/>
      <w:caps/>
      <w:sz w:val="28"/>
    </w:rPr>
  </w:style>
  <w:style w:type="paragraph" w:customStyle="1" w:styleId="Exam">
    <w:name w:val="Exam"/>
    <w:basedOn w:val="Normal"/>
    <w:next w:val="Month"/>
    <w:rsid w:val="00F517E2"/>
    <w:rPr>
      <w:b/>
      <w:caps/>
    </w:rPr>
  </w:style>
  <w:style w:type="paragraph" w:customStyle="1" w:styleId="Modcode">
    <w:name w:val="Modcode"/>
    <w:basedOn w:val="Normal"/>
    <w:rsid w:val="00F517E2"/>
    <w:pPr>
      <w:jc w:val="center"/>
    </w:pPr>
    <w:rPr>
      <w:b/>
      <w:caps/>
      <w:sz w:val="28"/>
    </w:rPr>
  </w:style>
  <w:style w:type="paragraph" w:customStyle="1" w:styleId="Time">
    <w:name w:val="Time"/>
    <w:basedOn w:val="Normal"/>
    <w:next w:val="Normal"/>
    <w:rsid w:val="00F517E2"/>
    <w:pPr>
      <w:spacing w:after="240"/>
    </w:pPr>
    <w:rPr>
      <w:b/>
      <w:caps/>
      <w:sz w:val="28"/>
    </w:rPr>
  </w:style>
  <w:style w:type="paragraph" w:customStyle="1" w:styleId="Trinity">
    <w:name w:val="Trinity"/>
    <w:basedOn w:val="Normal"/>
    <w:next w:val="Year"/>
    <w:rsid w:val="00F517E2"/>
    <w:pPr>
      <w:spacing w:after="240"/>
    </w:pPr>
    <w:rPr>
      <w:b/>
    </w:rPr>
  </w:style>
  <w:style w:type="paragraph" w:customStyle="1" w:styleId="Month">
    <w:name w:val="Month"/>
    <w:basedOn w:val="Normal"/>
    <w:next w:val="Modcode"/>
    <w:rsid w:val="00F517E2"/>
    <w:pPr>
      <w:spacing w:after="240"/>
    </w:pPr>
    <w:rPr>
      <w:b/>
      <w:caps/>
    </w:rPr>
  </w:style>
  <w:style w:type="table" w:styleId="TableGrid">
    <w:name w:val="Table Grid"/>
    <w:basedOn w:val="TableNormal"/>
    <w:uiPriority w:val="59"/>
    <w:rsid w:val="00F517E2"/>
    <w:pPr>
      <w:spacing w:after="0" w:line="240" w:lineRule="auto"/>
    </w:pPr>
    <w:rPr>
      <w:rFonts w:ascii="Times New Roman" w:eastAsia="Times New Roman" w:hAnsi="Times New Roman"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Hyperlink">
    <w:name w:val="Hyperlink"/>
    <w:basedOn w:val="DefaultParagraphFont"/>
    <w:uiPriority w:val="99"/>
    <w:unhideWhenUsed/>
    <w:rsid w:val="00F517E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ons.gov.uk/employmentandlabourmarket/peopleinwork/employmentandemployeetypes/articles/technologyintensityandhomeworkingintheuk/2020-05-01%20" TargetMode="External"/><Relationship Id="rId4" Type="http://schemas.openxmlformats.org/officeDocument/2006/relationships/hyperlink" Target="https://virtual.festivalofwork.com/en/ha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Pages>
  <Words>992</Words>
  <Characters>5657</Characters>
  <Application>Microsoft Office Word</Application>
  <DocSecurity>0</DocSecurity>
  <Lines>47</Lines>
  <Paragraphs>13</Paragraphs>
  <ScaleCrop>false</ScaleCrop>
  <Company/>
  <LinksUpToDate>false</LinksUpToDate>
  <CharactersWithSpaces>6636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2020-07-21T09:12:00Z</dcterms:created>
  <dcterms:modified xsi:type="dcterms:W3CDTF">2020-07-21T09:18:00Z</dcterms:modified>
</cp:coreProperties>
</file>