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29CA6" w14:textId="77777777" w:rsidR="005E21F8" w:rsidRDefault="00354B3A">
      <w:pPr>
        <w:spacing w:after="211" w:line="259" w:lineRule="auto"/>
        <w:ind w:left="0" w:right="5024" w:firstLine="0"/>
        <w:jc w:val="center"/>
      </w:pPr>
      <w:r>
        <w:rPr>
          <w:noProof/>
        </w:rPr>
        <w:drawing>
          <wp:inline distT="0" distB="0" distL="0" distR="0" wp14:anchorId="5D9CBD74" wp14:editId="611CE92D">
            <wp:extent cx="2503805" cy="716229"/>
            <wp:effectExtent l="0" t="0" r="0" b="0"/>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7"/>
                    <a:stretch>
                      <a:fillRect/>
                    </a:stretch>
                  </pic:blipFill>
                  <pic:spPr>
                    <a:xfrm>
                      <a:off x="0" y="0"/>
                      <a:ext cx="2503805" cy="716229"/>
                    </a:xfrm>
                    <a:prstGeom prst="rect">
                      <a:avLst/>
                    </a:prstGeom>
                  </pic:spPr>
                </pic:pic>
              </a:graphicData>
            </a:graphic>
          </wp:inline>
        </w:drawing>
      </w:r>
      <w:r>
        <w:t xml:space="preserve"> </w:t>
      </w:r>
    </w:p>
    <w:p w14:paraId="1A806D1D" w14:textId="77777777" w:rsidR="005E21F8" w:rsidRDefault="00354B3A">
      <w:pPr>
        <w:spacing w:after="362" w:line="259" w:lineRule="auto"/>
        <w:ind w:left="60" w:firstLine="0"/>
        <w:jc w:val="center"/>
      </w:pPr>
      <w:r>
        <w:t xml:space="preserve"> </w:t>
      </w:r>
    </w:p>
    <w:p w14:paraId="4BE6BF16" w14:textId="77777777" w:rsidR="005E21F8" w:rsidRDefault="00354B3A">
      <w:pPr>
        <w:spacing w:after="251" w:line="259" w:lineRule="auto"/>
        <w:ind w:left="0" w:right="1" w:firstLine="0"/>
        <w:jc w:val="center"/>
      </w:pPr>
      <w:r>
        <w:rPr>
          <w:b/>
          <w:sz w:val="36"/>
        </w:rPr>
        <w:t xml:space="preserve">Ethnicity and Health Inequalities </w:t>
      </w:r>
    </w:p>
    <w:p w14:paraId="6E3D88C1" w14:textId="77777777" w:rsidR="005E21F8" w:rsidRDefault="00354B3A">
      <w:pPr>
        <w:spacing w:after="326" w:line="259" w:lineRule="auto"/>
        <w:ind w:left="0" w:firstLine="0"/>
      </w:pPr>
      <w:r>
        <w:t xml:space="preserve"> </w:t>
      </w:r>
    </w:p>
    <w:p w14:paraId="49B4452E" w14:textId="77777777" w:rsidR="005E21F8" w:rsidRDefault="00354B3A">
      <w:pPr>
        <w:spacing w:after="339" w:line="259" w:lineRule="auto"/>
        <w:ind w:left="-5"/>
      </w:pPr>
      <w:r>
        <w:rPr>
          <w:b/>
          <w:sz w:val="32"/>
        </w:rPr>
        <w:t>Name:</w:t>
      </w:r>
      <w:r>
        <w:rPr>
          <w:sz w:val="32"/>
        </w:rPr>
        <w:t xml:space="preserve"> Nzediegwu Ikechukwu </w:t>
      </w:r>
      <w:r>
        <w:rPr>
          <w:sz w:val="32"/>
        </w:rPr>
        <w:t xml:space="preserve"> </w:t>
      </w:r>
    </w:p>
    <w:p w14:paraId="23CED34C" w14:textId="77777777" w:rsidR="005E21F8" w:rsidRDefault="00354B3A">
      <w:pPr>
        <w:spacing w:after="339" w:line="259" w:lineRule="auto"/>
        <w:ind w:left="-5"/>
      </w:pPr>
      <w:r>
        <w:rPr>
          <w:b/>
          <w:sz w:val="32"/>
        </w:rPr>
        <w:t>Student ID:</w:t>
      </w:r>
      <w:r>
        <w:rPr>
          <w:sz w:val="32"/>
        </w:rPr>
        <w:t xml:space="preserve"> 2226941</w:t>
      </w:r>
      <w:r>
        <w:rPr>
          <w:sz w:val="32"/>
        </w:rPr>
        <w:t xml:space="preserve"> </w:t>
      </w:r>
    </w:p>
    <w:p w14:paraId="508CDF6D" w14:textId="77777777" w:rsidR="005E21F8" w:rsidRDefault="00354B3A">
      <w:pPr>
        <w:spacing w:after="339" w:line="259" w:lineRule="auto"/>
        <w:ind w:left="-5"/>
      </w:pPr>
      <w:r>
        <w:rPr>
          <w:b/>
          <w:sz w:val="32"/>
        </w:rPr>
        <w:t>Institution:</w:t>
      </w:r>
      <w:r>
        <w:rPr>
          <w:sz w:val="32"/>
        </w:rPr>
        <w:t xml:space="preserve"> University of Wales, Trinity Saint David </w:t>
      </w:r>
      <w:r>
        <w:rPr>
          <w:sz w:val="32"/>
        </w:rPr>
        <w:t xml:space="preserve"> </w:t>
      </w:r>
    </w:p>
    <w:p w14:paraId="47644A1D" w14:textId="77777777" w:rsidR="005E21F8" w:rsidRDefault="00354B3A">
      <w:pPr>
        <w:spacing w:after="339" w:line="259" w:lineRule="auto"/>
        <w:ind w:left="-5"/>
      </w:pPr>
      <w:r>
        <w:rPr>
          <w:b/>
          <w:sz w:val="32"/>
        </w:rPr>
        <w:t>Programme:</w:t>
      </w:r>
      <w:r>
        <w:rPr>
          <w:sz w:val="32"/>
        </w:rPr>
        <w:t xml:space="preserve"> MSc public health and social care in practice </w:t>
      </w:r>
      <w:r>
        <w:rPr>
          <w:sz w:val="32"/>
        </w:rPr>
        <w:t xml:space="preserve"> </w:t>
      </w:r>
    </w:p>
    <w:p w14:paraId="6D7C1B7D" w14:textId="77777777" w:rsidR="005E21F8" w:rsidRDefault="00354B3A">
      <w:pPr>
        <w:spacing w:after="339" w:line="259" w:lineRule="auto"/>
        <w:ind w:left="-5"/>
      </w:pPr>
      <w:r>
        <w:rPr>
          <w:b/>
          <w:sz w:val="32"/>
        </w:rPr>
        <w:t>Module:</w:t>
      </w:r>
      <w:r>
        <w:rPr>
          <w:sz w:val="32"/>
        </w:rPr>
        <w:t xml:space="preserve"> </w:t>
      </w:r>
      <w:r>
        <w:rPr>
          <w:sz w:val="32"/>
        </w:rPr>
        <w:t xml:space="preserve">Social Epidemiology and public health development </w:t>
      </w:r>
      <w:r>
        <w:rPr>
          <w:sz w:val="32"/>
        </w:rPr>
        <w:t xml:space="preserve"> </w:t>
      </w:r>
    </w:p>
    <w:p w14:paraId="4D378C43" w14:textId="77777777" w:rsidR="005E21F8" w:rsidRDefault="00354B3A">
      <w:pPr>
        <w:spacing w:after="339" w:line="259" w:lineRule="auto"/>
        <w:ind w:left="-5"/>
      </w:pPr>
      <w:r>
        <w:rPr>
          <w:b/>
          <w:sz w:val="32"/>
        </w:rPr>
        <w:t>Module Code:</w:t>
      </w:r>
      <w:r>
        <w:rPr>
          <w:sz w:val="32"/>
        </w:rPr>
        <w:t xml:space="preserve"> LCHS7000</w:t>
      </w:r>
      <w:r>
        <w:rPr>
          <w:sz w:val="32"/>
        </w:rPr>
        <w:t xml:space="preserve"> </w:t>
      </w:r>
    </w:p>
    <w:p w14:paraId="670CB7EF" w14:textId="77777777" w:rsidR="005E21F8" w:rsidRDefault="00354B3A">
      <w:pPr>
        <w:spacing w:after="339" w:line="259" w:lineRule="auto"/>
        <w:ind w:left="-5"/>
      </w:pPr>
      <w:r>
        <w:rPr>
          <w:b/>
          <w:sz w:val="32"/>
        </w:rPr>
        <w:t>Assignment Title:</w:t>
      </w:r>
      <w:r>
        <w:rPr>
          <w:sz w:val="32"/>
        </w:rPr>
        <w:t xml:space="preserve"> Component 2 Analytical Report </w:t>
      </w:r>
      <w:r>
        <w:rPr>
          <w:sz w:val="32"/>
        </w:rPr>
        <w:t xml:space="preserve"> </w:t>
      </w:r>
    </w:p>
    <w:p w14:paraId="6DF9449B" w14:textId="77777777" w:rsidR="005E21F8" w:rsidRDefault="00354B3A">
      <w:pPr>
        <w:spacing w:after="339" w:line="259" w:lineRule="auto"/>
        <w:ind w:left="-5"/>
      </w:pPr>
      <w:r>
        <w:rPr>
          <w:b/>
          <w:sz w:val="32"/>
        </w:rPr>
        <w:t>Lecturer:</w:t>
      </w:r>
      <w:r>
        <w:rPr>
          <w:sz w:val="32"/>
        </w:rPr>
        <w:t xml:space="preserve"> Muhammed A </w:t>
      </w:r>
      <w:r>
        <w:rPr>
          <w:sz w:val="32"/>
        </w:rPr>
        <w:t xml:space="preserve"> </w:t>
      </w:r>
    </w:p>
    <w:p w14:paraId="0EC9E705" w14:textId="77777777" w:rsidR="005E21F8" w:rsidRDefault="00354B3A">
      <w:pPr>
        <w:spacing w:after="244" w:line="259" w:lineRule="auto"/>
        <w:ind w:left="-5"/>
        <w:rPr>
          <w:sz w:val="32"/>
        </w:rPr>
      </w:pPr>
      <w:r>
        <w:rPr>
          <w:b/>
          <w:sz w:val="32"/>
        </w:rPr>
        <w:t>Date:</w:t>
      </w:r>
      <w:r>
        <w:rPr>
          <w:sz w:val="32"/>
        </w:rPr>
        <w:t xml:space="preserve"> 3OTH APRIL 2026</w:t>
      </w:r>
      <w:r>
        <w:rPr>
          <w:sz w:val="32"/>
        </w:rPr>
        <w:t xml:space="preserve"> </w:t>
      </w:r>
    </w:p>
    <w:p w14:paraId="6E675D5F" w14:textId="77777777" w:rsidR="00183836" w:rsidRDefault="00183836">
      <w:pPr>
        <w:spacing w:after="244" w:line="259" w:lineRule="auto"/>
        <w:ind w:left="-5"/>
      </w:pPr>
    </w:p>
    <w:p w14:paraId="60C32F6E" w14:textId="77777777" w:rsidR="00183836" w:rsidRDefault="00183836">
      <w:pPr>
        <w:spacing w:after="244" w:line="259" w:lineRule="auto"/>
        <w:ind w:left="-5"/>
      </w:pPr>
    </w:p>
    <w:p w14:paraId="7607D3C0" w14:textId="77777777" w:rsidR="00183836" w:rsidRDefault="00183836">
      <w:pPr>
        <w:spacing w:after="244" w:line="259" w:lineRule="auto"/>
        <w:ind w:left="-5"/>
      </w:pPr>
    </w:p>
    <w:p w14:paraId="0B0F0F42" w14:textId="77777777" w:rsidR="00183836" w:rsidRDefault="00183836">
      <w:pPr>
        <w:spacing w:after="244" w:line="259" w:lineRule="auto"/>
        <w:ind w:left="-5"/>
      </w:pPr>
    </w:p>
    <w:p w14:paraId="4AFBF1CE" w14:textId="77777777" w:rsidR="00183836" w:rsidRDefault="00183836">
      <w:pPr>
        <w:spacing w:after="244" w:line="259" w:lineRule="auto"/>
        <w:ind w:left="-5"/>
      </w:pPr>
    </w:p>
    <w:p w14:paraId="251EC627" w14:textId="77777777" w:rsidR="00183836" w:rsidRDefault="00183836">
      <w:pPr>
        <w:spacing w:after="244" w:line="259" w:lineRule="auto"/>
        <w:ind w:left="-5"/>
      </w:pPr>
    </w:p>
    <w:p w14:paraId="72B07644" w14:textId="77777777" w:rsidR="005E21F8" w:rsidRDefault="00354B3A">
      <w:pPr>
        <w:spacing w:after="249" w:line="259" w:lineRule="auto"/>
        <w:ind w:left="0" w:firstLine="0"/>
      </w:pPr>
      <w:r>
        <w:t xml:space="preserve"> </w:t>
      </w:r>
    </w:p>
    <w:p w14:paraId="76B60B88" w14:textId="77777777" w:rsidR="005E21F8" w:rsidRDefault="00354B3A">
      <w:pPr>
        <w:spacing w:after="0" w:line="259" w:lineRule="auto"/>
        <w:ind w:left="0" w:firstLine="0"/>
      </w:pPr>
      <w:r>
        <w:t xml:space="preserve"> </w:t>
      </w:r>
      <w:r>
        <w:tab/>
        <w:t xml:space="preserve"> </w:t>
      </w:r>
    </w:p>
    <w:sdt>
      <w:sdtPr>
        <w:id w:val="1500688647"/>
        <w:docPartObj>
          <w:docPartGallery w:val="Table of Contents"/>
        </w:docPartObj>
      </w:sdtPr>
      <w:sdtEndPr/>
      <w:sdtContent>
        <w:p w14:paraId="40E551EC" w14:textId="77777777" w:rsidR="005E21F8" w:rsidRDefault="00354B3A">
          <w:pPr>
            <w:spacing w:after="105" w:line="259" w:lineRule="auto"/>
            <w:ind w:left="0" w:firstLine="0"/>
          </w:pPr>
          <w:r>
            <w:rPr>
              <w:b/>
            </w:rPr>
            <w:t xml:space="preserve">Table of Contents </w:t>
          </w:r>
        </w:p>
        <w:p w14:paraId="3884ABC4" w14:textId="77777777" w:rsidR="005E21F8" w:rsidRDefault="00354B3A">
          <w:pPr>
            <w:pStyle w:val="TOC1"/>
            <w:tabs>
              <w:tab w:val="right" w:leader="dot" w:pos="9027"/>
            </w:tabs>
          </w:pPr>
          <w:r>
            <w:fldChar w:fldCharType="begin"/>
          </w:r>
          <w:r>
            <w:instrText xml:space="preserve"> TOC \o "1-3" \h \z \u </w:instrText>
          </w:r>
          <w:r>
            <w:fldChar w:fldCharType="separate"/>
          </w:r>
          <w:hyperlink w:anchor="_Toc14100">
            <w:r>
              <w:t>Task 1: Social Epidemiological Analysis</w:t>
            </w:r>
            <w:r>
              <w:tab/>
            </w:r>
            <w:r>
              <w:fldChar w:fldCharType="begin"/>
            </w:r>
            <w:r>
              <w:instrText>PAGEREF _Toc14100 \h</w:instrText>
            </w:r>
            <w:r>
              <w:fldChar w:fldCharType="separate"/>
            </w:r>
            <w:r>
              <w:t xml:space="preserve">3 </w:t>
            </w:r>
            <w:r>
              <w:fldChar w:fldCharType="end"/>
            </w:r>
          </w:hyperlink>
        </w:p>
        <w:p w14:paraId="54BE60A8" w14:textId="77777777" w:rsidR="005E21F8" w:rsidRDefault="00354B3A">
          <w:pPr>
            <w:pStyle w:val="TOC2"/>
            <w:tabs>
              <w:tab w:val="right" w:leader="dot" w:pos="9027"/>
            </w:tabs>
          </w:pPr>
          <w:hyperlink w:anchor="_Toc14101">
            <w:r>
              <w:t>Contextual Background and Underlying Factors</w:t>
            </w:r>
            <w:r>
              <w:tab/>
            </w:r>
            <w:r>
              <w:fldChar w:fldCharType="begin"/>
            </w:r>
            <w:r>
              <w:instrText>PAGEREF _Toc14101 \h</w:instrText>
            </w:r>
            <w:r>
              <w:fldChar w:fldCharType="separate"/>
            </w:r>
            <w:r>
              <w:t xml:space="preserve">3 </w:t>
            </w:r>
            <w:r>
              <w:fldChar w:fldCharType="end"/>
            </w:r>
          </w:hyperlink>
        </w:p>
        <w:p w14:paraId="268F00CC" w14:textId="77777777" w:rsidR="005E21F8" w:rsidRDefault="00354B3A">
          <w:pPr>
            <w:pStyle w:val="TOC3"/>
            <w:tabs>
              <w:tab w:val="right" w:leader="dot" w:pos="9027"/>
            </w:tabs>
          </w:pPr>
          <w:hyperlink w:anchor="_Toc14102">
            <w:r>
              <w:t>Disease/Illness Rates</w:t>
            </w:r>
            <w:r>
              <w:tab/>
            </w:r>
            <w:r>
              <w:fldChar w:fldCharType="begin"/>
            </w:r>
            <w:r>
              <w:instrText>PAGEREF _Toc14102 \h</w:instrText>
            </w:r>
            <w:r>
              <w:fldChar w:fldCharType="separate"/>
            </w:r>
            <w:r>
              <w:t xml:space="preserve">3 </w:t>
            </w:r>
            <w:r>
              <w:fldChar w:fldCharType="end"/>
            </w:r>
          </w:hyperlink>
        </w:p>
        <w:p w14:paraId="571E5DF0" w14:textId="77777777" w:rsidR="005E21F8" w:rsidRDefault="00354B3A">
          <w:pPr>
            <w:pStyle w:val="TOC3"/>
            <w:tabs>
              <w:tab w:val="right" w:leader="dot" w:pos="9027"/>
            </w:tabs>
          </w:pPr>
          <w:hyperlink w:anchor="_Toc14103">
            <w:r>
              <w:t>Social Issues</w:t>
            </w:r>
            <w:r>
              <w:tab/>
            </w:r>
            <w:r>
              <w:fldChar w:fldCharType="begin"/>
            </w:r>
            <w:r>
              <w:instrText>PAGEREF _Toc14103 \h</w:instrText>
            </w:r>
            <w:r>
              <w:fldChar w:fldCharType="separate"/>
            </w:r>
            <w:r>
              <w:t xml:space="preserve">4 </w:t>
            </w:r>
            <w:r>
              <w:fldChar w:fldCharType="end"/>
            </w:r>
          </w:hyperlink>
        </w:p>
        <w:p w14:paraId="43069322" w14:textId="77777777" w:rsidR="005E21F8" w:rsidRDefault="00354B3A">
          <w:pPr>
            <w:pStyle w:val="TOC3"/>
            <w:tabs>
              <w:tab w:val="right" w:leader="dot" w:pos="9027"/>
            </w:tabs>
          </w:pPr>
          <w:hyperlink w:anchor="_Toc14104">
            <w:r>
              <w:t>National Response</w:t>
            </w:r>
            <w:r>
              <w:tab/>
            </w:r>
            <w:r>
              <w:fldChar w:fldCharType="begin"/>
            </w:r>
            <w:r>
              <w:instrText>PAGEREF _Toc14104 \h</w:instrText>
            </w:r>
            <w:r>
              <w:fldChar w:fldCharType="separate"/>
            </w:r>
            <w:r>
              <w:t xml:space="preserve">5 </w:t>
            </w:r>
            <w:r>
              <w:fldChar w:fldCharType="end"/>
            </w:r>
          </w:hyperlink>
        </w:p>
        <w:p w14:paraId="6E475C1C" w14:textId="77777777" w:rsidR="005E21F8" w:rsidRDefault="00354B3A">
          <w:pPr>
            <w:pStyle w:val="TOC2"/>
            <w:tabs>
              <w:tab w:val="right" w:leader="dot" w:pos="9027"/>
            </w:tabs>
          </w:pPr>
          <w:hyperlink w:anchor="_Toc14105">
            <w:r>
              <w:t>Supporting Organisation</w:t>
            </w:r>
            <w:r>
              <w:tab/>
            </w:r>
            <w:r>
              <w:fldChar w:fldCharType="begin"/>
            </w:r>
            <w:r>
              <w:instrText>PAGEREF _Toc14105 \h</w:instrText>
            </w:r>
            <w:r>
              <w:fldChar w:fldCharType="separate"/>
            </w:r>
            <w:r>
              <w:t xml:space="preserve">6 </w:t>
            </w:r>
            <w:r>
              <w:fldChar w:fldCharType="end"/>
            </w:r>
          </w:hyperlink>
        </w:p>
        <w:p w14:paraId="42A5996E" w14:textId="77777777" w:rsidR="005E21F8" w:rsidRDefault="00354B3A">
          <w:pPr>
            <w:pStyle w:val="TOC1"/>
            <w:tabs>
              <w:tab w:val="right" w:leader="dot" w:pos="9027"/>
            </w:tabs>
          </w:pPr>
          <w:hyperlink w:anchor="_Toc14106">
            <w:r>
              <w:t>Conclusion</w:t>
            </w:r>
            <w:r>
              <w:tab/>
            </w:r>
            <w:r>
              <w:fldChar w:fldCharType="begin"/>
            </w:r>
            <w:r>
              <w:instrText>PAGEREF _Toc14106 \h</w:instrText>
            </w:r>
            <w:r>
              <w:fldChar w:fldCharType="separate"/>
            </w:r>
            <w:r>
              <w:t xml:space="preserve">6 </w:t>
            </w:r>
            <w:r>
              <w:fldChar w:fldCharType="end"/>
            </w:r>
          </w:hyperlink>
        </w:p>
        <w:p w14:paraId="65FBE328" w14:textId="77777777" w:rsidR="005E21F8" w:rsidRDefault="00354B3A">
          <w:pPr>
            <w:pStyle w:val="TOC1"/>
            <w:tabs>
              <w:tab w:val="right" w:leader="dot" w:pos="9027"/>
            </w:tabs>
          </w:pPr>
          <w:hyperlink w:anchor="_Toc14107">
            <w:r>
              <w:t>Task 2: Epidemiological Analysis</w:t>
            </w:r>
            <w:r>
              <w:tab/>
            </w:r>
            <w:r>
              <w:fldChar w:fldCharType="begin"/>
            </w:r>
            <w:r>
              <w:instrText>PAGEREF _Toc14107 \h</w:instrText>
            </w:r>
            <w:r>
              <w:fldChar w:fldCharType="separate"/>
            </w:r>
            <w:r>
              <w:t xml:space="preserve">7 </w:t>
            </w:r>
            <w:r>
              <w:fldChar w:fldCharType="end"/>
            </w:r>
          </w:hyperlink>
        </w:p>
        <w:p w14:paraId="0B465957" w14:textId="77777777" w:rsidR="005E21F8" w:rsidRDefault="00354B3A">
          <w:pPr>
            <w:pStyle w:val="TOC2"/>
            <w:tabs>
              <w:tab w:val="right" w:leader="dot" w:pos="9027"/>
            </w:tabs>
          </w:pPr>
          <w:hyperlink w:anchor="_Toc14108">
            <w:r>
              <w:t>Type 2 Diabetes among South Asian populations</w:t>
            </w:r>
            <w:r>
              <w:tab/>
            </w:r>
            <w:r>
              <w:fldChar w:fldCharType="begin"/>
            </w:r>
            <w:r>
              <w:instrText>PAGEREF _Toc14108 \h</w:instrText>
            </w:r>
            <w:r>
              <w:fldChar w:fldCharType="separate"/>
            </w:r>
            <w:r>
              <w:t xml:space="preserve">7 </w:t>
            </w:r>
            <w:r>
              <w:fldChar w:fldCharType="end"/>
            </w:r>
          </w:hyperlink>
        </w:p>
        <w:p w14:paraId="24DE0FFC" w14:textId="77777777" w:rsidR="005E21F8" w:rsidRDefault="00354B3A">
          <w:pPr>
            <w:pStyle w:val="TOC2"/>
            <w:tabs>
              <w:tab w:val="right" w:leader="dot" w:pos="9027"/>
            </w:tabs>
          </w:pPr>
          <w:hyperlink w:anchor="_Toc14109">
            <w:r>
              <w:t>Public Health Measures</w:t>
            </w:r>
            <w:r>
              <w:tab/>
            </w:r>
            <w:r>
              <w:fldChar w:fldCharType="begin"/>
            </w:r>
            <w:r>
              <w:instrText>PAGEREF _Toc14109 \h</w:instrText>
            </w:r>
            <w:r>
              <w:fldChar w:fldCharType="separate"/>
            </w:r>
            <w:r>
              <w:t xml:space="preserve">7 </w:t>
            </w:r>
            <w:r>
              <w:fldChar w:fldCharType="end"/>
            </w:r>
          </w:hyperlink>
        </w:p>
        <w:p w14:paraId="761804EB" w14:textId="77777777" w:rsidR="005E21F8" w:rsidRDefault="00354B3A">
          <w:pPr>
            <w:pStyle w:val="TOC2"/>
            <w:tabs>
              <w:tab w:val="right" w:leader="dot" w:pos="9027"/>
            </w:tabs>
          </w:pPr>
          <w:hyperlink w:anchor="_Toc14110">
            <w:r>
              <w:t>Key Determinants/Risk Factors</w:t>
            </w:r>
            <w:r>
              <w:tab/>
            </w:r>
            <w:r>
              <w:fldChar w:fldCharType="begin"/>
            </w:r>
            <w:r>
              <w:instrText>PAGEREF _Toc14110 \h</w:instrText>
            </w:r>
            <w:r>
              <w:fldChar w:fldCharType="separate"/>
            </w:r>
            <w:r>
              <w:t xml:space="preserve">9 </w:t>
            </w:r>
            <w:r>
              <w:fldChar w:fldCharType="end"/>
            </w:r>
          </w:hyperlink>
        </w:p>
        <w:p w14:paraId="1281AB6D" w14:textId="77777777" w:rsidR="005E21F8" w:rsidRDefault="00354B3A">
          <w:pPr>
            <w:pStyle w:val="TOC2"/>
            <w:tabs>
              <w:tab w:val="right" w:leader="dot" w:pos="9027"/>
            </w:tabs>
          </w:pPr>
          <w:hyperlink w:anchor="_Toc14111">
            <w:r>
              <w:t>At-Risk Individuals</w:t>
            </w:r>
            <w:r>
              <w:tab/>
            </w:r>
            <w:r>
              <w:fldChar w:fldCharType="begin"/>
            </w:r>
            <w:r>
              <w:instrText>PAGEREF _Toc14111 \h</w:instrText>
            </w:r>
            <w:r>
              <w:fldChar w:fldCharType="separate"/>
            </w:r>
            <w:r>
              <w:t xml:space="preserve">9 </w:t>
            </w:r>
            <w:r>
              <w:fldChar w:fldCharType="end"/>
            </w:r>
          </w:hyperlink>
        </w:p>
        <w:p w14:paraId="139A3869" w14:textId="77777777" w:rsidR="005E21F8" w:rsidRDefault="00354B3A">
          <w:pPr>
            <w:pStyle w:val="TOC1"/>
            <w:tabs>
              <w:tab w:val="right" w:leader="dot" w:pos="9027"/>
            </w:tabs>
          </w:pPr>
          <w:hyperlink w:anchor="_Toc14112">
            <w:r>
              <w:t>Public Health Approaches and Strategies</w:t>
            </w:r>
            <w:r>
              <w:tab/>
            </w:r>
            <w:r>
              <w:fldChar w:fldCharType="begin"/>
            </w:r>
            <w:r>
              <w:instrText>PAGEREF _Toc14112 \h</w:instrText>
            </w:r>
            <w:r>
              <w:fldChar w:fldCharType="separate"/>
            </w:r>
            <w:r>
              <w:t xml:space="preserve">10 </w:t>
            </w:r>
            <w:r>
              <w:fldChar w:fldCharType="end"/>
            </w:r>
          </w:hyperlink>
        </w:p>
        <w:p w14:paraId="1E72D662" w14:textId="77777777" w:rsidR="005E21F8" w:rsidRDefault="00354B3A">
          <w:pPr>
            <w:pStyle w:val="TOC1"/>
            <w:tabs>
              <w:tab w:val="right" w:leader="dot" w:pos="9027"/>
            </w:tabs>
          </w:pPr>
          <w:hyperlink w:anchor="_Toc14113">
            <w:r>
              <w:t>Public Health Impact of Type 2 Diabetes</w:t>
            </w:r>
            <w:r>
              <w:tab/>
            </w:r>
            <w:r>
              <w:fldChar w:fldCharType="begin"/>
            </w:r>
            <w:r>
              <w:instrText>PAGEREF _Toc14113 \h</w:instrText>
            </w:r>
            <w:r>
              <w:fldChar w:fldCharType="separate"/>
            </w:r>
            <w:r>
              <w:t xml:space="preserve">10 </w:t>
            </w:r>
            <w:r>
              <w:fldChar w:fldCharType="end"/>
            </w:r>
          </w:hyperlink>
        </w:p>
        <w:p w14:paraId="369736F5" w14:textId="77777777" w:rsidR="005E21F8" w:rsidRDefault="00354B3A">
          <w:pPr>
            <w:pStyle w:val="TOC1"/>
            <w:tabs>
              <w:tab w:val="right" w:leader="dot" w:pos="9027"/>
            </w:tabs>
          </w:pPr>
          <w:hyperlink w:anchor="_Toc14114">
            <w:r>
              <w:t>Health Intervention Programme and Impacts</w:t>
            </w:r>
            <w:r>
              <w:tab/>
            </w:r>
            <w:r>
              <w:fldChar w:fldCharType="begin"/>
            </w:r>
            <w:r>
              <w:instrText>PAGEREF _Toc14114 \h</w:instrText>
            </w:r>
            <w:r>
              <w:fldChar w:fldCharType="separate"/>
            </w:r>
            <w:r>
              <w:t xml:space="preserve">10 </w:t>
            </w:r>
            <w:r>
              <w:fldChar w:fldCharType="end"/>
            </w:r>
          </w:hyperlink>
        </w:p>
        <w:p w14:paraId="6224282C" w14:textId="77777777" w:rsidR="005E21F8" w:rsidRDefault="00354B3A">
          <w:pPr>
            <w:pStyle w:val="TOC1"/>
            <w:tabs>
              <w:tab w:val="right" w:leader="dot" w:pos="9027"/>
            </w:tabs>
          </w:pPr>
          <w:hyperlink w:anchor="_Toc14115">
            <w:r>
              <w:t>Strengths and Weaknesses</w:t>
            </w:r>
            <w:r>
              <w:tab/>
            </w:r>
            <w:r>
              <w:fldChar w:fldCharType="begin"/>
            </w:r>
            <w:r>
              <w:instrText>PAGEREF _Toc14115 \h</w:instrText>
            </w:r>
            <w:r>
              <w:fldChar w:fldCharType="separate"/>
            </w:r>
            <w:r>
              <w:t xml:space="preserve">11 </w:t>
            </w:r>
            <w:r>
              <w:fldChar w:fldCharType="end"/>
            </w:r>
          </w:hyperlink>
        </w:p>
        <w:p w14:paraId="202611A7" w14:textId="77777777" w:rsidR="005E21F8" w:rsidRDefault="00354B3A">
          <w:pPr>
            <w:pStyle w:val="TOC1"/>
            <w:tabs>
              <w:tab w:val="right" w:leader="dot" w:pos="9027"/>
            </w:tabs>
          </w:pPr>
          <w:hyperlink w:anchor="_Toc14116">
            <w:r>
              <w:t>References</w:t>
            </w:r>
            <w:r>
              <w:tab/>
            </w:r>
            <w:r>
              <w:fldChar w:fldCharType="begin"/>
            </w:r>
            <w:r>
              <w:instrText>PAGEREF _Toc14116 \h</w:instrText>
            </w:r>
            <w:r>
              <w:fldChar w:fldCharType="separate"/>
            </w:r>
            <w:r>
              <w:t xml:space="preserve">12 </w:t>
            </w:r>
            <w:r>
              <w:fldChar w:fldCharType="end"/>
            </w:r>
          </w:hyperlink>
        </w:p>
        <w:p w14:paraId="6F7FFC32" w14:textId="77777777" w:rsidR="005E21F8" w:rsidRDefault="00354B3A">
          <w:r>
            <w:fldChar w:fldCharType="end"/>
          </w:r>
        </w:p>
      </w:sdtContent>
    </w:sdt>
    <w:p w14:paraId="1BFB03C6" w14:textId="77777777" w:rsidR="005E21F8" w:rsidRDefault="00354B3A">
      <w:pPr>
        <w:spacing w:after="233" w:line="259" w:lineRule="auto"/>
        <w:ind w:left="-5" w:right="-11"/>
      </w:pPr>
      <w:r>
        <w:rPr>
          <w:b/>
        </w:rPr>
        <w:t xml:space="preserve">Ethnicity and Health Inequalities </w:t>
      </w:r>
    </w:p>
    <w:p w14:paraId="07CC9548" w14:textId="77777777" w:rsidR="005E21F8" w:rsidRDefault="00354B3A">
      <w:pPr>
        <w:pStyle w:val="Heading1"/>
        <w:spacing w:after="232"/>
        <w:ind w:left="13"/>
        <w:jc w:val="center"/>
      </w:pPr>
      <w:bookmarkStart w:id="0" w:name="_Toc14100"/>
      <w:r>
        <w:t>Task 1: Social Epidemiological Analysis</w:t>
      </w:r>
      <w:r>
        <w:t xml:space="preserve"> </w:t>
      </w:r>
      <w:bookmarkEnd w:id="0"/>
    </w:p>
    <w:p w14:paraId="4E87902C" w14:textId="77777777" w:rsidR="005E21F8" w:rsidRDefault="00354B3A">
      <w:pPr>
        <w:ind w:left="-15" w:firstLine="720"/>
      </w:pPr>
      <w:r>
        <w:t>Health inequalities arise when various population groups have differential access to healthcare due to systematic, avoidable, and unfair circumstances such as poverty, discrimination, and environmental issues. These issues manifest themselves in the United Kingdom and on a global scale, affecting the health outcomes of different populations. One such issue that causes health inequalities is differences in ethnic affiliation, where people are discriminated based on their ethnic origins and colour of their sk</w:t>
      </w:r>
      <w:r>
        <w:t>in. The target group in this report is Black, Asian, and other minority ethnicities (BAME), who are at risk of health inequalities due to structural racism, socioeconomic inequalities, and geographical disparities. These issues are often referred to as social determinants of health (SODH), as they do not stem primarily from genetic differences, but unequal access to health and power that place the communities at a disadvantage.</w:t>
      </w:r>
      <w:r>
        <w:t xml:space="preserve"> </w:t>
      </w:r>
    </w:p>
    <w:p w14:paraId="41B2B77C" w14:textId="77777777" w:rsidR="005E21F8" w:rsidRDefault="00354B3A">
      <w:pPr>
        <w:pStyle w:val="Heading2"/>
        <w:ind w:left="-5"/>
      </w:pPr>
      <w:bookmarkStart w:id="1" w:name="_Toc14101"/>
      <w:r>
        <w:lastRenderedPageBreak/>
        <w:t>Contextual Background and Underlying Factors</w:t>
      </w:r>
      <w:r>
        <w:t xml:space="preserve"> </w:t>
      </w:r>
      <w:bookmarkEnd w:id="1"/>
    </w:p>
    <w:p w14:paraId="0035DF2D" w14:textId="77777777" w:rsidR="005E21F8" w:rsidRDefault="00354B3A">
      <w:pPr>
        <w:pStyle w:val="Heading3"/>
        <w:ind w:left="-5"/>
      </w:pPr>
      <w:bookmarkStart w:id="2" w:name="_Toc14102"/>
      <w:r>
        <w:t>Disease/Illness Rates</w:t>
      </w:r>
      <w:r>
        <w:t xml:space="preserve"> </w:t>
      </w:r>
      <w:bookmarkEnd w:id="2"/>
    </w:p>
    <w:p w14:paraId="2DBF6DA2" w14:textId="77777777" w:rsidR="005E21F8" w:rsidRDefault="00354B3A">
      <w:pPr>
        <w:spacing w:after="231" w:line="259" w:lineRule="auto"/>
        <w:ind w:left="-5"/>
      </w:pPr>
      <w:r>
        <w:rPr>
          <w:i/>
        </w:rPr>
        <w:t xml:space="preserve">Higher Rates of Diagnosed Chronic Conditions </w:t>
      </w:r>
    </w:p>
    <w:p w14:paraId="23DDA0BE" w14:textId="77777777" w:rsidR="005E21F8" w:rsidRDefault="00354B3A">
      <w:pPr>
        <w:spacing w:after="232" w:line="259" w:lineRule="auto"/>
        <w:ind w:left="-5"/>
      </w:pPr>
      <w:r>
        <w:t xml:space="preserve">Black, Asian, and minorities ethnicities report more cases of chronic conditions than the </w:t>
      </w:r>
    </w:p>
    <w:p w14:paraId="086C666E" w14:textId="77777777" w:rsidR="005E21F8" w:rsidRDefault="00354B3A">
      <w:pPr>
        <w:ind w:left="-5"/>
      </w:pPr>
      <w:r>
        <w:t xml:space="preserve">White British population. </w:t>
      </w:r>
      <w:r>
        <w:t>The King’s Fund Organization in the United Kingdom reports that South Asian groups have a higher incidence and mortality rate from cardiovascular disease, which is a major cause of death nationally (Raleigh, 2023). Furthermore, their risk of developing diabetes is six times more than the white population, mostly caused by their lifestyles and socioeconomic conditions. Black people’s prevalence of diabetes is three times higher than that of the white population, and they experience higher mortality from hype</w:t>
      </w:r>
      <w:r>
        <w:t>rtension and stroke. The Health Foundation (2025) also highlights these statistics, indicating that people from Bangladeshi, Pakistani, and black Caribbean backgrounds have the highest rates of chronic pain, diabetes, dementia, and cardiovascular disease, which is mostly because access to care and engagement is limited for these population groups.</w:t>
      </w:r>
      <w:r>
        <w:t xml:space="preserve"> </w:t>
      </w:r>
    </w:p>
    <w:p w14:paraId="41A22F6D" w14:textId="77777777" w:rsidR="005E21F8" w:rsidRDefault="00354B3A">
      <w:pPr>
        <w:spacing w:after="231" w:line="259" w:lineRule="auto"/>
        <w:ind w:left="-5"/>
      </w:pPr>
      <w:r>
        <w:rPr>
          <w:i/>
        </w:rPr>
        <w:t xml:space="preserve">Mental Health Disparities </w:t>
      </w:r>
    </w:p>
    <w:p w14:paraId="06023B8C" w14:textId="77777777" w:rsidR="005E21F8" w:rsidRDefault="00354B3A">
      <w:pPr>
        <w:ind w:left="-5"/>
      </w:pPr>
      <w:r>
        <w:t>According to reports by Mental Health UK (2024), black women have a high likelihood of experiencing a common mental illness, older Asian women are at risk of suicide, black men have more prevalent rates of psychosis, and black people are more likely to be detained under the Mental Health Act. The Mental Health Act is a provision that allows professionals to detain individuals with mental health issues so they can receive involuntary mental health care (Gray, 2021). Furthermore, more white people receive tre</w:t>
      </w:r>
      <w:r>
        <w:t>atment for mental health conditions and receive better outcomes that black, Asian, and other minority groups. These variations in mental health care are caused by bias, stigma about mental health, and inequalities in living standards (Bhugra, 2020).</w:t>
      </w:r>
      <w:r>
        <w:t xml:space="preserve"> </w:t>
      </w:r>
    </w:p>
    <w:p w14:paraId="1EB32042" w14:textId="77777777" w:rsidR="005E21F8" w:rsidRDefault="00354B3A">
      <w:pPr>
        <w:spacing w:after="231" w:line="259" w:lineRule="auto"/>
        <w:ind w:left="-5"/>
      </w:pPr>
      <w:r>
        <w:rPr>
          <w:i/>
        </w:rPr>
        <w:t xml:space="preserve">Maternal Health Disparities </w:t>
      </w:r>
    </w:p>
    <w:p w14:paraId="58E958DE" w14:textId="77777777" w:rsidR="005E21F8" w:rsidRDefault="00354B3A">
      <w:pPr>
        <w:ind w:left="-5"/>
      </w:pPr>
      <w:r>
        <w:t xml:space="preserve">The King’s Fund Organization reports that in 2018-2020, the rate of women who died during pregnancy or 6 weeks to the end of their pregnancy was 3.7 times higher among Black people, and 1.7 times higher in the Asian group, as compared to their white counterparts </w:t>
      </w:r>
      <w:r>
        <w:lastRenderedPageBreak/>
        <w:t xml:space="preserve">(Raleigh, 2023; </w:t>
      </w:r>
      <w:proofErr w:type="spellStart"/>
      <w:r>
        <w:t>Vousen</w:t>
      </w:r>
      <w:proofErr w:type="spellEnd"/>
      <w:r>
        <w:t xml:space="preserve"> &amp; Knight, 2024). This is mostly caused by deprivation or other underlying conditions that the mothers may have had while pregnant. Mothers from these minority communities live in highly deprived areas, meaning they lack access to essential services and basic needs. A survey by Five X More reported that 42% of the women who answered the survey felt discriminated against during their maternity care, mainly because of their race (Women Equalities Committee, 2023).</w:t>
      </w:r>
      <w:r>
        <w:t xml:space="preserve"> </w:t>
      </w:r>
    </w:p>
    <w:p w14:paraId="0B033523" w14:textId="77777777" w:rsidR="005E21F8" w:rsidRDefault="00354B3A">
      <w:pPr>
        <w:pStyle w:val="Heading3"/>
        <w:ind w:left="-5"/>
      </w:pPr>
      <w:bookmarkStart w:id="3" w:name="_Toc14103"/>
      <w:r>
        <w:t>Social Issues</w:t>
      </w:r>
      <w:r>
        <w:t xml:space="preserve"> </w:t>
      </w:r>
      <w:bookmarkEnd w:id="3"/>
    </w:p>
    <w:p w14:paraId="151A3631" w14:textId="77777777" w:rsidR="005E21F8" w:rsidRDefault="00354B3A">
      <w:pPr>
        <w:spacing w:after="231" w:line="259" w:lineRule="auto"/>
        <w:ind w:left="-5"/>
      </w:pPr>
      <w:r>
        <w:rPr>
          <w:i/>
        </w:rPr>
        <w:t xml:space="preserve">Poverty </w:t>
      </w:r>
    </w:p>
    <w:p w14:paraId="299DAB4D" w14:textId="77777777" w:rsidR="005E21F8" w:rsidRDefault="00354B3A">
      <w:pPr>
        <w:ind w:left="-5"/>
      </w:pPr>
      <w:r>
        <w:t>Minority communities in the United Kingdom live in households with persistent low income, as showed in the data by the UK Government, where 19% of Asian people and 9% of black people comprising this population. Economic disparities are known to contribute to poor health outcomes, as people in deprived areas are twice more likely to be admitted to hospital than those who are not (GOV.UK, 2025). This is mainly because poverty-stricken areas usually have higher levels of air pollution, adverse weather, and res</w:t>
      </w:r>
      <w:r>
        <w:t>tricted access to healthcare.</w:t>
      </w:r>
      <w:r>
        <w:t xml:space="preserve"> </w:t>
      </w:r>
    </w:p>
    <w:p w14:paraId="20C176FA" w14:textId="77777777" w:rsidR="005E21F8" w:rsidRDefault="00354B3A">
      <w:pPr>
        <w:spacing w:after="231" w:line="259" w:lineRule="auto"/>
        <w:ind w:left="-5"/>
      </w:pPr>
      <w:r>
        <w:rPr>
          <w:i/>
        </w:rPr>
        <w:t xml:space="preserve">Poor housing </w:t>
      </w:r>
    </w:p>
    <w:p w14:paraId="38FE0BAB" w14:textId="77777777" w:rsidR="005E21F8" w:rsidRDefault="00354B3A">
      <w:pPr>
        <w:ind w:left="-5"/>
      </w:pPr>
      <w:r>
        <w:t xml:space="preserve">20% of Black African households live in non-decent homes, which is the highest among all the ethnic groups (GOV.UK, 2025). This means that they more often live in overcrowded, unrepaired, and poor housing than their counterparts. The London School of Economics and </w:t>
      </w:r>
    </w:p>
    <w:p w14:paraId="05127777" w14:textId="77777777" w:rsidR="005E21F8" w:rsidRDefault="00354B3A">
      <w:pPr>
        <w:ind w:left="-5"/>
      </w:pPr>
      <w:r>
        <w:t>Political Science reports that the level of homelessness among Black, Asian, and Minority Ethnic Communities (BAME) has risen from 20% to 36% in the past two decades. This means that one in six ethnic communities face health hazards due to their housing conditions, placing them at risk of developing adverse health conditions (Kevin, 2017). The reason why BAME households lack proper housing points back to institutional racism, as they receive less housing offers, face unfair housing policies, and undergo unj</w:t>
      </w:r>
      <w:r>
        <w:t>ust ethnic scrutiny in their houses.</w:t>
      </w:r>
      <w:r>
        <w:t xml:space="preserve"> </w:t>
      </w:r>
    </w:p>
    <w:p w14:paraId="307DC9A0" w14:textId="77777777" w:rsidR="005E21F8" w:rsidRDefault="00354B3A">
      <w:pPr>
        <w:spacing w:after="231" w:line="259" w:lineRule="auto"/>
        <w:ind w:left="-5"/>
      </w:pPr>
      <w:r>
        <w:rPr>
          <w:i/>
        </w:rPr>
        <w:t xml:space="preserve">Discrimination and Social Exclusion </w:t>
      </w:r>
    </w:p>
    <w:p w14:paraId="64ACDE35" w14:textId="77777777" w:rsidR="005E21F8" w:rsidRDefault="00354B3A">
      <w:pPr>
        <w:ind w:left="-5"/>
      </w:pPr>
      <w:r>
        <w:lastRenderedPageBreak/>
        <w:t>The poorer health outcomes and experiences among Black, Asian, and other minority communities in the UK, compared to the white population, highlights the prevalence discrimination and social exclusion that these minority communities face. These minority groups usually face suboptimal disease management and poor consideration of their cultural needs during healthcare, which leads to adverse health quality and treatment (</w:t>
      </w:r>
      <w:proofErr w:type="spellStart"/>
      <w:r>
        <w:t>Hayanga</w:t>
      </w:r>
      <w:proofErr w:type="spellEnd"/>
      <w:r>
        <w:t xml:space="preserve"> et al., 2021). These communities also lack adequate representation in NHS trust boards and executives, with only 8.4% of the board members on NHS trust coming from a BAME background (Ajayi, 2021). These people also face implicit bias, which is propagated by the attitudes and beliefs held towards them based on their race, which manifest through longer wait times, longer lengths of stay, and lower rates of admission in hospitals (Macias-</w:t>
      </w:r>
    </w:p>
    <w:p w14:paraId="56D58459" w14:textId="77777777" w:rsidR="005E21F8" w:rsidRDefault="00354B3A">
      <w:pPr>
        <w:spacing w:after="230" w:line="259" w:lineRule="auto"/>
        <w:ind w:left="-5"/>
      </w:pPr>
      <w:r>
        <w:t>Konstantopoulos et al., 2023).</w:t>
      </w:r>
      <w:r>
        <w:t xml:space="preserve"> </w:t>
      </w:r>
    </w:p>
    <w:p w14:paraId="58433627" w14:textId="77777777" w:rsidR="005E21F8" w:rsidRDefault="00354B3A">
      <w:pPr>
        <w:pStyle w:val="Heading3"/>
        <w:ind w:left="-5"/>
      </w:pPr>
      <w:bookmarkStart w:id="4" w:name="_Toc14104"/>
      <w:r>
        <w:t>National Response</w:t>
      </w:r>
      <w:r>
        <w:t xml:space="preserve"> </w:t>
      </w:r>
      <w:bookmarkEnd w:id="4"/>
    </w:p>
    <w:p w14:paraId="25815E9F" w14:textId="77777777" w:rsidR="005E21F8" w:rsidRDefault="00354B3A">
      <w:pPr>
        <w:spacing w:after="232" w:line="259" w:lineRule="auto"/>
        <w:ind w:left="0" w:right="41" w:firstLine="0"/>
        <w:jc w:val="center"/>
      </w:pPr>
      <w:r>
        <w:t xml:space="preserve">One national response to address health inequalities based on ethnicity is the </w:t>
      </w:r>
    </w:p>
    <w:p w14:paraId="6F17B52D" w14:textId="77777777" w:rsidR="005E21F8" w:rsidRDefault="00354B3A">
      <w:pPr>
        <w:ind w:left="-5"/>
      </w:pPr>
      <w:r>
        <w:t>Core20PLUS5 by NHS England. This initiative focuses on 20% of the most deprived population in the country (Core20), PLUS population groups which include ethnic minorities, those experiencing homelessness, and other socially excluded groups, and it follows up on five main clinical areas (maternity, mental illness, cancer, chronic respiratory disease, and hypertension) (NHS England, n.d.). Another national response by the UK Government is a Race Equality Unit, which is committed to addressing systemic barrier</w:t>
      </w:r>
      <w:r>
        <w:t>s that ethnic people face. It does so through research, media reports, and legislation across various sectors including healthcare, employment, and education (Race Equality Unity, n.d.).</w:t>
      </w:r>
      <w:r>
        <w:t xml:space="preserve"> </w:t>
      </w:r>
    </w:p>
    <w:p w14:paraId="7B8E811F" w14:textId="77777777" w:rsidR="005E21F8" w:rsidRDefault="00354B3A">
      <w:pPr>
        <w:pStyle w:val="Heading2"/>
        <w:ind w:left="-5"/>
      </w:pPr>
      <w:bookmarkStart w:id="5" w:name="_Toc14105"/>
      <w:r>
        <w:t>Supporting Organisation</w:t>
      </w:r>
      <w:r>
        <w:t xml:space="preserve"> </w:t>
      </w:r>
      <w:bookmarkEnd w:id="5"/>
    </w:p>
    <w:p w14:paraId="24FC732E" w14:textId="77777777" w:rsidR="005E21F8" w:rsidRDefault="00354B3A">
      <w:pPr>
        <w:ind w:left="-15" w:firstLine="720"/>
      </w:pPr>
      <w:r>
        <w:t>A charity that significantly supports the rights of Black, Asian, and Minority Ethnic (BAME) communities is the Race Equality Foundation, a national registered charity which engages in advocacy and initiatives to promote racial equality across the country. It focuses mostly on healthcare, children and families, housing, and community. This organization conducts research, develops evidence-based practices, and publishes government data on the experiences that ethnic minorities go through. The goals of this o</w:t>
      </w:r>
      <w:r>
        <w:t xml:space="preserve">rganization </w:t>
      </w:r>
      <w:proofErr w:type="gramStart"/>
      <w:r>
        <w:t>is</w:t>
      </w:r>
      <w:proofErr w:type="gramEnd"/>
      <w:r>
        <w:t xml:space="preserve"> to </w:t>
      </w:r>
      <w:r>
        <w:lastRenderedPageBreak/>
        <w:t xml:space="preserve">promote mental health, physical health, and social care by producing reports and projects. Some of its healthcare projects aimed at reducing inequality include the Race Equity </w:t>
      </w:r>
    </w:p>
    <w:p w14:paraId="03DB7B5D" w14:textId="77777777" w:rsidR="005E21F8" w:rsidRDefault="00354B3A">
      <w:pPr>
        <w:ind w:left="-5"/>
      </w:pPr>
      <w:r>
        <w:t xml:space="preserve">Maturity Index, the Stronger Relationships Programme for parents and caregivers, the Racism, Trauma, and Intergenerational Project, and Strengthening Communities project </w:t>
      </w:r>
    </w:p>
    <w:p w14:paraId="1618557C" w14:textId="77777777" w:rsidR="005E21F8" w:rsidRDefault="00354B3A">
      <w:pPr>
        <w:spacing w:after="230" w:line="259" w:lineRule="auto"/>
        <w:ind w:left="-5"/>
      </w:pPr>
      <w:r>
        <w:t xml:space="preserve">(Race Equality Foundation, 2022). </w:t>
      </w:r>
      <w:r>
        <w:t xml:space="preserve"> </w:t>
      </w:r>
    </w:p>
    <w:p w14:paraId="3E944073" w14:textId="77777777" w:rsidR="005E21F8" w:rsidRDefault="00354B3A">
      <w:pPr>
        <w:pStyle w:val="Heading1"/>
        <w:ind w:left="-5"/>
      </w:pPr>
      <w:bookmarkStart w:id="6" w:name="_Toc14106"/>
      <w:r>
        <w:t>Conclusion</w:t>
      </w:r>
      <w:r>
        <w:t xml:space="preserve"> </w:t>
      </w:r>
      <w:bookmarkEnd w:id="6"/>
    </w:p>
    <w:p w14:paraId="587963C7" w14:textId="77777777" w:rsidR="005E21F8" w:rsidRDefault="00354B3A">
      <w:pPr>
        <w:spacing w:after="233"/>
        <w:ind w:left="-15" w:firstLine="720"/>
      </w:pPr>
      <w:r>
        <w:t xml:space="preserve">Despite the United Kingdom being one of the most advanced regions in terms of healthcare, there are existing healthcare disparities among various ethnic communities. The ethnic minorities, who consist of Black, Asian, and Minority Ethnicities (BAME), face systemic racism, socioeconomic inequality, and segregation on national levels. Examples of conditions where BAME communities face discrimination include chronic conditions, mental health, and maternal care. Examples of social areas where they face further </w:t>
      </w:r>
      <w:r>
        <w:t xml:space="preserve">discrimination include economic equality, housing, and social discrimination. The government is taking steps to improve health equality through initiatives and charities such as the NHS’ </w:t>
      </w:r>
    </w:p>
    <w:p w14:paraId="43F5A7A1" w14:textId="77777777" w:rsidR="005E21F8" w:rsidRDefault="00354B3A">
      <w:pPr>
        <w:spacing w:after="232" w:line="259" w:lineRule="auto"/>
        <w:ind w:left="-5"/>
      </w:pPr>
      <w:r>
        <w:t>Core20PLUS5 and the Race Equality Foundation, respectively.</w:t>
      </w:r>
      <w:r>
        <w:t xml:space="preserve"> </w:t>
      </w:r>
    </w:p>
    <w:p w14:paraId="422C9944" w14:textId="77777777" w:rsidR="005E21F8" w:rsidRDefault="00354B3A">
      <w:pPr>
        <w:spacing w:after="230" w:line="259" w:lineRule="auto"/>
        <w:ind w:left="720" w:firstLine="0"/>
      </w:pPr>
      <w:r>
        <w:t xml:space="preserve"> </w:t>
      </w:r>
    </w:p>
    <w:p w14:paraId="44008E02" w14:textId="77777777" w:rsidR="005E21F8" w:rsidRDefault="00354B3A">
      <w:pPr>
        <w:pStyle w:val="Heading1"/>
        <w:spacing w:after="232"/>
        <w:ind w:left="13"/>
        <w:jc w:val="center"/>
      </w:pPr>
      <w:bookmarkStart w:id="7" w:name="_Toc14107"/>
      <w:r>
        <w:t>Task 2: Epidemiological Analysis</w:t>
      </w:r>
      <w:r>
        <w:t xml:space="preserve"> </w:t>
      </w:r>
      <w:bookmarkEnd w:id="7"/>
    </w:p>
    <w:p w14:paraId="6454C76E" w14:textId="77777777" w:rsidR="005E21F8" w:rsidRDefault="00354B3A">
      <w:pPr>
        <w:pStyle w:val="Heading2"/>
        <w:ind w:left="-5"/>
      </w:pPr>
      <w:bookmarkStart w:id="8" w:name="_Toc14108"/>
      <w:r>
        <w:t>Type 2 Diabetes among South Asian populations</w:t>
      </w:r>
      <w:r>
        <w:t xml:space="preserve"> </w:t>
      </w:r>
      <w:bookmarkEnd w:id="8"/>
    </w:p>
    <w:p w14:paraId="2373A599" w14:textId="77777777" w:rsidR="005E21F8" w:rsidRDefault="00354B3A">
      <w:pPr>
        <w:ind w:left="-15" w:firstLine="720"/>
      </w:pPr>
      <w:r>
        <w:t>Type 2 Diabetes Mellitus (T2DM) refers to a condition where sugar builds up in the blood because the body is unable to use insulin correctly, which is a hormone needed to regulate blood sugar. It is a major global health challenge, with its prevalence projected to rise to 439 million adults by 2030. The prevalence of this condition among the South Asian population is disproportionately high, South Asians make up 25% of the global population, and they experience a 3.8 times fold risk of developing diabetes t</w:t>
      </w:r>
      <w:r>
        <w:t xml:space="preserve">han other European populations. In the UK, South Asians experience 4 to 6 times more risk of developing type 2 diabetes compared to other indigenous population, with the age of development being significantly younger as well (Barnett et al., 2006). Furthermore, about 40% of the population </w:t>
      </w:r>
      <w:r>
        <w:lastRenderedPageBreak/>
        <w:t xml:space="preserve">remains undiagnosed, showing that the condition is concerning among this group. The reason this condition is so prevalent is due to genetic factors, lifestyle conditions, and environmental influences. T2DM has significant </w:t>
      </w:r>
      <w:r>
        <w:t>social, cultural, and health consequences among South Asians, as it causes serious complications such as cardiovascular disease, kidney failure, nerve damage, and premature mortality. It places a significant burden on healthcare systems, as shown in how the NHS spends approximately £10 billion a year on diabetes, around 10% of its total budget (NHS England, 2022). Analysing data from London shows that since most of its South Asian population is twice as likely to develop T2DM, they experience high disease b</w:t>
      </w:r>
      <w:r>
        <w:t>urden and long-term morbidity (Carpenter et al., 2019).</w:t>
      </w:r>
      <w:r>
        <w:t xml:space="preserve"> </w:t>
      </w:r>
    </w:p>
    <w:p w14:paraId="26A4A1DF" w14:textId="77777777" w:rsidR="005E21F8" w:rsidRDefault="00354B3A">
      <w:pPr>
        <w:pStyle w:val="Heading2"/>
        <w:ind w:left="-5"/>
      </w:pPr>
      <w:bookmarkStart w:id="9" w:name="_Toc14109"/>
      <w:r>
        <w:t>Public Health Measures</w:t>
      </w:r>
      <w:r>
        <w:t xml:space="preserve"> </w:t>
      </w:r>
      <w:bookmarkEnd w:id="9"/>
    </w:p>
    <w:p w14:paraId="14E29FD6" w14:textId="77777777" w:rsidR="005E21F8" w:rsidRDefault="00354B3A">
      <w:pPr>
        <w:ind w:left="-15" w:firstLine="720"/>
      </w:pPr>
      <w:r>
        <w:t>The 3P’s refer to a model consisting of Prevention. Protection, and Promotion, which are used when evaluating public health initiatives to improve the quality of healthcare. Some of the public health measures applied to reduce the prevalence of T2DM among the South Asian population can be evaluated through the lens of this framework to reduce disease burden and improve quality of life. Prevention is meant to prevent the onset or progression of diseases and involves three levels, including primary prevention</w:t>
      </w:r>
      <w:r>
        <w:t xml:space="preserve"> that consists of preventing a disease before it occurs, secondary prevention that </w:t>
      </w:r>
      <w:proofErr w:type="gramStart"/>
      <w:r>
        <w:t>consists</w:t>
      </w:r>
      <w:proofErr w:type="gramEnd"/>
      <w:r>
        <w:t xml:space="preserve"> reducing the progression of a disease through acts such as early detection, and tertiary prevention that involves managing tertiary conditions. The NHS Diabetes Prevention Programme (NDPP), also known as the Healthier You Programme, is a good example of a public health initiative in the UK aimed at preventing diabetes in affected communities (NHS England, n.d.). At the primary level, people receive personalized suppo</w:t>
      </w:r>
      <w:r>
        <w:t>rt on how to manage their weight, eat more healthily, and a nine-month support group for managing their health. At the secondary level, the programme involves tools such as the Know Your Health tool and a free NHS Health Check to detect the condition early. The program does not focus much on the tertiary level, as it involves identifying people at risk and educating them on how to manage their health.</w:t>
      </w:r>
      <w:r>
        <w:t xml:space="preserve"> </w:t>
      </w:r>
    </w:p>
    <w:p w14:paraId="551A9495" w14:textId="77777777" w:rsidR="005E21F8" w:rsidRDefault="00354B3A">
      <w:pPr>
        <w:ind w:left="-15" w:firstLine="720"/>
      </w:pPr>
      <w:r>
        <w:t xml:space="preserve">Protection services involve managing environmental factors and infectious threats that may lead to the development of a health condition. In London, it involves managing the </w:t>
      </w:r>
      <w:r>
        <w:lastRenderedPageBreak/>
        <w:t>complications of existing T2DM to prevent the occurrence of acute events such as diabetic ketoacidosis which can lead to emergency admissions. Some public health measures aimed at protection include the calorie reduction programme, the sugar reduction programme, and the soft drinks’ industry levy. These measures require adults to follow a daily calorie intake of about 1600, reduce overall sugar in products consumed by children, and reduce calorie intake from soft drinks respectively, all aimed at reducing o</w:t>
      </w:r>
      <w:r>
        <w:t>besity. Promotion involves empowering individuals to take charge of their health through leading healthy lifestyles and addressing various risk factors that could cause them to develop type 2 diabetes. The Diabetes Prevention Week, which was first launched in April 2018, is a promotion service that helped to raise awareness of the condition, complications associated with it, and how to prevent and manage it. It is now an annual event that highlights that Type 2 Diabetes is preventable through lifestyle chan</w:t>
      </w:r>
      <w:r>
        <w:t>ges and encourages people to check their personal risk using the Diabetes UK’s risk tool. (Department of Health and Social Care, 2023).</w:t>
      </w:r>
      <w:r>
        <w:t xml:space="preserve"> </w:t>
      </w:r>
    </w:p>
    <w:p w14:paraId="77C2E8AC" w14:textId="77777777" w:rsidR="005E21F8" w:rsidRDefault="00354B3A">
      <w:pPr>
        <w:pStyle w:val="Heading2"/>
        <w:ind w:left="-5"/>
      </w:pPr>
      <w:bookmarkStart w:id="10" w:name="_Toc14110"/>
      <w:r>
        <w:t>Key Determinants/Risk Factors</w:t>
      </w:r>
      <w:r>
        <w:t xml:space="preserve"> </w:t>
      </w:r>
      <w:bookmarkEnd w:id="10"/>
    </w:p>
    <w:p w14:paraId="0B6518CE" w14:textId="77777777" w:rsidR="005E21F8" w:rsidRDefault="00354B3A">
      <w:pPr>
        <w:tabs>
          <w:tab w:val="right" w:pos="9027"/>
        </w:tabs>
        <w:spacing w:after="239" w:line="259" w:lineRule="auto"/>
        <w:ind w:left="-15" w:firstLine="0"/>
      </w:pPr>
      <w:r>
        <w:t xml:space="preserve"> </w:t>
      </w:r>
      <w:r>
        <w:tab/>
      </w:r>
      <w:r>
        <w:t xml:space="preserve">The key determinants of T2DM development among the Asian population in London </w:t>
      </w:r>
    </w:p>
    <w:p w14:paraId="4075564D" w14:textId="77777777" w:rsidR="005E21F8" w:rsidRDefault="00354B3A">
      <w:pPr>
        <w:ind w:left="-5"/>
      </w:pPr>
      <w:r>
        <w:t>is a combination of genetic factors, social determinants of health, and lifestyle factors. People of South Asian are genetically predisposed to developing T2DM, despite having a lower body mass index than most people. This is because they have a more likelihood to store visceral fat around important organs such as the liver and pancreas, and this causes insulin resistance. The condition continues to develop because if there is a family history of the condition, newer generations are likely to get the condit</w:t>
      </w:r>
      <w:r>
        <w:t>ion as well. The fact that south Asian immigrants in the UK and their second-generation population have a higher incidence of T2DM indicates an influence on environmental factors such as deprivation, unemployment, and adoption of new processed diets (Misra et al., 2025). Most south Asians live in highly deprived communities where they may lack access to healthcare and engage in less physical activity, hence their predisposition to the condition. Furthermore, lifestyle habits are a key determinant to the dev</w:t>
      </w:r>
      <w:r>
        <w:t xml:space="preserve">elopment of T2DM, and most south Asians are reported to </w:t>
      </w:r>
      <w:r>
        <w:lastRenderedPageBreak/>
        <w:t>lead a sedentary lifestyle and have a large waist size due to low levels of inactivity, and some engage in activities such as smoking and drinking (Bhopal et al., 2014).</w:t>
      </w:r>
      <w:r>
        <w:t xml:space="preserve"> </w:t>
      </w:r>
    </w:p>
    <w:p w14:paraId="707C9C0A" w14:textId="77777777" w:rsidR="005E21F8" w:rsidRDefault="00354B3A">
      <w:pPr>
        <w:pStyle w:val="Heading2"/>
        <w:ind w:left="-5"/>
      </w:pPr>
      <w:bookmarkStart w:id="11" w:name="_Toc14111"/>
      <w:r>
        <w:t>At-</w:t>
      </w:r>
      <w:r>
        <w:t>Risk Individuals</w:t>
      </w:r>
      <w:r>
        <w:t xml:space="preserve"> </w:t>
      </w:r>
      <w:bookmarkEnd w:id="11"/>
    </w:p>
    <w:p w14:paraId="777B2430" w14:textId="77777777" w:rsidR="005E21F8" w:rsidRDefault="00354B3A">
      <w:pPr>
        <w:ind w:left="-15" w:firstLine="720"/>
      </w:pPr>
      <w:r>
        <w:t xml:space="preserve">Epidemiological studies consistently show that south Asian populations in the UK are at a higher risk of developing type 2 diabetes (Misra et al., 2025; Mohan, 2025). The onset of diabetes is also significantly lower than in other ethnicities, starting from early adulthood and extending for long into late adulthood. Conducting a health needs assessment would show that this is a major issue facing the Asian population, showing that these individuals need resources to ensure they receive proper treatment and </w:t>
      </w:r>
      <w:r>
        <w:t xml:space="preserve">management of the condition. As seen in the study by </w:t>
      </w:r>
      <w:proofErr w:type="spellStart"/>
      <w:r>
        <w:t>Prinjha</w:t>
      </w:r>
      <w:proofErr w:type="spellEnd"/>
      <w:r>
        <w:t xml:space="preserve"> et al. (2020), since south Asians in the UK are six times more likely to develop type 2 diabetes than the general population, some of the measures to address this health inequality is through increased awareness on digital platforms to ensure patients and at-risk individuals know how to manage their conditions, adhere to medications, and lead healthier lifestyles.</w:t>
      </w:r>
      <w:r>
        <w:t xml:space="preserve"> </w:t>
      </w:r>
    </w:p>
    <w:p w14:paraId="4A284FAE" w14:textId="77777777" w:rsidR="005E21F8" w:rsidRDefault="00354B3A">
      <w:pPr>
        <w:pStyle w:val="Heading1"/>
        <w:spacing w:after="232"/>
        <w:ind w:left="13" w:right="3"/>
        <w:jc w:val="center"/>
      </w:pPr>
      <w:bookmarkStart w:id="12" w:name="_Toc14112"/>
      <w:r>
        <w:t>Public Health Approaches and Strategies</w:t>
      </w:r>
      <w:r>
        <w:t xml:space="preserve"> </w:t>
      </w:r>
      <w:bookmarkEnd w:id="12"/>
    </w:p>
    <w:p w14:paraId="0785A500" w14:textId="77777777" w:rsidR="005E21F8" w:rsidRDefault="00354B3A">
      <w:pPr>
        <w:ind w:left="-15" w:firstLine="720"/>
      </w:pPr>
      <w:r>
        <w:t>Some of the public health approaches that monitor the trends of Type 2 Diabetes, its prevalence, and effectiveness of its interventions include the Quality and Outcomes Framework (QOF) and the National Diabetes Audit. QOF is a voluntary incentive scheme that provides several key indicators that measure the quality of performance when delivering care. In the context of type 2 diabetes, QOF highlights aspects such as glycaemic control, blood pressure, and respiratory function, whose improvement directly impro</w:t>
      </w:r>
      <w:r>
        <w:t>ves a patient’s health (Xiao, 2025). The QOF register also tracks incidences by requiring practitioners to keep an accurate list of patients aged 17 and above and maintain their blood pressure at a recommended limit. The National Diabetes Audit is a surveillance tool in the UK that offers a comprehensive view of diabetes care, with an aim to improve services and reduce the incidence of diabetes (Holman et al., 2021). It collects information on registered patients, the quality of care for diabetes patients i</w:t>
      </w:r>
      <w:r>
        <w:t xml:space="preserve">n terms of follow-up and achieving national targets for glucose control, the level of inequality among diabetes patients, underlying mental problems </w:t>
      </w:r>
      <w:r>
        <w:lastRenderedPageBreak/>
        <w:t>for people with diabetes, and availability of resources such as insulin pumps (Misra et al., 2023). These approaches help to keep type 2 diabetes in check and ensure that any gaps in care are promptly addressed.</w:t>
      </w:r>
      <w:r>
        <w:t xml:space="preserve"> </w:t>
      </w:r>
    </w:p>
    <w:p w14:paraId="2D179BDC" w14:textId="77777777" w:rsidR="005E21F8" w:rsidRDefault="00354B3A">
      <w:pPr>
        <w:pStyle w:val="Heading1"/>
        <w:spacing w:after="232"/>
        <w:ind w:left="13" w:right="1"/>
        <w:jc w:val="center"/>
      </w:pPr>
      <w:bookmarkStart w:id="13" w:name="_Toc14113"/>
      <w:r>
        <w:t>Public Health Impact of Type 2 Diabetes</w:t>
      </w:r>
      <w:r>
        <w:t xml:space="preserve"> </w:t>
      </w:r>
      <w:bookmarkEnd w:id="13"/>
    </w:p>
    <w:p w14:paraId="7DC31CDC" w14:textId="77777777" w:rsidR="005E21F8" w:rsidRDefault="00354B3A">
      <w:pPr>
        <w:ind w:left="-15" w:firstLine="720"/>
      </w:pPr>
      <w:r>
        <w:t xml:space="preserve">Some of the short-term impacts of the condition on the population include fatigue, blurred vision, and overall poor health (Abushanab et al., 2023). People with diabetes also experience poor wound healing, which requires them to undergo frequent hospital admissions. In the long-term, T2DM causes complications such as cardiovascular failure, kidney failure, and visual impairment (Crandall et al., 2025). This would affect the community in London by reducing life expectancy, placing a higher disease burden on </w:t>
      </w:r>
      <w:r>
        <w:t>hospitals, and reducing productivity in the area.</w:t>
      </w:r>
      <w:r>
        <w:t xml:space="preserve"> </w:t>
      </w:r>
    </w:p>
    <w:p w14:paraId="4137313D" w14:textId="77777777" w:rsidR="005E21F8" w:rsidRDefault="00354B3A">
      <w:pPr>
        <w:pStyle w:val="Heading1"/>
        <w:spacing w:after="232"/>
        <w:ind w:left="13" w:right="2"/>
        <w:jc w:val="center"/>
      </w:pPr>
      <w:bookmarkStart w:id="14" w:name="_Toc14114"/>
      <w:r>
        <w:t>Health Intervention Programme and Impacts</w:t>
      </w:r>
      <w:r>
        <w:t xml:space="preserve"> </w:t>
      </w:r>
      <w:bookmarkEnd w:id="14"/>
    </w:p>
    <w:p w14:paraId="7D68BAD0" w14:textId="77777777" w:rsidR="005E21F8" w:rsidRDefault="00354B3A">
      <w:pPr>
        <w:spacing w:after="1"/>
        <w:ind w:left="-15" w:firstLine="720"/>
        <w:jc w:val="both"/>
      </w:pPr>
      <w:r>
        <w:t>A proposed health intervention programme would be a community-based awareness initiative led by bilingual, Bangladeshi and Pakistani health coaches who are well trained on T2DM identification, prevention, and management. They can conduct targeted education workshops at a central place in London, where they offer information on T2DM in culturally relevant ways and in languages that the target population can resonate with. The venue for these workshops should be in culturally relevant areas such as mosques an</w:t>
      </w:r>
      <w:r>
        <w:t>d temples, community centres related to South Asian people, and in partnership with local social organisations. This programme would introduce various activities aimed at improving the people’s lifestyle and diets in culturally acceptable ways, such as having women walking groups and cooking South Asian food with reduced sugar, saturated fat, and salt (Rai et al., 2023). Finally, the program would have screening events to encourage early identification for people at risk, encouraging people to take charge o</w:t>
      </w:r>
      <w:r>
        <w:t>f their health and manage the condition before it gets worse.</w:t>
      </w:r>
      <w:r>
        <w:t xml:space="preserve"> </w:t>
      </w:r>
    </w:p>
    <w:p w14:paraId="35D3AC9B" w14:textId="77777777" w:rsidR="005E21F8" w:rsidRDefault="00354B3A">
      <w:pPr>
        <w:pStyle w:val="Heading1"/>
        <w:spacing w:after="232"/>
        <w:ind w:left="13" w:right="2"/>
        <w:jc w:val="center"/>
      </w:pPr>
      <w:bookmarkStart w:id="15" w:name="_Toc14115"/>
      <w:r>
        <w:t>Strengths and Weaknesses</w:t>
      </w:r>
      <w:r>
        <w:t xml:space="preserve"> </w:t>
      </w:r>
      <w:bookmarkEnd w:id="15"/>
    </w:p>
    <w:p w14:paraId="149197A5" w14:textId="77777777" w:rsidR="005E21F8" w:rsidRDefault="00354B3A">
      <w:pPr>
        <w:ind w:left="-15" w:firstLine="720"/>
      </w:pPr>
      <w:r>
        <w:t xml:space="preserve">The main strengths of this programme include its cultural appropriateness and focus on a specific, high-risk population. These attributes make the approach realistic and feasible, </w:t>
      </w:r>
      <w:r>
        <w:lastRenderedPageBreak/>
        <w:t>making it easier for its objectives to be easily realized. Due to the way it focuses on the specific South Asian community in London, it can curate more practices to match the preferences and requirements by the population. Some of the weaknesses include inadequate surveillance systems to collect information on people who are at-risk. Since this approach is based on hosting education workshops in specific areas, it does not cater for people who might not attend due to geography and socioeconomic barriers (F</w:t>
      </w:r>
      <w:r>
        <w:t>arhat et al., 2024). The approach is also resource intensive and requires the health coaches to obtain community trust, which can be challenging at first. However, effective implementation of this approach could lead to reduced rates of T2DM among South Asians in London, and improved management for those living with T2DM.</w:t>
      </w:r>
      <w:r>
        <w:t xml:space="preserve"> </w:t>
      </w:r>
    </w:p>
    <w:p w14:paraId="3073468C" w14:textId="77777777" w:rsidR="005E21F8" w:rsidRDefault="00354B3A">
      <w:pPr>
        <w:spacing w:after="230" w:line="259" w:lineRule="auto"/>
        <w:ind w:left="0" w:firstLine="0"/>
      </w:pPr>
      <w:r>
        <w:t xml:space="preserve"> </w:t>
      </w:r>
    </w:p>
    <w:p w14:paraId="516625C6" w14:textId="77777777" w:rsidR="005E21F8" w:rsidRDefault="00354B3A">
      <w:pPr>
        <w:spacing w:after="252" w:line="259" w:lineRule="auto"/>
        <w:ind w:left="0" w:firstLine="0"/>
      </w:pPr>
      <w:r>
        <w:t xml:space="preserve"> </w:t>
      </w:r>
    </w:p>
    <w:p w14:paraId="56C4109E" w14:textId="77777777" w:rsidR="005E21F8" w:rsidRDefault="00354B3A">
      <w:pPr>
        <w:spacing w:after="0" w:line="259" w:lineRule="auto"/>
        <w:ind w:left="0" w:firstLine="0"/>
      </w:pPr>
      <w:r>
        <w:t xml:space="preserve"> </w:t>
      </w:r>
      <w:r>
        <w:tab/>
        <w:t xml:space="preserve"> </w:t>
      </w:r>
    </w:p>
    <w:p w14:paraId="3ABE689F" w14:textId="77777777" w:rsidR="005E21F8" w:rsidRDefault="00354B3A">
      <w:pPr>
        <w:pStyle w:val="Heading1"/>
        <w:spacing w:after="232"/>
        <w:ind w:left="13" w:right="2"/>
        <w:jc w:val="center"/>
      </w:pPr>
      <w:bookmarkStart w:id="16" w:name="_Toc14116"/>
      <w:r>
        <w:t>References</w:t>
      </w:r>
      <w:r>
        <w:t xml:space="preserve"> </w:t>
      </w:r>
      <w:bookmarkEnd w:id="16"/>
    </w:p>
    <w:p w14:paraId="35C072D4" w14:textId="77777777" w:rsidR="005E21F8" w:rsidRDefault="00354B3A">
      <w:pPr>
        <w:ind w:left="705" w:hanging="720"/>
      </w:pPr>
      <w:r>
        <w:t>Abushanab, D., Marquina, C., Morton, J.I., Al-</w:t>
      </w:r>
      <w:proofErr w:type="spellStart"/>
      <w:r>
        <w:t>Badriyeh</w:t>
      </w:r>
      <w:proofErr w:type="spellEnd"/>
      <w:r>
        <w:t>, D., Lloyd, M., Magliano, D.J., Liew, D. and Ademi, Z., 2023. Projecting the health and economic burden of cardiovascular disease among people with type 2 diabetes, 2022–</w:t>
      </w:r>
    </w:p>
    <w:p w14:paraId="33020B67" w14:textId="77777777" w:rsidR="005E21F8" w:rsidRDefault="00354B3A">
      <w:pPr>
        <w:spacing w:after="232" w:line="259" w:lineRule="auto"/>
        <w:ind w:left="730"/>
      </w:pPr>
      <w:r>
        <w:t>2031.</w:t>
      </w:r>
      <w:r>
        <w:t xml:space="preserve"> </w:t>
      </w:r>
      <w:r>
        <w:rPr>
          <w:i/>
        </w:rPr>
        <w:t>Pharmacoeconomics</w:t>
      </w:r>
      <w:r>
        <w:t>,</w:t>
      </w:r>
      <w:r>
        <w:t xml:space="preserve"> </w:t>
      </w:r>
      <w:r>
        <w:rPr>
          <w:i/>
        </w:rPr>
        <w:t>41</w:t>
      </w:r>
      <w:r>
        <w:t>(6), pp.719-732.</w:t>
      </w:r>
      <w:r>
        <w:t xml:space="preserve"> </w:t>
      </w:r>
      <w:r>
        <w:t>https://doi.org/10.1007/s40273-023-</w:t>
      </w:r>
    </w:p>
    <w:p w14:paraId="707C46D5" w14:textId="77777777" w:rsidR="005E21F8" w:rsidRDefault="00354B3A">
      <w:pPr>
        <w:spacing w:after="232" w:line="259" w:lineRule="auto"/>
        <w:ind w:left="730"/>
      </w:pPr>
      <w:r>
        <w:t>01258-7</w:t>
      </w:r>
      <w:r>
        <w:t xml:space="preserve"> </w:t>
      </w:r>
    </w:p>
    <w:p w14:paraId="6AB6401A" w14:textId="77777777" w:rsidR="005E21F8" w:rsidRDefault="00354B3A">
      <w:pPr>
        <w:ind w:left="705" w:hanging="720"/>
      </w:pPr>
      <w:r>
        <w:t>Ajayi, O., 2021. A perspective on health inequalities in BAME communities and how to improve access to primary care.</w:t>
      </w:r>
      <w:r>
        <w:t xml:space="preserve"> </w:t>
      </w:r>
      <w:r>
        <w:rPr>
          <w:i/>
        </w:rPr>
        <w:t>Future healthcare journal</w:t>
      </w:r>
      <w:r>
        <w:t>,</w:t>
      </w:r>
      <w:r>
        <w:t xml:space="preserve"> </w:t>
      </w:r>
      <w:r>
        <w:rPr>
          <w:i/>
        </w:rPr>
        <w:t>8</w:t>
      </w:r>
      <w:r>
        <w:t xml:space="preserve">(1), pp.36-39. </w:t>
      </w:r>
    </w:p>
    <w:p w14:paraId="6CC626D8" w14:textId="77777777" w:rsidR="005E21F8" w:rsidRDefault="00354B3A">
      <w:pPr>
        <w:spacing w:after="230" w:line="259" w:lineRule="auto"/>
        <w:ind w:left="715"/>
      </w:pPr>
      <w:hyperlink r:id="rId8">
        <w:r>
          <w:rPr>
            <w:u w:val="single" w:color="000000"/>
          </w:rPr>
          <w:t>https://doi.org/10.7861/fhj.2020</w:t>
        </w:r>
      </w:hyperlink>
      <w:hyperlink r:id="rId9">
        <w:r>
          <w:rPr>
            <w:u w:val="single" w:color="000000"/>
          </w:rPr>
          <w:t>-</w:t>
        </w:r>
      </w:hyperlink>
      <w:hyperlink r:id="rId10">
        <w:r>
          <w:rPr>
            <w:u w:val="single" w:color="000000"/>
          </w:rPr>
          <w:t>0217</w:t>
        </w:r>
      </w:hyperlink>
      <w:hyperlink r:id="rId11">
        <w:r>
          <w:t xml:space="preserve"> </w:t>
        </w:r>
      </w:hyperlink>
    </w:p>
    <w:p w14:paraId="08CD20E9" w14:textId="77777777" w:rsidR="005E21F8" w:rsidRDefault="00354B3A">
      <w:pPr>
        <w:ind w:left="705" w:hanging="720"/>
      </w:pPr>
      <w:r>
        <w:t>Barnett, A.H., Dixon, A.N., Bellary, S., Hanif, M.W., O’Hare, J.P., Raymond, N.T. and Kumar, S., 2006. Type 2 diabetes and cardiovascular risk in the UK south Asian community.</w:t>
      </w:r>
      <w:r>
        <w:t xml:space="preserve"> </w:t>
      </w:r>
      <w:proofErr w:type="spellStart"/>
      <w:r>
        <w:rPr>
          <w:i/>
        </w:rPr>
        <w:t>Diabetologia</w:t>
      </w:r>
      <w:proofErr w:type="spellEnd"/>
      <w:r>
        <w:t>,</w:t>
      </w:r>
      <w:r>
        <w:t xml:space="preserve"> </w:t>
      </w:r>
      <w:r>
        <w:rPr>
          <w:i/>
        </w:rPr>
        <w:t>49</w:t>
      </w:r>
      <w:r>
        <w:t>(10), pp.2234-2246. https://doi.org/10.1007/s00125-006-</w:t>
      </w:r>
    </w:p>
    <w:p w14:paraId="4074489C" w14:textId="77777777" w:rsidR="005E21F8" w:rsidRDefault="00354B3A">
      <w:pPr>
        <w:spacing w:after="232" w:line="259" w:lineRule="auto"/>
        <w:ind w:left="730"/>
      </w:pPr>
      <w:r>
        <w:t>0325-1</w:t>
      </w:r>
      <w:r>
        <w:t xml:space="preserve"> </w:t>
      </w:r>
    </w:p>
    <w:p w14:paraId="48126AD4" w14:textId="77777777" w:rsidR="005E21F8" w:rsidRDefault="00354B3A">
      <w:pPr>
        <w:ind w:left="705" w:hanging="720"/>
      </w:pPr>
      <w:r>
        <w:t xml:space="preserve">Bhopal, R.S., Douglas, A., Wallia, S., Forbes, J.F., Lean, M.E., Gill, J.M., McKnight, J.A., Sattar, N., Sheikh, A., Wild, S.H. and </w:t>
      </w:r>
      <w:proofErr w:type="spellStart"/>
      <w:r>
        <w:t>Tuomilehto</w:t>
      </w:r>
      <w:proofErr w:type="spellEnd"/>
      <w:r>
        <w:t xml:space="preserve">, J., 2014. Effect of a lifestyle </w:t>
      </w:r>
      <w:r>
        <w:lastRenderedPageBreak/>
        <w:t>intervention on weight change in south Asian individuals in the UK at high risk of type 2 diabetes: a family-cluster randomised controlled trial.</w:t>
      </w:r>
      <w:r>
        <w:t xml:space="preserve"> </w:t>
      </w:r>
      <w:r>
        <w:rPr>
          <w:i/>
        </w:rPr>
        <w:t>The lancet Diabetes &amp; endocrinology</w:t>
      </w:r>
      <w:r>
        <w:t>,</w:t>
      </w:r>
      <w:r>
        <w:t xml:space="preserve"> </w:t>
      </w:r>
      <w:r>
        <w:rPr>
          <w:i/>
        </w:rPr>
        <w:t>2</w:t>
      </w:r>
      <w:r>
        <w:t xml:space="preserve">(3), pp.218-227. </w:t>
      </w:r>
    </w:p>
    <w:p w14:paraId="05991EE9" w14:textId="77777777" w:rsidR="005E21F8" w:rsidRDefault="00354B3A">
      <w:pPr>
        <w:spacing w:after="230" w:line="259" w:lineRule="auto"/>
        <w:ind w:left="715"/>
      </w:pPr>
      <w:hyperlink r:id="rId12">
        <w:r>
          <w:rPr>
            <w:u w:val="single" w:color="000000"/>
          </w:rPr>
          <w:t>https://www.thelancet.com/journals/lancet/article/PIIS2213</w:t>
        </w:r>
      </w:hyperlink>
      <w:hyperlink r:id="rId13">
        <w:r>
          <w:rPr>
            <w:u w:val="single" w:color="000000"/>
          </w:rPr>
          <w:t>-</w:t>
        </w:r>
      </w:hyperlink>
      <w:hyperlink r:id="rId14">
        <w:r>
          <w:rPr>
            <w:u w:val="single" w:color="000000"/>
          </w:rPr>
          <w:t>8587(13)70204</w:t>
        </w:r>
      </w:hyperlink>
      <w:hyperlink r:id="rId15">
        <w:r>
          <w:rPr>
            <w:u w:val="single" w:color="000000"/>
          </w:rPr>
          <w:t>-</w:t>
        </w:r>
      </w:hyperlink>
      <w:hyperlink r:id="rId16">
        <w:r>
          <w:rPr>
            <w:u w:val="single" w:color="000000"/>
          </w:rPr>
          <w:t>3/fulltext</w:t>
        </w:r>
      </w:hyperlink>
      <w:hyperlink r:id="rId17">
        <w:r>
          <w:t xml:space="preserve"> </w:t>
        </w:r>
      </w:hyperlink>
    </w:p>
    <w:p w14:paraId="5E438697" w14:textId="77777777" w:rsidR="005E21F8" w:rsidRDefault="00354B3A">
      <w:pPr>
        <w:ind w:left="705" w:hanging="720"/>
      </w:pPr>
      <w:r>
        <w:t xml:space="preserve">Bhugra, D., Wijesuriya, R., </w:t>
      </w:r>
      <w:proofErr w:type="spellStart"/>
      <w:r>
        <w:t>Gnanapragasam</w:t>
      </w:r>
      <w:proofErr w:type="spellEnd"/>
      <w:r>
        <w:t>, S. and Persaud, A., 2020. Black and minority mental health in the UK: Challenges and solutions.</w:t>
      </w:r>
      <w:r>
        <w:t xml:space="preserve"> </w:t>
      </w:r>
      <w:r>
        <w:rPr>
          <w:i/>
        </w:rPr>
        <w:t xml:space="preserve">Forensic Science International: </w:t>
      </w:r>
    </w:p>
    <w:p w14:paraId="5F8F46AA" w14:textId="77777777" w:rsidR="005E21F8" w:rsidRDefault="00354B3A">
      <w:pPr>
        <w:spacing w:after="230" w:line="259" w:lineRule="auto"/>
        <w:ind w:left="715"/>
      </w:pPr>
      <w:r>
        <w:rPr>
          <w:i/>
        </w:rPr>
        <w:t>Mind and Law</w:t>
      </w:r>
      <w:r>
        <w:t>,</w:t>
      </w:r>
      <w:r>
        <w:t xml:space="preserve"> </w:t>
      </w:r>
      <w:r>
        <w:rPr>
          <w:i/>
        </w:rPr>
        <w:t>1</w:t>
      </w:r>
      <w:r>
        <w:t xml:space="preserve">, p.100036. </w:t>
      </w:r>
      <w:hyperlink r:id="rId18">
        <w:r>
          <w:rPr>
            <w:u w:val="single" w:color="000000"/>
          </w:rPr>
          <w:t>https://doi.org/10.1016/j.fsiml.2020.100036</w:t>
        </w:r>
      </w:hyperlink>
      <w:hyperlink r:id="rId19">
        <w:r>
          <w:t xml:space="preserve"> </w:t>
        </w:r>
      </w:hyperlink>
    </w:p>
    <w:p w14:paraId="1696D29C" w14:textId="77777777" w:rsidR="005E21F8" w:rsidRDefault="00354B3A">
      <w:pPr>
        <w:spacing w:after="232" w:line="259" w:lineRule="auto"/>
        <w:ind w:left="-5"/>
      </w:pPr>
      <w:r>
        <w:t xml:space="preserve">Carpenter, J. R., Morris, T. P., Sharma, M., &amp; Petersen, I. (2019). Ethnic Differences in the </w:t>
      </w:r>
    </w:p>
    <w:p w14:paraId="331A5EE6" w14:textId="77777777" w:rsidR="005E21F8" w:rsidRDefault="00354B3A">
      <w:pPr>
        <w:spacing w:after="232" w:line="259" w:lineRule="auto"/>
        <w:ind w:left="730"/>
      </w:pPr>
      <w:r>
        <w:t xml:space="preserve">Prevalence of Type 2 Diabetes Diagnoses in the UK: Cross-Sectional Analysis of the </w:t>
      </w:r>
    </w:p>
    <w:p w14:paraId="15B76830" w14:textId="77777777" w:rsidR="005E21F8" w:rsidRDefault="00354B3A">
      <w:pPr>
        <w:spacing w:after="230" w:line="259" w:lineRule="auto"/>
        <w:ind w:left="730"/>
      </w:pPr>
      <w:r>
        <w:t xml:space="preserve">Health Improvement Network Primary Care Database. Clinical epidemiology, 11, </w:t>
      </w:r>
    </w:p>
    <w:p w14:paraId="3824A99E" w14:textId="77777777" w:rsidR="005E21F8" w:rsidRDefault="00354B3A">
      <w:pPr>
        <w:spacing w:after="230" w:line="259" w:lineRule="auto"/>
        <w:ind w:left="715"/>
      </w:pPr>
      <w:r>
        <w:t>1081-1088.</w:t>
      </w:r>
      <w:hyperlink r:id="rId20">
        <w:r>
          <w:t xml:space="preserve"> </w:t>
        </w:r>
      </w:hyperlink>
      <w:hyperlink r:id="rId21">
        <w:r>
          <w:rPr>
            <w:u w:val="single" w:color="000000"/>
          </w:rPr>
          <w:t>https://doi.org/10.2147/CLEP.S227621</w:t>
        </w:r>
      </w:hyperlink>
      <w:hyperlink r:id="rId22">
        <w:r>
          <w:t xml:space="preserve"> </w:t>
        </w:r>
      </w:hyperlink>
    </w:p>
    <w:p w14:paraId="718BE45E" w14:textId="77777777" w:rsidR="005E21F8" w:rsidRDefault="00354B3A">
      <w:pPr>
        <w:spacing w:after="232" w:line="259" w:lineRule="auto"/>
        <w:ind w:left="-5"/>
      </w:pPr>
      <w:r>
        <w:t xml:space="preserve">Crandall, J.P., </w:t>
      </w:r>
      <w:proofErr w:type="spellStart"/>
      <w:r>
        <w:t>Dabelea</w:t>
      </w:r>
      <w:proofErr w:type="spellEnd"/>
      <w:r>
        <w:t xml:space="preserve">, D., Knowler, W.C., Nathan, D.M. and </w:t>
      </w:r>
      <w:proofErr w:type="spellStart"/>
      <w:r>
        <w:t>Temprosa</w:t>
      </w:r>
      <w:proofErr w:type="spellEnd"/>
      <w:r>
        <w:t xml:space="preserve">, M., 2025. The </w:t>
      </w:r>
    </w:p>
    <w:p w14:paraId="1EC4DF6A" w14:textId="77777777" w:rsidR="005E21F8" w:rsidRDefault="00354B3A">
      <w:pPr>
        <w:spacing w:line="259" w:lineRule="auto"/>
        <w:ind w:left="730"/>
      </w:pPr>
      <w:r>
        <w:t xml:space="preserve">Diabetes Prevention Program and its Outcomes Study: NIDDK’s journey into the </w:t>
      </w:r>
    </w:p>
    <w:p w14:paraId="01BBA354" w14:textId="77777777" w:rsidR="005E21F8" w:rsidRDefault="00354B3A">
      <w:pPr>
        <w:ind w:left="730"/>
      </w:pPr>
      <w:r>
        <w:t>prevention of type 2 diabetes and its public health impact.</w:t>
      </w:r>
      <w:r>
        <w:t xml:space="preserve"> </w:t>
      </w:r>
      <w:r>
        <w:rPr>
          <w:i/>
        </w:rPr>
        <w:t>Diabetes Care</w:t>
      </w:r>
      <w:r>
        <w:t>,</w:t>
      </w:r>
      <w:r>
        <w:t xml:space="preserve"> </w:t>
      </w:r>
      <w:r>
        <w:rPr>
          <w:i/>
        </w:rPr>
        <w:t>48</w:t>
      </w:r>
      <w:r>
        <w:t xml:space="preserve">(7), pp.1101-1111. </w:t>
      </w:r>
      <w:hyperlink r:id="rId23">
        <w:r>
          <w:rPr>
            <w:u w:val="single" w:color="000000"/>
          </w:rPr>
          <w:t>https://doi.org/10.2337/dc25</w:t>
        </w:r>
      </w:hyperlink>
      <w:hyperlink r:id="rId24">
        <w:r>
          <w:rPr>
            <w:u w:val="single" w:color="000000"/>
          </w:rPr>
          <w:t>-</w:t>
        </w:r>
      </w:hyperlink>
      <w:hyperlink r:id="rId25">
        <w:r>
          <w:rPr>
            <w:u w:val="single" w:color="000000"/>
          </w:rPr>
          <w:t>0014</w:t>
        </w:r>
      </w:hyperlink>
      <w:hyperlink r:id="rId26">
        <w:r>
          <w:t xml:space="preserve"> </w:t>
        </w:r>
      </w:hyperlink>
    </w:p>
    <w:p w14:paraId="16757B60" w14:textId="77777777" w:rsidR="005E21F8" w:rsidRDefault="00354B3A">
      <w:pPr>
        <w:ind w:left="705" w:hanging="720"/>
      </w:pPr>
      <w:r>
        <w:t>Department of Health and Social Care. 2023, May 12.</w:t>
      </w:r>
      <w:r>
        <w:t xml:space="preserve"> </w:t>
      </w:r>
      <w:r>
        <w:rPr>
          <w:i/>
        </w:rPr>
        <w:t>Type 2 diabetes prevention week 2025 toolkit</w:t>
      </w:r>
      <w:r>
        <w:t xml:space="preserve">. Campaign Resource </w:t>
      </w:r>
    </w:p>
    <w:p w14:paraId="340ACBA6" w14:textId="77777777" w:rsidR="005E21F8" w:rsidRDefault="00354B3A">
      <w:pPr>
        <w:ind w:left="730"/>
      </w:pPr>
      <w:r>
        <w:t>Centre.</w:t>
      </w:r>
      <w:r>
        <w:t xml:space="preserve"> </w:t>
      </w:r>
      <w:r>
        <w:t>https://campaignresources.dhsc.gov.uk/campaigns/healthier-you-nhsdiabetes-prevention-programme/type-2-diabetes-prevention-week-2025-toolkit/</w:t>
      </w:r>
      <w:r>
        <w:t xml:space="preserve"> </w:t>
      </w:r>
    </w:p>
    <w:p w14:paraId="1D336B82" w14:textId="77777777" w:rsidR="005E21F8" w:rsidRDefault="00354B3A">
      <w:pPr>
        <w:ind w:left="705" w:hanging="720"/>
      </w:pPr>
      <w:r>
        <w:t>Farhat, G., Mellor, D.D., Sattar, N., Harvie, M., Issa, B. and Rutter, M.K., 2024. Effectiveness of lifestyle interventions/culturally bespoke programmes in South Asian ethnic groups targeting weight loss for prevention and/or remission of type 2 diabetes: a systematic review and meta</w:t>
      </w:r>
      <w:r>
        <w:rPr>
          <w:rFonts w:ascii="Cambria Math" w:eastAsia="Cambria Math" w:hAnsi="Cambria Math" w:cs="Cambria Math"/>
        </w:rPr>
        <w:t>‐</w:t>
      </w:r>
      <w:r>
        <w:t>analysis of intervention trials.</w:t>
      </w:r>
      <w:r>
        <w:t xml:space="preserve"> </w:t>
      </w:r>
      <w:r>
        <w:rPr>
          <w:i/>
        </w:rPr>
        <w:t xml:space="preserve">Journal of Human Nutrition and </w:t>
      </w:r>
    </w:p>
    <w:p w14:paraId="58B029A6" w14:textId="77777777" w:rsidR="005E21F8" w:rsidRDefault="00354B3A">
      <w:pPr>
        <w:spacing w:after="230" w:line="259" w:lineRule="auto"/>
        <w:ind w:left="715"/>
      </w:pPr>
      <w:r>
        <w:rPr>
          <w:i/>
        </w:rPr>
        <w:t>Dietetics</w:t>
      </w:r>
      <w:r>
        <w:t>,</w:t>
      </w:r>
      <w:r>
        <w:t xml:space="preserve"> </w:t>
      </w:r>
      <w:r>
        <w:rPr>
          <w:i/>
        </w:rPr>
        <w:t>37</w:t>
      </w:r>
      <w:r>
        <w:t xml:space="preserve">(2), pp.550-563. </w:t>
      </w:r>
      <w:hyperlink r:id="rId27">
        <w:r>
          <w:rPr>
            <w:u w:val="single" w:color="000000"/>
          </w:rPr>
          <w:t>https://doi.org/10.1111/jhn.13279</w:t>
        </w:r>
      </w:hyperlink>
      <w:hyperlink r:id="rId28">
        <w:r>
          <w:t xml:space="preserve"> </w:t>
        </w:r>
      </w:hyperlink>
    </w:p>
    <w:p w14:paraId="793AB3D2" w14:textId="77777777" w:rsidR="005E21F8" w:rsidRDefault="00354B3A">
      <w:pPr>
        <w:ind w:left="705" w:hanging="720"/>
      </w:pPr>
      <w:r>
        <w:t>GOV.UK. 2025, May 2.</w:t>
      </w:r>
      <w:r>
        <w:t xml:space="preserve"> </w:t>
      </w:r>
      <w:r>
        <w:rPr>
          <w:i/>
        </w:rPr>
        <w:t>How factors like your location, job or ethnicity can damage your health</w:t>
      </w:r>
      <w:r>
        <w:t xml:space="preserve">. UK Health Security Agency – The official blog of the UK Health Security Agency, providing expert insight on the organisation's work and all aspects of health </w:t>
      </w:r>
      <w:r>
        <w:lastRenderedPageBreak/>
        <w:t>security.</w:t>
      </w:r>
      <w:r>
        <w:t xml:space="preserve"> </w:t>
      </w:r>
      <w:r>
        <w:t>https://ukhsa.blog.gov.uk/2025/05/02/how-factors-like-your-location-job-orethnicity-can-damage-your-health/</w:t>
      </w:r>
      <w:r>
        <w:t xml:space="preserve"> </w:t>
      </w:r>
    </w:p>
    <w:p w14:paraId="5C117C6B" w14:textId="77777777" w:rsidR="005E21F8" w:rsidRDefault="00354B3A">
      <w:pPr>
        <w:ind w:left="705" w:hanging="720"/>
      </w:pPr>
      <w:r>
        <w:t>Gray, J., 2021. Reform of the Mental Health Act in the UK.</w:t>
      </w:r>
      <w:r>
        <w:t xml:space="preserve"> </w:t>
      </w:r>
      <w:r>
        <w:rPr>
          <w:i/>
        </w:rPr>
        <w:t>The Lancet Psychiatry</w:t>
      </w:r>
      <w:r>
        <w:t>,</w:t>
      </w:r>
      <w:r>
        <w:t xml:space="preserve"> </w:t>
      </w:r>
      <w:r>
        <w:rPr>
          <w:i/>
        </w:rPr>
        <w:t>8</w:t>
      </w:r>
      <w:r>
        <w:t xml:space="preserve">(8), pp.652-653. </w:t>
      </w:r>
      <w:hyperlink r:id="rId29">
        <w:r>
          <w:rPr>
            <w:u w:val="single" w:color="000000"/>
          </w:rPr>
          <w:t>https://www.thelancet.com/journals/lanpsy/article/PIIS2215</w:t>
        </w:r>
      </w:hyperlink>
      <w:hyperlink r:id="rId30">
        <w:r>
          <w:rPr>
            <w:u w:val="single" w:color="000000"/>
          </w:rPr>
          <w:t>-</w:t>
        </w:r>
      </w:hyperlink>
    </w:p>
    <w:p w14:paraId="25DEFBE6" w14:textId="77777777" w:rsidR="005E21F8" w:rsidRDefault="00354B3A">
      <w:pPr>
        <w:spacing w:after="230" w:line="259" w:lineRule="auto"/>
        <w:ind w:left="715"/>
      </w:pPr>
      <w:hyperlink r:id="rId31">
        <w:r>
          <w:rPr>
            <w:u w:val="single" w:color="000000"/>
          </w:rPr>
          <w:t>0366(21)00214</w:t>
        </w:r>
      </w:hyperlink>
      <w:hyperlink r:id="rId32">
        <w:r>
          <w:rPr>
            <w:u w:val="single" w:color="000000"/>
          </w:rPr>
          <w:t>-</w:t>
        </w:r>
      </w:hyperlink>
      <w:hyperlink r:id="rId33">
        <w:r>
          <w:rPr>
            <w:u w:val="single" w:color="000000"/>
          </w:rPr>
          <w:t>5/</w:t>
        </w:r>
        <w:proofErr w:type="spellStart"/>
        <w:r>
          <w:rPr>
            <w:u w:val="single" w:color="000000"/>
          </w:rPr>
          <w:t>fulltext</w:t>
        </w:r>
        <w:proofErr w:type="spellEnd"/>
      </w:hyperlink>
      <w:hyperlink r:id="rId34">
        <w:r>
          <w:t xml:space="preserve"> </w:t>
        </w:r>
      </w:hyperlink>
    </w:p>
    <w:p w14:paraId="76727706" w14:textId="77777777" w:rsidR="005E21F8" w:rsidRDefault="00354B3A">
      <w:pPr>
        <w:ind w:left="705" w:hanging="720"/>
      </w:pPr>
      <w:proofErr w:type="spellStart"/>
      <w:r>
        <w:t>Hayanga</w:t>
      </w:r>
      <w:proofErr w:type="spellEnd"/>
      <w:r>
        <w:t xml:space="preserve">, B., Stafford, M. and </w:t>
      </w:r>
      <w:proofErr w:type="spellStart"/>
      <w:r>
        <w:t>Becares</w:t>
      </w:r>
      <w:proofErr w:type="spellEnd"/>
      <w:r>
        <w:t>, L., 2021. Ethnic inequalities in healthcare use and care quality among people with multiple long-term health conditions living in the United Kingdom: a systematic review and narrative synthesis.</w:t>
      </w:r>
      <w:r>
        <w:t xml:space="preserve"> </w:t>
      </w:r>
      <w:r>
        <w:rPr>
          <w:i/>
        </w:rPr>
        <w:t xml:space="preserve">International Journal of </w:t>
      </w:r>
    </w:p>
    <w:p w14:paraId="204D2488" w14:textId="77777777" w:rsidR="005E21F8" w:rsidRDefault="00354B3A">
      <w:pPr>
        <w:spacing w:after="231" w:line="259" w:lineRule="auto"/>
        <w:ind w:left="730"/>
      </w:pPr>
      <w:r>
        <w:rPr>
          <w:i/>
        </w:rPr>
        <w:t>Environmental Research and Public Health</w:t>
      </w:r>
      <w:r>
        <w:t>,</w:t>
      </w:r>
      <w:r>
        <w:t xml:space="preserve"> </w:t>
      </w:r>
      <w:r>
        <w:rPr>
          <w:i/>
        </w:rPr>
        <w:t>18</w:t>
      </w:r>
      <w:r>
        <w:t xml:space="preserve">(23), p.12599. </w:t>
      </w:r>
    </w:p>
    <w:p w14:paraId="4A7F38EB" w14:textId="77777777" w:rsidR="005E21F8" w:rsidRDefault="00354B3A">
      <w:pPr>
        <w:spacing w:after="230" w:line="259" w:lineRule="auto"/>
        <w:ind w:left="715"/>
      </w:pPr>
      <w:hyperlink r:id="rId35">
        <w:r>
          <w:rPr>
            <w:u w:val="single" w:color="000000"/>
          </w:rPr>
          <w:t>https://doi.org/10.3390/ijerph182312599</w:t>
        </w:r>
      </w:hyperlink>
      <w:hyperlink r:id="rId36">
        <w:r>
          <w:t xml:space="preserve"> </w:t>
        </w:r>
      </w:hyperlink>
    </w:p>
    <w:p w14:paraId="0DB75C1A" w14:textId="77777777" w:rsidR="005E21F8" w:rsidRDefault="00354B3A">
      <w:pPr>
        <w:spacing w:after="232" w:line="259" w:lineRule="auto"/>
        <w:ind w:left="-5"/>
      </w:pPr>
      <w:r>
        <w:t xml:space="preserve">Holman, N., Knighton, P., Wild, S.H., Sattar, N., Dew, C., Gregg, E.W., Khunti, K., </w:t>
      </w:r>
      <w:proofErr w:type="spellStart"/>
      <w:r>
        <w:t>Valabhji</w:t>
      </w:r>
      <w:proofErr w:type="spellEnd"/>
      <w:r>
        <w:t xml:space="preserve">, J. </w:t>
      </w:r>
    </w:p>
    <w:p w14:paraId="4E5504EC" w14:textId="77777777" w:rsidR="005E21F8" w:rsidRDefault="00354B3A">
      <w:pPr>
        <w:spacing w:after="230" w:line="259" w:lineRule="auto"/>
        <w:ind w:left="730"/>
      </w:pPr>
      <w:r>
        <w:t xml:space="preserve">and Young, B., 2021. Cohort profile: national diabetes audit for England and </w:t>
      </w:r>
    </w:p>
    <w:p w14:paraId="2EAAA368" w14:textId="77777777" w:rsidR="005E21F8" w:rsidRDefault="00354B3A">
      <w:pPr>
        <w:spacing w:after="230" w:line="259" w:lineRule="auto"/>
        <w:ind w:left="715"/>
      </w:pPr>
      <w:r>
        <w:t>Wales.</w:t>
      </w:r>
      <w:r>
        <w:t xml:space="preserve"> </w:t>
      </w:r>
      <w:r>
        <w:rPr>
          <w:i/>
        </w:rPr>
        <w:t>Diabetic Medicine</w:t>
      </w:r>
      <w:r>
        <w:t>,</w:t>
      </w:r>
      <w:r>
        <w:t xml:space="preserve"> </w:t>
      </w:r>
      <w:r>
        <w:rPr>
          <w:i/>
        </w:rPr>
        <w:t>38</w:t>
      </w:r>
      <w:r>
        <w:t xml:space="preserve">(9), p.e14616. </w:t>
      </w:r>
      <w:hyperlink r:id="rId37">
        <w:r>
          <w:rPr>
            <w:u w:val="single" w:color="000000"/>
          </w:rPr>
          <w:t>https://doi.org/10.1111/dme.14616</w:t>
        </w:r>
      </w:hyperlink>
      <w:hyperlink r:id="rId38">
        <w:r>
          <w:t xml:space="preserve"> </w:t>
        </w:r>
      </w:hyperlink>
    </w:p>
    <w:p w14:paraId="634BA62B" w14:textId="77777777" w:rsidR="005E21F8" w:rsidRDefault="00354B3A">
      <w:pPr>
        <w:ind w:left="705" w:right="98" w:hanging="720"/>
      </w:pPr>
      <w:r>
        <w:t>Kevin,</w:t>
      </w:r>
      <w:r>
        <w:t xml:space="preserve"> </w:t>
      </w:r>
      <w:r>
        <w:t>G., 2017, October 11.</w:t>
      </w:r>
      <w:r>
        <w:t xml:space="preserve"> </w:t>
      </w:r>
      <w:r>
        <w:rPr>
          <w:i/>
        </w:rPr>
        <w:t>Racial discrimination in UK housing has a long history and deep roots</w:t>
      </w:r>
      <w:r>
        <w:t>. LSE British Politics | Informed debate for better governance.</w:t>
      </w:r>
      <w:r>
        <w:t xml:space="preserve"> </w:t>
      </w:r>
      <w:r>
        <w:t>https://blogs.lse.ac.uk/politicsandpolicy/racial-discrimination-in-housing/</w:t>
      </w:r>
      <w:r>
        <w:t xml:space="preserve"> </w:t>
      </w:r>
    </w:p>
    <w:p w14:paraId="6832B435" w14:textId="77777777" w:rsidR="005E21F8" w:rsidRDefault="00354B3A">
      <w:pPr>
        <w:ind w:left="705" w:hanging="720"/>
      </w:pPr>
      <w:r>
        <w:t>Macias-</w:t>
      </w:r>
      <w:r>
        <w:t>Konstantopoulos, W.L., Collins, K.A., Diaz, R., Duber, H.C., Edwards, C.D., Hsu, A.P., Ranney, M.L., Riviello, R.J., Wettstein, Z.S. and Sachs, C.J., 2023. Race, healthcare, and health disparities: a critical review and recommendations for advancing health equity.</w:t>
      </w:r>
      <w:r>
        <w:t xml:space="preserve"> </w:t>
      </w:r>
      <w:r>
        <w:rPr>
          <w:i/>
        </w:rPr>
        <w:t>Western journal of emergency medicine</w:t>
      </w:r>
      <w:r>
        <w:t>,</w:t>
      </w:r>
      <w:r>
        <w:t xml:space="preserve"> </w:t>
      </w:r>
      <w:r>
        <w:rPr>
          <w:i/>
        </w:rPr>
        <w:t>24</w:t>
      </w:r>
      <w:r>
        <w:t xml:space="preserve">(5), p.906. </w:t>
      </w:r>
    </w:p>
    <w:p w14:paraId="7C38475E" w14:textId="77777777" w:rsidR="005E21F8" w:rsidRDefault="00354B3A">
      <w:pPr>
        <w:spacing w:after="230" w:line="259" w:lineRule="auto"/>
        <w:ind w:left="715"/>
      </w:pPr>
      <w:hyperlink r:id="rId39">
        <w:r>
          <w:rPr>
            <w:u w:val="single" w:color="000000"/>
          </w:rPr>
          <w:t>https://doi.org/10.5811/westjem.58408</w:t>
        </w:r>
      </w:hyperlink>
      <w:hyperlink r:id="rId40">
        <w:r>
          <w:t xml:space="preserve"> </w:t>
        </w:r>
      </w:hyperlink>
    </w:p>
    <w:p w14:paraId="1616D37E" w14:textId="77777777" w:rsidR="005E21F8" w:rsidRDefault="00354B3A">
      <w:pPr>
        <w:spacing w:after="1"/>
        <w:ind w:left="715" w:right="427" w:hanging="730"/>
        <w:jc w:val="both"/>
      </w:pPr>
      <w:r>
        <w:t>Mental Health UK. 2024, October 21.</w:t>
      </w:r>
      <w:r>
        <w:t xml:space="preserve"> </w:t>
      </w:r>
      <w:r>
        <w:rPr>
          <w:i/>
        </w:rPr>
        <w:t>Black, Asian and minority ethnic mental health</w:t>
      </w:r>
      <w:r>
        <w:t>.</w:t>
      </w:r>
      <w:r>
        <w:t xml:space="preserve"> </w:t>
      </w:r>
      <w:r>
        <w:t>https://mentalhealth-uk.org/black-asian-and-minority-ethnic-bame-mentalhealth/</w:t>
      </w:r>
      <w:r>
        <w:t xml:space="preserve"> </w:t>
      </w:r>
    </w:p>
    <w:p w14:paraId="04BC4372" w14:textId="77777777" w:rsidR="005E21F8" w:rsidRDefault="00354B3A">
      <w:pPr>
        <w:ind w:left="705" w:hanging="720"/>
      </w:pPr>
      <w:r>
        <w:t>Misra, A., Sattar, N., Ghosh, A., Nassar, M., Jayawardena, R. and Gupta, R., 2025. Type 2 diabetes in south Asians.</w:t>
      </w:r>
      <w:r>
        <w:t xml:space="preserve"> </w:t>
      </w:r>
      <w:proofErr w:type="spellStart"/>
      <w:r>
        <w:rPr>
          <w:i/>
        </w:rPr>
        <w:t>bmj</w:t>
      </w:r>
      <w:proofErr w:type="spellEnd"/>
      <w:r>
        <w:t>,</w:t>
      </w:r>
      <w:r>
        <w:t xml:space="preserve"> </w:t>
      </w:r>
      <w:r>
        <w:rPr>
          <w:i/>
        </w:rPr>
        <w:t>390</w:t>
      </w:r>
      <w:r>
        <w:t>.</w:t>
      </w:r>
      <w:hyperlink r:id="rId41">
        <w:r>
          <w:t xml:space="preserve"> </w:t>
        </w:r>
      </w:hyperlink>
      <w:hyperlink r:id="rId42">
        <w:r>
          <w:rPr>
            <w:u w:val="single" w:color="000000"/>
          </w:rPr>
          <w:t>https://doi.org/10.1136/bmj</w:t>
        </w:r>
      </w:hyperlink>
      <w:hyperlink r:id="rId43">
        <w:r>
          <w:rPr>
            <w:u w:val="single" w:color="000000"/>
          </w:rPr>
          <w:t>-</w:t>
        </w:r>
      </w:hyperlink>
      <w:hyperlink r:id="rId44">
        <w:r>
          <w:rPr>
            <w:u w:val="single" w:color="000000"/>
          </w:rPr>
          <w:t>2024</w:t>
        </w:r>
      </w:hyperlink>
      <w:hyperlink r:id="rId45">
        <w:r>
          <w:rPr>
            <w:u w:val="single" w:color="000000"/>
          </w:rPr>
          <w:t>-</w:t>
        </w:r>
      </w:hyperlink>
      <w:hyperlink r:id="rId46">
        <w:r>
          <w:rPr>
            <w:u w:val="single" w:color="000000"/>
          </w:rPr>
          <w:t>079801</w:t>
        </w:r>
      </w:hyperlink>
      <w:hyperlink r:id="rId47">
        <w:r>
          <w:t xml:space="preserve"> </w:t>
        </w:r>
      </w:hyperlink>
    </w:p>
    <w:p w14:paraId="45742882" w14:textId="77777777" w:rsidR="005E21F8" w:rsidRDefault="00354B3A">
      <w:pPr>
        <w:ind w:left="705" w:hanging="720"/>
      </w:pPr>
      <w:r>
        <w:t xml:space="preserve">Misra, S., Holman, N., Barron, E., Knighton, P., Warner, J., Kar, P., Young, B. and </w:t>
      </w:r>
      <w:proofErr w:type="spellStart"/>
      <w:r>
        <w:t>Valabhji</w:t>
      </w:r>
      <w:proofErr w:type="spellEnd"/>
      <w:r>
        <w:t>, J., 2023. Characteristics and care of young people with type 2 diabetes included in the national diabetes audit datasets for England.</w:t>
      </w:r>
      <w:r>
        <w:t xml:space="preserve"> </w:t>
      </w:r>
      <w:r>
        <w:rPr>
          <w:i/>
        </w:rPr>
        <w:t>Diabetic Medicine</w:t>
      </w:r>
      <w:r>
        <w:t>,</w:t>
      </w:r>
      <w:r>
        <w:t xml:space="preserve"> </w:t>
      </w:r>
      <w:r>
        <w:rPr>
          <w:i/>
        </w:rPr>
        <w:t>40</w:t>
      </w:r>
      <w:r>
        <w:t xml:space="preserve">(1), p.e14940. </w:t>
      </w:r>
    </w:p>
    <w:p w14:paraId="1442D0A1" w14:textId="77777777" w:rsidR="005E21F8" w:rsidRDefault="00354B3A">
      <w:pPr>
        <w:spacing w:after="230" w:line="259" w:lineRule="auto"/>
        <w:ind w:left="715"/>
      </w:pPr>
      <w:hyperlink r:id="rId48">
        <w:r>
          <w:rPr>
            <w:u w:val="single" w:color="000000"/>
          </w:rPr>
          <w:t>https://doi.org/10.1111/dme.14940</w:t>
        </w:r>
      </w:hyperlink>
      <w:hyperlink r:id="rId49">
        <w:r>
          <w:t xml:space="preserve"> </w:t>
        </w:r>
      </w:hyperlink>
    </w:p>
    <w:p w14:paraId="624A7C50" w14:textId="77777777" w:rsidR="005E21F8" w:rsidRDefault="00354B3A">
      <w:pPr>
        <w:spacing w:after="232" w:line="259" w:lineRule="auto"/>
        <w:ind w:left="-5"/>
      </w:pPr>
      <w:r>
        <w:t xml:space="preserve">Mohan, V., 2025. Lessons learned from epidemiology of type 2 diabetes in South Asians: </w:t>
      </w:r>
    </w:p>
    <w:p w14:paraId="5E90025F" w14:textId="77777777" w:rsidR="005E21F8" w:rsidRDefault="00354B3A">
      <w:pPr>
        <w:spacing w:after="230" w:line="259" w:lineRule="auto"/>
        <w:ind w:left="730"/>
      </w:pPr>
      <w:r>
        <w:t>Kelly West Award Lecture 2024.</w:t>
      </w:r>
      <w:r>
        <w:t xml:space="preserve"> </w:t>
      </w:r>
      <w:r>
        <w:rPr>
          <w:i/>
        </w:rPr>
        <w:t>Diabetes Care</w:t>
      </w:r>
      <w:r>
        <w:t>,</w:t>
      </w:r>
      <w:r>
        <w:t xml:space="preserve"> </w:t>
      </w:r>
      <w:r>
        <w:rPr>
          <w:i/>
        </w:rPr>
        <w:t>48</w:t>
      </w:r>
      <w:r>
        <w:t>(2), pp.153-163.</w:t>
      </w:r>
      <w:r>
        <w:t xml:space="preserve"> </w:t>
      </w:r>
    </w:p>
    <w:p w14:paraId="55B7D346" w14:textId="77777777" w:rsidR="005E21F8" w:rsidRDefault="00354B3A">
      <w:pPr>
        <w:ind w:left="705" w:hanging="720"/>
      </w:pPr>
      <w:r>
        <w:t>NHS England., 2022, March 26. NHS England » NHS prevention programme cuts chances of type 2 diabetes for thousands. https://www.england.nhs.uk/2022/03/nhsprevention-programme-cuts-chances-of-type-2-diabetes-for-thousands/</w:t>
      </w:r>
      <w:r>
        <w:t xml:space="preserve"> </w:t>
      </w:r>
    </w:p>
    <w:p w14:paraId="0830F954" w14:textId="77777777" w:rsidR="005E21F8" w:rsidRDefault="00354B3A">
      <w:pPr>
        <w:spacing w:after="231" w:line="259" w:lineRule="auto"/>
        <w:ind w:left="-5"/>
      </w:pPr>
      <w:r>
        <w:t>NHS England., n.d.</w:t>
      </w:r>
      <w:r>
        <w:t xml:space="preserve"> </w:t>
      </w:r>
      <w:r>
        <w:rPr>
          <w:i/>
        </w:rPr>
        <w:t xml:space="preserve">NHS England » NHS diabetes prevention programme (NHS </w:t>
      </w:r>
    </w:p>
    <w:p w14:paraId="59D9B746" w14:textId="77777777" w:rsidR="005E21F8" w:rsidRDefault="00354B3A">
      <w:pPr>
        <w:spacing w:after="232" w:line="259" w:lineRule="auto"/>
        <w:ind w:left="730"/>
      </w:pPr>
      <w:r>
        <w:rPr>
          <w:i/>
        </w:rPr>
        <w:t>DPP)</w:t>
      </w:r>
      <w:r>
        <w:t>.</w:t>
      </w:r>
      <w:r>
        <w:t xml:space="preserve"> </w:t>
      </w:r>
      <w:r>
        <w:t>https://www.england.nhs.uk/diabetes/diabetes-prevention/</w:t>
      </w:r>
      <w:r>
        <w:t xml:space="preserve"> </w:t>
      </w:r>
    </w:p>
    <w:p w14:paraId="1058D545" w14:textId="77777777" w:rsidR="005E21F8" w:rsidRDefault="00354B3A">
      <w:pPr>
        <w:ind w:left="705" w:right="361" w:hanging="720"/>
      </w:pPr>
      <w:proofErr w:type="spellStart"/>
      <w:r>
        <w:t>Prinjha</w:t>
      </w:r>
      <w:proofErr w:type="spellEnd"/>
      <w:r>
        <w:t>, S., Ricci-Cabello, I., Newhouse, N. and Farmer, A., 2020. British South Asian patients’ perspectives on the relevance and acceptability of mobile health text messaging to support medication adherence for type 2 diabetes: qualitative study.</w:t>
      </w:r>
      <w:r>
        <w:t xml:space="preserve"> </w:t>
      </w:r>
      <w:r>
        <w:rPr>
          <w:i/>
        </w:rPr>
        <w:t xml:space="preserve">JMIR mHealth and </w:t>
      </w:r>
      <w:proofErr w:type="spellStart"/>
      <w:r>
        <w:rPr>
          <w:i/>
        </w:rPr>
        <w:t>uHealth</w:t>
      </w:r>
      <w:proofErr w:type="spellEnd"/>
      <w:r>
        <w:t>,</w:t>
      </w:r>
      <w:r>
        <w:t xml:space="preserve"> </w:t>
      </w:r>
      <w:r>
        <w:rPr>
          <w:i/>
        </w:rPr>
        <w:t>8</w:t>
      </w:r>
      <w:r>
        <w:t xml:space="preserve">(4), p.e15789. </w:t>
      </w:r>
      <w:hyperlink r:id="rId50">
        <w:r>
          <w:rPr>
            <w:u w:val="single" w:color="000000"/>
          </w:rPr>
          <w:t>https://doi.org/10.2196/15789</w:t>
        </w:r>
      </w:hyperlink>
      <w:hyperlink r:id="rId51">
        <w:r>
          <w:t xml:space="preserve"> </w:t>
        </w:r>
      </w:hyperlink>
    </w:p>
    <w:p w14:paraId="3AFA6D91" w14:textId="77777777" w:rsidR="005E21F8" w:rsidRDefault="00354B3A">
      <w:pPr>
        <w:spacing w:after="233" w:line="259" w:lineRule="auto"/>
        <w:ind w:left="-5"/>
      </w:pPr>
      <w:r>
        <w:t>Race Equality Foundation. 2022, September 18.</w:t>
      </w:r>
      <w:r>
        <w:t xml:space="preserve"> </w:t>
      </w:r>
      <w:r>
        <w:rPr>
          <w:i/>
        </w:rPr>
        <w:t xml:space="preserve">Projects – Race equality </w:t>
      </w:r>
    </w:p>
    <w:p w14:paraId="344A21AD" w14:textId="77777777" w:rsidR="005E21F8" w:rsidRDefault="00354B3A">
      <w:pPr>
        <w:spacing w:after="232" w:line="259" w:lineRule="auto"/>
        <w:ind w:left="730"/>
      </w:pPr>
      <w:r>
        <w:rPr>
          <w:i/>
        </w:rPr>
        <w:t>Foundation</w:t>
      </w:r>
      <w:r>
        <w:t>.</w:t>
      </w:r>
      <w:r>
        <w:t xml:space="preserve"> </w:t>
      </w:r>
      <w:r>
        <w:t>https://raceequalityfoundation.org.uk/projects/</w:t>
      </w:r>
      <w:r>
        <w:t xml:space="preserve"> </w:t>
      </w:r>
    </w:p>
    <w:p w14:paraId="1AFAC710" w14:textId="77777777" w:rsidR="005E21F8" w:rsidRDefault="00354B3A">
      <w:pPr>
        <w:spacing w:after="230" w:line="259" w:lineRule="auto"/>
        <w:ind w:left="-5"/>
      </w:pPr>
      <w:r>
        <w:t>Race Equality Unit., n.d.</w:t>
      </w:r>
      <w:r>
        <w:t xml:space="preserve"> </w:t>
      </w:r>
      <w:r>
        <w:rPr>
          <w:i/>
        </w:rPr>
        <w:t>Race equality unit</w:t>
      </w:r>
      <w:r>
        <w:t xml:space="preserve">. </w:t>
      </w:r>
    </w:p>
    <w:p w14:paraId="21B362CB" w14:textId="77777777" w:rsidR="005E21F8" w:rsidRDefault="00354B3A">
      <w:pPr>
        <w:spacing w:after="232" w:line="259" w:lineRule="auto"/>
        <w:ind w:left="730"/>
      </w:pPr>
      <w:r>
        <w:t>GOV.UK.</w:t>
      </w:r>
      <w:r>
        <w:t xml:space="preserve"> </w:t>
      </w:r>
      <w:r>
        <w:t>https://www.gov.uk/government/organisations/race-equality-unit</w:t>
      </w:r>
      <w:r>
        <w:t xml:space="preserve"> </w:t>
      </w:r>
    </w:p>
    <w:p w14:paraId="79E1BF23" w14:textId="77777777" w:rsidR="005E21F8" w:rsidRDefault="00354B3A">
      <w:pPr>
        <w:ind w:left="705" w:hanging="720"/>
      </w:pPr>
      <w:r>
        <w:t>Rai, A., Misra, R., Khan, H., Shukla, S., Patel, D.C. and Brown, A., 2023. Systematic review of the barriers and facilitators to dietary modification in people living with type 2 diabetes and pre</w:t>
      </w:r>
      <w:r>
        <w:rPr>
          <w:rFonts w:ascii="Cambria Math" w:eastAsia="Cambria Math" w:hAnsi="Cambria Math" w:cs="Cambria Math"/>
        </w:rPr>
        <w:t>‐</w:t>
      </w:r>
      <w:r>
        <w:t>diabetes from South Asian ethnic populations.</w:t>
      </w:r>
      <w:r>
        <w:t xml:space="preserve"> </w:t>
      </w:r>
      <w:r>
        <w:rPr>
          <w:i/>
        </w:rPr>
        <w:t xml:space="preserve">Diabetic </w:t>
      </w:r>
    </w:p>
    <w:p w14:paraId="646EA729" w14:textId="77777777" w:rsidR="005E21F8" w:rsidRDefault="00354B3A">
      <w:pPr>
        <w:spacing w:after="230" w:line="259" w:lineRule="auto"/>
        <w:ind w:left="715"/>
      </w:pPr>
      <w:r>
        <w:rPr>
          <w:i/>
        </w:rPr>
        <w:t>Medicine</w:t>
      </w:r>
      <w:r>
        <w:t>,</w:t>
      </w:r>
      <w:r>
        <w:t xml:space="preserve"> </w:t>
      </w:r>
      <w:r>
        <w:rPr>
          <w:i/>
        </w:rPr>
        <w:t>40</w:t>
      </w:r>
      <w:r>
        <w:t xml:space="preserve">(8), p.e15132. </w:t>
      </w:r>
      <w:hyperlink r:id="rId52">
        <w:r>
          <w:rPr>
            <w:u w:val="single" w:color="000000"/>
          </w:rPr>
          <w:t>https://doi.org/10.1111/dme.15132</w:t>
        </w:r>
      </w:hyperlink>
      <w:hyperlink r:id="rId53">
        <w:r>
          <w:t xml:space="preserve"> </w:t>
        </w:r>
      </w:hyperlink>
    </w:p>
    <w:p w14:paraId="040FBD12" w14:textId="77777777" w:rsidR="005E21F8" w:rsidRDefault="00354B3A">
      <w:pPr>
        <w:ind w:left="705" w:hanging="720"/>
      </w:pPr>
      <w:r>
        <w:t>Raleigh,</w:t>
      </w:r>
      <w:r>
        <w:t xml:space="preserve"> </w:t>
      </w:r>
      <w:r>
        <w:t>V., 2023, May 17.</w:t>
      </w:r>
      <w:r>
        <w:t xml:space="preserve"> </w:t>
      </w:r>
      <w:r>
        <w:rPr>
          <w:i/>
        </w:rPr>
        <w:t>The health of people from ethnic minority groups in England</w:t>
      </w:r>
      <w:r>
        <w:t>. The King's Fund.</w:t>
      </w:r>
      <w:r>
        <w:t xml:space="preserve"> </w:t>
      </w:r>
      <w:r>
        <w:t>https://www.kingsfund.org.uk/insight-and-analysis/long-reads/healthpeople-ethnic-minority-groups-england#data-on-the-health-of-ethnic-minority-groups</w:t>
      </w:r>
      <w:r>
        <w:t xml:space="preserve"> </w:t>
      </w:r>
    </w:p>
    <w:p w14:paraId="6AD5019A" w14:textId="77777777" w:rsidR="005E21F8" w:rsidRDefault="00354B3A">
      <w:pPr>
        <w:ind w:left="705" w:hanging="720"/>
      </w:pPr>
      <w:r>
        <w:t>The Health Foundation. 2025, February 20.</w:t>
      </w:r>
      <w:r>
        <w:t xml:space="preserve"> </w:t>
      </w:r>
      <w:r>
        <w:rPr>
          <w:i/>
        </w:rPr>
        <w:t>Inequalities in diagnosed health conditions by ethnicity</w:t>
      </w:r>
      <w:r>
        <w:t>. The Health Foundation UK.</w:t>
      </w:r>
      <w:r>
        <w:t xml:space="preserve"> </w:t>
      </w:r>
      <w:r>
        <w:t>https://www.health.org.uk/evidence-hub/healthinequalities/inequalities-in-diagnosed-health-conditions-by-ethnicity</w:t>
      </w:r>
      <w:r>
        <w:t xml:space="preserve"> </w:t>
      </w:r>
    </w:p>
    <w:p w14:paraId="08AB5547" w14:textId="77777777" w:rsidR="005E21F8" w:rsidRDefault="00354B3A">
      <w:pPr>
        <w:spacing w:after="230" w:line="259" w:lineRule="auto"/>
        <w:ind w:left="-5"/>
      </w:pPr>
      <w:r>
        <w:t xml:space="preserve">Vousden, N. and Knight, M., 2024. Ethnicity, disadvantage and pregnancy outcomes in the </w:t>
      </w:r>
    </w:p>
    <w:p w14:paraId="2FF340A9" w14:textId="77777777" w:rsidR="005E21F8" w:rsidRDefault="00354B3A">
      <w:pPr>
        <w:spacing w:after="231" w:line="259" w:lineRule="auto"/>
        <w:ind w:left="730"/>
      </w:pPr>
      <w:r>
        <w:lastRenderedPageBreak/>
        <w:t>UK.</w:t>
      </w:r>
      <w:r>
        <w:t xml:space="preserve"> </w:t>
      </w:r>
      <w:r>
        <w:rPr>
          <w:i/>
        </w:rPr>
        <w:t>Obstetrics, Gynaecology &amp; Reproductive Medicine</w:t>
      </w:r>
      <w:r>
        <w:t>,</w:t>
      </w:r>
      <w:r>
        <w:t xml:space="preserve"> </w:t>
      </w:r>
      <w:r>
        <w:rPr>
          <w:i/>
        </w:rPr>
        <w:t>34</w:t>
      </w:r>
      <w:r>
        <w:t xml:space="preserve">(9), pp.260-263. </w:t>
      </w:r>
    </w:p>
    <w:p w14:paraId="22047242" w14:textId="77777777" w:rsidR="005E21F8" w:rsidRDefault="00354B3A">
      <w:pPr>
        <w:spacing w:after="230" w:line="259" w:lineRule="auto"/>
        <w:ind w:left="715"/>
      </w:pPr>
      <w:hyperlink r:id="rId54">
        <w:r>
          <w:rPr>
            <w:u w:val="single" w:color="000000"/>
          </w:rPr>
          <w:t>https://doi.org/10.1016/j.ogrm.2024.06.004</w:t>
        </w:r>
      </w:hyperlink>
      <w:hyperlink r:id="rId55">
        <w:r>
          <w:t xml:space="preserve"> </w:t>
        </w:r>
      </w:hyperlink>
    </w:p>
    <w:p w14:paraId="1F9FFFCE" w14:textId="77777777" w:rsidR="005E21F8" w:rsidRDefault="00354B3A">
      <w:pPr>
        <w:spacing w:after="232" w:line="259" w:lineRule="auto"/>
        <w:ind w:left="-5"/>
      </w:pPr>
      <w:r>
        <w:t>Women and Equalities Committee. 2023, April 18.</w:t>
      </w:r>
      <w:r>
        <w:t xml:space="preserve"> </w:t>
      </w:r>
      <w:r>
        <w:rPr>
          <w:i/>
        </w:rPr>
        <w:t>Black maternal health</w:t>
      </w:r>
      <w:r>
        <w:t xml:space="preserve">. UK </w:t>
      </w:r>
    </w:p>
    <w:p w14:paraId="582553A8" w14:textId="77777777" w:rsidR="005E21F8" w:rsidRDefault="00354B3A">
      <w:pPr>
        <w:ind w:left="730"/>
      </w:pPr>
      <w:r>
        <w:t>Parliament.</w:t>
      </w:r>
      <w:r>
        <w:t xml:space="preserve"> </w:t>
      </w:r>
      <w:r>
        <w:t>https://publications.parliament.uk/pa/cm5803/cmselect/cmwomeq/94/rep ort.html#heading-3</w:t>
      </w:r>
      <w:r>
        <w:t xml:space="preserve"> </w:t>
      </w:r>
    </w:p>
    <w:p w14:paraId="2B073B5C" w14:textId="77777777" w:rsidR="005E21F8" w:rsidRDefault="00354B3A">
      <w:pPr>
        <w:ind w:left="705" w:hanging="720"/>
      </w:pPr>
      <w:r>
        <w:t xml:space="preserve">Xiao, M., Núñez-Elvira, A. and Kristensen, S.R., 2025. How does the quality of outcomes framework impact on the quality of life of adult patients with diabetes? A </w:t>
      </w:r>
      <w:proofErr w:type="spellStart"/>
      <w:r>
        <w:t>crosssection</w:t>
      </w:r>
      <w:proofErr w:type="spellEnd"/>
      <w:r>
        <w:t xml:space="preserve"> study in England using GP Patient Survey data.</w:t>
      </w:r>
      <w:r>
        <w:t xml:space="preserve"> </w:t>
      </w:r>
      <w:r>
        <w:rPr>
          <w:i/>
        </w:rPr>
        <w:t>BMC Primary Care</w:t>
      </w:r>
      <w:r>
        <w:t>,</w:t>
      </w:r>
      <w:r>
        <w:t xml:space="preserve"> </w:t>
      </w:r>
      <w:r>
        <w:rPr>
          <w:i/>
        </w:rPr>
        <w:t>26</w:t>
      </w:r>
      <w:r>
        <w:t xml:space="preserve">(1), </w:t>
      </w:r>
    </w:p>
    <w:p w14:paraId="4F7CFE67" w14:textId="77777777" w:rsidR="005E21F8" w:rsidRDefault="00354B3A">
      <w:pPr>
        <w:spacing w:after="230" w:line="259" w:lineRule="auto"/>
        <w:ind w:left="715"/>
      </w:pPr>
      <w:r>
        <w:t xml:space="preserve">p.327. </w:t>
      </w:r>
      <w:hyperlink r:id="rId56">
        <w:r>
          <w:rPr>
            <w:u w:val="single" w:color="000000"/>
          </w:rPr>
          <w:t>https://doi.org/10.1186/s12875</w:t>
        </w:r>
      </w:hyperlink>
      <w:hyperlink r:id="rId57">
        <w:r>
          <w:rPr>
            <w:u w:val="single" w:color="000000"/>
          </w:rPr>
          <w:t>-</w:t>
        </w:r>
      </w:hyperlink>
      <w:hyperlink r:id="rId58">
        <w:r>
          <w:rPr>
            <w:u w:val="single" w:color="000000"/>
          </w:rPr>
          <w:t>025</w:t>
        </w:r>
      </w:hyperlink>
      <w:hyperlink r:id="rId59">
        <w:r>
          <w:rPr>
            <w:u w:val="single" w:color="000000"/>
          </w:rPr>
          <w:t>-</w:t>
        </w:r>
      </w:hyperlink>
      <w:hyperlink r:id="rId60">
        <w:r>
          <w:rPr>
            <w:u w:val="single" w:color="000000"/>
          </w:rPr>
          <w:t>02930</w:t>
        </w:r>
      </w:hyperlink>
      <w:hyperlink r:id="rId61">
        <w:r>
          <w:rPr>
            <w:u w:val="single" w:color="000000"/>
          </w:rPr>
          <w:t>-</w:t>
        </w:r>
      </w:hyperlink>
      <w:hyperlink r:id="rId62">
        <w:r>
          <w:rPr>
            <w:u w:val="single" w:color="000000"/>
          </w:rPr>
          <w:t>x</w:t>
        </w:r>
      </w:hyperlink>
      <w:hyperlink r:id="rId63">
        <w:r>
          <w:t xml:space="preserve"> </w:t>
        </w:r>
      </w:hyperlink>
    </w:p>
    <w:p w14:paraId="0938A849" w14:textId="77777777" w:rsidR="005E21F8" w:rsidRDefault="00354B3A">
      <w:pPr>
        <w:spacing w:after="0" w:line="259" w:lineRule="auto"/>
        <w:ind w:left="0" w:firstLine="0"/>
      </w:pPr>
      <w:r>
        <w:t xml:space="preserve"> </w:t>
      </w:r>
    </w:p>
    <w:sectPr w:rsidR="005E21F8">
      <w:headerReference w:type="even" r:id="rId64"/>
      <w:headerReference w:type="default" r:id="rId65"/>
      <w:headerReference w:type="first" r:id="rId66"/>
      <w:pgSz w:w="11906" w:h="16838"/>
      <w:pgMar w:top="1440" w:right="1439" w:bottom="1480" w:left="1440" w:header="765"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239F8" w14:textId="77777777" w:rsidR="00354B3A" w:rsidRDefault="00354B3A">
      <w:pPr>
        <w:spacing w:after="0" w:line="240" w:lineRule="auto"/>
      </w:pPr>
      <w:r>
        <w:separator/>
      </w:r>
    </w:p>
  </w:endnote>
  <w:endnote w:type="continuationSeparator" w:id="0">
    <w:p w14:paraId="514FC94C" w14:textId="77777777" w:rsidR="00354B3A" w:rsidRDefault="00354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AECA2" w14:textId="77777777" w:rsidR="00354B3A" w:rsidRDefault="00354B3A">
      <w:pPr>
        <w:spacing w:after="0" w:line="240" w:lineRule="auto"/>
      </w:pPr>
      <w:r>
        <w:separator/>
      </w:r>
    </w:p>
  </w:footnote>
  <w:footnote w:type="continuationSeparator" w:id="0">
    <w:p w14:paraId="0AC8155D" w14:textId="77777777" w:rsidR="00354B3A" w:rsidRDefault="00354B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AEF22" w14:textId="77777777" w:rsidR="005E21F8" w:rsidRDefault="00354B3A">
    <w:pPr>
      <w:spacing w:after="0" w:line="259" w:lineRule="auto"/>
      <w:ind w:left="0" w:right="-1"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6854A665" w14:textId="77777777" w:rsidR="005E21F8" w:rsidRDefault="00354B3A">
    <w:pPr>
      <w:spacing w:after="0" w:line="259" w:lineRule="auto"/>
      <w:ind w:left="0" w:firstLine="0"/>
    </w:pPr>
    <w:r>
      <w:rPr>
        <w:rFonts w:ascii="Times New Roman" w:eastAsia="Times New Roman" w:hAnsi="Times New Roman" w:cs="Times New Roman"/>
        <w:sz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7B8C48" w14:textId="77777777" w:rsidR="005E21F8" w:rsidRDefault="00354B3A">
    <w:pPr>
      <w:spacing w:after="0" w:line="259" w:lineRule="auto"/>
      <w:ind w:left="0" w:right="-1"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21C19A39" w14:textId="77777777" w:rsidR="005E21F8" w:rsidRDefault="00354B3A">
    <w:pPr>
      <w:spacing w:after="0" w:line="259" w:lineRule="auto"/>
      <w:ind w:left="0" w:firstLine="0"/>
    </w:pPr>
    <w:r>
      <w:rPr>
        <w:rFonts w:ascii="Times New Roman" w:eastAsia="Times New Roman" w:hAnsi="Times New Roman" w:cs="Times New Roman"/>
        <w:sz w:val="2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714D1" w14:textId="77777777" w:rsidR="005E21F8" w:rsidRDefault="00354B3A">
    <w:pPr>
      <w:spacing w:after="0" w:line="259" w:lineRule="auto"/>
      <w:ind w:left="0" w:right="-1" w:firstLine="0"/>
      <w:jc w:val="righ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p>
  <w:p w14:paraId="20769A8D" w14:textId="77777777" w:rsidR="005E21F8" w:rsidRDefault="00354B3A">
    <w:pPr>
      <w:spacing w:after="0" w:line="259" w:lineRule="auto"/>
      <w:ind w:left="0" w:firstLine="0"/>
    </w:pPr>
    <w:r>
      <w:rPr>
        <w:rFonts w:ascii="Times New Roman" w:eastAsia="Times New Roman" w:hAnsi="Times New Roman" w:cs="Times New Roman"/>
        <w:sz w:val="24"/>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1F8"/>
    <w:rsid w:val="00183836"/>
    <w:rsid w:val="00354B3A"/>
    <w:rsid w:val="005E21F8"/>
    <w:rsid w:val="007B1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6756E"/>
  <w15:docId w15:val="{CF6A334C-12BE-46CE-B99E-B1ACCC6EA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478" w:lineRule="auto"/>
      <w:ind w:left="10" w:hanging="10"/>
    </w:pPr>
    <w:rPr>
      <w:rFonts w:ascii="Arial" w:eastAsia="Arial" w:hAnsi="Arial" w:cs="Arial"/>
      <w:color w:val="000000"/>
      <w:sz w:val="22"/>
    </w:rPr>
  </w:style>
  <w:style w:type="paragraph" w:styleId="Heading1">
    <w:name w:val="heading 1"/>
    <w:next w:val="Normal"/>
    <w:link w:val="Heading1Char"/>
    <w:uiPriority w:val="9"/>
    <w:qFormat/>
    <w:pPr>
      <w:keepNext/>
      <w:keepLines/>
      <w:spacing w:after="231" w:line="259" w:lineRule="auto"/>
      <w:ind w:left="12" w:hanging="10"/>
      <w:outlineLvl w:val="0"/>
    </w:pPr>
    <w:rPr>
      <w:rFonts w:ascii="Arial" w:eastAsia="Arial" w:hAnsi="Arial" w:cs="Arial"/>
      <w:b/>
      <w:color w:val="000000"/>
      <w:sz w:val="22"/>
    </w:rPr>
  </w:style>
  <w:style w:type="paragraph" w:styleId="Heading2">
    <w:name w:val="heading 2"/>
    <w:next w:val="Normal"/>
    <w:link w:val="Heading2Char"/>
    <w:uiPriority w:val="9"/>
    <w:unhideWhenUsed/>
    <w:qFormat/>
    <w:pPr>
      <w:keepNext/>
      <w:keepLines/>
      <w:spacing w:after="231" w:line="259" w:lineRule="auto"/>
      <w:ind w:left="12" w:hanging="10"/>
      <w:outlineLvl w:val="1"/>
    </w:pPr>
    <w:rPr>
      <w:rFonts w:ascii="Arial" w:eastAsia="Arial" w:hAnsi="Arial" w:cs="Arial"/>
      <w:b/>
      <w:color w:val="000000"/>
      <w:sz w:val="22"/>
    </w:rPr>
  </w:style>
  <w:style w:type="paragraph" w:styleId="Heading3">
    <w:name w:val="heading 3"/>
    <w:next w:val="Normal"/>
    <w:link w:val="Heading3Char"/>
    <w:uiPriority w:val="9"/>
    <w:unhideWhenUsed/>
    <w:qFormat/>
    <w:pPr>
      <w:keepNext/>
      <w:keepLines/>
      <w:spacing w:after="231" w:line="259" w:lineRule="auto"/>
      <w:ind w:left="12" w:hanging="10"/>
      <w:outlineLvl w:val="2"/>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2"/>
    </w:rPr>
  </w:style>
  <w:style w:type="character" w:customStyle="1" w:styleId="Heading2Char">
    <w:name w:val="Heading 2 Char"/>
    <w:link w:val="Heading2"/>
    <w:rPr>
      <w:rFonts w:ascii="Arial" w:eastAsia="Arial" w:hAnsi="Arial" w:cs="Arial"/>
      <w:b/>
      <w:color w:val="000000"/>
      <w:sz w:val="22"/>
    </w:rPr>
  </w:style>
  <w:style w:type="paragraph" w:styleId="TOC1">
    <w:name w:val="toc 1"/>
    <w:hidden/>
    <w:pPr>
      <w:spacing w:after="106" w:line="259" w:lineRule="auto"/>
      <w:ind w:left="25" w:right="19" w:hanging="10"/>
    </w:pPr>
    <w:rPr>
      <w:rFonts w:ascii="Arial" w:eastAsia="Arial" w:hAnsi="Arial" w:cs="Arial"/>
      <w:color w:val="000000"/>
      <w:sz w:val="22"/>
    </w:rPr>
  </w:style>
  <w:style w:type="paragraph" w:styleId="TOC2">
    <w:name w:val="toc 2"/>
    <w:hidden/>
    <w:pPr>
      <w:spacing w:after="106" w:line="259" w:lineRule="auto"/>
      <w:ind w:left="265" w:right="19" w:hanging="10"/>
    </w:pPr>
    <w:rPr>
      <w:rFonts w:ascii="Arial" w:eastAsia="Arial" w:hAnsi="Arial" w:cs="Arial"/>
      <w:color w:val="000000"/>
      <w:sz w:val="22"/>
    </w:rPr>
  </w:style>
  <w:style w:type="paragraph" w:styleId="TOC3">
    <w:name w:val="toc 3"/>
    <w:hidden/>
    <w:pPr>
      <w:spacing w:after="106" w:line="259" w:lineRule="auto"/>
      <w:ind w:left="490" w:right="23" w:hanging="10"/>
      <w:jc w:val="right"/>
    </w:pPr>
    <w:rPr>
      <w:rFonts w:ascii="Arial" w:eastAsia="Arial" w:hAnsi="Arial" w:cs="Arial"/>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2337/dc25-0014" TargetMode="External"/><Relationship Id="rId21" Type="http://schemas.openxmlformats.org/officeDocument/2006/relationships/hyperlink" Target="https://doi.org/10.2147/CLEP.S227621" TargetMode="External"/><Relationship Id="rId34" Type="http://schemas.openxmlformats.org/officeDocument/2006/relationships/hyperlink" Target="https://www.thelancet.com/journals/lanpsy/article/PIIS2215-0366(21)00214-5/fulltext" TargetMode="External"/><Relationship Id="rId42" Type="http://schemas.openxmlformats.org/officeDocument/2006/relationships/hyperlink" Target="https://doi.org/10.1136/bmj-2024-079801" TargetMode="External"/><Relationship Id="rId47" Type="http://schemas.openxmlformats.org/officeDocument/2006/relationships/hyperlink" Target="https://doi.org/10.1136/bmj-2024-079801" TargetMode="External"/><Relationship Id="rId50" Type="http://schemas.openxmlformats.org/officeDocument/2006/relationships/hyperlink" Target="https://doi.org/10.2196/15789" TargetMode="External"/><Relationship Id="rId55" Type="http://schemas.openxmlformats.org/officeDocument/2006/relationships/hyperlink" Target="https://doi.org/10.1016/j.ogrm.2024.06.004" TargetMode="External"/><Relationship Id="rId63" Type="http://schemas.openxmlformats.org/officeDocument/2006/relationships/hyperlink" Target="https://doi.org/10.1186/s12875-025-02930-x" TargetMode="External"/><Relationship Id="rId68"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thelancet.com/journals/lancet/article/PIIS2213-8587(13)70204-3/fulltext" TargetMode="External"/><Relationship Id="rId29" Type="http://schemas.openxmlformats.org/officeDocument/2006/relationships/hyperlink" Target="https://www.thelancet.com/journals/lanpsy/article/PIIS2215-0366(21)00214-5/fulltext" TargetMode="External"/><Relationship Id="rId11" Type="http://schemas.openxmlformats.org/officeDocument/2006/relationships/hyperlink" Target="https://doi.org/10.7861/fhj.2020-0217" TargetMode="External"/><Relationship Id="rId24" Type="http://schemas.openxmlformats.org/officeDocument/2006/relationships/hyperlink" Target="https://doi.org/10.2337/dc25-0014" TargetMode="External"/><Relationship Id="rId32" Type="http://schemas.openxmlformats.org/officeDocument/2006/relationships/hyperlink" Target="https://www.thelancet.com/journals/lanpsy/article/PIIS2215-0366(21)00214-5/fulltext" TargetMode="External"/><Relationship Id="rId37" Type="http://schemas.openxmlformats.org/officeDocument/2006/relationships/hyperlink" Target="https://doi.org/10.1111/dme.14616" TargetMode="External"/><Relationship Id="rId40" Type="http://schemas.openxmlformats.org/officeDocument/2006/relationships/hyperlink" Target="https://doi.org/10.5811/westjem.58408" TargetMode="External"/><Relationship Id="rId45" Type="http://schemas.openxmlformats.org/officeDocument/2006/relationships/hyperlink" Target="https://doi.org/10.1136/bmj-2024-079801" TargetMode="External"/><Relationship Id="rId53" Type="http://schemas.openxmlformats.org/officeDocument/2006/relationships/hyperlink" Target="https://doi.org/10.1111/dme.15132" TargetMode="External"/><Relationship Id="rId58" Type="http://schemas.openxmlformats.org/officeDocument/2006/relationships/hyperlink" Target="https://doi.org/10.1186/s12875-025-02930-x" TargetMode="External"/><Relationship Id="rId66" Type="http://schemas.openxmlformats.org/officeDocument/2006/relationships/header" Target="header3.xml"/><Relationship Id="rId5" Type="http://schemas.openxmlformats.org/officeDocument/2006/relationships/footnotes" Target="footnotes.xml"/><Relationship Id="rId61" Type="http://schemas.openxmlformats.org/officeDocument/2006/relationships/hyperlink" Target="https://doi.org/10.1186/s12875-025-02930-x" TargetMode="External"/><Relationship Id="rId19" Type="http://schemas.openxmlformats.org/officeDocument/2006/relationships/hyperlink" Target="https://doi.org/10.1016/j.fsiml.2020.100036" TargetMode="External"/><Relationship Id="rId14" Type="http://schemas.openxmlformats.org/officeDocument/2006/relationships/hyperlink" Target="https://www.thelancet.com/journals/lancet/article/PIIS2213-8587(13)70204-3/fulltext" TargetMode="External"/><Relationship Id="rId22" Type="http://schemas.openxmlformats.org/officeDocument/2006/relationships/hyperlink" Target="https://doi.org/10.2147/CLEP.S227621" TargetMode="External"/><Relationship Id="rId27" Type="http://schemas.openxmlformats.org/officeDocument/2006/relationships/hyperlink" Target="https://doi.org/10.1111/jhn.13279" TargetMode="External"/><Relationship Id="rId30" Type="http://schemas.openxmlformats.org/officeDocument/2006/relationships/hyperlink" Target="https://www.thelancet.com/journals/lanpsy/article/PIIS2215-0366(21)00214-5/fulltext" TargetMode="External"/><Relationship Id="rId35" Type="http://schemas.openxmlformats.org/officeDocument/2006/relationships/hyperlink" Target="https://doi.org/10.3390/ijerph182312599" TargetMode="External"/><Relationship Id="rId43" Type="http://schemas.openxmlformats.org/officeDocument/2006/relationships/hyperlink" Target="https://doi.org/10.1136/bmj-2024-079801" TargetMode="External"/><Relationship Id="rId48" Type="http://schemas.openxmlformats.org/officeDocument/2006/relationships/hyperlink" Target="https://doi.org/10.1111/dme.14940" TargetMode="External"/><Relationship Id="rId56" Type="http://schemas.openxmlformats.org/officeDocument/2006/relationships/hyperlink" Target="https://doi.org/10.1186/s12875-025-02930-x" TargetMode="External"/><Relationship Id="rId64" Type="http://schemas.openxmlformats.org/officeDocument/2006/relationships/header" Target="header1.xml"/><Relationship Id="rId8" Type="http://schemas.openxmlformats.org/officeDocument/2006/relationships/hyperlink" Target="https://doi.org/10.7861/fhj.2020-0217" TargetMode="External"/><Relationship Id="rId51" Type="http://schemas.openxmlformats.org/officeDocument/2006/relationships/hyperlink" Target="https://doi.org/10.2196/15789" TargetMode="External"/><Relationship Id="rId3" Type="http://schemas.openxmlformats.org/officeDocument/2006/relationships/settings" Target="settings.xml"/><Relationship Id="rId12" Type="http://schemas.openxmlformats.org/officeDocument/2006/relationships/hyperlink" Target="https://www.thelancet.com/journals/lancet/article/PIIS2213-8587(13)70204-3/fulltext" TargetMode="External"/><Relationship Id="rId17" Type="http://schemas.openxmlformats.org/officeDocument/2006/relationships/hyperlink" Target="https://www.thelancet.com/journals/lancet/article/PIIS2213-8587(13)70204-3/fulltext" TargetMode="External"/><Relationship Id="rId25" Type="http://schemas.openxmlformats.org/officeDocument/2006/relationships/hyperlink" Target="https://doi.org/10.2337/dc25-0014" TargetMode="External"/><Relationship Id="rId33" Type="http://schemas.openxmlformats.org/officeDocument/2006/relationships/hyperlink" Target="https://www.thelancet.com/journals/lanpsy/article/PIIS2215-0366(21)00214-5/fulltext" TargetMode="External"/><Relationship Id="rId38" Type="http://schemas.openxmlformats.org/officeDocument/2006/relationships/hyperlink" Target="https://doi.org/10.1111/dme.14616" TargetMode="External"/><Relationship Id="rId46" Type="http://schemas.openxmlformats.org/officeDocument/2006/relationships/hyperlink" Target="https://doi.org/10.1136/bmj-2024-079801" TargetMode="External"/><Relationship Id="rId59" Type="http://schemas.openxmlformats.org/officeDocument/2006/relationships/hyperlink" Target="https://doi.org/10.1186/s12875-025-02930-x" TargetMode="External"/><Relationship Id="rId67" Type="http://schemas.openxmlformats.org/officeDocument/2006/relationships/fontTable" Target="fontTable.xml"/><Relationship Id="rId20" Type="http://schemas.openxmlformats.org/officeDocument/2006/relationships/hyperlink" Target="https://doi.org/10.2147/CLEP.S227621" TargetMode="External"/><Relationship Id="rId41" Type="http://schemas.openxmlformats.org/officeDocument/2006/relationships/hyperlink" Target="https://doi.org/10.1136/bmj-2024-079801" TargetMode="External"/><Relationship Id="rId54" Type="http://schemas.openxmlformats.org/officeDocument/2006/relationships/hyperlink" Target="https://doi.org/10.1016/j.ogrm.2024.06.004" TargetMode="External"/><Relationship Id="rId62" Type="http://schemas.openxmlformats.org/officeDocument/2006/relationships/hyperlink" Target="https://doi.org/10.1186/s12875-025-02930-x"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thelancet.com/journals/lancet/article/PIIS2213-8587(13)70204-3/fulltext" TargetMode="External"/><Relationship Id="rId23" Type="http://schemas.openxmlformats.org/officeDocument/2006/relationships/hyperlink" Target="https://doi.org/10.2337/dc25-0014" TargetMode="External"/><Relationship Id="rId28" Type="http://schemas.openxmlformats.org/officeDocument/2006/relationships/hyperlink" Target="https://doi.org/10.1111/jhn.13279" TargetMode="External"/><Relationship Id="rId36" Type="http://schemas.openxmlformats.org/officeDocument/2006/relationships/hyperlink" Target="https://doi.org/10.3390/ijerph182312599" TargetMode="External"/><Relationship Id="rId49" Type="http://schemas.openxmlformats.org/officeDocument/2006/relationships/hyperlink" Target="https://doi.org/10.1111/dme.14940" TargetMode="External"/><Relationship Id="rId57" Type="http://schemas.openxmlformats.org/officeDocument/2006/relationships/hyperlink" Target="https://doi.org/10.1186/s12875-025-02930-x" TargetMode="External"/><Relationship Id="rId10" Type="http://schemas.openxmlformats.org/officeDocument/2006/relationships/hyperlink" Target="https://doi.org/10.7861/fhj.2020-0217" TargetMode="External"/><Relationship Id="rId31" Type="http://schemas.openxmlformats.org/officeDocument/2006/relationships/hyperlink" Target="https://www.thelancet.com/journals/lanpsy/article/PIIS2215-0366(21)00214-5/fulltext" TargetMode="External"/><Relationship Id="rId44" Type="http://schemas.openxmlformats.org/officeDocument/2006/relationships/hyperlink" Target="https://doi.org/10.1136/bmj-2024-079801" TargetMode="External"/><Relationship Id="rId52" Type="http://schemas.openxmlformats.org/officeDocument/2006/relationships/hyperlink" Target="https://doi.org/10.1111/dme.15132" TargetMode="External"/><Relationship Id="rId60" Type="http://schemas.openxmlformats.org/officeDocument/2006/relationships/hyperlink" Target="https://doi.org/10.1186/s12875-025-02930-x" TargetMode="External"/><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i.org/10.7861/fhj.2020-0217" TargetMode="External"/><Relationship Id="rId13" Type="http://schemas.openxmlformats.org/officeDocument/2006/relationships/hyperlink" Target="https://www.thelancet.com/journals/lancet/article/PIIS2213-8587(13)70204-3/fulltext" TargetMode="External"/><Relationship Id="rId18" Type="http://schemas.openxmlformats.org/officeDocument/2006/relationships/hyperlink" Target="https://doi.org/10.1016/j.fsiml.2020.100036" TargetMode="External"/><Relationship Id="rId39" Type="http://schemas.openxmlformats.org/officeDocument/2006/relationships/hyperlink" Target="https://doi.org/10.5811/westjem.584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78B87-6DFD-472F-9908-CF2FE00D1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4914</Words>
  <Characters>28010</Characters>
  <Application>Microsoft Office Word</Application>
  <DocSecurity>0</DocSecurity>
  <Lines>233</Lines>
  <Paragraphs>65</Paragraphs>
  <ScaleCrop>false</ScaleCrop>
  <Company/>
  <LinksUpToDate>false</LinksUpToDate>
  <CharactersWithSpaces>32859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miracle nzediegwu</dc:creator>
  <cp:keywords/>
  <cp:lastModifiedBy>miracle nzediegwu</cp:lastModifiedBy>
  <cp:revision>2</cp:revision>
  <dcterms:created xsi:type="dcterms:W3CDTF">2026-04-30T19:57:00Z</dcterms:created>
  <dcterms:modified xsi:type="dcterms:W3CDTF">2026-04-30T19:57:00Z</dcterms:modified>
</cp:coreProperties>
</file>