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E667B" w14:textId="77777777" w:rsidR="00145DC8" w:rsidRPr="00145DC8" w:rsidRDefault="00145DC8">
      <w:pPr>
        <w:rPr>
          <w:rFonts w:ascii="Century" w:hAnsi="Century"/>
          <w:b/>
          <w:bCs/>
        </w:rPr>
      </w:pPr>
      <w:r w:rsidRPr="00145DC8">
        <w:rPr>
          <w:rFonts w:ascii="Century" w:hAnsi="Century"/>
          <w:b/>
          <w:bCs/>
        </w:rPr>
        <w:t xml:space="preserve">Student Number: </w:t>
      </w:r>
      <w:r w:rsidRPr="00145DC8">
        <w:rPr>
          <w:rFonts w:ascii="Century" w:hAnsi="Century"/>
        </w:rPr>
        <w:t>2405511</w:t>
      </w:r>
    </w:p>
    <w:p w14:paraId="5AE69DFB" w14:textId="77777777" w:rsidR="00145DC8" w:rsidRPr="00145DC8" w:rsidRDefault="00145DC8">
      <w:pPr>
        <w:rPr>
          <w:rFonts w:ascii="Century" w:hAnsi="Century"/>
          <w:b/>
          <w:bCs/>
        </w:rPr>
      </w:pPr>
      <w:r w:rsidRPr="00145DC8">
        <w:rPr>
          <w:rFonts w:ascii="Century" w:hAnsi="Century"/>
          <w:b/>
          <w:bCs/>
        </w:rPr>
        <w:t xml:space="preserve">Module: </w:t>
      </w:r>
      <w:r w:rsidRPr="00145DC8">
        <w:rPr>
          <w:rFonts w:ascii="Century" w:hAnsi="Century"/>
        </w:rPr>
        <w:t>ECAD7005</w:t>
      </w:r>
    </w:p>
    <w:p w14:paraId="239DB8BB" w14:textId="77777777" w:rsidR="00145DC8" w:rsidRPr="00145DC8" w:rsidRDefault="00145DC8">
      <w:pPr>
        <w:rPr>
          <w:rFonts w:ascii="Century" w:hAnsi="Century"/>
          <w:b/>
          <w:bCs/>
        </w:rPr>
      </w:pPr>
      <w:r w:rsidRPr="00145DC8">
        <w:rPr>
          <w:rFonts w:ascii="Century" w:hAnsi="Century"/>
          <w:b/>
          <w:bCs/>
        </w:rPr>
        <w:t xml:space="preserve">Part 1: </w:t>
      </w:r>
      <w:r w:rsidRPr="00145DC8">
        <w:rPr>
          <w:rFonts w:ascii="Century" w:hAnsi="Century"/>
        </w:rPr>
        <w:t>Individual Video Presentation</w:t>
      </w:r>
    </w:p>
    <w:p w14:paraId="58ECF266" w14:textId="4C5777BA" w:rsidR="00145DC8" w:rsidRPr="00145DC8" w:rsidRDefault="00145DC8">
      <w:pPr>
        <w:rPr>
          <w:rFonts w:ascii="Century" w:hAnsi="Century"/>
          <w:b/>
          <w:bCs/>
        </w:rPr>
      </w:pPr>
      <w:r w:rsidRPr="00145DC8">
        <w:rPr>
          <w:rFonts w:ascii="Century" w:hAnsi="Century"/>
          <w:b/>
          <w:bCs/>
        </w:rPr>
        <w:t xml:space="preserve">Title: </w:t>
      </w:r>
      <w:r w:rsidRPr="00145DC8">
        <w:rPr>
          <w:rFonts w:ascii="Century" w:hAnsi="Century"/>
        </w:rPr>
        <w:t>Understanding the Role and Impact of School-Family Engagement: A Critical Examination of an Aspect of This Process in My Placement School</w:t>
      </w:r>
    </w:p>
    <w:p w14:paraId="37D8DE74" w14:textId="77777777" w:rsidR="00145DC8" w:rsidRDefault="00145DC8">
      <w:pPr>
        <w:rPr>
          <w:rFonts w:ascii="Century" w:hAnsi="Century"/>
        </w:rPr>
      </w:pPr>
    </w:p>
    <w:p w14:paraId="715FA1EA" w14:textId="77777777" w:rsidR="00145DC8" w:rsidRPr="00145DC8" w:rsidRDefault="00145DC8">
      <w:pPr>
        <w:rPr>
          <w:rFonts w:ascii="Century" w:hAnsi="Century"/>
        </w:rPr>
      </w:pPr>
    </w:p>
    <w:p w14:paraId="05EEB075" w14:textId="2B2FFE3F" w:rsidR="00145DC8" w:rsidRPr="00145DC8" w:rsidRDefault="00145DC8">
      <w:pPr>
        <w:rPr>
          <w:rFonts w:ascii="Century" w:hAnsi="Century"/>
          <w:b/>
          <w:bCs/>
        </w:rPr>
      </w:pPr>
      <w:r w:rsidRPr="00145DC8">
        <w:rPr>
          <w:rFonts w:ascii="Century" w:hAnsi="Century"/>
          <w:b/>
          <w:bCs/>
        </w:rPr>
        <w:t>Acknowledgement AI Tool Use</w:t>
      </w:r>
    </w:p>
    <w:p w14:paraId="2484141F" w14:textId="77777777" w:rsidR="00145DC8" w:rsidRPr="00145DC8" w:rsidRDefault="00145DC8">
      <w:pPr>
        <w:rPr>
          <w:rFonts w:ascii="Century" w:hAnsi="Century"/>
        </w:rPr>
      </w:pPr>
    </w:p>
    <w:p w14:paraId="218187DB" w14:textId="04B7A007" w:rsidR="00145DC8" w:rsidRDefault="00145DC8">
      <w:pPr>
        <w:rPr>
          <w:rFonts w:ascii="Century" w:hAnsi="Century"/>
        </w:rPr>
      </w:pPr>
      <w:r>
        <w:rPr>
          <w:rFonts w:ascii="Century" w:hAnsi="Century"/>
        </w:rPr>
        <w:t>I confirm that I have not used any AI tools in the research and creation of this assignment. I confirm I have not presented any AI generated materials as my own work. I can confirm I have copies of my drafts, notes and other resources I used, which I may be asked to provide in evidence.</w:t>
      </w:r>
    </w:p>
    <w:p w14:paraId="596871C8" w14:textId="77777777" w:rsidR="00145DC8" w:rsidRPr="00145DC8" w:rsidRDefault="00145DC8">
      <w:pPr>
        <w:rPr>
          <w:rFonts w:ascii="Century" w:hAnsi="Century"/>
        </w:rPr>
      </w:pPr>
    </w:p>
    <w:p w14:paraId="66CFE2A0" w14:textId="77777777" w:rsidR="00145DC8" w:rsidRPr="00145DC8" w:rsidRDefault="00145DC8">
      <w:pPr>
        <w:rPr>
          <w:rFonts w:ascii="Century" w:hAnsi="Century"/>
        </w:rPr>
      </w:pPr>
    </w:p>
    <w:p w14:paraId="38B86181" w14:textId="70532731" w:rsidR="00BD3D0D" w:rsidRPr="00145DC8" w:rsidRDefault="00145DC8">
      <w:pPr>
        <w:rPr>
          <w:rFonts w:ascii="Century" w:hAnsi="Century"/>
        </w:rPr>
      </w:pPr>
      <w:r w:rsidRPr="00145DC8">
        <w:rPr>
          <w:rFonts w:ascii="Century" w:hAnsi="Century"/>
          <w:b/>
          <w:bCs/>
        </w:rPr>
        <w:t>Video Link:</w:t>
      </w:r>
      <w:r w:rsidRPr="00145DC8">
        <w:rPr>
          <w:rFonts w:ascii="Century" w:hAnsi="Century"/>
          <w:color w:val="000000" w:themeColor="text1"/>
        </w:rPr>
        <w:t xml:space="preserve"> </w:t>
      </w:r>
      <w:hyperlink r:id="rId5" w:history="1">
        <w:r w:rsidRPr="00145DC8">
          <w:rPr>
            <w:rStyle w:val="Hyperlink"/>
            <w:rFonts w:ascii="Century" w:hAnsi="Century"/>
            <w:color w:val="000000" w:themeColor="text1"/>
          </w:rPr>
          <w:t>Part 1 Video Presentation.mp4</w:t>
        </w:r>
      </w:hyperlink>
    </w:p>
    <w:p w14:paraId="4617B6E2" w14:textId="77777777" w:rsidR="00145DC8" w:rsidRPr="00145DC8" w:rsidRDefault="00145DC8">
      <w:pPr>
        <w:rPr>
          <w:rFonts w:ascii="Century" w:hAnsi="Century"/>
        </w:rPr>
      </w:pPr>
    </w:p>
    <w:p w14:paraId="3F8E61DE" w14:textId="77777777" w:rsidR="00145DC8" w:rsidRPr="00145DC8" w:rsidRDefault="00145DC8">
      <w:pPr>
        <w:rPr>
          <w:rFonts w:ascii="Century" w:hAnsi="Century"/>
        </w:rPr>
      </w:pPr>
    </w:p>
    <w:p w14:paraId="7BF448B5" w14:textId="77777777" w:rsidR="00145DC8" w:rsidRPr="00145DC8" w:rsidRDefault="00145DC8" w:rsidP="00BD3D0D">
      <w:pPr>
        <w:jc w:val="center"/>
        <w:rPr>
          <w:rFonts w:ascii="Century" w:hAnsi="Century" w:cs="Arial"/>
          <w:u w:val="single"/>
        </w:rPr>
      </w:pPr>
    </w:p>
    <w:p w14:paraId="43EE0B7C" w14:textId="7F9B17FD" w:rsidR="00BD3D0D" w:rsidRPr="00145DC8" w:rsidRDefault="00BD3D0D" w:rsidP="00BD3D0D">
      <w:pPr>
        <w:jc w:val="center"/>
        <w:rPr>
          <w:rFonts w:ascii="Century" w:hAnsi="Century" w:cs="Arial"/>
          <w:u w:val="single"/>
        </w:rPr>
      </w:pPr>
      <w:r w:rsidRPr="00145DC8">
        <w:rPr>
          <w:rFonts w:ascii="Century" w:hAnsi="Century" w:cs="Arial"/>
          <w:u w:val="single"/>
        </w:rPr>
        <w:t>References</w:t>
      </w:r>
    </w:p>
    <w:p w14:paraId="6BAA2B9D" w14:textId="77777777" w:rsidR="00BD3D0D" w:rsidRPr="00145DC8" w:rsidRDefault="00BD3D0D" w:rsidP="00BD3D0D">
      <w:pPr>
        <w:spacing w:line="360" w:lineRule="auto"/>
        <w:jc w:val="center"/>
        <w:rPr>
          <w:rFonts w:ascii="Century" w:hAnsi="Century" w:cs="Arial"/>
          <w:color w:val="000000" w:themeColor="text1"/>
          <w:u w:val="single"/>
        </w:rPr>
      </w:pPr>
    </w:p>
    <w:p w14:paraId="1DFFD111" w14:textId="1CEE3E40" w:rsidR="00BD3D0D" w:rsidRPr="00145DC8" w:rsidRDefault="00BD3D0D" w:rsidP="00BD3D0D">
      <w:pPr>
        <w:pStyle w:val="ListParagraph"/>
        <w:numPr>
          <w:ilvl w:val="0"/>
          <w:numId w:val="2"/>
        </w:numPr>
        <w:spacing w:line="360" w:lineRule="auto"/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</w:pPr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Bond, A., Moore, G. and Hawkins, J., (2024). Understanding parental involvement with schools and parental engagement with learning across schools in areas of socioeconomic deprivation in Wales. </w:t>
      </w:r>
      <w:r w:rsidRPr="00145DC8">
        <w:rPr>
          <w:rFonts w:ascii="Century" w:eastAsia="Times New Roman" w:hAnsi="Century" w:cs="Arial"/>
          <w:i/>
          <w:iCs/>
          <w:color w:val="000000" w:themeColor="text1"/>
          <w:kern w:val="0"/>
          <w:lang w:eastAsia="en-GB"/>
          <w14:ligatures w14:val="none"/>
        </w:rPr>
        <w:t>Educational Review</w:t>
      </w:r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, pp.1-21.</w:t>
      </w:r>
    </w:p>
    <w:p w14:paraId="7A04387D" w14:textId="7C5C3A64" w:rsidR="00BD3D0D" w:rsidRPr="00145DC8" w:rsidRDefault="00BD3D0D" w:rsidP="00BD3D0D">
      <w:pPr>
        <w:pStyle w:val="ListParagraph"/>
        <w:numPr>
          <w:ilvl w:val="0"/>
          <w:numId w:val="2"/>
        </w:numPr>
        <w:spacing w:line="360" w:lineRule="auto"/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</w:pPr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Brighouse, T. and Woods, D., (2013). </w:t>
      </w:r>
      <w:r w:rsidRPr="00145DC8">
        <w:rPr>
          <w:rFonts w:ascii="Century" w:eastAsia="Times New Roman" w:hAnsi="Century" w:cs="Arial"/>
          <w:i/>
          <w:iCs/>
          <w:color w:val="000000" w:themeColor="text1"/>
          <w:kern w:val="0"/>
          <w:lang w:eastAsia="en-GB"/>
          <w14:ligatures w14:val="none"/>
        </w:rPr>
        <w:t>The A-Z of school improvement: principles and practice</w:t>
      </w:r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. London: Bloomsbury Education.</w:t>
      </w:r>
    </w:p>
    <w:p w14:paraId="0EF816EA" w14:textId="7D8B0178" w:rsidR="00BD3D0D" w:rsidRPr="00145DC8" w:rsidRDefault="00BD3D0D" w:rsidP="00BD3D0D">
      <w:pPr>
        <w:pStyle w:val="ListParagraph"/>
        <w:numPr>
          <w:ilvl w:val="0"/>
          <w:numId w:val="2"/>
        </w:numPr>
        <w:spacing w:line="360" w:lineRule="auto"/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</w:pPr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British Educational Research Association, (2024). </w:t>
      </w:r>
      <w:r w:rsidRPr="00145DC8">
        <w:rPr>
          <w:rFonts w:ascii="Century" w:eastAsia="Times New Roman" w:hAnsi="Century" w:cs="Arial"/>
          <w:i/>
          <w:iCs/>
          <w:color w:val="000000" w:themeColor="text1"/>
          <w:kern w:val="0"/>
          <w:lang w:eastAsia="en-GB"/>
          <w14:ligatures w14:val="none"/>
        </w:rPr>
        <w:t>Ethical Guidelines for Educational Research</w:t>
      </w:r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. 5th ed. London: British Educational Research Association. Available at: </w:t>
      </w:r>
      <w:hyperlink r:id="rId6" w:tgtFrame="_new" w:history="1">
        <w:r w:rsidRPr="00145DC8">
          <w:rPr>
            <w:rFonts w:ascii="Century" w:eastAsia="Times New Roman" w:hAnsi="Century" w:cs="Arial"/>
            <w:color w:val="000000" w:themeColor="text1"/>
            <w:kern w:val="0"/>
            <w:u w:val="single"/>
            <w:lang w:eastAsia="en-GB"/>
            <w14:ligatures w14:val="none"/>
          </w:rPr>
          <w:t>https://www.bera.ac.uk/publication/ethical-guidelines-for-educational-research-fifth-edition-2024</w:t>
        </w:r>
      </w:hyperlink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 (Accessed: 20 February 2025).</w:t>
      </w:r>
    </w:p>
    <w:p w14:paraId="5E93BA17" w14:textId="4D9696EC" w:rsidR="00BD3D0D" w:rsidRPr="00145DC8" w:rsidRDefault="00BD3D0D" w:rsidP="00BD3D0D">
      <w:pPr>
        <w:pStyle w:val="ListParagraph"/>
        <w:numPr>
          <w:ilvl w:val="0"/>
          <w:numId w:val="2"/>
        </w:numPr>
        <w:spacing w:line="360" w:lineRule="auto"/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</w:pPr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 xml:space="preserve">Dean, C., Dyson, A., </w:t>
      </w:r>
      <w:proofErr w:type="spellStart"/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Gallanaugh</w:t>
      </w:r>
      <w:proofErr w:type="spellEnd"/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 xml:space="preserve">, F., Howes, A. and </w:t>
      </w:r>
      <w:proofErr w:type="spellStart"/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Raffo</w:t>
      </w:r>
      <w:proofErr w:type="spellEnd"/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, C., (2007). </w:t>
      </w:r>
      <w:r w:rsidRPr="00145DC8">
        <w:rPr>
          <w:rFonts w:ascii="Century" w:eastAsia="Times New Roman" w:hAnsi="Century" w:cs="Arial"/>
          <w:i/>
          <w:iCs/>
          <w:color w:val="000000" w:themeColor="text1"/>
          <w:kern w:val="0"/>
          <w:lang w:eastAsia="en-GB"/>
          <w14:ligatures w14:val="none"/>
        </w:rPr>
        <w:t>School governors and disadvantage</w:t>
      </w:r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. York: Joseph Rowntree Foundation.</w:t>
      </w:r>
    </w:p>
    <w:p w14:paraId="6456EF34" w14:textId="388EA4E0" w:rsidR="00BD3D0D" w:rsidRPr="00145DC8" w:rsidRDefault="00BD3D0D" w:rsidP="00BD3D0D">
      <w:pPr>
        <w:pStyle w:val="ListParagraph"/>
        <w:numPr>
          <w:ilvl w:val="0"/>
          <w:numId w:val="2"/>
        </w:numPr>
        <w:spacing w:line="360" w:lineRule="auto"/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</w:pPr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Dingle, R.J., (2000). </w:t>
      </w:r>
      <w:r w:rsidRPr="00145DC8">
        <w:rPr>
          <w:rFonts w:ascii="Century" w:eastAsia="Times New Roman" w:hAnsi="Century" w:cs="Arial"/>
          <w:i/>
          <w:iCs/>
          <w:color w:val="000000" w:themeColor="text1"/>
          <w:kern w:val="0"/>
          <w:lang w:eastAsia="en-GB"/>
          <w14:ligatures w14:val="none"/>
        </w:rPr>
        <w:t xml:space="preserve">Effective governors-effective </w:t>
      </w:r>
      <w:proofErr w:type="gramStart"/>
      <w:r w:rsidRPr="00145DC8">
        <w:rPr>
          <w:rFonts w:ascii="Century" w:eastAsia="Times New Roman" w:hAnsi="Century" w:cs="Arial"/>
          <w:i/>
          <w:iCs/>
          <w:color w:val="000000" w:themeColor="text1"/>
          <w:kern w:val="0"/>
          <w:lang w:eastAsia="en-GB"/>
          <w14:ligatures w14:val="none"/>
        </w:rPr>
        <w:t>schools?:</w:t>
      </w:r>
      <w:proofErr w:type="gramEnd"/>
      <w:r w:rsidRPr="00145DC8">
        <w:rPr>
          <w:rFonts w:ascii="Century" w:eastAsia="Times New Roman" w:hAnsi="Century" w:cs="Arial"/>
          <w:i/>
          <w:iCs/>
          <w:color w:val="000000" w:themeColor="text1"/>
          <w:kern w:val="0"/>
          <w:lang w:eastAsia="en-GB"/>
          <w14:ligatures w14:val="none"/>
        </w:rPr>
        <w:t xml:space="preserve"> a study of governor effectiveness and its association with school effectiveness</w:t>
      </w:r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 (Doctoral dissertation, Newcastle University).</w:t>
      </w:r>
    </w:p>
    <w:p w14:paraId="7623787A" w14:textId="32A1C8F4" w:rsidR="00BD3D0D" w:rsidRPr="00145DC8" w:rsidRDefault="00BD3D0D" w:rsidP="00BD3D0D">
      <w:pPr>
        <w:pStyle w:val="ListParagraph"/>
        <w:numPr>
          <w:ilvl w:val="0"/>
          <w:numId w:val="2"/>
        </w:numPr>
        <w:spacing w:line="360" w:lineRule="auto"/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</w:pPr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lastRenderedPageBreak/>
        <w:t>Earley, P., (2000). ‘Monitoring, managing or meddling? Governing bodies and the evaluation of school performance’, </w:t>
      </w:r>
      <w:r w:rsidRPr="00145DC8">
        <w:rPr>
          <w:rFonts w:ascii="Century" w:eastAsia="Times New Roman" w:hAnsi="Century" w:cs="Arial"/>
          <w:i/>
          <w:iCs/>
          <w:color w:val="000000" w:themeColor="text1"/>
          <w:kern w:val="0"/>
          <w:lang w:eastAsia="en-GB"/>
          <w14:ligatures w14:val="none"/>
        </w:rPr>
        <w:t>Educational Management &amp; Administration</w:t>
      </w:r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, 28(2), pp. 199–210.</w:t>
      </w:r>
    </w:p>
    <w:p w14:paraId="49D1D150" w14:textId="33154FD6" w:rsidR="00BD3D0D" w:rsidRPr="00145DC8" w:rsidRDefault="00BD3D0D" w:rsidP="00BD3D0D">
      <w:pPr>
        <w:pStyle w:val="ListParagraph"/>
        <w:numPr>
          <w:ilvl w:val="0"/>
          <w:numId w:val="2"/>
        </w:numPr>
        <w:spacing w:line="360" w:lineRule="auto"/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</w:pPr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Egan, D., (2017). </w:t>
      </w:r>
      <w:r w:rsidRPr="00145DC8">
        <w:rPr>
          <w:rFonts w:ascii="Century" w:eastAsia="Times New Roman" w:hAnsi="Century" w:cs="Arial"/>
          <w:i/>
          <w:iCs/>
          <w:color w:val="000000" w:themeColor="text1"/>
          <w:kern w:val="0"/>
          <w:lang w:eastAsia="en-GB"/>
          <w14:ligatures w14:val="none"/>
        </w:rPr>
        <w:t>After PISA: A way forward for education in Wales?</w:t>
      </w:r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 [online] Bevan Foundation. Available at: </w:t>
      </w:r>
      <w:hyperlink r:id="rId7" w:tgtFrame="_new" w:history="1">
        <w:r w:rsidRPr="00145DC8">
          <w:rPr>
            <w:rFonts w:ascii="Century" w:eastAsia="Times New Roman" w:hAnsi="Century" w:cs="Arial"/>
            <w:color w:val="000000" w:themeColor="text1"/>
            <w:kern w:val="0"/>
            <w:u w:val="single"/>
            <w:lang w:eastAsia="en-GB"/>
            <w14:ligatures w14:val="none"/>
          </w:rPr>
          <w:t>https://www.bevanfoundation.org/wp-content/uploads/2017/01/After-PISA-Report.pdf</w:t>
        </w:r>
      </w:hyperlink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.</w:t>
      </w:r>
    </w:p>
    <w:p w14:paraId="1157C09C" w14:textId="136FA5B1" w:rsidR="00BD3D0D" w:rsidRPr="00145DC8" w:rsidRDefault="00BD3D0D" w:rsidP="00BD3D0D">
      <w:pPr>
        <w:pStyle w:val="ListParagraph"/>
        <w:numPr>
          <w:ilvl w:val="0"/>
          <w:numId w:val="2"/>
        </w:numPr>
        <w:spacing w:line="360" w:lineRule="auto"/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</w:pPr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Estyn, (2023). </w:t>
      </w:r>
      <w:r w:rsidRPr="00145DC8">
        <w:rPr>
          <w:rFonts w:ascii="Century" w:eastAsia="Times New Roman" w:hAnsi="Century" w:cs="Arial"/>
          <w:i/>
          <w:iCs/>
          <w:color w:val="000000" w:themeColor="text1"/>
          <w:kern w:val="0"/>
          <w:lang w:eastAsia="en-GB"/>
          <w14:ligatures w14:val="none"/>
        </w:rPr>
        <w:t>School Governors: Acting as Critical Friends and the Impact of Governor Training</w:t>
      </w:r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. [pdf] Available at: </w:t>
      </w:r>
      <w:hyperlink r:id="rId8" w:tgtFrame="_new" w:history="1">
        <w:r w:rsidRPr="00145DC8">
          <w:rPr>
            <w:rFonts w:ascii="Century" w:eastAsia="Times New Roman" w:hAnsi="Century" w:cs="Arial"/>
            <w:color w:val="000000" w:themeColor="text1"/>
            <w:kern w:val="0"/>
            <w:u w:val="single"/>
            <w:lang w:eastAsia="en-GB"/>
            <w14:ligatures w14:val="none"/>
          </w:rPr>
          <w:t>https://www.estyn.gov.wales/system/files/2023-07/School%20Governors%20-%20Acting%20as%20critical%20friends%20and%20the%20impact%20of%20governor%20training.pdf</w:t>
        </w:r>
      </w:hyperlink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.</w:t>
      </w:r>
    </w:p>
    <w:p w14:paraId="6E84CC47" w14:textId="533FF37F" w:rsidR="00BD3D0D" w:rsidRPr="00145DC8" w:rsidRDefault="00BD3D0D" w:rsidP="00BD3D0D">
      <w:pPr>
        <w:pStyle w:val="ListParagraph"/>
        <w:numPr>
          <w:ilvl w:val="0"/>
          <w:numId w:val="2"/>
        </w:numPr>
        <w:spacing w:line="360" w:lineRule="auto"/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</w:pPr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Estyn, (2025). </w:t>
      </w:r>
      <w:r w:rsidRPr="00145DC8">
        <w:rPr>
          <w:rFonts w:ascii="Century" w:eastAsia="Times New Roman" w:hAnsi="Century" w:cs="Arial"/>
          <w:i/>
          <w:iCs/>
          <w:color w:val="000000" w:themeColor="text1"/>
          <w:kern w:val="0"/>
          <w:lang w:eastAsia="en-GB"/>
          <w14:ligatures w14:val="none"/>
        </w:rPr>
        <w:t xml:space="preserve">Inspection report: </w:t>
      </w:r>
      <w:r w:rsidR="005352C8" w:rsidRPr="005352C8">
        <w:rPr>
          <w:rFonts w:ascii="Century" w:eastAsia="Times New Roman" w:hAnsi="Century" w:cs="Arial"/>
          <w:i/>
          <w:iCs/>
          <w:color w:val="000000" w:themeColor="text1"/>
          <w:kern w:val="0"/>
          <w:highlight w:val="black"/>
          <w:lang w:eastAsia="en-GB"/>
          <w14:ligatures w14:val="none"/>
        </w:rPr>
        <w:t>Mynydd Cynffig</w:t>
      </w:r>
      <w:r w:rsidR="005352C8">
        <w:rPr>
          <w:rFonts w:ascii="Century" w:eastAsia="Times New Roman" w:hAnsi="Century" w:cs="Arial"/>
          <w:i/>
          <w:iCs/>
          <w:color w:val="000000" w:themeColor="text1"/>
          <w:kern w:val="0"/>
          <w:lang w:eastAsia="en-GB"/>
          <w14:ligatures w14:val="none"/>
        </w:rPr>
        <w:t xml:space="preserve"> Primary</w:t>
      </w:r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. Available at: </w:t>
      </w:r>
      <w:hyperlink r:id="rId9" w:tgtFrame="_new" w:history="1">
        <w:r w:rsidRPr="00145DC8">
          <w:rPr>
            <w:rFonts w:ascii="Century" w:eastAsia="Times New Roman" w:hAnsi="Century" w:cs="Arial"/>
            <w:color w:val="000000" w:themeColor="text1"/>
            <w:kern w:val="0"/>
            <w:highlight w:val="black"/>
            <w:u w:val="single"/>
            <w:lang w:eastAsia="en-GB"/>
            <w14:ligatures w14:val="none"/>
          </w:rPr>
          <w:t>https://primarysite-prod-sorted.s3.amazonaws.com/mynydd-cynffig-primary-school/UploadedDocument/4e4858cb-c381-4935-a180-154c937a36a2/inspection-report-mynydd-cynffig-primary-school-2025.pdf</w:t>
        </w:r>
      </w:hyperlink>
      <w:r w:rsidRPr="00145DC8">
        <w:rPr>
          <w:rFonts w:ascii="Century" w:eastAsia="Times New Roman" w:hAnsi="Century" w:cs="Arial"/>
          <w:color w:val="000000" w:themeColor="text1"/>
          <w:kern w:val="0"/>
          <w:highlight w:val="black"/>
          <w:lang w:eastAsia="en-GB"/>
          <w14:ligatures w14:val="none"/>
        </w:rPr>
        <w:t>.</w:t>
      </w:r>
    </w:p>
    <w:p w14:paraId="779DB50D" w14:textId="68BE3910" w:rsidR="00BD3D0D" w:rsidRPr="00145DC8" w:rsidRDefault="00BD3D0D" w:rsidP="00BD3D0D">
      <w:pPr>
        <w:pStyle w:val="ListParagraph"/>
        <w:numPr>
          <w:ilvl w:val="0"/>
          <w:numId w:val="2"/>
        </w:numPr>
        <w:spacing w:line="360" w:lineRule="auto"/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</w:pPr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Goodall, J. and Montgomery, C., (2014). Parental Involvement to Parental Engagement: A Continuum. </w:t>
      </w:r>
      <w:r w:rsidRPr="00145DC8">
        <w:rPr>
          <w:rFonts w:ascii="Century" w:eastAsia="Times New Roman" w:hAnsi="Century" w:cs="Arial"/>
          <w:i/>
          <w:iCs/>
          <w:color w:val="000000" w:themeColor="text1"/>
          <w:kern w:val="0"/>
          <w:lang w:eastAsia="en-GB"/>
          <w14:ligatures w14:val="none"/>
        </w:rPr>
        <w:t>Educational Review</w:t>
      </w:r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, 66(4), pp. 399-410.</w:t>
      </w:r>
    </w:p>
    <w:p w14:paraId="7837BE43" w14:textId="16A6B9AE" w:rsidR="00BD3D0D" w:rsidRPr="00145DC8" w:rsidRDefault="00BD3D0D" w:rsidP="00BD3D0D">
      <w:pPr>
        <w:pStyle w:val="ListParagraph"/>
        <w:numPr>
          <w:ilvl w:val="0"/>
          <w:numId w:val="2"/>
        </w:numPr>
        <w:spacing w:line="360" w:lineRule="auto"/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</w:pPr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Goodall, J., (2017). The Role of Parental Involvement in Children's Educational Achievement. </w:t>
      </w:r>
      <w:r w:rsidRPr="00145DC8">
        <w:rPr>
          <w:rFonts w:ascii="Century" w:eastAsia="Times New Roman" w:hAnsi="Century" w:cs="Arial"/>
          <w:i/>
          <w:iCs/>
          <w:color w:val="000000" w:themeColor="text1"/>
          <w:kern w:val="0"/>
          <w:lang w:eastAsia="en-GB"/>
          <w14:ligatures w14:val="none"/>
        </w:rPr>
        <w:t>Educational Research</w:t>
      </w:r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, 59(2), pp. 89-98 [online].</w:t>
      </w:r>
    </w:p>
    <w:p w14:paraId="0D8B0B00" w14:textId="305AABE1" w:rsidR="00BD3D0D" w:rsidRPr="00145DC8" w:rsidRDefault="00BD3D0D" w:rsidP="00BD3D0D">
      <w:pPr>
        <w:pStyle w:val="ListParagraph"/>
        <w:numPr>
          <w:ilvl w:val="0"/>
          <w:numId w:val="2"/>
        </w:numPr>
        <w:spacing w:line="360" w:lineRule="auto"/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</w:pPr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Meredith, A.G., (2023). ‘Primary school parent governors in a deprived south Wales community: how do their experiences contribute to our understanding of school governance?’, </w:t>
      </w:r>
      <w:proofErr w:type="spellStart"/>
      <w:r w:rsidRPr="00145DC8">
        <w:rPr>
          <w:rFonts w:ascii="Century" w:eastAsia="Times New Roman" w:hAnsi="Century" w:cs="Arial"/>
          <w:i/>
          <w:iCs/>
          <w:color w:val="000000" w:themeColor="text1"/>
          <w:kern w:val="0"/>
          <w:lang w:eastAsia="en-GB"/>
          <w14:ligatures w14:val="none"/>
        </w:rPr>
        <w:t>Cylchgrawn</w:t>
      </w:r>
      <w:proofErr w:type="spellEnd"/>
      <w:r w:rsidRPr="00145DC8">
        <w:rPr>
          <w:rFonts w:ascii="Century" w:eastAsia="Times New Roman" w:hAnsi="Century" w:cs="Arial"/>
          <w:i/>
          <w:iCs/>
          <w:color w:val="000000" w:themeColor="text1"/>
          <w:kern w:val="0"/>
          <w:lang w:eastAsia="en-GB"/>
          <w14:ligatures w14:val="none"/>
        </w:rPr>
        <w:t xml:space="preserve"> </w:t>
      </w:r>
      <w:proofErr w:type="spellStart"/>
      <w:r w:rsidRPr="00145DC8">
        <w:rPr>
          <w:rFonts w:ascii="Century" w:eastAsia="Times New Roman" w:hAnsi="Century" w:cs="Arial"/>
          <w:i/>
          <w:iCs/>
          <w:color w:val="000000" w:themeColor="text1"/>
          <w:kern w:val="0"/>
          <w:lang w:eastAsia="en-GB"/>
          <w14:ligatures w14:val="none"/>
        </w:rPr>
        <w:t>Addysg</w:t>
      </w:r>
      <w:proofErr w:type="spellEnd"/>
      <w:r w:rsidRPr="00145DC8">
        <w:rPr>
          <w:rFonts w:ascii="Century" w:eastAsia="Times New Roman" w:hAnsi="Century" w:cs="Arial"/>
          <w:i/>
          <w:iCs/>
          <w:color w:val="000000" w:themeColor="text1"/>
          <w:kern w:val="0"/>
          <w:lang w:eastAsia="en-GB"/>
          <w14:ligatures w14:val="none"/>
        </w:rPr>
        <w:t xml:space="preserve"> Cymru / Wales Journal of Education</w:t>
      </w:r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, 25(2). Available at: </w:t>
      </w:r>
      <w:hyperlink r:id="rId10" w:tgtFrame="_new" w:history="1">
        <w:r w:rsidRPr="00145DC8">
          <w:rPr>
            <w:rFonts w:ascii="Century" w:eastAsia="Times New Roman" w:hAnsi="Century" w:cs="Arial"/>
            <w:color w:val="000000" w:themeColor="text1"/>
            <w:kern w:val="0"/>
            <w:u w:val="single"/>
            <w:lang w:eastAsia="en-GB"/>
            <w14:ligatures w14:val="none"/>
          </w:rPr>
          <w:t>https://doi.org/10.16922/wje.25.2.3</w:t>
        </w:r>
      </w:hyperlink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.</w:t>
      </w:r>
    </w:p>
    <w:p w14:paraId="2A31BFD1" w14:textId="0B3643C5" w:rsidR="00BD3D0D" w:rsidRPr="00145DC8" w:rsidRDefault="00BD3D0D" w:rsidP="00BD3D0D">
      <w:pPr>
        <w:pStyle w:val="ListParagraph"/>
        <w:numPr>
          <w:ilvl w:val="0"/>
          <w:numId w:val="2"/>
        </w:numPr>
        <w:spacing w:line="360" w:lineRule="auto"/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</w:pPr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 xml:space="preserve">Ranson, S., Farrell, C.M., </w:t>
      </w:r>
      <w:proofErr w:type="spellStart"/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Peim</w:t>
      </w:r>
      <w:proofErr w:type="spellEnd"/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, N. and Smith, P., (2005). ‘Does governance matter for school improvement?’, </w:t>
      </w:r>
      <w:r w:rsidRPr="00145DC8">
        <w:rPr>
          <w:rFonts w:ascii="Century" w:eastAsia="Times New Roman" w:hAnsi="Century" w:cs="Arial"/>
          <w:i/>
          <w:iCs/>
          <w:color w:val="000000" w:themeColor="text1"/>
          <w:kern w:val="0"/>
          <w:lang w:eastAsia="en-GB"/>
          <w14:ligatures w14:val="none"/>
        </w:rPr>
        <w:t>School Effectiveness and School Improvement</w:t>
      </w:r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, 16(3), pp. 305–325.</w:t>
      </w:r>
    </w:p>
    <w:p w14:paraId="51986CF9" w14:textId="45B484B0" w:rsidR="00BD3D0D" w:rsidRPr="00145DC8" w:rsidRDefault="00BD3D0D" w:rsidP="00BD3D0D">
      <w:pPr>
        <w:pStyle w:val="ListParagraph"/>
        <w:numPr>
          <w:ilvl w:val="0"/>
          <w:numId w:val="2"/>
        </w:numPr>
        <w:spacing w:line="360" w:lineRule="auto"/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</w:pPr>
      <w:proofErr w:type="spellStart"/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Salac</w:t>
      </w:r>
      <w:proofErr w:type="spellEnd"/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, L.M. and Florida, J.U., (2022). Epstein model of parental involvement and academic performance of learners. </w:t>
      </w:r>
      <w:r w:rsidRPr="00145DC8">
        <w:rPr>
          <w:rFonts w:ascii="Century" w:eastAsia="Times New Roman" w:hAnsi="Century" w:cs="Arial"/>
          <w:i/>
          <w:iCs/>
          <w:color w:val="000000" w:themeColor="text1"/>
          <w:kern w:val="0"/>
          <w:lang w:eastAsia="en-GB"/>
          <w14:ligatures w14:val="none"/>
        </w:rPr>
        <w:t>European Online Journal of Natural and Social Sciences</w:t>
      </w:r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, 11(2), pp. 379.</w:t>
      </w:r>
    </w:p>
    <w:p w14:paraId="5F996133" w14:textId="5835537C" w:rsidR="00BD3D0D" w:rsidRPr="00145DC8" w:rsidRDefault="00BD3D0D" w:rsidP="00BD3D0D">
      <w:pPr>
        <w:pStyle w:val="ListParagraph"/>
        <w:numPr>
          <w:ilvl w:val="0"/>
          <w:numId w:val="2"/>
        </w:numPr>
        <w:spacing w:line="360" w:lineRule="auto"/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</w:pPr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lastRenderedPageBreak/>
        <w:t>Welsh Government, (2018). </w:t>
      </w:r>
      <w:r w:rsidRPr="00145DC8">
        <w:rPr>
          <w:rFonts w:ascii="Century" w:eastAsia="Times New Roman" w:hAnsi="Century" w:cs="Arial"/>
          <w:i/>
          <w:iCs/>
          <w:color w:val="000000" w:themeColor="text1"/>
          <w:kern w:val="0"/>
          <w:lang w:eastAsia="en-GB"/>
          <w14:ligatures w14:val="none"/>
        </w:rPr>
        <w:t>Additional Learning Needs and Education Tribunal (Wales) Act 2018</w:t>
      </w:r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. Cardiff: Welsh Government. Available at: </w:t>
      </w:r>
      <w:hyperlink r:id="rId11" w:tgtFrame="_new" w:history="1">
        <w:r w:rsidRPr="00145DC8">
          <w:rPr>
            <w:rFonts w:ascii="Century" w:eastAsia="Times New Roman" w:hAnsi="Century" w:cs="Arial"/>
            <w:color w:val="000000" w:themeColor="text1"/>
            <w:kern w:val="0"/>
            <w:u w:val="single"/>
            <w:lang w:eastAsia="en-GB"/>
            <w14:ligatures w14:val="none"/>
          </w:rPr>
          <w:t>https://www.legislation.gov.uk/anaw/2018/2/enacted</w:t>
        </w:r>
      </w:hyperlink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 (Accessed: 20 February 2025).</w:t>
      </w:r>
    </w:p>
    <w:p w14:paraId="22C86372" w14:textId="1ECEE454" w:rsidR="00BD3D0D" w:rsidRPr="00145DC8" w:rsidRDefault="00BD3D0D" w:rsidP="00BD3D0D">
      <w:pPr>
        <w:pStyle w:val="ListParagraph"/>
        <w:numPr>
          <w:ilvl w:val="0"/>
          <w:numId w:val="2"/>
        </w:numPr>
        <w:spacing w:line="360" w:lineRule="auto"/>
        <w:rPr>
          <w:rFonts w:ascii="Century" w:hAnsi="Century" w:cs="Arial"/>
          <w:color w:val="000000" w:themeColor="text1"/>
        </w:rPr>
      </w:pPr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Welsh Government, (2022). </w:t>
      </w:r>
      <w:r w:rsidRPr="00145DC8">
        <w:rPr>
          <w:rFonts w:ascii="Century" w:eastAsia="Times New Roman" w:hAnsi="Century" w:cs="Arial"/>
          <w:i/>
          <w:iCs/>
          <w:color w:val="000000" w:themeColor="text1"/>
          <w:kern w:val="0"/>
          <w:lang w:eastAsia="en-GB"/>
          <w14:ligatures w14:val="none"/>
        </w:rPr>
        <w:t>Community-focused schools</w:t>
      </w:r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. Available at: </w:t>
      </w:r>
      <w:hyperlink r:id="rId12" w:tgtFrame="_new" w:history="1">
        <w:r w:rsidRPr="00145DC8">
          <w:rPr>
            <w:rFonts w:ascii="Century" w:eastAsia="Times New Roman" w:hAnsi="Century" w:cs="Arial"/>
            <w:color w:val="000000" w:themeColor="text1"/>
            <w:kern w:val="0"/>
            <w:u w:val="single"/>
            <w:lang w:eastAsia="en-GB"/>
            <w14:ligatures w14:val="none"/>
          </w:rPr>
          <w:t>https://www.gov.wales/community-focused-schools-html</w:t>
        </w:r>
      </w:hyperlink>
      <w:r w:rsidRPr="00145DC8">
        <w:rPr>
          <w:rFonts w:ascii="Century" w:eastAsia="Times New Roman" w:hAnsi="Century" w:cs="Arial"/>
          <w:color w:val="000000" w:themeColor="text1"/>
          <w:kern w:val="0"/>
          <w:lang w:eastAsia="en-GB"/>
          <w14:ligatures w14:val="none"/>
        </w:rPr>
        <w:t> (Accessed: 18 February 2025).</w:t>
      </w:r>
    </w:p>
    <w:sectPr w:rsidR="00BD3D0D" w:rsidRPr="00145D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850EB8"/>
    <w:multiLevelType w:val="hybridMultilevel"/>
    <w:tmpl w:val="2EF4935C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0E0D82"/>
    <w:multiLevelType w:val="hybridMultilevel"/>
    <w:tmpl w:val="CD5861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8E5462"/>
    <w:multiLevelType w:val="hybridMultilevel"/>
    <w:tmpl w:val="0E5050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9587839">
    <w:abstractNumId w:val="2"/>
  </w:num>
  <w:num w:numId="2" w16cid:durableId="612709473">
    <w:abstractNumId w:val="1"/>
  </w:num>
  <w:num w:numId="3" w16cid:durableId="591931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968"/>
    <w:rsid w:val="00145DC8"/>
    <w:rsid w:val="001A3CF4"/>
    <w:rsid w:val="002F3705"/>
    <w:rsid w:val="005352C8"/>
    <w:rsid w:val="007A269D"/>
    <w:rsid w:val="009F150A"/>
    <w:rsid w:val="00BA7AAC"/>
    <w:rsid w:val="00BD3D0D"/>
    <w:rsid w:val="00D3638B"/>
    <w:rsid w:val="00EE750E"/>
    <w:rsid w:val="00F0535E"/>
    <w:rsid w:val="00F87968"/>
    <w:rsid w:val="00FC2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50EE4D"/>
  <w15:chartTrackingRefBased/>
  <w15:docId w15:val="{C8D70A4A-D2FE-254E-BEC9-8E257C0C8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79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79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79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79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79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796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796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796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796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79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79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79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79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79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79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79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79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79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796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79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796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79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796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79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79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79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79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79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796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2F370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F3705"/>
    <w:rPr>
      <w:color w:val="96607D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BD3D0D"/>
  </w:style>
  <w:style w:type="character" w:styleId="Emphasis">
    <w:name w:val="Emphasis"/>
    <w:basedOn w:val="DefaultParagraphFont"/>
    <w:uiPriority w:val="20"/>
    <w:qFormat/>
    <w:rsid w:val="00BD3D0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256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gov.wales/system/files/2023-07/School%20Governors%20-%20Acting%20as%20critical%20friends%20and%20the%20impact%20of%20governor%20training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evanfoundation.org/wp-content/uploads/2017/01/After-PISA-Report.pdf" TargetMode="External"/><Relationship Id="rId12" Type="http://schemas.openxmlformats.org/officeDocument/2006/relationships/hyperlink" Target="https://www.gov.wales/community-focused-schools-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era.ac.uk/publication/ethical-guidelines-for-educational-research-fifth-edition-2024" TargetMode="External"/><Relationship Id="rId11" Type="http://schemas.openxmlformats.org/officeDocument/2006/relationships/hyperlink" Target="https://www.legislation.gov.uk/anaw/2018/2/enacted" TargetMode="External"/><Relationship Id="rId5" Type="http://schemas.openxmlformats.org/officeDocument/2006/relationships/hyperlink" Target="https://uowtsd-my.sharepoint.com/:v:/g/personal/2405511_student_uwtsd_ac_uk/EY9rDXnuzaZDpYfasbuaMSsBYgobl8YESx6SnMLiupJsRg?nav=eyJyZWZlcnJhbEluZm8iOnsicmVmZXJyYWxBcHAiOiJPbmVEcml2ZUZvckJ1c2luZXNzIiwicmVmZXJyYWxBcHBQbGF0Zm9ybSI6IldlYiIsInJlZmVycmFsTW9kZSI6InZpZXciLCJyZWZlcnJhbFZpZXciOiJNeUZpbGVzTGlua0NvcHkifX0&amp;e=VQpJ3I" TargetMode="External"/><Relationship Id="rId10" Type="http://schemas.openxmlformats.org/officeDocument/2006/relationships/hyperlink" Target="https://doi.org/10.16922/wje.25.2.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imarysite-prod-sorted.s3.amazonaws.com/mynydd-cynffig-primary-school/UploadedDocument/4e4858cb-c381-4935-a180-154c937a36a2/inspection-report-mynydd-cynffig-primary-school-2025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 Cunningham (2405511)</dc:creator>
  <cp:keywords/>
  <dc:description/>
  <cp:lastModifiedBy>Rosie Cunningham (2405511)</cp:lastModifiedBy>
  <cp:revision>3</cp:revision>
  <dcterms:created xsi:type="dcterms:W3CDTF">2025-03-03T17:49:00Z</dcterms:created>
  <dcterms:modified xsi:type="dcterms:W3CDTF">2025-03-03T18:49:00Z</dcterms:modified>
</cp:coreProperties>
</file>