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EFEB57" w14:textId="77777777" w:rsidR="00874049" w:rsidRPr="0087436F" w:rsidRDefault="00874049" w:rsidP="0087436F">
      <w:pPr>
        <w:spacing w:line="360" w:lineRule="auto"/>
        <w:jc w:val="center"/>
        <w:rPr>
          <w:rFonts w:ascii="Arial" w:hAnsi="Arial" w:cs="Arial"/>
        </w:rPr>
      </w:pPr>
      <w:r w:rsidRPr="0087436F">
        <w:rPr>
          <w:rFonts w:ascii="Arial" w:hAnsi="Arial" w:cs="Arial"/>
          <w:noProof/>
        </w:rPr>
        <w:drawing>
          <wp:inline distT="0" distB="0" distL="0" distR="0" wp14:anchorId="5BBCA930" wp14:editId="6FB37A64">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31C102BD" w14:textId="77777777" w:rsidR="00874049" w:rsidRPr="0087436F" w:rsidRDefault="00874049" w:rsidP="0087436F">
      <w:pPr>
        <w:spacing w:line="360" w:lineRule="auto"/>
        <w:rPr>
          <w:rFonts w:ascii="Arial" w:hAnsi="Arial" w:cs="Arial"/>
        </w:rPr>
      </w:pPr>
    </w:p>
    <w:p w14:paraId="5492ED64" w14:textId="77777777" w:rsidR="00874049" w:rsidRPr="0087436F" w:rsidRDefault="00874049" w:rsidP="0087436F">
      <w:pPr>
        <w:spacing w:line="360" w:lineRule="auto"/>
        <w:jc w:val="center"/>
        <w:rPr>
          <w:rFonts w:ascii="Arial" w:hAnsi="Arial" w:cs="Arial"/>
          <w:sz w:val="36"/>
          <w:szCs w:val="36"/>
        </w:rPr>
      </w:pPr>
    </w:p>
    <w:p w14:paraId="2F953D19" w14:textId="6EA7432B" w:rsidR="00874049" w:rsidRPr="0087436F" w:rsidRDefault="00874049" w:rsidP="0087436F">
      <w:pPr>
        <w:spacing w:line="360" w:lineRule="auto"/>
        <w:jc w:val="center"/>
        <w:rPr>
          <w:rFonts w:ascii="Arial" w:hAnsi="Arial" w:cs="Arial"/>
          <w:b/>
          <w:bCs/>
          <w:sz w:val="36"/>
          <w:szCs w:val="36"/>
        </w:rPr>
      </w:pPr>
      <w:r w:rsidRPr="0087436F">
        <w:rPr>
          <w:rFonts w:ascii="Arial" w:hAnsi="Arial" w:cs="Arial"/>
          <w:b/>
          <w:bCs/>
          <w:sz w:val="36"/>
          <w:szCs w:val="36"/>
        </w:rPr>
        <w:t>Student Name:</w:t>
      </w:r>
      <w:r w:rsidR="0087436F" w:rsidRPr="0087436F">
        <w:rPr>
          <w:rFonts w:ascii="Arial" w:hAnsi="Arial" w:cs="Arial"/>
          <w:b/>
          <w:bCs/>
          <w:sz w:val="36"/>
          <w:szCs w:val="36"/>
        </w:rPr>
        <w:t xml:space="preserve"> K</w:t>
      </w:r>
      <w:r w:rsidRPr="0087436F">
        <w:rPr>
          <w:rFonts w:ascii="Arial" w:hAnsi="Arial" w:cs="Arial"/>
          <w:b/>
          <w:bCs/>
          <w:sz w:val="36"/>
          <w:szCs w:val="36"/>
        </w:rPr>
        <w:t>evin</w:t>
      </w:r>
      <w:r w:rsidR="0087436F" w:rsidRPr="0087436F">
        <w:rPr>
          <w:rFonts w:ascii="Arial" w:hAnsi="Arial" w:cs="Arial"/>
          <w:b/>
          <w:bCs/>
          <w:sz w:val="36"/>
          <w:szCs w:val="36"/>
        </w:rPr>
        <w:t xml:space="preserve"> </w:t>
      </w:r>
      <w:proofErr w:type="spellStart"/>
      <w:r w:rsidR="0087436F" w:rsidRPr="0087436F">
        <w:rPr>
          <w:rFonts w:ascii="Arial" w:hAnsi="Arial" w:cs="Arial"/>
          <w:b/>
          <w:bCs/>
          <w:sz w:val="36"/>
          <w:szCs w:val="36"/>
        </w:rPr>
        <w:t>Gosai</w:t>
      </w:r>
      <w:proofErr w:type="spellEnd"/>
    </w:p>
    <w:p w14:paraId="6C0C8EC1" w14:textId="5212A01C" w:rsidR="00874049" w:rsidRPr="0087436F" w:rsidRDefault="00874049" w:rsidP="0087436F">
      <w:pPr>
        <w:spacing w:line="360" w:lineRule="auto"/>
        <w:jc w:val="center"/>
        <w:rPr>
          <w:rFonts w:ascii="Arial" w:hAnsi="Arial" w:cs="Arial"/>
          <w:b/>
          <w:bCs/>
          <w:sz w:val="36"/>
          <w:szCs w:val="36"/>
        </w:rPr>
      </w:pPr>
      <w:r w:rsidRPr="0087436F">
        <w:rPr>
          <w:rFonts w:ascii="Arial" w:hAnsi="Arial" w:cs="Arial"/>
          <w:b/>
          <w:bCs/>
          <w:sz w:val="36"/>
          <w:szCs w:val="36"/>
        </w:rPr>
        <w:t>Student ID: 2531973</w:t>
      </w:r>
    </w:p>
    <w:p w14:paraId="5A104CE7" w14:textId="77777777" w:rsidR="00874049" w:rsidRPr="0087436F" w:rsidRDefault="00874049" w:rsidP="0087436F">
      <w:pPr>
        <w:spacing w:line="360" w:lineRule="auto"/>
        <w:jc w:val="center"/>
        <w:rPr>
          <w:rFonts w:ascii="Arial" w:hAnsi="Arial" w:cs="Arial"/>
          <w:b/>
          <w:bCs/>
          <w:sz w:val="36"/>
          <w:szCs w:val="36"/>
        </w:rPr>
      </w:pPr>
      <w:r w:rsidRPr="0087436F">
        <w:rPr>
          <w:rFonts w:ascii="Arial" w:hAnsi="Arial" w:cs="Arial"/>
          <w:b/>
          <w:bCs/>
          <w:sz w:val="36"/>
          <w:szCs w:val="36"/>
        </w:rPr>
        <w:t>Module Name: Marketing Management</w:t>
      </w:r>
    </w:p>
    <w:p w14:paraId="1EE57E74" w14:textId="77777777" w:rsidR="00874049" w:rsidRPr="0087436F" w:rsidRDefault="00874049" w:rsidP="0087436F">
      <w:pPr>
        <w:spacing w:line="360" w:lineRule="auto"/>
        <w:jc w:val="center"/>
        <w:rPr>
          <w:rFonts w:ascii="Arial" w:hAnsi="Arial" w:cs="Arial"/>
          <w:b/>
          <w:bCs/>
          <w:sz w:val="36"/>
          <w:szCs w:val="36"/>
        </w:rPr>
      </w:pPr>
      <w:r w:rsidRPr="0087436F">
        <w:rPr>
          <w:rFonts w:ascii="Arial" w:hAnsi="Arial" w:cs="Arial"/>
          <w:b/>
          <w:bCs/>
          <w:sz w:val="36"/>
          <w:szCs w:val="36"/>
        </w:rPr>
        <w:t xml:space="preserve">Module Code: LCMB7024 </w:t>
      </w:r>
    </w:p>
    <w:p w14:paraId="59A06CE0" w14:textId="0F479A87" w:rsidR="00874049" w:rsidRPr="0087436F" w:rsidRDefault="00874049" w:rsidP="0087436F">
      <w:pPr>
        <w:spacing w:line="360" w:lineRule="auto"/>
        <w:jc w:val="center"/>
        <w:rPr>
          <w:rFonts w:ascii="Arial" w:hAnsi="Arial" w:cs="Arial"/>
          <w:b/>
          <w:bCs/>
          <w:sz w:val="36"/>
          <w:szCs w:val="36"/>
        </w:rPr>
      </w:pPr>
      <w:r w:rsidRPr="0087436F">
        <w:rPr>
          <w:rFonts w:ascii="Arial" w:hAnsi="Arial" w:cs="Arial"/>
          <w:b/>
          <w:bCs/>
          <w:sz w:val="36"/>
          <w:szCs w:val="36"/>
        </w:rPr>
        <w:t xml:space="preserve">Lecturer’s Name:  </w:t>
      </w:r>
      <w:proofErr w:type="spellStart"/>
      <w:r w:rsidR="00702FA6" w:rsidRPr="0087436F">
        <w:rPr>
          <w:rFonts w:ascii="Arial" w:hAnsi="Arial" w:cs="Arial"/>
          <w:b/>
          <w:bCs/>
          <w:sz w:val="36"/>
          <w:szCs w:val="36"/>
        </w:rPr>
        <w:t>Dr.</w:t>
      </w:r>
      <w:proofErr w:type="spellEnd"/>
      <w:r w:rsidR="00702FA6" w:rsidRPr="0087436F">
        <w:rPr>
          <w:rFonts w:ascii="Arial" w:hAnsi="Arial" w:cs="Arial"/>
          <w:b/>
          <w:bCs/>
          <w:sz w:val="36"/>
          <w:szCs w:val="36"/>
        </w:rPr>
        <w:t xml:space="preserve"> Laila </w:t>
      </w:r>
      <w:proofErr w:type="spellStart"/>
      <w:r w:rsidR="00702FA6" w:rsidRPr="0087436F">
        <w:rPr>
          <w:rFonts w:ascii="Arial" w:hAnsi="Arial" w:cs="Arial"/>
          <w:b/>
          <w:bCs/>
          <w:sz w:val="36"/>
          <w:szCs w:val="36"/>
        </w:rPr>
        <w:t>Maazouz</w:t>
      </w:r>
      <w:proofErr w:type="spellEnd"/>
    </w:p>
    <w:p w14:paraId="51A7714F" w14:textId="77777777" w:rsidR="00702FA6" w:rsidRPr="0087436F" w:rsidRDefault="00874049" w:rsidP="0087436F">
      <w:pPr>
        <w:spacing w:line="360" w:lineRule="auto"/>
        <w:jc w:val="center"/>
        <w:rPr>
          <w:rFonts w:ascii="Arial" w:hAnsi="Arial" w:cs="Arial"/>
          <w:b/>
          <w:bCs/>
          <w:sz w:val="36"/>
          <w:szCs w:val="36"/>
        </w:rPr>
      </w:pPr>
      <w:r w:rsidRPr="0087436F">
        <w:rPr>
          <w:rFonts w:ascii="Arial" w:hAnsi="Arial" w:cs="Arial"/>
          <w:b/>
          <w:bCs/>
          <w:sz w:val="36"/>
          <w:szCs w:val="36"/>
        </w:rPr>
        <w:t>Term 1</w:t>
      </w:r>
    </w:p>
    <w:p w14:paraId="27CAA10C" w14:textId="77777777" w:rsidR="00702FA6" w:rsidRPr="0087436F" w:rsidRDefault="00702FA6" w:rsidP="0087436F">
      <w:pPr>
        <w:spacing w:line="360" w:lineRule="auto"/>
        <w:jc w:val="center"/>
        <w:rPr>
          <w:rFonts w:ascii="Arial" w:hAnsi="Arial" w:cs="Arial"/>
          <w:b/>
          <w:bCs/>
          <w:sz w:val="36"/>
          <w:szCs w:val="36"/>
        </w:rPr>
      </w:pPr>
    </w:p>
    <w:p w14:paraId="0F5F8B77" w14:textId="77777777" w:rsidR="00702FA6" w:rsidRPr="0087436F" w:rsidRDefault="00702FA6" w:rsidP="0087436F">
      <w:pPr>
        <w:spacing w:line="360" w:lineRule="auto"/>
        <w:jc w:val="center"/>
        <w:rPr>
          <w:rFonts w:ascii="Arial" w:hAnsi="Arial" w:cs="Arial"/>
          <w:b/>
          <w:bCs/>
          <w:sz w:val="36"/>
          <w:szCs w:val="36"/>
        </w:rPr>
      </w:pPr>
    </w:p>
    <w:p w14:paraId="4ECA7426" w14:textId="77777777" w:rsidR="00702FA6" w:rsidRPr="0087436F" w:rsidRDefault="00702FA6" w:rsidP="0087436F">
      <w:pPr>
        <w:spacing w:line="360" w:lineRule="auto"/>
        <w:jc w:val="center"/>
        <w:rPr>
          <w:rFonts w:ascii="Arial" w:hAnsi="Arial" w:cs="Arial"/>
          <w:b/>
          <w:bCs/>
          <w:sz w:val="36"/>
          <w:szCs w:val="36"/>
        </w:rPr>
      </w:pPr>
    </w:p>
    <w:p w14:paraId="12C3D71E" w14:textId="77777777" w:rsidR="00702FA6" w:rsidRPr="0087436F" w:rsidRDefault="00702FA6" w:rsidP="0087436F">
      <w:pPr>
        <w:spacing w:line="360" w:lineRule="auto"/>
        <w:jc w:val="center"/>
        <w:rPr>
          <w:rFonts w:ascii="Arial" w:hAnsi="Arial" w:cs="Arial"/>
          <w:b/>
          <w:bCs/>
          <w:sz w:val="36"/>
          <w:szCs w:val="36"/>
        </w:rPr>
      </w:pPr>
    </w:p>
    <w:p w14:paraId="36E0BD96" w14:textId="77777777" w:rsidR="00702FA6" w:rsidRPr="0087436F" w:rsidRDefault="00702FA6" w:rsidP="0087436F">
      <w:pPr>
        <w:spacing w:line="360" w:lineRule="auto"/>
        <w:jc w:val="center"/>
        <w:rPr>
          <w:rFonts w:ascii="Arial" w:hAnsi="Arial" w:cs="Arial"/>
          <w:b/>
          <w:bCs/>
          <w:sz w:val="36"/>
          <w:szCs w:val="36"/>
        </w:rPr>
      </w:pPr>
    </w:p>
    <w:p w14:paraId="3670A513" w14:textId="77777777" w:rsidR="00702FA6" w:rsidRPr="0087436F" w:rsidRDefault="00702FA6" w:rsidP="0087436F">
      <w:pPr>
        <w:spacing w:line="360" w:lineRule="auto"/>
        <w:jc w:val="center"/>
        <w:rPr>
          <w:rFonts w:ascii="Arial" w:hAnsi="Arial" w:cs="Arial"/>
          <w:b/>
          <w:bCs/>
          <w:sz w:val="36"/>
          <w:szCs w:val="36"/>
        </w:rPr>
      </w:pPr>
    </w:p>
    <w:p w14:paraId="46664EE3" w14:textId="77777777" w:rsidR="00702FA6" w:rsidRPr="0087436F" w:rsidRDefault="00702FA6" w:rsidP="0087436F">
      <w:pPr>
        <w:spacing w:line="360" w:lineRule="auto"/>
        <w:jc w:val="center"/>
        <w:rPr>
          <w:rFonts w:ascii="Arial" w:hAnsi="Arial" w:cs="Arial"/>
          <w:b/>
          <w:bCs/>
          <w:sz w:val="36"/>
          <w:szCs w:val="36"/>
        </w:rPr>
      </w:pPr>
    </w:p>
    <w:p w14:paraId="6FABE9A0" w14:textId="77777777" w:rsidR="00702FA6" w:rsidRPr="0087436F" w:rsidRDefault="00702FA6" w:rsidP="0087436F">
      <w:pPr>
        <w:spacing w:line="360" w:lineRule="auto"/>
        <w:jc w:val="center"/>
        <w:rPr>
          <w:rFonts w:ascii="Arial" w:hAnsi="Arial" w:cs="Arial"/>
          <w:b/>
          <w:bCs/>
          <w:sz w:val="36"/>
          <w:szCs w:val="36"/>
        </w:rPr>
      </w:pPr>
    </w:p>
    <w:p w14:paraId="649D6B85" w14:textId="77777777" w:rsidR="00702FA6" w:rsidRPr="0087436F" w:rsidRDefault="00702FA6" w:rsidP="0087436F">
      <w:pPr>
        <w:spacing w:line="360" w:lineRule="auto"/>
        <w:jc w:val="center"/>
        <w:rPr>
          <w:rFonts w:ascii="Arial" w:hAnsi="Arial" w:cs="Arial"/>
          <w:b/>
          <w:bCs/>
          <w:sz w:val="36"/>
          <w:szCs w:val="36"/>
        </w:rPr>
      </w:pPr>
    </w:p>
    <w:p w14:paraId="6279C1B9" w14:textId="77777777" w:rsidR="00702FA6" w:rsidRPr="0087436F" w:rsidRDefault="00702FA6" w:rsidP="0087436F">
      <w:pPr>
        <w:spacing w:line="360" w:lineRule="auto"/>
        <w:rPr>
          <w:rFonts w:ascii="Arial" w:hAnsi="Arial" w:cs="Arial"/>
          <w:b/>
          <w:bCs/>
          <w:sz w:val="36"/>
          <w:szCs w:val="36"/>
        </w:rPr>
      </w:pPr>
    </w:p>
    <w:sdt>
      <w:sdtPr>
        <w:rPr>
          <w:rFonts w:ascii="Arial" w:eastAsiaTheme="minorHAnsi" w:hAnsi="Arial" w:cs="Arial"/>
          <w:color w:val="auto"/>
          <w:kern w:val="2"/>
          <w:sz w:val="36"/>
          <w:szCs w:val="36"/>
          <w:lang w:val="en-IN" w:bidi="gu-IN"/>
          <w14:ligatures w14:val="standardContextual"/>
        </w:rPr>
        <w:id w:val="1435165816"/>
        <w:docPartObj>
          <w:docPartGallery w:val="Table of Contents"/>
          <w:docPartUnique/>
        </w:docPartObj>
      </w:sdtPr>
      <w:sdtEndPr>
        <w:rPr>
          <w:b/>
          <w:bCs/>
          <w:noProof/>
          <w:sz w:val="22"/>
          <w:szCs w:val="22"/>
        </w:rPr>
      </w:sdtEndPr>
      <w:sdtContent>
        <w:p w14:paraId="1B676136" w14:textId="3FCCB195" w:rsidR="00702FA6" w:rsidRPr="0087436F" w:rsidRDefault="00702FA6" w:rsidP="0087436F">
          <w:pPr>
            <w:pStyle w:val="TOCHeading"/>
            <w:spacing w:line="360" w:lineRule="auto"/>
            <w:rPr>
              <w:rFonts w:ascii="Arial" w:hAnsi="Arial" w:cs="Arial"/>
              <w:sz w:val="36"/>
              <w:szCs w:val="36"/>
            </w:rPr>
          </w:pPr>
          <w:r w:rsidRPr="0087436F">
            <w:rPr>
              <w:rFonts w:ascii="Arial" w:hAnsi="Arial" w:cs="Arial"/>
              <w:sz w:val="36"/>
              <w:szCs w:val="36"/>
            </w:rPr>
            <w:t>Contents</w:t>
          </w:r>
        </w:p>
        <w:p w14:paraId="38F6D202" w14:textId="5942587A" w:rsidR="00702FA6" w:rsidRPr="0087436F" w:rsidRDefault="00702FA6" w:rsidP="0087436F">
          <w:pPr>
            <w:pStyle w:val="TOC1"/>
            <w:tabs>
              <w:tab w:val="right" w:leader="dot" w:pos="9016"/>
            </w:tabs>
            <w:spacing w:line="360" w:lineRule="auto"/>
            <w:rPr>
              <w:rFonts w:ascii="Arial" w:eastAsiaTheme="minorEastAsia" w:hAnsi="Arial" w:cs="Arial"/>
              <w:noProof/>
              <w:sz w:val="36"/>
              <w:szCs w:val="36"/>
              <w:lang w:eastAsia="en-IN"/>
            </w:rPr>
          </w:pPr>
          <w:r w:rsidRPr="0087436F">
            <w:rPr>
              <w:rFonts w:ascii="Arial" w:hAnsi="Arial" w:cs="Arial"/>
              <w:sz w:val="36"/>
              <w:szCs w:val="36"/>
            </w:rPr>
            <w:t>1.</w:t>
          </w:r>
          <w:r w:rsidRPr="0087436F">
            <w:rPr>
              <w:rFonts w:ascii="Arial" w:hAnsi="Arial" w:cs="Arial"/>
              <w:sz w:val="36"/>
              <w:szCs w:val="36"/>
            </w:rPr>
            <w:fldChar w:fldCharType="begin"/>
          </w:r>
          <w:r w:rsidRPr="0087436F">
            <w:rPr>
              <w:rFonts w:ascii="Arial" w:hAnsi="Arial" w:cs="Arial"/>
              <w:sz w:val="36"/>
              <w:szCs w:val="36"/>
            </w:rPr>
            <w:instrText xml:space="preserve"> TOC \o "1-3" \h \z \u </w:instrText>
          </w:r>
          <w:r w:rsidRPr="0087436F">
            <w:rPr>
              <w:rFonts w:ascii="Arial" w:hAnsi="Arial" w:cs="Arial"/>
              <w:sz w:val="36"/>
              <w:szCs w:val="36"/>
            </w:rPr>
            <w:fldChar w:fldCharType="separate"/>
          </w:r>
          <w:hyperlink w:anchor="_Toc224149894" w:history="1">
            <w:r w:rsidRPr="0087436F">
              <w:rPr>
                <w:rStyle w:val="Hyperlink"/>
                <w:rFonts w:ascii="Arial" w:hAnsi="Arial" w:cs="Arial"/>
                <w:noProof/>
                <w:sz w:val="36"/>
                <w:szCs w:val="36"/>
              </w:rPr>
              <w:t>Introduction</w:t>
            </w:r>
            <w:r w:rsidRPr="0087436F">
              <w:rPr>
                <w:rFonts w:ascii="Arial" w:hAnsi="Arial" w:cs="Arial"/>
                <w:noProof/>
                <w:webHidden/>
                <w:sz w:val="36"/>
                <w:szCs w:val="36"/>
              </w:rPr>
              <w:tab/>
            </w:r>
            <w:r w:rsidRPr="0087436F">
              <w:rPr>
                <w:rFonts w:ascii="Arial" w:hAnsi="Arial" w:cs="Arial"/>
                <w:noProof/>
                <w:webHidden/>
                <w:sz w:val="36"/>
                <w:szCs w:val="36"/>
              </w:rPr>
              <w:fldChar w:fldCharType="begin"/>
            </w:r>
            <w:r w:rsidRPr="0087436F">
              <w:rPr>
                <w:rFonts w:ascii="Arial" w:hAnsi="Arial" w:cs="Arial"/>
                <w:noProof/>
                <w:webHidden/>
                <w:sz w:val="36"/>
                <w:szCs w:val="36"/>
              </w:rPr>
              <w:instrText xml:space="preserve"> PAGEREF _Toc224149894 \h </w:instrText>
            </w:r>
            <w:r w:rsidRPr="0087436F">
              <w:rPr>
                <w:rFonts w:ascii="Arial" w:hAnsi="Arial" w:cs="Arial"/>
                <w:noProof/>
                <w:webHidden/>
                <w:sz w:val="36"/>
                <w:szCs w:val="36"/>
              </w:rPr>
            </w:r>
            <w:r w:rsidRPr="0087436F">
              <w:rPr>
                <w:rFonts w:ascii="Arial" w:hAnsi="Arial" w:cs="Arial"/>
                <w:noProof/>
                <w:webHidden/>
                <w:sz w:val="36"/>
                <w:szCs w:val="36"/>
              </w:rPr>
              <w:fldChar w:fldCharType="separate"/>
            </w:r>
            <w:r w:rsidRPr="0087436F">
              <w:rPr>
                <w:rFonts w:ascii="Arial" w:hAnsi="Arial" w:cs="Arial"/>
                <w:noProof/>
                <w:webHidden/>
                <w:sz w:val="36"/>
                <w:szCs w:val="36"/>
              </w:rPr>
              <w:t>3</w:t>
            </w:r>
            <w:r w:rsidRPr="0087436F">
              <w:rPr>
                <w:rFonts w:ascii="Arial" w:hAnsi="Arial" w:cs="Arial"/>
                <w:noProof/>
                <w:webHidden/>
                <w:sz w:val="36"/>
                <w:szCs w:val="36"/>
              </w:rPr>
              <w:fldChar w:fldCharType="end"/>
            </w:r>
          </w:hyperlink>
        </w:p>
        <w:p w14:paraId="6FE36613" w14:textId="1B701EF6" w:rsidR="00702FA6" w:rsidRPr="0087436F" w:rsidRDefault="00000000" w:rsidP="0087436F">
          <w:pPr>
            <w:pStyle w:val="TOC1"/>
            <w:tabs>
              <w:tab w:val="right" w:leader="dot" w:pos="9016"/>
            </w:tabs>
            <w:spacing w:line="360" w:lineRule="auto"/>
            <w:rPr>
              <w:rFonts w:ascii="Arial" w:eastAsiaTheme="minorEastAsia" w:hAnsi="Arial" w:cs="Arial"/>
              <w:noProof/>
              <w:sz w:val="36"/>
              <w:szCs w:val="36"/>
              <w:lang w:eastAsia="en-IN"/>
            </w:rPr>
          </w:pPr>
          <w:hyperlink w:anchor="_Toc224149895" w:history="1">
            <w:r w:rsidR="00702FA6" w:rsidRPr="0087436F">
              <w:rPr>
                <w:rStyle w:val="Hyperlink"/>
                <w:rFonts w:ascii="Arial" w:hAnsi="Arial" w:cs="Arial"/>
                <w:noProof/>
                <w:sz w:val="36"/>
                <w:szCs w:val="36"/>
              </w:rPr>
              <w:t>2. Macro Marketing Environment Analysis</w:t>
            </w:r>
            <w:r w:rsidR="00702FA6" w:rsidRPr="0087436F">
              <w:rPr>
                <w:rFonts w:ascii="Arial" w:hAnsi="Arial" w:cs="Arial"/>
                <w:noProof/>
                <w:webHidden/>
                <w:sz w:val="36"/>
                <w:szCs w:val="36"/>
              </w:rPr>
              <w:tab/>
            </w:r>
            <w:r w:rsidR="00702FA6" w:rsidRPr="0087436F">
              <w:rPr>
                <w:rFonts w:ascii="Arial" w:hAnsi="Arial" w:cs="Arial"/>
                <w:noProof/>
                <w:webHidden/>
                <w:sz w:val="36"/>
                <w:szCs w:val="36"/>
              </w:rPr>
              <w:fldChar w:fldCharType="begin"/>
            </w:r>
            <w:r w:rsidR="00702FA6" w:rsidRPr="0087436F">
              <w:rPr>
                <w:rFonts w:ascii="Arial" w:hAnsi="Arial" w:cs="Arial"/>
                <w:noProof/>
                <w:webHidden/>
                <w:sz w:val="36"/>
                <w:szCs w:val="36"/>
              </w:rPr>
              <w:instrText xml:space="preserve"> PAGEREF _Toc224149895 \h </w:instrText>
            </w:r>
            <w:r w:rsidR="00702FA6" w:rsidRPr="0087436F">
              <w:rPr>
                <w:rFonts w:ascii="Arial" w:hAnsi="Arial" w:cs="Arial"/>
                <w:noProof/>
                <w:webHidden/>
                <w:sz w:val="36"/>
                <w:szCs w:val="36"/>
              </w:rPr>
            </w:r>
            <w:r w:rsidR="00702FA6" w:rsidRPr="0087436F">
              <w:rPr>
                <w:rFonts w:ascii="Arial" w:hAnsi="Arial" w:cs="Arial"/>
                <w:noProof/>
                <w:webHidden/>
                <w:sz w:val="36"/>
                <w:szCs w:val="36"/>
              </w:rPr>
              <w:fldChar w:fldCharType="separate"/>
            </w:r>
            <w:r w:rsidR="00702FA6" w:rsidRPr="0087436F">
              <w:rPr>
                <w:rFonts w:ascii="Arial" w:hAnsi="Arial" w:cs="Arial"/>
                <w:noProof/>
                <w:webHidden/>
                <w:sz w:val="36"/>
                <w:szCs w:val="36"/>
              </w:rPr>
              <w:t>3</w:t>
            </w:r>
            <w:r w:rsidR="00702FA6" w:rsidRPr="0087436F">
              <w:rPr>
                <w:rFonts w:ascii="Arial" w:hAnsi="Arial" w:cs="Arial"/>
                <w:noProof/>
                <w:webHidden/>
                <w:sz w:val="36"/>
                <w:szCs w:val="36"/>
              </w:rPr>
              <w:fldChar w:fldCharType="end"/>
            </w:r>
          </w:hyperlink>
        </w:p>
        <w:p w14:paraId="01CFCE75" w14:textId="59DCDB77" w:rsidR="00702FA6" w:rsidRPr="0087436F" w:rsidRDefault="00000000" w:rsidP="0087436F">
          <w:pPr>
            <w:pStyle w:val="TOC2"/>
            <w:tabs>
              <w:tab w:val="right" w:leader="dot" w:pos="9016"/>
            </w:tabs>
            <w:spacing w:line="360" w:lineRule="auto"/>
            <w:rPr>
              <w:rFonts w:ascii="Arial" w:eastAsiaTheme="minorEastAsia" w:hAnsi="Arial" w:cs="Arial"/>
              <w:noProof/>
              <w:sz w:val="36"/>
              <w:szCs w:val="36"/>
              <w:lang w:eastAsia="en-IN"/>
            </w:rPr>
          </w:pPr>
          <w:hyperlink w:anchor="_Toc224149896" w:history="1">
            <w:r w:rsidR="00702FA6" w:rsidRPr="0087436F">
              <w:rPr>
                <w:rStyle w:val="Hyperlink"/>
                <w:rFonts w:ascii="Arial" w:hAnsi="Arial" w:cs="Arial"/>
                <w:noProof/>
                <w:sz w:val="36"/>
                <w:szCs w:val="36"/>
              </w:rPr>
              <w:t>2.1 Technological Factors</w:t>
            </w:r>
            <w:r w:rsidR="00702FA6" w:rsidRPr="0087436F">
              <w:rPr>
                <w:rFonts w:ascii="Arial" w:hAnsi="Arial" w:cs="Arial"/>
                <w:noProof/>
                <w:webHidden/>
                <w:sz w:val="36"/>
                <w:szCs w:val="36"/>
              </w:rPr>
              <w:tab/>
            </w:r>
            <w:r w:rsidR="00702FA6" w:rsidRPr="0087436F">
              <w:rPr>
                <w:rFonts w:ascii="Arial" w:hAnsi="Arial" w:cs="Arial"/>
                <w:noProof/>
                <w:webHidden/>
                <w:sz w:val="36"/>
                <w:szCs w:val="36"/>
              </w:rPr>
              <w:fldChar w:fldCharType="begin"/>
            </w:r>
            <w:r w:rsidR="00702FA6" w:rsidRPr="0087436F">
              <w:rPr>
                <w:rFonts w:ascii="Arial" w:hAnsi="Arial" w:cs="Arial"/>
                <w:noProof/>
                <w:webHidden/>
                <w:sz w:val="36"/>
                <w:szCs w:val="36"/>
              </w:rPr>
              <w:instrText xml:space="preserve"> PAGEREF _Toc224149896 \h </w:instrText>
            </w:r>
            <w:r w:rsidR="00702FA6" w:rsidRPr="0087436F">
              <w:rPr>
                <w:rFonts w:ascii="Arial" w:hAnsi="Arial" w:cs="Arial"/>
                <w:noProof/>
                <w:webHidden/>
                <w:sz w:val="36"/>
                <w:szCs w:val="36"/>
              </w:rPr>
            </w:r>
            <w:r w:rsidR="00702FA6" w:rsidRPr="0087436F">
              <w:rPr>
                <w:rFonts w:ascii="Arial" w:hAnsi="Arial" w:cs="Arial"/>
                <w:noProof/>
                <w:webHidden/>
                <w:sz w:val="36"/>
                <w:szCs w:val="36"/>
              </w:rPr>
              <w:fldChar w:fldCharType="separate"/>
            </w:r>
            <w:r w:rsidR="00702FA6" w:rsidRPr="0087436F">
              <w:rPr>
                <w:rFonts w:ascii="Arial" w:hAnsi="Arial" w:cs="Arial"/>
                <w:noProof/>
                <w:webHidden/>
                <w:sz w:val="36"/>
                <w:szCs w:val="36"/>
              </w:rPr>
              <w:t>4</w:t>
            </w:r>
            <w:r w:rsidR="00702FA6" w:rsidRPr="0087436F">
              <w:rPr>
                <w:rFonts w:ascii="Arial" w:hAnsi="Arial" w:cs="Arial"/>
                <w:noProof/>
                <w:webHidden/>
                <w:sz w:val="36"/>
                <w:szCs w:val="36"/>
              </w:rPr>
              <w:fldChar w:fldCharType="end"/>
            </w:r>
          </w:hyperlink>
        </w:p>
        <w:p w14:paraId="1C30132E" w14:textId="7E2FE0F5" w:rsidR="00702FA6" w:rsidRPr="0087436F" w:rsidRDefault="00000000" w:rsidP="0087436F">
          <w:pPr>
            <w:pStyle w:val="TOC2"/>
            <w:tabs>
              <w:tab w:val="right" w:leader="dot" w:pos="9016"/>
            </w:tabs>
            <w:spacing w:line="360" w:lineRule="auto"/>
            <w:rPr>
              <w:rFonts w:ascii="Arial" w:eastAsiaTheme="minorEastAsia" w:hAnsi="Arial" w:cs="Arial"/>
              <w:noProof/>
              <w:sz w:val="36"/>
              <w:szCs w:val="36"/>
              <w:lang w:eastAsia="en-IN"/>
            </w:rPr>
          </w:pPr>
          <w:hyperlink w:anchor="_Toc224149897" w:history="1">
            <w:r w:rsidR="00702FA6" w:rsidRPr="0087436F">
              <w:rPr>
                <w:rStyle w:val="Hyperlink"/>
                <w:rFonts w:ascii="Arial" w:hAnsi="Arial" w:cs="Arial"/>
                <w:noProof/>
                <w:sz w:val="36"/>
                <w:szCs w:val="36"/>
              </w:rPr>
              <w:t>2.2 Economic Factors</w:t>
            </w:r>
            <w:r w:rsidR="00702FA6" w:rsidRPr="0087436F">
              <w:rPr>
                <w:rFonts w:ascii="Arial" w:hAnsi="Arial" w:cs="Arial"/>
                <w:noProof/>
                <w:webHidden/>
                <w:sz w:val="36"/>
                <w:szCs w:val="36"/>
              </w:rPr>
              <w:tab/>
            </w:r>
            <w:r w:rsidR="00702FA6" w:rsidRPr="0087436F">
              <w:rPr>
                <w:rFonts w:ascii="Arial" w:hAnsi="Arial" w:cs="Arial"/>
                <w:noProof/>
                <w:webHidden/>
                <w:sz w:val="36"/>
                <w:szCs w:val="36"/>
              </w:rPr>
              <w:fldChar w:fldCharType="begin"/>
            </w:r>
            <w:r w:rsidR="00702FA6" w:rsidRPr="0087436F">
              <w:rPr>
                <w:rFonts w:ascii="Arial" w:hAnsi="Arial" w:cs="Arial"/>
                <w:noProof/>
                <w:webHidden/>
                <w:sz w:val="36"/>
                <w:szCs w:val="36"/>
              </w:rPr>
              <w:instrText xml:space="preserve"> PAGEREF _Toc224149897 \h </w:instrText>
            </w:r>
            <w:r w:rsidR="00702FA6" w:rsidRPr="0087436F">
              <w:rPr>
                <w:rFonts w:ascii="Arial" w:hAnsi="Arial" w:cs="Arial"/>
                <w:noProof/>
                <w:webHidden/>
                <w:sz w:val="36"/>
                <w:szCs w:val="36"/>
              </w:rPr>
            </w:r>
            <w:r w:rsidR="00702FA6" w:rsidRPr="0087436F">
              <w:rPr>
                <w:rFonts w:ascii="Arial" w:hAnsi="Arial" w:cs="Arial"/>
                <w:noProof/>
                <w:webHidden/>
                <w:sz w:val="36"/>
                <w:szCs w:val="36"/>
              </w:rPr>
              <w:fldChar w:fldCharType="separate"/>
            </w:r>
            <w:r w:rsidR="00702FA6" w:rsidRPr="0087436F">
              <w:rPr>
                <w:rFonts w:ascii="Arial" w:hAnsi="Arial" w:cs="Arial"/>
                <w:noProof/>
                <w:webHidden/>
                <w:sz w:val="36"/>
                <w:szCs w:val="36"/>
              </w:rPr>
              <w:t>5</w:t>
            </w:r>
            <w:r w:rsidR="00702FA6" w:rsidRPr="0087436F">
              <w:rPr>
                <w:rFonts w:ascii="Arial" w:hAnsi="Arial" w:cs="Arial"/>
                <w:noProof/>
                <w:webHidden/>
                <w:sz w:val="36"/>
                <w:szCs w:val="36"/>
              </w:rPr>
              <w:fldChar w:fldCharType="end"/>
            </w:r>
          </w:hyperlink>
        </w:p>
        <w:p w14:paraId="7B5C99C9" w14:textId="07DD2F15" w:rsidR="00702FA6" w:rsidRPr="0087436F" w:rsidRDefault="00000000" w:rsidP="0087436F">
          <w:pPr>
            <w:pStyle w:val="TOC1"/>
            <w:tabs>
              <w:tab w:val="right" w:leader="dot" w:pos="9016"/>
            </w:tabs>
            <w:spacing w:line="360" w:lineRule="auto"/>
            <w:rPr>
              <w:rFonts w:ascii="Arial" w:eastAsiaTheme="minorEastAsia" w:hAnsi="Arial" w:cs="Arial"/>
              <w:noProof/>
              <w:sz w:val="36"/>
              <w:szCs w:val="36"/>
              <w:lang w:eastAsia="en-IN"/>
            </w:rPr>
          </w:pPr>
          <w:hyperlink w:anchor="_Toc224149898" w:history="1">
            <w:r w:rsidR="00702FA6" w:rsidRPr="0087436F">
              <w:rPr>
                <w:rStyle w:val="Hyperlink"/>
                <w:rFonts w:ascii="Arial" w:hAnsi="Arial" w:cs="Arial"/>
                <w:noProof/>
                <w:sz w:val="36"/>
                <w:szCs w:val="36"/>
              </w:rPr>
              <w:t>3. Strategic Responses</w:t>
            </w:r>
            <w:r w:rsidR="00702FA6" w:rsidRPr="0087436F">
              <w:rPr>
                <w:rFonts w:ascii="Arial" w:hAnsi="Arial" w:cs="Arial"/>
                <w:noProof/>
                <w:webHidden/>
                <w:sz w:val="36"/>
                <w:szCs w:val="36"/>
              </w:rPr>
              <w:tab/>
            </w:r>
            <w:r w:rsidR="00702FA6" w:rsidRPr="0087436F">
              <w:rPr>
                <w:rFonts w:ascii="Arial" w:hAnsi="Arial" w:cs="Arial"/>
                <w:noProof/>
                <w:webHidden/>
                <w:sz w:val="36"/>
                <w:szCs w:val="36"/>
              </w:rPr>
              <w:fldChar w:fldCharType="begin"/>
            </w:r>
            <w:r w:rsidR="00702FA6" w:rsidRPr="0087436F">
              <w:rPr>
                <w:rFonts w:ascii="Arial" w:hAnsi="Arial" w:cs="Arial"/>
                <w:noProof/>
                <w:webHidden/>
                <w:sz w:val="36"/>
                <w:szCs w:val="36"/>
              </w:rPr>
              <w:instrText xml:space="preserve"> PAGEREF _Toc224149898 \h </w:instrText>
            </w:r>
            <w:r w:rsidR="00702FA6" w:rsidRPr="0087436F">
              <w:rPr>
                <w:rFonts w:ascii="Arial" w:hAnsi="Arial" w:cs="Arial"/>
                <w:noProof/>
                <w:webHidden/>
                <w:sz w:val="36"/>
                <w:szCs w:val="36"/>
              </w:rPr>
            </w:r>
            <w:r w:rsidR="00702FA6" w:rsidRPr="0087436F">
              <w:rPr>
                <w:rFonts w:ascii="Arial" w:hAnsi="Arial" w:cs="Arial"/>
                <w:noProof/>
                <w:webHidden/>
                <w:sz w:val="36"/>
                <w:szCs w:val="36"/>
              </w:rPr>
              <w:fldChar w:fldCharType="separate"/>
            </w:r>
            <w:r w:rsidR="00702FA6" w:rsidRPr="0087436F">
              <w:rPr>
                <w:rFonts w:ascii="Arial" w:hAnsi="Arial" w:cs="Arial"/>
                <w:noProof/>
                <w:webHidden/>
                <w:sz w:val="36"/>
                <w:szCs w:val="36"/>
              </w:rPr>
              <w:t>6</w:t>
            </w:r>
            <w:r w:rsidR="00702FA6" w:rsidRPr="0087436F">
              <w:rPr>
                <w:rFonts w:ascii="Arial" w:hAnsi="Arial" w:cs="Arial"/>
                <w:noProof/>
                <w:webHidden/>
                <w:sz w:val="36"/>
                <w:szCs w:val="36"/>
              </w:rPr>
              <w:fldChar w:fldCharType="end"/>
            </w:r>
          </w:hyperlink>
        </w:p>
        <w:p w14:paraId="2A84AF34" w14:textId="233D0BA3" w:rsidR="00702FA6" w:rsidRPr="0087436F" w:rsidRDefault="00000000" w:rsidP="0087436F">
          <w:pPr>
            <w:pStyle w:val="TOC2"/>
            <w:tabs>
              <w:tab w:val="right" w:leader="dot" w:pos="9016"/>
            </w:tabs>
            <w:spacing w:line="360" w:lineRule="auto"/>
            <w:rPr>
              <w:rFonts w:ascii="Arial" w:eastAsiaTheme="minorEastAsia" w:hAnsi="Arial" w:cs="Arial"/>
              <w:noProof/>
              <w:sz w:val="36"/>
              <w:szCs w:val="36"/>
              <w:lang w:eastAsia="en-IN"/>
            </w:rPr>
          </w:pPr>
          <w:hyperlink w:anchor="_Toc224149899" w:history="1">
            <w:r w:rsidR="00702FA6" w:rsidRPr="0087436F">
              <w:rPr>
                <w:rStyle w:val="Hyperlink"/>
                <w:rFonts w:ascii="Arial" w:hAnsi="Arial" w:cs="Arial"/>
                <w:noProof/>
                <w:sz w:val="36"/>
                <w:szCs w:val="36"/>
              </w:rPr>
              <w:t>3.1 Strategy of the Pioneer Organisation</w:t>
            </w:r>
            <w:r w:rsidR="00702FA6" w:rsidRPr="0087436F">
              <w:rPr>
                <w:rFonts w:ascii="Arial" w:hAnsi="Arial" w:cs="Arial"/>
                <w:noProof/>
                <w:webHidden/>
                <w:sz w:val="36"/>
                <w:szCs w:val="36"/>
              </w:rPr>
              <w:tab/>
            </w:r>
            <w:r w:rsidR="00702FA6" w:rsidRPr="0087436F">
              <w:rPr>
                <w:rFonts w:ascii="Arial" w:hAnsi="Arial" w:cs="Arial"/>
                <w:noProof/>
                <w:webHidden/>
                <w:sz w:val="36"/>
                <w:szCs w:val="36"/>
              </w:rPr>
              <w:fldChar w:fldCharType="begin"/>
            </w:r>
            <w:r w:rsidR="00702FA6" w:rsidRPr="0087436F">
              <w:rPr>
                <w:rFonts w:ascii="Arial" w:hAnsi="Arial" w:cs="Arial"/>
                <w:noProof/>
                <w:webHidden/>
                <w:sz w:val="36"/>
                <w:szCs w:val="36"/>
              </w:rPr>
              <w:instrText xml:space="preserve"> PAGEREF _Toc224149899 \h </w:instrText>
            </w:r>
            <w:r w:rsidR="00702FA6" w:rsidRPr="0087436F">
              <w:rPr>
                <w:rFonts w:ascii="Arial" w:hAnsi="Arial" w:cs="Arial"/>
                <w:noProof/>
                <w:webHidden/>
                <w:sz w:val="36"/>
                <w:szCs w:val="36"/>
              </w:rPr>
            </w:r>
            <w:r w:rsidR="00702FA6" w:rsidRPr="0087436F">
              <w:rPr>
                <w:rFonts w:ascii="Arial" w:hAnsi="Arial" w:cs="Arial"/>
                <w:noProof/>
                <w:webHidden/>
                <w:sz w:val="36"/>
                <w:szCs w:val="36"/>
              </w:rPr>
              <w:fldChar w:fldCharType="separate"/>
            </w:r>
            <w:r w:rsidR="00702FA6" w:rsidRPr="0087436F">
              <w:rPr>
                <w:rFonts w:ascii="Arial" w:hAnsi="Arial" w:cs="Arial"/>
                <w:noProof/>
                <w:webHidden/>
                <w:sz w:val="36"/>
                <w:szCs w:val="36"/>
              </w:rPr>
              <w:t>6</w:t>
            </w:r>
            <w:r w:rsidR="00702FA6" w:rsidRPr="0087436F">
              <w:rPr>
                <w:rFonts w:ascii="Arial" w:hAnsi="Arial" w:cs="Arial"/>
                <w:noProof/>
                <w:webHidden/>
                <w:sz w:val="36"/>
                <w:szCs w:val="36"/>
              </w:rPr>
              <w:fldChar w:fldCharType="end"/>
            </w:r>
          </w:hyperlink>
        </w:p>
        <w:p w14:paraId="3F42290B" w14:textId="67A3AFB0" w:rsidR="00702FA6" w:rsidRPr="0087436F" w:rsidRDefault="00000000" w:rsidP="0087436F">
          <w:pPr>
            <w:pStyle w:val="TOC2"/>
            <w:tabs>
              <w:tab w:val="right" w:leader="dot" w:pos="9016"/>
            </w:tabs>
            <w:spacing w:line="360" w:lineRule="auto"/>
            <w:rPr>
              <w:rFonts w:ascii="Arial" w:eastAsiaTheme="minorEastAsia" w:hAnsi="Arial" w:cs="Arial"/>
              <w:noProof/>
              <w:sz w:val="36"/>
              <w:szCs w:val="36"/>
              <w:lang w:eastAsia="en-IN"/>
            </w:rPr>
          </w:pPr>
          <w:hyperlink w:anchor="_Toc224149900" w:history="1">
            <w:r w:rsidR="00702FA6" w:rsidRPr="0087436F">
              <w:rPr>
                <w:rStyle w:val="Hyperlink"/>
                <w:rFonts w:ascii="Arial" w:hAnsi="Arial" w:cs="Arial"/>
                <w:noProof/>
                <w:sz w:val="36"/>
                <w:szCs w:val="36"/>
              </w:rPr>
              <w:t>3.2 Strategy of the Follower Organisation</w:t>
            </w:r>
            <w:r w:rsidR="00702FA6" w:rsidRPr="0087436F">
              <w:rPr>
                <w:rFonts w:ascii="Arial" w:hAnsi="Arial" w:cs="Arial"/>
                <w:noProof/>
                <w:webHidden/>
                <w:sz w:val="36"/>
                <w:szCs w:val="36"/>
              </w:rPr>
              <w:tab/>
            </w:r>
            <w:r w:rsidR="00702FA6" w:rsidRPr="0087436F">
              <w:rPr>
                <w:rFonts w:ascii="Arial" w:hAnsi="Arial" w:cs="Arial"/>
                <w:noProof/>
                <w:webHidden/>
                <w:sz w:val="36"/>
                <w:szCs w:val="36"/>
              </w:rPr>
              <w:fldChar w:fldCharType="begin"/>
            </w:r>
            <w:r w:rsidR="00702FA6" w:rsidRPr="0087436F">
              <w:rPr>
                <w:rFonts w:ascii="Arial" w:hAnsi="Arial" w:cs="Arial"/>
                <w:noProof/>
                <w:webHidden/>
                <w:sz w:val="36"/>
                <w:szCs w:val="36"/>
              </w:rPr>
              <w:instrText xml:space="preserve"> PAGEREF _Toc224149900 \h </w:instrText>
            </w:r>
            <w:r w:rsidR="00702FA6" w:rsidRPr="0087436F">
              <w:rPr>
                <w:rFonts w:ascii="Arial" w:hAnsi="Arial" w:cs="Arial"/>
                <w:noProof/>
                <w:webHidden/>
                <w:sz w:val="36"/>
                <w:szCs w:val="36"/>
              </w:rPr>
            </w:r>
            <w:r w:rsidR="00702FA6" w:rsidRPr="0087436F">
              <w:rPr>
                <w:rFonts w:ascii="Arial" w:hAnsi="Arial" w:cs="Arial"/>
                <w:noProof/>
                <w:webHidden/>
                <w:sz w:val="36"/>
                <w:szCs w:val="36"/>
              </w:rPr>
              <w:fldChar w:fldCharType="separate"/>
            </w:r>
            <w:r w:rsidR="00702FA6" w:rsidRPr="0087436F">
              <w:rPr>
                <w:rFonts w:ascii="Arial" w:hAnsi="Arial" w:cs="Arial"/>
                <w:noProof/>
                <w:webHidden/>
                <w:sz w:val="36"/>
                <w:szCs w:val="36"/>
              </w:rPr>
              <w:t>7</w:t>
            </w:r>
            <w:r w:rsidR="00702FA6" w:rsidRPr="0087436F">
              <w:rPr>
                <w:rFonts w:ascii="Arial" w:hAnsi="Arial" w:cs="Arial"/>
                <w:noProof/>
                <w:webHidden/>
                <w:sz w:val="36"/>
                <w:szCs w:val="36"/>
              </w:rPr>
              <w:fldChar w:fldCharType="end"/>
            </w:r>
          </w:hyperlink>
        </w:p>
        <w:p w14:paraId="682D6BF4" w14:textId="3D48E7A1" w:rsidR="00702FA6" w:rsidRPr="0087436F" w:rsidRDefault="00000000" w:rsidP="0087436F">
          <w:pPr>
            <w:pStyle w:val="TOC2"/>
            <w:tabs>
              <w:tab w:val="right" w:leader="dot" w:pos="9016"/>
            </w:tabs>
            <w:spacing w:line="360" w:lineRule="auto"/>
            <w:rPr>
              <w:rFonts w:ascii="Arial" w:eastAsiaTheme="minorEastAsia" w:hAnsi="Arial" w:cs="Arial"/>
              <w:noProof/>
              <w:sz w:val="36"/>
              <w:szCs w:val="36"/>
              <w:lang w:eastAsia="en-IN"/>
            </w:rPr>
          </w:pPr>
          <w:hyperlink w:anchor="_Toc224149901" w:history="1">
            <w:r w:rsidR="00702FA6" w:rsidRPr="0087436F">
              <w:rPr>
                <w:rStyle w:val="Hyperlink"/>
                <w:rFonts w:ascii="Arial" w:hAnsi="Arial" w:cs="Arial"/>
                <w:noProof/>
                <w:sz w:val="36"/>
                <w:szCs w:val="36"/>
              </w:rPr>
              <w:t>4. Conclusion</w:t>
            </w:r>
            <w:r w:rsidR="00702FA6" w:rsidRPr="0087436F">
              <w:rPr>
                <w:rFonts w:ascii="Arial" w:hAnsi="Arial" w:cs="Arial"/>
                <w:noProof/>
                <w:webHidden/>
                <w:sz w:val="36"/>
                <w:szCs w:val="36"/>
              </w:rPr>
              <w:tab/>
            </w:r>
            <w:r w:rsidR="00702FA6" w:rsidRPr="0087436F">
              <w:rPr>
                <w:rFonts w:ascii="Arial" w:hAnsi="Arial" w:cs="Arial"/>
                <w:noProof/>
                <w:webHidden/>
                <w:sz w:val="36"/>
                <w:szCs w:val="36"/>
              </w:rPr>
              <w:fldChar w:fldCharType="begin"/>
            </w:r>
            <w:r w:rsidR="00702FA6" w:rsidRPr="0087436F">
              <w:rPr>
                <w:rFonts w:ascii="Arial" w:hAnsi="Arial" w:cs="Arial"/>
                <w:noProof/>
                <w:webHidden/>
                <w:sz w:val="36"/>
                <w:szCs w:val="36"/>
              </w:rPr>
              <w:instrText xml:space="preserve"> PAGEREF _Toc224149901 \h </w:instrText>
            </w:r>
            <w:r w:rsidR="00702FA6" w:rsidRPr="0087436F">
              <w:rPr>
                <w:rFonts w:ascii="Arial" w:hAnsi="Arial" w:cs="Arial"/>
                <w:noProof/>
                <w:webHidden/>
                <w:sz w:val="36"/>
                <w:szCs w:val="36"/>
              </w:rPr>
            </w:r>
            <w:r w:rsidR="00702FA6" w:rsidRPr="0087436F">
              <w:rPr>
                <w:rFonts w:ascii="Arial" w:hAnsi="Arial" w:cs="Arial"/>
                <w:noProof/>
                <w:webHidden/>
                <w:sz w:val="36"/>
                <w:szCs w:val="36"/>
              </w:rPr>
              <w:fldChar w:fldCharType="separate"/>
            </w:r>
            <w:r w:rsidR="00702FA6" w:rsidRPr="0087436F">
              <w:rPr>
                <w:rFonts w:ascii="Arial" w:hAnsi="Arial" w:cs="Arial"/>
                <w:noProof/>
                <w:webHidden/>
                <w:sz w:val="36"/>
                <w:szCs w:val="36"/>
              </w:rPr>
              <w:t>7</w:t>
            </w:r>
            <w:r w:rsidR="00702FA6" w:rsidRPr="0087436F">
              <w:rPr>
                <w:rFonts w:ascii="Arial" w:hAnsi="Arial" w:cs="Arial"/>
                <w:noProof/>
                <w:webHidden/>
                <w:sz w:val="36"/>
                <w:szCs w:val="36"/>
              </w:rPr>
              <w:fldChar w:fldCharType="end"/>
            </w:r>
          </w:hyperlink>
        </w:p>
        <w:p w14:paraId="31934B21" w14:textId="7D033846" w:rsidR="00702FA6" w:rsidRPr="0087436F" w:rsidRDefault="00000000" w:rsidP="0087436F">
          <w:pPr>
            <w:pStyle w:val="TOC1"/>
            <w:tabs>
              <w:tab w:val="right" w:leader="dot" w:pos="9016"/>
            </w:tabs>
            <w:spacing w:line="360" w:lineRule="auto"/>
            <w:rPr>
              <w:rFonts w:ascii="Arial" w:eastAsiaTheme="minorEastAsia" w:hAnsi="Arial" w:cs="Arial"/>
              <w:noProof/>
              <w:sz w:val="36"/>
              <w:szCs w:val="36"/>
              <w:lang w:eastAsia="en-IN"/>
            </w:rPr>
          </w:pPr>
          <w:hyperlink w:anchor="_Toc224149902" w:history="1">
            <w:r w:rsidR="00702FA6" w:rsidRPr="0087436F">
              <w:rPr>
                <w:rStyle w:val="Hyperlink"/>
                <w:rFonts w:ascii="Arial" w:hAnsi="Arial" w:cs="Arial"/>
                <w:noProof/>
                <w:sz w:val="36"/>
                <w:szCs w:val="36"/>
              </w:rPr>
              <w:t>References</w:t>
            </w:r>
            <w:r w:rsidR="00702FA6" w:rsidRPr="0087436F">
              <w:rPr>
                <w:rFonts w:ascii="Arial" w:hAnsi="Arial" w:cs="Arial"/>
                <w:noProof/>
                <w:webHidden/>
                <w:sz w:val="36"/>
                <w:szCs w:val="36"/>
              </w:rPr>
              <w:tab/>
            </w:r>
            <w:r w:rsidR="00702FA6" w:rsidRPr="0087436F">
              <w:rPr>
                <w:rFonts w:ascii="Arial" w:hAnsi="Arial" w:cs="Arial"/>
                <w:noProof/>
                <w:webHidden/>
                <w:sz w:val="36"/>
                <w:szCs w:val="36"/>
              </w:rPr>
              <w:fldChar w:fldCharType="begin"/>
            </w:r>
            <w:r w:rsidR="00702FA6" w:rsidRPr="0087436F">
              <w:rPr>
                <w:rFonts w:ascii="Arial" w:hAnsi="Arial" w:cs="Arial"/>
                <w:noProof/>
                <w:webHidden/>
                <w:sz w:val="36"/>
                <w:szCs w:val="36"/>
              </w:rPr>
              <w:instrText xml:space="preserve"> PAGEREF _Toc224149902 \h </w:instrText>
            </w:r>
            <w:r w:rsidR="00702FA6" w:rsidRPr="0087436F">
              <w:rPr>
                <w:rFonts w:ascii="Arial" w:hAnsi="Arial" w:cs="Arial"/>
                <w:noProof/>
                <w:webHidden/>
                <w:sz w:val="36"/>
                <w:szCs w:val="36"/>
              </w:rPr>
            </w:r>
            <w:r w:rsidR="00702FA6" w:rsidRPr="0087436F">
              <w:rPr>
                <w:rFonts w:ascii="Arial" w:hAnsi="Arial" w:cs="Arial"/>
                <w:noProof/>
                <w:webHidden/>
                <w:sz w:val="36"/>
                <w:szCs w:val="36"/>
              </w:rPr>
              <w:fldChar w:fldCharType="separate"/>
            </w:r>
            <w:r w:rsidR="00702FA6" w:rsidRPr="0087436F">
              <w:rPr>
                <w:rFonts w:ascii="Arial" w:hAnsi="Arial" w:cs="Arial"/>
                <w:noProof/>
                <w:webHidden/>
                <w:sz w:val="36"/>
                <w:szCs w:val="36"/>
              </w:rPr>
              <w:t>8</w:t>
            </w:r>
            <w:r w:rsidR="00702FA6" w:rsidRPr="0087436F">
              <w:rPr>
                <w:rFonts w:ascii="Arial" w:hAnsi="Arial" w:cs="Arial"/>
                <w:noProof/>
                <w:webHidden/>
                <w:sz w:val="36"/>
                <w:szCs w:val="36"/>
              </w:rPr>
              <w:fldChar w:fldCharType="end"/>
            </w:r>
          </w:hyperlink>
        </w:p>
        <w:p w14:paraId="6809113B" w14:textId="7F92DA46" w:rsidR="00702FA6" w:rsidRPr="0087436F" w:rsidRDefault="00702FA6" w:rsidP="0087436F">
          <w:pPr>
            <w:spacing w:line="360" w:lineRule="auto"/>
            <w:rPr>
              <w:rFonts w:ascii="Arial" w:hAnsi="Arial" w:cs="Arial"/>
            </w:rPr>
          </w:pPr>
          <w:r w:rsidRPr="0087436F">
            <w:rPr>
              <w:rFonts w:ascii="Arial" w:hAnsi="Arial" w:cs="Arial"/>
              <w:noProof/>
              <w:sz w:val="36"/>
              <w:szCs w:val="36"/>
            </w:rPr>
            <w:fldChar w:fldCharType="end"/>
          </w:r>
        </w:p>
      </w:sdtContent>
    </w:sdt>
    <w:p w14:paraId="4A73E8F4" w14:textId="7409CFBD" w:rsidR="00874049" w:rsidRPr="0087436F" w:rsidRDefault="00874049" w:rsidP="0087436F">
      <w:pPr>
        <w:spacing w:line="360" w:lineRule="auto"/>
        <w:jc w:val="center"/>
        <w:rPr>
          <w:rFonts w:ascii="Arial" w:hAnsi="Arial" w:cs="Arial"/>
          <w:b/>
          <w:bCs/>
          <w:sz w:val="36"/>
          <w:szCs w:val="36"/>
        </w:rPr>
      </w:pPr>
      <w:r w:rsidRPr="0087436F">
        <w:rPr>
          <w:rFonts w:ascii="Arial" w:hAnsi="Arial" w:cs="Arial"/>
          <w:b/>
          <w:bCs/>
          <w:sz w:val="20"/>
          <w:szCs w:val="20"/>
        </w:rPr>
        <w:br w:type="page"/>
      </w:r>
    </w:p>
    <w:p w14:paraId="536F4B02" w14:textId="161A83A3" w:rsidR="00833EDD" w:rsidRPr="0087436F" w:rsidRDefault="00833EDD" w:rsidP="0087436F">
      <w:pPr>
        <w:pStyle w:val="Heading1"/>
        <w:spacing w:line="360" w:lineRule="auto"/>
        <w:rPr>
          <w:rFonts w:ascii="Arial" w:hAnsi="Arial" w:cs="Arial"/>
        </w:rPr>
      </w:pPr>
      <w:bookmarkStart w:id="0" w:name="_Toc224149894"/>
      <w:r w:rsidRPr="0087436F">
        <w:rPr>
          <w:rFonts w:ascii="Arial" w:hAnsi="Arial" w:cs="Arial"/>
        </w:rPr>
        <w:lastRenderedPageBreak/>
        <w:t>Introduction</w:t>
      </w:r>
      <w:bookmarkEnd w:id="0"/>
      <w:r w:rsidRPr="0087436F">
        <w:rPr>
          <w:rFonts w:ascii="Arial" w:hAnsi="Arial" w:cs="Arial"/>
        </w:rPr>
        <w:t xml:space="preserve"> </w:t>
      </w:r>
    </w:p>
    <w:p w14:paraId="6F9D5C6C" w14:textId="77777777" w:rsidR="00833EDD" w:rsidRPr="0087436F" w:rsidRDefault="00833EDD" w:rsidP="0087436F">
      <w:pPr>
        <w:spacing w:before="100" w:beforeAutospacing="1" w:after="100" w:afterAutospacing="1" w:line="360" w:lineRule="auto"/>
        <w:rPr>
          <w:rFonts w:ascii="Arial" w:eastAsia="Times New Roman" w:hAnsi="Arial" w:cs="Arial"/>
          <w:kern w:val="0"/>
          <w:sz w:val="24"/>
          <w:szCs w:val="24"/>
          <w:lang w:eastAsia="en-IN"/>
          <w14:ligatures w14:val="none"/>
        </w:rPr>
      </w:pPr>
      <w:r w:rsidRPr="0087436F">
        <w:rPr>
          <w:rFonts w:ascii="Arial" w:eastAsia="Times New Roman" w:hAnsi="Arial" w:cs="Arial"/>
          <w:kern w:val="0"/>
          <w:sz w:val="24"/>
          <w:szCs w:val="24"/>
          <w:lang w:eastAsia="en-IN"/>
          <w14:ligatures w14:val="none"/>
        </w:rPr>
        <w:t>The global streaming industry has experienced rapid growth in recent years due to advancements in digital technology, changing consumer behaviour, and the increasing demand for on-demand entertainment services. Streaming platforms allow users to access movies, television shows, and original content anytime and anywhere through internet-enabled devices. This shift from traditional television broadcasting to online streaming has significantly transformed the media and entertainment industry. According to Statista (2024), the global video streaming market continues to expand as more consumers prefer flexible and personalised viewing experiences.</w:t>
      </w:r>
    </w:p>
    <w:p w14:paraId="02EF8D21" w14:textId="77777777" w:rsidR="00833EDD" w:rsidRPr="0087436F" w:rsidRDefault="00833EDD" w:rsidP="0087436F">
      <w:pPr>
        <w:spacing w:before="100" w:beforeAutospacing="1" w:after="100" w:afterAutospacing="1" w:line="360" w:lineRule="auto"/>
        <w:rPr>
          <w:rFonts w:ascii="Arial" w:eastAsia="Times New Roman" w:hAnsi="Arial" w:cs="Arial"/>
          <w:kern w:val="0"/>
          <w:sz w:val="24"/>
          <w:szCs w:val="24"/>
          <w:lang w:eastAsia="en-IN"/>
          <w14:ligatures w14:val="none"/>
        </w:rPr>
      </w:pPr>
      <w:r w:rsidRPr="0087436F">
        <w:rPr>
          <w:rFonts w:ascii="Arial" w:eastAsia="Times New Roman" w:hAnsi="Arial" w:cs="Arial"/>
          <w:kern w:val="0"/>
          <w:sz w:val="24"/>
          <w:szCs w:val="24"/>
          <w:lang w:eastAsia="en-IN"/>
          <w14:ligatures w14:val="none"/>
        </w:rPr>
        <w:t>Within this competitive industry, Netflix is widely recognised as a pioneer in the subscription-based streaming model. The company revolutionised the entertainment industry by introducing digital streaming services and investing heavily in original content production. As a result, Netflix established a strong global presence and created a new standard for online entertainment. Following Netflix’s success, several media companies entered the streaming market with their own platforms. One of the most significant followers is Disney+, launched by The Walt Disney Company in 2019. Disney+ leveraged its well-known brands and extensive content library to compete directly with Netflix in the global streaming market.</w:t>
      </w:r>
    </w:p>
    <w:p w14:paraId="3B05E210" w14:textId="77777777" w:rsidR="00833EDD" w:rsidRPr="0087436F" w:rsidRDefault="00833EDD" w:rsidP="0087436F">
      <w:pPr>
        <w:spacing w:before="100" w:beforeAutospacing="1" w:after="100" w:afterAutospacing="1" w:line="360" w:lineRule="auto"/>
        <w:rPr>
          <w:rFonts w:ascii="Arial" w:eastAsia="Times New Roman" w:hAnsi="Arial" w:cs="Arial"/>
          <w:kern w:val="0"/>
          <w:sz w:val="24"/>
          <w:szCs w:val="24"/>
          <w:lang w:eastAsia="en-IN"/>
          <w14:ligatures w14:val="none"/>
        </w:rPr>
      </w:pPr>
      <w:r w:rsidRPr="0087436F">
        <w:rPr>
          <w:rFonts w:ascii="Arial" w:eastAsia="Times New Roman" w:hAnsi="Arial" w:cs="Arial"/>
          <w:kern w:val="0"/>
          <w:sz w:val="24"/>
          <w:szCs w:val="24"/>
          <w:lang w:eastAsia="en-IN"/>
          <w14:ligatures w14:val="none"/>
        </w:rPr>
        <w:t>Understanding the external macro-marketing environment is essential for organisations operating in such a dynamic and competitive industry. Macro-environmental factors such as technological developments, economic conditions, and social trends can create both opportunities and threats for streaming platforms. According to Philip Kotler and Kevin Lane Keller (2016), analysing the macro environment enables organisations to identify external influences that may impact their strategies and long-term competitiveness. Therefore, this report critically analyses two macro-environmental factors affecting Netflix and Disney+, examining how these factors influence their competitive positions within the global streaming industry.</w:t>
      </w:r>
    </w:p>
    <w:p w14:paraId="677A8CFE" w14:textId="77777777" w:rsidR="00833EDD" w:rsidRPr="0087436F" w:rsidRDefault="00833EDD" w:rsidP="0087436F">
      <w:pPr>
        <w:pStyle w:val="Heading1"/>
        <w:spacing w:line="360" w:lineRule="auto"/>
        <w:rPr>
          <w:rFonts w:ascii="Arial" w:hAnsi="Arial" w:cs="Arial"/>
        </w:rPr>
      </w:pPr>
      <w:bookmarkStart w:id="1" w:name="_Toc224149895"/>
      <w:r w:rsidRPr="0087436F">
        <w:rPr>
          <w:rFonts w:ascii="Arial" w:hAnsi="Arial" w:cs="Arial"/>
        </w:rPr>
        <w:lastRenderedPageBreak/>
        <w:t>2. Macro Marketing Environment Analysis</w:t>
      </w:r>
      <w:bookmarkEnd w:id="1"/>
    </w:p>
    <w:p w14:paraId="637FC8CF" w14:textId="77777777" w:rsidR="00833EDD" w:rsidRPr="0087436F" w:rsidRDefault="00833EDD" w:rsidP="0087436F">
      <w:pPr>
        <w:pStyle w:val="NormalWeb"/>
        <w:spacing w:line="360" w:lineRule="auto"/>
        <w:rPr>
          <w:rFonts w:ascii="Arial" w:hAnsi="Arial" w:cs="Arial"/>
        </w:rPr>
      </w:pPr>
      <w:r w:rsidRPr="0087436F">
        <w:rPr>
          <w:rFonts w:ascii="Arial" w:hAnsi="Arial" w:cs="Arial"/>
        </w:rPr>
        <w:t xml:space="preserve">The macro marketing environment refers to the broader external forces that influence organisations and their ability to serve customers effectively. These external factors are generally outside the direct control of companies but can significantly affect business strategies, opportunities, and potential risks. According to </w:t>
      </w:r>
      <w:r w:rsidRPr="0087436F">
        <w:rPr>
          <w:rStyle w:val="whitespace-normal"/>
          <w:rFonts w:ascii="Arial" w:eastAsiaTheme="majorEastAsia" w:hAnsi="Arial" w:cs="Arial"/>
        </w:rPr>
        <w:t>Philip Kotler</w:t>
      </w:r>
      <w:r w:rsidRPr="0087436F">
        <w:rPr>
          <w:rFonts w:ascii="Arial" w:hAnsi="Arial" w:cs="Arial"/>
        </w:rPr>
        <w:t xml:space="preserve"> and </w:t>
      </w:r>
      <w:r w:rsidRPr="0087436F">
        <w:rPr>
          <w:rStyle w:val="whitespace-normal"/>
          <w:rFonts w:ascii="Arial" w:eastAsiaTheme="majorEastAsia" w:hAnsi="Arial" w:cs="Arial"/>
        </w:rPr>
        <w:t>Kevin Lane Keller</w:t>
      </w:r>
      <w:r w:rsidRPr="0087436F">
        <w:rPr>
          <w:rFonts w:ascii="Arial" w:hAnsi="Arial" w:cs="Arial"/>
        </w:rPr>
        <w:t xml:space="preserve"> (2016), organisations must continuously analyse their macro environment to identify emerging trends and adapt their strategies in order to remain competitive in dynamic markets.</w:t>
      </w:r>
    </w:p>
    <w:p w14:paraId="3847938D" w14:textId="77777777" w:rsidR="00833EDD" w:rsidRPr="0087436F" w:rsidRDefault="00833EDD" w:rsidP="0087436F">
      <w:pPr>
        <w:pStyle w:val="NormalWeb"/>
        <w:spacing w:line="360" w:lineRule="auto"/>
        <w:rPr>
          <w:rFonts w:ascii="Arial" w:hAnsi="Arial" w:cs="Arial"/>
        </w:rPr>
      </w:pPr>
      <w:r w:rsidRPr="0087436F">
        <w:rPr>
          <w:rFonts w:ascii="Arial" w:hAnsi="Arial" w:cs="Arial"/>
        </w:rPr>
        <w:t xml:space="preserve">One of the most commonly used frameworks for analysing the macro environment is the </w:t>
      </w:r>
      <w:r w:rsidRPr="0087436F">
        <w:rPr>
          <w:rStyle w:val="Strong"/>
          <w:rFonts w:ascii="Arial" w:hAnsi="Arial" w:cs="Arial"/>
          <w:b w:val="0"/>
          <w:bCs w:val="0"/>
        </w:rPr>
        <w:t>PESTLE analysis</w:t>
      </w:r>
      <w:r w:rsidRPr="0087436F">
        <w:rPr>
          <w:rFonts w:ascii="Arial" w:hAnsi="Arial" w:cs="Arial"/>
        </w:rPr>
        <w:t>, which examines six key external factors: political, economic, social, technological, legal, and environmental influences. These factors help organisations understand how external conditions may shape industry developments and competitive dynamics (Johnson, Scholes and Whittington, 2017).</w:t>
      </w:r>
    </w:p>
    <w:p w14:paraId="2CF466B5" w14:textId="77777777" w:rsidR="00833EDD" w:rsidRPr="0087436F" w:rsidRDefault="00833EDD" w:rsidP="0087436F">
      <w:pPr>
        <w:pStyle w:val="NormalWeb"/>
        <w:spacing w:line="360" w:lineRule="auto"/>
        <w:rPr>
          <w:rFonts w:ascii="Arial" w:hAnsi="Arial" w:cs="Arial"/>
        </w:rPr>
      </w:pPr>
      <w:r w:rsidRPr="0087436F">
        <w:rPr>
          <w:rFonts w:ascii="Arial" w:hAnsi="Arial" w:cs="Arial"/>
        </w:rPr>
        <w:t>In the global streaming industry, macro environmental factors play a critical role in shaping business strategies and market competition. The industry is heavily influenced by technological advancements, increasing internet accessibility, evolving consumer viewing habits, and global economic conditions. Companies operating in this sector must constantly innovate and adapt to these changes in order to attract and retain subscribers.</w:t>
      </w:r>
    </w:p>
    <w:p w14:paraId="37150978" w14:textId="77777777" w:rsidR="00833EDD" w:rsidRPr="0087436F" w:rsidRDefault="00833EDD" w:rsidP="0087436F">
      <w:pPr>
        <w:pStyle w:val="NormalWeb"/>
        <w:spacing w:line="360" w:lineRule="auto"/>
        <w:rPr>
          <w:rFonts w:ascii="Arial" w:hAnsi="Arial" w:cs="Arial"/>
        </w:rPr>
      </w:pPr>
      <w:r w:rsidRPr="0087436F">
        <w:rPr>
          <w:rFonts w:ascii="Arial" w:hAnsi="Arial" w:cs="Arial"/>
        </w:rPr>
        <w:t xml:space="preserve">For example, the pioneer organisation </w:t>
      </w:r>
      <w:r w:rsidRPr="0087436F">
        <w:rPr>
          <w:rStyle w:val="whitespace-normal"/>
          <w:rFonts w:ascii="Arial" w:eastAsiaTheme="majorEastAsia" w:hAnsi="Arial" w:cs="Arial"/>
        </w:rPr>
        <w:t>Netflix</w:t>
      </w:r>
      <w:r w:rsidRPr="0087436F">
        <w:rPr>
          <w:rFonts w:ascii="Arial" w:hAnsi="Arial" w:cs="Arial"/>
        </w:rPr>
        <w:t xml:space="preserve"> transformed the entertainment industry by introducing digital streaming services and investing in data-driven content production. Following its success, the follower organisation </w:t>
      </w:r>
      <w:r w:rsidRPr="0087436F">
        <w:rPr>
          <w:rStyle w:val="whitespace-normal"/>
          <w:rFonts w:ascii="Arial" w:eastAsiaTheme="majorEastAsia" w:hAnsi="Arial" w:cs="Arial"/>
        </w:rPr>
        <w:t>Disney+</w:t>
      </w:r>
      <w:r w:rsidRPr="0087436F">
        <w:rPr>
          <w:rFonts w:ascii="Arial" w:hAnsi="Arial" w:cs="Arial"/>
        </w:rPr>
        <w:t xml:space="preserve"> entered the market with a strong portfolio of globally recognised entertainment brands. Both companies operate in a highly competitive environment where external macro factors can significantly influence their growth strategies and market positions.</w:t>
      </w:r>
    </w:p>
    <w:p w14:paraId="3D1900A8" w14:textId="77777777" w:rsidR="00833EDD" w:rsidRPr="0087436F" w:rsidRDefault="00833EDD" w:rsidP="0087436F">
      <w:pPr>
        <w:pStyle w:val="NormalWeb"/>
        <w:spacing w:line="360" w:lineRule="auto"/>
        <w:rPr>
          <w:rFonts w:ascii="Arial" w:hAnsi="Arial" w:cs="Arial"/>
        </w:rPr>
      </w:pPr>
      <w:r w:rsidRPr="0087436F">
        <w:rPr>
          <w:rFonts w:ascii="Arial" w:hAnsi="Arial" w:cs="Arial"/>
        </w:rPr>
        <w:t xml:space="preserve">This report will focus specifically on </w:t>
      </w:r>
      <w:r w:rsidRPr="0087436F">
        <w:rPr>
          <w:rStyle w:val="Strong"/>
          <w:rFonts w:ascii="Arial" w:hAnsi="Arial" w:cs="Arial"/>
          <w:b w:val="0"/>
          <w:bCs w:val="0"/>
        </w:rPr>
        <w:t>two key macro-environmental factors: technological factors and economic factors</w:t>
      </w:r>
      <w:r w:rsidRPr="0087436F">
        <w:rPr>
          <w:rFonts w:ascii="Arial" w:hAnsi="Arial" w:cs="Arial"/>
        </w:rPr>
        <w:t xml:space="preserve">, as these have had a major impact on the development and competitive dynamics of the global streaming industry. These factors create both opportunities and challenges for Netflix and Disney+, influencing </w:t>
      </w:r>
      <w:r w:rsidRPr="0087436F">
        <w:rPr>
          <w:rFonts w:ascii="Arial" w:hAnsi="Arial" w:cs="Arial"/>
        </w:rPr>
        <w:lastRenderedPageBreak/>
        <w:t>their strategic decisions, content investments, and ability to maintain competitive advantage in the market.</w:t>
      </w:r>
    </w:p>
    <w:p w14:paraId="18F9FE35" w14:textId="77777777" w:rsidR="00833EDD" w:rsidRPr="0087436F" w:rsidRDefault="00833EDD" w:rsidP="0087436F">
      <w:pPr>
        <w:pStyle w:val="Heading2"/>
        <w:spacing w:line="360" w:lineRule="auto"/>
        <w:rPr>
          <w:rFonts w:ascii="Arial" w:hAnsi="Arial" w:cs="Arial"/>
        </w:rPr>
      </w:pPr>
      <w:bookmarkStart w:id="2" w:name="_Toc224149896"/>
      <w:r w:rsidRPr="0087436F">
        <w:rPr>
          <w:rFonts w:ascii="Arial" w:hAnsi="Arial" w:cs="Arial"/>
        </w:rPr>
        <w:t>2.1 Technological Factors</w:t>
      </w:r>
      <w:bookmarkEnd w:id="2"/>
    </w:p>
    <w:p w14:paraId="4999F0F3" w14:textId="77777777" w:rsidR="00833EDD" w:rsidRPr="0087436F" w:rsidRDefault="00833EDD" w:rsidP="0087436F">
      <w:pPr>
        <w:pStyle w:val="NormalWeb"/>
        <w:spacing w:line="360" w:lineRule="auto"/>
        <w:rPr>
          <w:rFonts w:ascii="Arial" w:hAnsi="Arial" w:cs="Arial"/>
        </w:rPr>
      </w:pPr>
      <w:r w:rsidRPr="0087436F">
        <w:rPr>
          <w:rFonts w:ascii="Arial" w:hAnsi="Arial" w:cs="Arial"/>
        </w:rPr>
        <w:t xml:space="preserve">Technological advancements have played a crucial role in the growth and transformation of the global streaming industry. The development of high-speed internet, smart devices, cloud computing, and advanced data analytics has enabled streaming platforms to deliver content more efficiently and provide personalised viewing experiences for users. According to </w:t>
      </w:r>
      <w:r w:rsidRPr="0087436F">
        <w:rPr>
          <w:rStyle w:val="whitespace-normal"/>
          <w:rFonts w:ascii="Arial" w:eastAsiaTheme="majorEastAsia" w:hAnsi="Arial" w:cs="Arial"/>
        </w:rPr>
        <w:t>Statista</w:t>
      </w:r>
      <w:r w:rsidRPr="0087436F">
        <w:rPr>
          <w:rFonts w:ascii="Arial" w:hAnsi="Arial" w:cs="Arial"/>
        </w:rPr>
        <w:t xml:space="preserve"> (2024), the rapid expansion of internet connectivity and smartphone usage has significantly contributed to the growth of online video streaming services worldwide. As a result, streaming companies must continuously invest in technological innovation to remain competitive in the market.</w:t>
      </w:r>
    </w:p>
    <w:p w14:paraId="31BD6EDF" w14:textId="77777777" w:rsidR="00833EDD" w:rsidRPr="0087436F" w:rsidRDefault="00833EDD" w:rsidP="0087436F">
      <w:pPr>
        <w:pStyle w:val="NormalWeb"/>
        <w:spacing w:line="360" w:lineRule="auto"/>
        <w:rPr>
          <w:rFonts w:ascii="Arial" w:hAnsi="Arial" w:cs="Arial"/>
        </w:rPr>
      </w:pPr>
      <w:r w:rsidRPr="0087436F">
        <w:rPr>
          <w:rFonts w:ascii="Arial" w:hAnsi="Arial" w:cs="Arial"/>
        </w:rPr>
        <w:t xml:space="preserve">For the pioneer organisation </w:t>
      </w:r>
      <w:r w:rsidRPr="0087436F">
        <w:rPr>
          <w:rStyle w:val="whitespace-normal"/>
          <w:rFonts w:ascii="Arial" w:eastAsiaTheme="majorEastAsia" w:hAnsi="Arial" w:cs="Arial"/>
        </w:rPr>
        <w:t>Netflix</w:t>
      </w:r>
      <w:r w:rsidRPr="0087436F">
        <w:rPr>
          <w:rFonts w:ascii="Arial" w:hAnsi="Arial" w:cs="Arial"/>
        </w:rPr>
        <w:t xml:space="preserve">, technology has been a major source of competitive advantage. Netflix uses advanced algorithms and data analytics to analyse user behaviour and recommend personalised content to subscribers. This data-driven approach allows the company to improve customer satisfaction and increase viewer engagement. Additionally, Netflix invests heavily in streaming infrastructure and cloud computing technologies to ensure high-quality content delivery across different devices and geographic locations. According to </w:t>
      </w:r>
      <w:r w:rsidRPr="0087436F">
        <w:rPr>
          <w:rStyle w:val="whitespace-normal"/>
          <w:rFonts w:ascii="Arial" w:eastAsiaTheme="majorEastAsia" w:hAnsi="Arial" w:cs="Arial"/>
        </w:rPr>
        <w:t>Netflix</w:t>
      </w:r>
      <w:r w:rsidRPr="0087436F">
        <w:rPr>
          <w:rFonts w:ascii="Arial" w:hAnsi="Arial" w:cs="Arial"/>
        </w:rPr>
        <w:t xml:space="preserve"> (2023), the company uses sophisticated recommendation systems to personalise content for its global audience, which strengthens its ability to retain subscribers and maintain a leading position in the streaming industry.</w:t>
      </w:r>
    </w:p>
    <w:p w14:paraId="4B533D9F" w14:textId="77777777" w:rsidR="00833EDD" w:rsidRPr="0087436F" w:rsidRDefault="00833EDD" w:rsidP="0087436F">
      <w:pPr>
        <w:pStyle w:val="NormalWeb"/>
        <w:spacing w:line="360" w:lineRule="auto"/>
        <w:rPr>
          <w:rFonts w:ascii="Arial" w:hAnsi="Arial" w:cs="Arial"/>
        </w:rPr>
      </w:pPr>
      <w:r w:rsidRPr="0087436F">
        <w:rPr>
          <w:rFonts w:ascii="Arial" w:hAnsi="Arial" w:cs="Arial"/>
        </w:rPr>
        <w:t xml:space="preserve">Similarly, the follower organisation </w:t>
      </w:r>
      <w:r w:rsidRPr="0087436F">
        <w:rPr>
          <w:rStyle w:val="whitespace-normal"/>
          <w:rFonts w:ascii="Arial" w:eastAsiaTheme="majorEastAsia" w:hAnsi="Arial" w:cs="Arial"/>
        </w:rPr>
        <w:t>Disney+</w:t>
      </w:r>
      <w:r w:rsidRPr="0087436F">
        <w:rPr>
          <w:rFonts w:ascii="Arial" w:hAnsi="Arial" w:cs="Arial"/>
        </w:rPr>
        <w:t xml:space="preserve"> has also leveraged technological advancements to compete with established streaming platforms. Launched in 2019 by </w:t>
      </w:r>
      <w:r w:rsidRPr="0087436F">
        <w:rPr>
          <w:rStyle w:val="whitespace-normal"/>
          <w:rFonts w:ascii="Arial" w:eastAsiaTheme="majorEastAsia" w:hAnsi="Arial" w:cs="Arial"/>
        </w:rPr>
        <w:t>The Walt Disney Company</w:t>
      </w:r>
      <w:r w:rsidRPr="0087436F">
        <w:rPr>
          <w:rFonts w:ascii="Arial" w:hAnsi="Arial" w:cs="Arial"/>
        </w:rPr>
        <w:t>, Disney+ quickly adopted modern streaming technologies to deliver high-quality digital content. The platform provides features such as high-definition streaming, multi-device access, and personalised user profiles, which enhance the overall customer experience. Furthermore, Disney+ benefits from Disney’s strong technological partnerships and digital distribution networks, enabling it to expand rapidly across international markets.</w:t>
      </w:r>
    </w:p>
    <w:p w14:paraId="536FEA15" w14:textId="77777777" w:rsidR="00833EDD" w:rsidRPr="0087436F" w:rsidRDefault="00833EDD" w:rsidP="0087436F">
      <w:pPr>
        <w:pStyle w:val="NormalWeb"/>
        <w:spacing w:line="360" w:lineRule="auto"/>
        <w:rPr>
          <w:rFonts w:ascii="Arial" w:hAnsi="Arial" w:cs="Arial"/>
        </w:rPr>
      </w:pPr>
      <w:r w:rsidRPr="0087436F">
        <w:rPr>
          <w:rFonts w:ascii="Arial" w:hAnsi="Arial" w:cs="Arial"/>
        </w:rPr>
        <w:lastRenderedPageBreak/>
        <w:t xml:space="preserve">However, technological developments also create challenges for both companies. Continuous innovation requires significant investment in research, development, and digital infrastructure. In addition, streaming platforms must address issues related to cybersecurity, data privacy, and content piracy. According to </w:t>
      </w:r>
      <w:r w:rsidRPr="0087436F">
        <w:rPr>
          <w:rStyle w:val="whitespace-normal"/>
          <w:rFonts w:ascii="Arial" w:eastAsiaTheme="majorEastAsia" w:hAnsi="Arial" w:cs="Arial"/>
        </w:rPr>
        <w:t>Philip Kotler</w:t>
      </w:r>
      <w:r w:rsidRPr="0087436F">
        <w:rPr>
          <w:rFonts w:ascii="Arial" w:hAnsi="Arial" w:cs="Arial"/>
        </w:rPr>
        <w:t xml:space="preserve"> and </w:t>
      </w:r>
      <w:r w:rsidRPr="0087436F">
        <w:rPr>
          <w:rStyle w:val="whitespace-normal"/>
          <w:rFonts w:ascii="Arial" w:eastAsiaTheme="majorEastAsia" w:hAnsi="Arial" w:cs="Arial"/>
        </w:rPr>
        <w:t>Kevin Lane Keller</w:t>
      </w:r>
      <w:r w:rsidRPr="0087436F">
        <w:rPr>
          <w:rFonts w:ascii="Arial" w:hAnsi="Arial" w:cs="Arial"/>
        </w:rPr>
        <w:t xml:space="preserve"> (2016), companies operating in technology-driven industries must constantly adapt to technological changes in order to sustain long-term competitive advantage.</w:t>
      </w:r>
    </w:p>
    <w:p w14:paraId="077401FF" w14:textId="77777777" w:rsidR="00833EDD" w:rsidRPr="0087436F" w:rsidRDefault="00833EDD" w:rsidP="0087436F">
      <w:pPr>
        <w:pStyle w:val="NormalWeb"/>
        <w:spacing w:line="360" w:lineRule="auto"/>
        <w:rPr>
          <w:rFonts w:ascii="Arial" w:hAnsi="Arial" w:cs="Arial"/>
        </w:rPr>
      </w:pPr>
      <w:r w:rsidRPr="0087436F">
        <w:rPr>
          <w:rFonts w:ascii="Arial" w:hAnsi="Arial" w:cs="Arial"/>
        </w:rPr>
        <w:t>Overall, technological factors create both opportunities and challenges for Netflix and Disney+. While advanced technologies enable streaming platforms to enhance customer experiences and expand globally, they also require continuous investment and strategic adaptation to maintain market leadership.</w:t>
      </w:r>
    </w:p>
    <w:p w14:paraId="0F0D1D6D" w14:textId="77777777" w:rsidR="00833EDD" w:rsidRPr="0087436F" w:rsidRDefault="00833EDD" w:rsidP="0087436F">
      <w:pPr>
        <w:pStyle w:val="Heading2"/>
        <w:spacing w:line="360" w:lineRule="auto"/>
        <w:rPr>
          <w:rFonts w:ascii="Arial" w:hAnsi="Arial" w:cs="Arial"/>
        </w:rPr>
      </w:pPr>
      <w:bookmarkStart w:id="3" w:name="_Toc224149897"/>
      <w:r w:rsidRPr="0087436F">
        <w:rPr>
          <w:rFonts w:ascii="Arial" w:hAnsi="Arial" w:cs="Arial"/>
        </w:rPr>
        <w:t>2.2 Economic Factors</w:t>
      </w:r>
      <w:bookmarkEnd w:id="3"/>
    </w:p>
    <w:p w14:paraId="052EA46F" w14:textId="77777777" w:rsidR="00833EDD" w:rsidRPr="0087436F" w:rsidRDefault="00833EDD" w:rsidP="0087436F">
      <w:pPr>
        <w:pStyle w:val="NormalWeb"/>
        <w:spacing w:line="360" w:lineRule="auto"/>
        <w:rPr>
          <w:rFonts w:ascii="Arial" w:hAnsi="Arial" w:cs="Arial"/>
        </w:rPr>
      </w:pPr>
      <w:r w:rsidRPr="0087436F">
        <w:rPr>
          <w:rFonts w:ascii="Arial" w:hAnsi="Arial" w:cs="Arial"/>
        </w:rPr>
        <w:t xml:space="preserve">Economic conditions significantly influence the performance and growth of companies operating in the global streaming industry. Factors such as inflation, changes in consumer income, subscription pricing, and global economic instability can affect consumer spending on digital entertainment services. According to </w:t>
      </w:r>
      <w:r w:rsidRPr="0087436F">
        <w:rPr>
          <w:rStyle w:val="whitespace-normal"/>
          <w:rFonts w:ascii="Arial" w:eastAsiaTheme="majorEastAsia" w:hAnsi="Arial" w:cs="Arial"/>
        </w:rPr>
        <w:t>International Monetary Fund</w:t>
      </w:r>
      <w:r w:rsidRPr="0087436F">
        <w:rPr>
          <w:rFonts w:ascii="Arial" w:hAnsi="Arial" w:cs="Arial"/>
        </w:rPr>
        <w:t xml:space="preserve"> (2023), fluctuations in global economic conditions and rising inflation have impacted household spending patterns, leading consumers to prioritise essential expenses over non-essential services such as entertainment subscriptions.</w:t>
      </w:r>
    </w:p>
    <w:p w14:paraId="6966F4E3" w14:textId="77777777" w:rsidR="00833EDD" w:rsidRPr="0087436F" w:rsidRDefault="00833EDD" w:rsidP="0087436F">
      <w:pPr>
        <w:pStyle w:val="NormalWeb"/>
        <w:spacing w:line="360" w:lineRule="auto"/>
        <w:rPr>
          <w:rFonts w:ascii="Arial" w:hAnsi="Arial" w:cs="Arial"/>
        </w:rPr>
      </w:pPr>
      <w:r w:rsidRPr="0087436F">
        <w:rPr>
          <w:rFonts w:ascii="Arial" w:hAnsi="Arial" w:cs="Arial"/>
        </w:rPr>
        <w:t xml:space="preserve">For the pioneer organisation </w:t>
      </w:r>
      <w:r w:rsidRPr="0087436F">
        <w:rPr>
          <w:rStyle w:val="whitespace-normal"/>
          <w:rFonts w:ascii="Arial" w:eastAsiaTheme="majorEastAsia" w:hAnsi="Arial" w:cs="Arial"/>
        </w:rPr>
        <w:t>Netflix</w:t>
      </w:r>
      <w:r w:rsidRPr="0087436F">
        <w:rPr>
          <w:rFonts w:ascii="Arial" w:hAnsi="Arial" w:cs="Arial"/>
        </w:rPr>
        <w:t>, economic factors present both opportunities and challenges. During periods of economic stability, consumers are more willing to subscribe to multiple streaming platforms, allowing Netflix to expand its subscriber base and increase revenue. However, during economic downturns or periods of high inflation, consumers may reduce discretionary spending and cancel or limit their streaming subscriptions. To respond to these economic pressures, Netflix has introduced different pricing strategies and subscription tiers, including more affordable plans and ad-supported options, to maintain customer retention and attract price-sensitive consumers (Netflix, 2023).</w:t>
      </w:r>
    </w:p>
    <w:p w14:paraId="2DCD9C01" w14:textId="77777777" w:rsidR="00833EDD" w:rsidRPr="0087436F" w:rsidRDefault="00833EDD" w:rsidP="0087436F">
      <w:pPr>
        <w:pStyle w:val="NormalWeb"/>
        <w:spacing w:line="360" w:lineRule="auto"/>
        <w:rPr>
          <w:rFonts w:ascii="Arial" w:hAnsi="Arial" w:cs="Arial"/>
        </w:rPr>
      </w:pPr>
      <w:r w:rsidRPr="0087436F">
        <w:rPr>
          <w:rFonts w:ascii="Arial" w:hAnsi="Arial" w:cs="Arial"/>
        </w:rPr>
        <w:lastRenderedPageBreak/>
        <w:t xml:space="preserve">Similarly, the follower organisation </w:t>
      </w:r>
      <w:r w:rsidRPr="0087436F">
        <w:rPr>
          <w:rStyle w:val="whitespace-normal"/>
          <w:rFonts w:ascii="Arial" w:eastAsiaTheme="majorEastAsia" w:hAnsi="Arial" w:cs="Arial"/>
        </w:rPr>
        <w:t>Disney+</w:t>
      </w:r>
      <w:r w:rsidRPr="0087436F">
        <w:rPr>
          <w:rFonts w:ascii="Arial" w:hAnsi="Arial" w:cs="Arial"/>
        </w:rPr>
        <w:t xml:space="preserve"> is also affected by global economic conditions. As part of </w:t>
      </w:r>
      <w:r w:rsidRPr="0087436F">
        <w:rPr>
          <w:rStyle w:val="whitespace-normal"/>
          <w:rFonts w:ascii="Arial" w:eastAsiaTheme="majorEastAsia" w:hAnsi="Arial" w:cs="Arial"/>
        </w:rPr>
        <w:t>The Walt Disney Company</w:t>
      </w:r>
      <w:r w:rsidRPr="0087436F">
        <w:rPr>
          <w:rFonts w:ascii="Arial" w:hAnsi="Arial" w:cs="Arial"/>
        </w:rPr>
        <w:t>, Disney+ relies on subscription revenue and content investment to compete with leading streaming platforms. Economic uncertainty can influence the company’s ability to expand its subscriber base, particularly in price-sensitive markets. In response, Disney+ has adopted strategic pricing models and bundled subscription services with other Disney products such as Hulu and ESPN+ in some markets, providing greater value to customers and strengthening its competitive position.</w:t>
      </w:r>
    </w:p>
    <w:p w14:paraId="43E6AFA6" w14:textId="77777777" w:rsidR="00833EDD" w:rsidRPr="0087436F" w:rsidRDefault="00833EDD" w:rsidP="0087436F">
      <w:pPr>
        <w:pStyle w:val="NormalWeb"/>
        <w:spacing w:line="360" w:lineRule="auto"/>
        <w:rPr>
          <w:rFonts w:ascii="Arial" w:hAnsi="Arial" w:cs="Arial"/>
        </w:rPr>
      </w:pPr>
      <w:r w:rsidRPr="0087436F">
        <w:rPr>
          <w:rFonts w:ascii="Arial" w:hAnsi="Arial" w:cs="Arial"/>
        </w:rPr>
        <w:t xml:space="preserve">Economic factors also affect production costs within the streaming industry. The cost of producing high-quality films, series, and original content has increased significantly due to rising labour costs, technological investments, and global production expenses. According to </w:t>
      </w:r>
      <w:r w:rsidRPr="0087436F">
        <w:rPr>
          <w:rStyle w:val="whitespace-normal"/>
          <w:rFonts w:ascii="Arial" w:eastAsiaTheme="majorEastAsia" w:hAnsi="Arial" w:cs="Arial"/>
        </w:rPr>
        <w:t>Deloitte</w:t>
      </w:r>
      <w:r w:rsidRPr="0087436F">
        <w:rPr>
          <w:rFonts w:ascii="Arial" w:hAnsi="Arial" w:cs="Arial"/>
        </w:rPr>
        <w:t xml:space="preserve"> (2023), streaming companies must continuously invest billions of dollars in original content production in order to remain competitive and attract new subscribers.</w:t>
      </w:r>
    </w:p>
    <w:p w14:paraId="03ED529E" w14:textId="77777777" w:rsidR="00833EDD" w:rsidRPr="0087436F" w:rsidRDefault="00833EDD" w:rsidP="0087436F">
      <w:pPr>
        <w:pStyle w:val="NormalWeb"/>
        <w:spacing w:line="360" w:lineRule="auto"/>
        <w:rPr>
          <w:rFonts w:ascii="Arial" w:hAnsi="Arial" w:cs="Arial"/>
        </w:rPr>
      </w:pPr>
      <w:r w:rsidRPr="0087436F">
        <w:rPr>
          <w:rFonts w:ascii="Arial" w:hAnsi="Arial" w:cs="Arial"/>
        </w:rPr>
        <w:t>Overall, economic factors play a crucial role in shaping the strategic decisions of Netflix and Disney+. While strong economic conditions can encourage growth and expansion in the streaming market, economic challenges such as inflation and rising production costs require companies to adapt their pricing strategies, manage operational expenses, and deliver greater value to consumers in order to maintain competitiveness.</w:t>
      </w:r>
    </w:p>
    <w:p w14:paraId="1A16A2C5" w14:textId="77777777" w:rsidR="00874049" w:rsidRPr="0087436F" w:rsidRDefault="00874049" w:rsidP="0087436F">
      <w:pPr>
        <w:pStyle w:val="Heading2"/>
        <w:spacing w:line="360" w:lineRule="auto"/>
        <w:rPr>
          <w:rFonts w:ascii="Arial" w:hAnsi="Arial" w:cs="Arial"/>
        </w:rPr>
      </w:pPr>
    </w:p>
    <w:p w14:paraId="52A00681" w14:textId="788ED1E1" w:rsidR="00833EDD" w:rsidRPr="0087436F" w:rsidRDefault="00833EDD" w:rsidP="0087436F">
      <w:pPr>
        <w:pStyle w:val="Heading1"/>
        <w:spacing w:line="360" w:lineRule="auto"/>
        <w:rPr>
          <w:rFonts w:ascii="Arial" w:hAnsi="Arial" w:cs="Arial"/>
        </w:rPr>
      </w:pPr>
      <w:bookmarkStart w:id="4" w:name="_Toc224149898"/>
      <w:r w:rsidRPr="0087436F">
        <w:rPr>
          <w:rFonts w:ascii="Arial" w:hAnsi="Arial" w:cs="Arial"/>
        </w:rPr>
        <w:t>3. Strategic Responses</w:t>
      </w:r>
      <w:bookmarkEnd w:id="4"/>
    </w:p>
    <w:p w14:paraId="60266851" w14:textId="77777777" w:rsidR="00833EDD" w:rsidRPr="0087436F" w:rsidRDefault="00833EDD" w:rsidP="0087436F">
      <w:pPr>
        <w:pStyle w:val="Heading2"/>
        <w:spacing w:line="360" w:lineRule="auto"/>
        <w:rPr>
          <w:rFonts w:ascii="Arial" w:hAnsi="Arial" w:cs="Arial"/>
        </w:rPr>
      </w:pPr>
      <w:bookmarkStart w:id="5" w:name="_Toc224149899"/>
      <w:r w:rsidRPr="0087436F">
        <w:rPr>
          <w:rFonts w:ascii="Arial" w:hAnsi="Arial" w:cs="Arial"/>
        </w:rPr>
        <w:t>3.1 Strategy of the Pioneer Organisation</w:t>
      </w:r>
      <w:bookmarkEnd w:id="5"/>
    </w:p>
    <w:p w14:paraId="3C7CC304" w14:textId="77777777" w:rsidR="00833EDD" w:rsidRPr="0087436F" w:rsidRDefault="00833EDD" w:rsidP="0087436F">
      <w:pPr>
        <w:pStyle w:val="NormalWeb"/>
        <w:spacing w:line="360" w:lineRule="auto"/>
        <w:rPr>
          <w:rFonts w:ascii="Arial" w:hAnsi="Arial" w:cs="Arial"/>
        </w:rPr>
      </w:pPr>
      <w:r w:rsidRPr="0087436F">
        <w:rPr>
          <w:rFonts w:ascii="Arial" w:hAnsi="Arial" w:cs="Arial"/>
        </w:rPr>
        <w:t xml:space="preserve">The pioneer organisation </w:t>
      </w:r>
      <w:r w:rsidRPr="0087436F">
        <w:rPr>
          <w:rStyle w:val="whitespace-normal"/>
          <w:rFonts w:ascii="Arial" w:hAnsi="Arial" w:cs="Arial"/>
        </w:rPr>
        <w:t>Netflix</w:t>
      </w:r>
      <w:r w:rsidRPr="0087436F">
        <w:rPr>
          <w:rFonts w:ascii="Arial" w:hAnsi="Arial" w:cs="Arial"/>
        </w:rPr>
        <w:t xml:space="preserve"> has adopted several strategic approaches to maintain its leadership position in the global streaming industry. As a first mover in the subscription-based streaming market, Netflix has focused on innovation, global expansion, and differentiation to sustain its competitive advantage. According to </w:t>
      </w:r>
      <w:r w:rsidRPr="0087436F">
        <w:rPr>
          <w:rStyle w:val="whitespace-normal"/>
          <w:rFonts w:ascii="Arial" w:hAnsi="Arial" w:cs="Arial"/>
        </w:rPr>
        <w:t>Michael Porter</w:t>
      </w:r>
      <w:r w:rsidRPr="0087436F">
        <w:rPr>
          <w:rFonts w:ascii="Arial" w:hAnsi="Arial" w:cs="Arial"/>
        </w:rPr>
        <w:t xml:space="preserve"> (1985), companies can achieve competitive advantage through </w:t>
      </w:r>
      <w:r w:rsidRPr="0087436F">
        <w:rPr>
          <w:rFonts w:ascii="Arial" w:hAnsi="Arial" w:cs="Arial"/>
        </w:rPr>
        <w:lastRenderedPageBreak/>
        <w:t xml:space="preserve">strategies such as cost leadership, differentiation, or focus. Netflix primarily follows a </w:t>
      </w:r>
      <w:r w:rsidRPr="0087436F">
        <w:rPr>
          <w:rStyle w:val="Strong"/>
          <w:rFonts w:ascii="Arial" w:hAnsi="Arial" w:cs="Arial"/>
          <w:b w:val="0"/>
          <w:bCs w:val="0"/>
        </w:rPr>
        <w:t>differentiation strategy</w:t>
      </w:r>
      <w:r w:rsidRPr="0087436F">
        <w:rPr>
          <w:rFonts w:ascii="Arial" w:hAnsi="Arial" w:cs="Arial"/>
        </w:rPr>
        <w:t>, offering unique and high-quality content that distinguishes it from competitors.</w:t>
      </w:r>
    </w:p>
    <w:p w14:paraId="19525742" w14:textId="77777777" w:rsidR="00833EDD" w:rsidRPr="0087436F" w:rsidRDefault="00833EDD" w:rsidP="0087436F">
      <w:pPr>
        <w:pStyle w:val="NormalWeb"/>
        <w:spacing w:line="360" w:lineRule="auto"/>
        <w:rPr>
          <w:rFonts w:ascii="Arial" w:hAnsi="Arial" w:cs="Arial"/>
        </w:rPr>
      </w:pPr>
      <w:r w:rsidRPr="0087436F">
        <w:rPr>
          <w:rFonts w:ascii="Arial" w:hAnsi="Arial" w:cs="Arial"/>
        </w:rPr>
        <w:t xml:space="preserve">One of the key elements of Netflix’s differentiation strategy is its strong investment in </w:t>
      </w:r>
      <w:r w:rsidRPr="0087436F">
        <w:rPr>
          <w:rStyle w:val="Strong"/>
          <w:rFonts w:ascii="Arial" w:hAnsi="Arial" w:cs="Arial"/>
          <w:b w:val="0"/>
          <w:bCs w:val="0"/>
        </w:rPr>
        <w:t>original content production</w:t>
      </w:r>
      <w:r w:rsidRPr="0087436F">
        <w:rPr>
          <w:rFonts w:ascii="Arial" w:hAnsi="Arial" w:cs="Arial"/>
        </w:rPr>
        <w:t xml:space="preserve">. The company produces exclusive series and films that are only available on its platform, such as popular global shows and movies. This approach helps Netflix attract new subscribers while also retaining existing customers. According to </w:t>
      </w:r>
      <w:r w:rsidRPr="0087436F">
        <w:rPr>
          <w:rStyle w:val="whitespace-normal"/>
          <w:rFonts w:ascii="Arial" w:hAnsi="Arial" w:cs="Arial"/>
        </w:rPr>
        <w:t>Netflix</w:t>
      </w:r>
      <w:r w:rsidRPr="0087436F">
        <w:rPr>
          <w:rFonts w:ascii="Arial" w:hAnsi="Arial" w:cs="Arial"/>
        </w:rPr>
        <w:t xml:space="preserve"> (2023), the company invests billions of dollars annually in original content development to strengthen its global content library and maintain customer engagement.</w:t>
      </w:r>
    </w:p>
    <w:p w14:paraId="06EA3A8C" w14:textId="15887E83" w:rsidR="00833EDD" w:rsidRPr="0087436F" w:rsidRDefault="00833EDD" w:rsidP="0087436F">
      <w:pPr>
        <w:pStyle w:val="NormalWeb"/>
        <w:spacing w:line="360" w:lineRule="auto"/>
        <w:rPr>
          <w:rFonts w:ascii="Arial" w:hAnsi="Arial" w:cs="Arial"/>
        </w:rPr>
      </w:pPr>
      <w:r w:rsidRPr="0087436F">
        <w:rPr>
          <w:rFonts w:ascii="Arial" w:hAnsi="Arial" w:cs="Arial"/>
        </w:rPr>
        <w:t xml:space="preserve">Another important strategy used by Netflix is </w:t>
      </w:r>
      <w:r w:rsidRPr="0087436F">
        <w:rPr>
          <w:rStyle w:val="Strong"/>
          <w:rFonts w:ascii="Arial" w:hAnsi="Arial" w:cs="Arial"/>
          <w:b w:val="0"/>
          <w:bCs w:val="0"/>
        </w:rPr>
        <w:t xml:space="preserve">data-driven </w:t>
      </w:r>
      <w:r w:rsidR="0087436F" w:rsidRPr="0087436F">
        <w:rPr>
          <w:rStyle w:val="Strong"/>
          <w:rFonts w:ascii="Arial" w:hAnsi="Arial" w:cs="Arial"/>
          <w:b w:val="0"/>
          <w:bCs w:val="0"/>
        </w:rPr>
        <w:t>decision-making</w:t>
      </w:r>
      <w:r w:rsidRPr="0087436F">
        <w:rPr>
          <w:rFonts w:ascii="Arial" w:hAnsi="Arial" w:cs="Arial"/>
        </w:rPr>
        <w:t xml:space="preserve">. Netflix collects and analyses large amounts of user data to understand viewing preferences and recommend personalised content to subscribers. This technological capability allows the company to create targeted content and improve customer satisfaction. According to </w:t>
      </w:r>
      <w:r w:rsidRPr="0087436F">
        <w:rPr>
          <w:rStyle w:val="whitespace-normal"/>
          <w:rFonts w:ascii="Arial" w:hAnsi="Arial" w:cs="Arial"/>
        </w:rPr>
        <w:t>Statista</w:t>
      </w:r>
      <w:r w:rsidRPr="0087436F">
        <w:rPr>
          <w:rFonts w:ascii="Arial" w:hAnsi="Arial" w:cs="Arial"/>
        </w:rPr>
        <w:t xml:space="preserve"> (2024), Netflix’s recommendation system plays a significant role in increasing user engagement and viewing time on the platform.</w:t>
      </w:r>
    </w:p>
    <w:p w14:paraId="62D4CFD8" w14:textId="77777777" w:rsidR="00833EDD" w:rsidRPr="0087436F" w:rsidRDefault="00833EDD" w:rsidP="0087436F">
      <w:pPr>
        <w:pStyle w:val="NormalWeb"/>
        <w:spacing w:line="360" w:lineRule="auto"/>
        <w:rPr>
          <w:rFonts w:ascii="Arial" w:hAnsi="Arial" w:cs="Arial"/>
        </w:rPr>
      </w:pPr>
      <w:r w:rsidRPr="0087436F">
        <w:rPr>
          <w:rFonts w:ascii="Arial" w:hAnsi="Arial" w:cs="Arial"/>
        </w:rPr>
        <w:t xml:space="preserve">In addition, Netflix has expanded its operations globally to increase its market reach and subscriber base. The company operates in more than 190 countries and provides content in multiple languages to attract diverse audiences. Global expansion has allowed Netflix to produce region-specific content and strengthen its presence in international markets. According to </w:t>
      </w:r>
      <w:r w:rsidRPr="0087436F">
        <w:rPr>
          <w:rStyle w:val="whitespace-normal"/>
          <w:rFonts w:ascii="Arial" w:hAnsi="Arial" w:cs="Arial"/>
        </w:rPr>
        <w:t>Deloitte</w:t>
      </w:r>
      <w:r w:rsidRPr="0087436F">
        <w:rPr>
          <w:rFonts w:ascii="Arial" w:hAnsi="Arial" w:cs="Arial"/>
        </w:rPr>
        <w:t xml:space="preserve"> (2023), global content production and localisation strategies have become essential for streaming platforms aiming to compete in international markets.</w:t>
      </w:r>
    </w:p>
    <w:p w14:paraId="19367A25" w14:textId="77777777" w:rsidR="00833EDD" w:rsidRPr="0087436F" w:rsidRDefault="00833EDD" w:rsidP="0087436F">
      <w:pPr>
        <w:pStyle w:val="NormalWeb"/>
        <w:spacing w:line="360" w:lineRule="auto"/>
        <w:rPr>
          <w:rFonts w:ascii="Arial" w:hAnsi="Arial" w:cs="Arial"/>
        </w:rPr>
      </w:pPr>
      <w:r w:rsidRPr="0087436F">
        <w:rPr>
          <w:rFonts w:ascii="Arial" w:hAnsi="Arial" w:cs="Arial"/>
        </w:rPr>
        <w:t>Overall, the strategic approach adopted by Netflix enables the company to maintain its pioneer advantage within the streaming industry. Through differentiation, technological innovation, and global market expansion, Netflix continues to strengthen its competitive position despite the increasing number of competitors entering the streaming market.</w:t>
      </w:r>
    </w:p>
    <w:p w14:paraId="4882D241" w14:textId="77777777" w:rsidR="00833EDD" w:rsidRPr="0087436F" w:rsidRDefault="00833EDD" w:rsidP="0087436F">
      <w:pPr>
        <w:pStyle w:val="Heading2"/>
        <w:spacing w:line="360" w:lineRule="auto"/>
        <w:rPr>
          <w:rFonts w:ascii="Arial" w:hAnsi="Arial" w:cs="Arial"/>
        </w:rPr>
      </w:pPr>
      <w:bookmarkStart w:id="6" w:name="_Toc224149900"/>
      <w:r w:rsidRPr="0087436F">
        <w:rPr>
          <w:rFonts w:ascii="Arial" w:hAnsi="Arial" w:cs="Arial"/>
        </w:rPr>
        <w:t>3.2 Strategy of the Follower Organisation</w:t>
      </w:r>
      <w:bookmarkEnd w:id="6"/>
    </w:p>
    <w:p w14:paraId="5DC8E127" w14:textId="77777777" w:rsidR="00833EDD" w:rsidRPr="0087436F" w:rsidRDefault="00833EDD" w:rsidP="0087436F">
      <w:pPr>
        <w:pStyle w:val="NormalWeb"/>
        <w:spacing w:line="360" w:lineRule="auto"/>
        <w:rPr>
          <w:rFonts w:ascii="Arial" w:hAnsi="Arial" w:cs="Arial"/>
          <w:b/>
          <w:bCs/>
        </w:rPr>
      </w:pPr>
      <w:r w:rsidRPr="0087436F">
        <w:rPr>
          <w:rFonts w:ascii="Arial" w:hAnsi="Arial" w:cs="Arial"/>
        </w:rPr>
        <w:lastRenderedPageBreak/>
        <w:t xml:space="preserve">The follower organisation </w:t>
      </w:r>
      <w:r w:rsidRPr="0087436F">
        <w:rPr>
          <w:rStyle w:val="whitespace-normal"/>
          <w:rFonts w:ascii="Arial" w:eastAsiaTheme="majorEastAsia" w:hAnsi="Arial" w:cs="Arial"/>
        </w:rPr>
        <w:t>Disney+</w:t>
      </w:r>
      <w:r w:rsidRPr="0087436F">
        <w:rPr>
          <w:rFonts w:ascii="Arial" w:hAnsi="Arial" w:cs="Arial"/>
        </w:rPr>
        <w:t xml:space="preserve"> has developed strategic approaches to compete with established streaming platforms, particularly the pioneer </w:t>
      </w:r>
      <w:r w:rsidRPr="0087436F">
        <w:rPr>
          <w:rStyle w:val="whitespace-normal"/>
          <w:rFonts w:ascii="Arial" w:eastAsiaTheme="majorEastAsia" w:hAnsi="Arial" w:cs="Arial"/>
        </w:rPr>
        <w:t>Netflix</w:t>
      </w:r>
      <w:r w:rsidRPr="0087436F">
        <w:rPr>
          <w:rFonts w:ascii="Arial" w:hAnsi="Arial" w:cs="Arial"/>
        </w:rPr>
        <w:t xml:space="preserve">. As a follower in the streaming market, Disney+ entered the industry later but leveraged its strong brand portfolio, extensive content library, and global reputation to quickly establish a competitive position. According to </w:t>
      </w:r>
      <w:r w:rsidRPr="0087436F">
        <w:rPr>
          <w:rStyle w:val="whitespace-normal"/>
          <w:rFonts w:ascii="Arial" w:eastAsiaTheme="majorEastAsia" w:hAnsi="Arial" w:cs="Arial"/>
        </w:rPr>
        <w:t>Michael Porter</w:t>
      </w:r>
      <w:r w:rsidRPr="0087436F">
        <w:rPr>
          <w:rFonts w:ascii="Arial" w:hAnsi="Arial" w:cs="Arial"/>
        </w:rPr>
        <w:t xml:space="preserve"> (1985), companies can gain competitive advantage through differentiation or cost leadership strategies. Disney+ primarily focuses on </w:t>
      </w:r>
      <w:r w:rsidRPr="0087436F">
        <w:rPr>
          <w:rStyle w:val="Strong"/>
          <w:rFonts w:ascii="Arial" w:hAnsi="Arial" w:cs="Arial"/>
          <w:b w:val="0"/>
          <w:bCs w:val="0"/>
        </w:rPr>
        <w:t>differentiation through exclusive content and strong brand value</w:t>
      </w:r>
      <w:r w:rsidRPr="0087436F">
        <w:rPr>
          <w:rFonts w:ascii="Arial" w:hAnsi="Arial" w:cs="Arial"/>
          <w:b/>
          <w:bCs/>
        </w:rPr>
        <w:t>.</w:t>
      </w:r>
    </w:p>
    <w:p w14:paraId="7E727154" w14:textId="77777777" w:rsidR="00833EDD" w:rsidRPr="0087436F" w:rsidRDefault="00833EDD" w:rsidP="0087436F">
      <w:pPr>
        <w:pStyle w:val="NormalWeb"/>
        <w:spacing w:line="360" w:lineRule="auto"/>
        <w:rPr>
          <w:rFonts w:ascii="Arial" w:hAnsi="Arial" w:cs="Arial"/>
        </w:rPr>
      </w:pPr>
      <w:r w:rsidRPr="0087436F">
        <w:rPr>
          <w:rFonts w:ascii="Arial" w:hAnsi="Arial" w:cs="Arial"/>
        </w:rPr>
        <w:t xml:space="preserve">One of the major strategic strengths of Disney+ is its ownership of globally recognised entertainment franchises such as Marvel, Star Wars, Pixar, and Disney classics. These well-known brands allow Disney+ to offer unique and highly popular content that attracts a large audience. According to </w:t>
      </w:r>
      <w:r w:rsidRPr="0087436F">
        <w:rPr>
          <w:rStyle w:val="whitespace-normal"/>
          <w:rFonts w:ascii="Arial" w:eastAsiaTheme="majorEastAsia" w:hAnsi="Arial" w:cs="Arial"/>
        </w:rPr>
        <w:t>The Walt Disney Company</w:t>
      </w:r>
      <w:r w:rsidRPr="0087436F">
        <w:rPr>
          <w:rFonts w:ascii="Arial" w:hAnsi="Arial" w:cs="Arial"/>
        </w:rPr>
        <w:t xml:space="preserve"> (2023), Disney+ utilises its extensive intellectual property portfolio to deliver exclusive streaming content and strengthen its competitive position within the global streaming market.</w:t>
      </w:r>
    </w:p>
    <w:p w14:paraId="07728D65" w14:textId="77777777" w:rsidR="00833EDD" w:rsidRPr="0087436F" w:rsidRDefault="00833EDD" w:rsidP="0087436F">
      <w:pPr>
        <w:pStyle w:val="NormalWeb"/>
        <w:spacing w:line="360" w:lineRule="auto"/>
        <w:rPr>
          <w:rFonts w:ascii="Arial" w:hAnsi="Arial" w:cs="Arial"/>
        </w:rPr>
      </w:pPr>
      <w:r w:rsidRPr="0087436F">
        <w:rPr>
          <w:rFonts w:ascii="Arial" w:hAnsi="Arial" w:cs="Arial"/>
        </w:rPr>
        <w:t xml:space="preserve">Another important strategy adopted by Disney+ is </w:t>
      </w:r>
      <w:r w:rsidRPr="0087436F">
        <w:rPr>
          <w:rStyle w:val="Strong"/>
          <w:rFonts w:ascii="Arial" w:hAnsi="Arial" w:cs="Arial"/>
          <w:b w:val="0"/>
          <w:bCs w:val="0"/>
        </w:rPr>
        <w:t>content bundling and partnership strategies</w:t>
      </w:r>
      <w:r w:rsidRPr="0087436F">
        <w:rPr>
          <w:rFonts w:ascii="Arial" w:hAnsi="Arial" w:cs="Arial"/>
        </w:rPr>
        <w:t xml:space="preserve">. In several markets, Disney+ is offered as part of bundled subscription packages that include other streaming platforms or services owned by Disney. This approach increases customer value by providing access to multiple services within a single subscription. According to </w:t>
      </w:r>
      <w:r w:rsidRPr="0087436F">
        <w:rPr>
          <w:rStyle w:val="whitespace-normal"/>
          <w:rFonts w:ascii="Arial" w:eastAsiaTheme="majorEastAsia" w:hAnsi="Arial" w:cs="Arial"/>
        </w:rPr>
        <w:t>Deloitte</w:t>
      </w:r>
      <w:r w:rsidRPr="0087436F">
        <w:rPr>
          <w:rFonts w:ascii="Arial" w:hAnsi="Arial" w:cs="Arial"/>
        </w:rPr>
        <w:t xml:space="preserve"> (2023), bundling strategies have become an effective way for streaming companies to attract and retain subscribers in a highly competitive digital entertainment market.</w:t>
      </w:r>
    </w:p>
    <w:p w14:paraId="50A70221" w14:textId="77777777" w:rsidR="00833EDD" w:rsidRPr="0087436F" w:rsidRDefault="00833EDD" w:rsidP="0087436F">
      <w:pPr>
        <w:pStyle w:val="NormalWeb"/>
        <w:spacing w:line="360" w:lineRule="auto"/>
        <w:rPr>
          <w:rFonts w:ascii="Arial" w:hAnsi="Arial" w:cs="Arial"/>
        </w:rPr>
      </w:pPr>
      <w:r w:rsidRPr="0087436F">
        <w:rPr>
          <w:rFonts w:ascii="Arial" w:hAnsi="Arial" w:cs="Arial"/>
        </w:rPr>
        <w:t>Furthermore, Disney+ focuses heavily on</w:t>
      </w:r>
      <w:r w:rsidRPr="0087436F">
        <w:rPr>
          <w:rFonts w:ascii="Arial" w:hAnsi="Arial" w:cs="Arial"/>
          <w:b/>
          <w:bCs/>
        </w:rPr>
        <w:t xml:space="preserve"> </w:t>
      </w:r>
      <w:r w:rsidRPr="0087436F">
        <w:rPr>
          <w:rStyle w:val="Strong"/>
          <w:rFonts w:ascii="Arial" w:hAnsi="Arial" w:cs="Arial"/>
          <w:b w:val="0"/>
          <w:bCs w:val="0"/>
        </w:rPr>
        <w:t>global expansion and localisation strategies</w:t>
      </w:r>
      <w:r w:rsidRPr="0087436F">
        <w:rPr>
          <w:rFonts w:ascii="Arial" w:hAnsi="Arial" w:cs="Arial"/>
        </w:rPr>
        <w:t xml:space="preserve"> to reach new audiences. The platform has expanded rapidly into international markets and offers localised content in different languages to appeal to regional viewers. Similar to other major streaming services, Disney+ invests in local productions to increase subscriber engagement and strengthen its presence in emerging markets. According to </w:t>
      </w:r>
      <w:r w:rsidRPr="0087436F">
        <w:rPr>
          <w:rStyle w:val="whitespace-normal"/>
          <w:rFonts w:ascii="Arial" w:eastAsiaTheme="majorEastAsia" w:hAnsi="Arial" w:cs="Arial"/>
        </w:rPr>
        <w:t>Statista</w:t>
      </w:r>
      <w:r w:rsidRPr="0087436F">
        <w:rPr>
          <w:rFonts w:ascii="Arial" w:hAnsi="Arial" w:cs="Arial"/>
        </w:rPr>
        <w:t xml:space="preserve"> (2024), the global streaming industry continues to grow as companies expand into international markets and develop region-specific content.</w:t>
      </w:r>
    </w:p>
    <w:p w14:paraId="32098CCC" w14:textId="77777777" w:rsidR="00833EDD" w:rsidRPr="0087436F" w:rsidRDefault="00833EDD" w:rsidP="0087436F">
      <w:pPr>
        <w:pStyle w:val="NormalWeb"/>
        <w:spacing w:line="360" w:lineRule="auto"/>
        <w:rPr>
          <w:rFonts w:ascii="Arial" w:hAnsi="Arial" w:cs="Arial"/>
        </w:rPr>
      </w:pPr>
      <w:r w:rsidRPr="0087436F">
        <w:rPr>
          <w:rFonts w:ascii="Arial" w:hAnsi="Arial" w:cs="Arial"/>
        </w:rPr>
        <w:t xml:space="preserve">Overall, the strategic approach of Disney+ demonstrates how a follower organisation can successfully compete with an established pioneer in the market. By leveraging </w:t>
      </w:r>
      <w:r w:rsidRPr="0087436F">
        <w:rPr>
          <w:rFonts w:ascii="Arial" w:hAnsi="Arial" w:cs="Arial"/>
        </w:rPr>
        <w:lastRenderedPageBreak/>
        <w:t>strong intellectual property, adopting bundling strategies, and expanding globally, Disney+ has positioned itself as one of the main competitors in the global streaming industry alongside Netflix.</w:t>
      </w:r>
    </w:p>
    <w:p w14:paraId="1179D1D0" w14:textId="77777777" w:rsidR="00833EDD" w:rsidRPr="0087436F" w:rsidRDefault="00833EDD" w:rsidP="0087436F">
      <w:pPr>
        <w:pStyle w:val="Heading2"/>
        <w:spacing w:line="360" w:lineRule="auto"/>
        <w:rPr>
          <w:rStyle w:val="Heading1Char"/>
          <w:rFonts w:ascii="Arial" w:hAnsi="Arial" w:cs="Arial"/>
        </w:rPr>
      </w:pPr>
      <w:bookmarkStart w:id="7" w:name="_Toc224149901"/>
      <w:r w:rsidRPr="0087436F">
        <w:rPr>
          <w:rFonts w:ascii="Arial" w:hAnsi="Arial" w:cs="Arial"/>
        </w:rPr>
        <w:t xml:space="preserve">4. </w:t>
      </w:r>
      <w:r w:rsidRPr="0087436F">
        <w:rPr>
          <w:rStyle w:val="Heading1Char"/>
          <w:rFonts w:ascii="Arial" w:hAnsi="Arial" w:cs="Arial"/>
        </w:rPr>
        <w:t>Conclusion</w:t>
      </w:r>
      <w:bookmarkEnd w:id="7"/>
    </w:p>
    <w:p w14:paraId="0972CD9E" w14:textId="77777777" w:rsidR="00833EDD" w:rsidRPr="0087436F" w:rsidRDefault="00833EDD" w:rsidP="0087436F">
      <w:pPr>
        <w:pStyle w:val="NormalWeb"/>
        <w:spacing w:line="360" w:lineRule="auto"/>
        <w:rPr>
          <w:rFonts w:ascii="Arial" w:hAnsi="Arial" w:cs="Arial"/>
        </w:rPr>
      </w:pPr>
      <w:r w:rsidRPr="0087436F">
        <w:rPr>
          <w:rFonts w:ascii="Arial" w:hAnsi="Arial" w:cs="Arial"/>
        </w:rPr>
        <w:t xml:space="preserve">The analysis of the macro marketing environment highlights the significant impact that external factors have on organisations operating in the global streaming industry. Macro-environmental forces such as technological developments and economic conditions influence how companies design their strategies, compete in the market, and respond to changing consumer demands. According to </w:t>
      </w:r>
      <w:r w:rsidRPr="0087436F">
        <w:rPr>
          <w:rStyle w:val="whitespace-normal"/>
          <w:rFonts w:ascii="Arial" w:eastAsiaTheme="majorEastAsia" w:hAnsi="Arial" w:cs="Arial"/>
        </w:rPr>
        <w:t>Philip Kotler</w:t>
      </w:r>
      <w:r w:rsidRPr="0087436F">
        <w:rPr>
          <w:rFonts w:ascii="Arial" w:hAnsi="Arial" w:cs="Arial"/>
        </w:rPr>
        <w:t xml:space="preserve"> and </w:t>
      </w:r>
      <w:r w:rsidRPr="0087436F">
        <w:rPr>
          <w:rStyle w:val="whitespace-normal"/>
          <w:rFonts w:ascii="Arial" w:eastAsiaTheme="majorEastAsia" w:hAnsi="Arial" w:cs="Arial"/>
        </w:rPr>
        <w:t>Kevin Lane Keller</w:t>
      </w:r>
      <w:r w:rsidRPr="0087436F">
        <w:rPr>
          <w:rFonts w:ascii="Arial" w:hAnsi="Arial" w:cs="Arial"/>
        </w:rPr>
        <w:t xml:space="preserve"> (2016), organisations must continuously evaluate their external environment in order to identify opportunities and threats that may affect their long-term competitiveness.</w:t>
      </w:r>
    </w:p>
    <w:p w14:paraId="1446CA98" w14:textId="77777777" w:rsidR="00833EDD" w:rsidRPr="0087436F" w:rsidRDefault="00833EDD" w:rsidP="0087436F">
      <w:pPr>
        <w:pStyle w:val="NormalWeb"/>
        <w:spacing w:line="360" w:lineRule="auto"/>
        <w:rPr>
          <w:rFonts w:ascii="Arial" w:hAnsi="Arial" w:cs="Arial"/>
        </w:rPr>
      </w:pPr>
      <w:r w:rsidRPr="0087436F">
        <w:rPr>
          <w:rFonts w:ascii="Arial" w:hAnsi="Arial" w:cs="Arial"/>
        </w:rPr>
        <w:t xml:space="preserve">The pioneer organisation </w:t>
      </w:r>
      <w:r w:rsidRPr="0087436F">
        <w:rPr>
          <w:rStyle w:val="whitespace-normal"/>
          <w:rFonts w:ascii="Arial" w:eastAsiaTheme="majorEastAsia" w:hAnsi="Arial" w:cs="Arial"/>
        </w:rPr>
        <w:t>Netflix</w:t>
      </w:r>
      <w:r w:rsidRPr="0087436F">
        <w:rPr>
          <w:rFonts w:ascii="Arial" w:hAnsi="Arial" w:cs="Arial"/>
        </w:rPr>
        <w:t xml:space="preserve"> has been highly successful in leveraging technological advancements and adopting innovative strategies to maintain its leadership position in the streaming market. Through its strong investment in original content, advanced data analytics, and global expansion strategies, Netflix has created a differentiated service that attracts and retains millions of subscribers worldwide. These strategic capabilities allow Netflix to respond effectively to technological changes and evolving consumer preferences within the digital entertainment industry.</w:t>
      </w:r>
    </w:p>
    <w:p w14:paraId="7AD6D26D" w14:textId="77777777" w:rsidR="00833EDD" w:rsidRPr="0087436F" w:rsidRDefault="00833EDD" w:rsidP="0087436F">
      <w:pPr>
        <w:pStyle w:val="NormalWeb"/>
        <w:spacing w:line="360" w:lineRule="auto"/>
        <w:rPr>
          <w:rFonts w:ascii="Arial" w:hAnsi="Arial" w:cs="Arial"/>
        </w:rPr>
      </w:pPr>
      <w:r w:rsidRPr="0087436F">
        <w:rPr>
          <w:rFonts w:ascii="Arial" w:hAnsi="Arial" w:cs="Arial"/>
        </w:rPr>
        <w:t xml:space="preserve">On the other hand, the follower organisation </w:t>
      </w:r>
      <w:r w:rsidRPr="0087436F">
        <w:rPr>
          <w:rStyle w:val="whitespace-normal"/>
          <w:rFonts w:ascii="Arial" w:eastAsiaTheme="majorEastAsia" w:hAnsi="Arial" w:cs="Arial"/>
        </w:rPr>
        <w:t>Disney+</w:t>
      </w:r>
      <w:r w:rsidRPr="0087436F">
        <w:rPr>
          <w:rFonts w:ascii="Arial" w:hAnsi="Arial" w:cs="Arial"/>
        </w:rPr>
        <w:t xml:space="preserve"> has demonstrated how late entrants can successfully compete with pioneers by leveraging existing brand strength and valuable intellectual property. Supported by </w:t>
      </w:r>
      <w:r w:rsidRPr="0087436F">
        <w:rPr>
          <w:rStyle w:val="whitespace-normal"/>
          <w:rFonts w:ascii="Arial" w:eastAsiaTheme="majorEastAsia" w:hAnsi="Arial" w:cs="Arial"/>
        </w:rPr>
        <w:t>The Walt Disney Company</w:t>
      </w:r>
      <w:r w:rsidRPr="0087436F">
        <w:rPr>
          <w:rFonts w:ascii="Arial" w:hAnsi="Arial" w:cs="Arial"/>
        </w:rPr>
        <w:t>, Disney+ has utilised its globally recognised franchises and strategic bundling approaches to attract a large subscriber base and strengthen its market position.</w:t>
      </w:r>
    </w:p>
    <w:p w14:paraId="63806D86" w14:textId="4CFD8E14" w:rsidR="00BA7705" w:rsidRPr="0087436F" w:rsidRDefault="00833EDD" w:rsidP="0087436F">
      <w:pPr>
        <w:pStyle w:val="NormalWeb"/>
        <w:spacing w:line="360" w:lineRule="auto"/>
        <w:rPr>
          <w:rFonts w:ascii="Arial" w:hAnsi="Arial" w:cs="Arial"/>
        </w:rPr>
      </w:pPr>
      <w:r w:rsidRPr="0087436F">
        <w:rPr>
          <w:rFonts w:ascii="Arial" w:hAnsi="Arial" w:cs="Arial"/>
        </w:rPr>
        <w:t>Overall, the analysis demonstrates that both Netflix and Disney+ operate within a highly dynamic and competitive macro environment. Technological innovation and economic conditions continue to shape the development of the streaming industry. Therefore, companies must adopt flexible and innovative strategies to remain competitive and sustain growth in the rapidly evolving digital entertainment market.</w:t>
      </w:r>
    </w:p>
    <w:p w14:paraId="640C8CC9" w14:textId="77777777" w:rsidR="00833EDD" w:rsidRPr="0087436F" w:rsidRDefault="00833EDD" w:rsidP="0087436F">
      <w:pPr>
        <w:pStyle w:val="NormalWeb"/>
        <w:spacing w:line="360" w:lineRule="auto"/>
        <w:rPr>
          <w:rFonts w:ascii="Arial" w:hAnsi="Arial" w:cs="Arial"/>
        </w:rPr>
      </w:pPr>
    </w:p>
    <w:p w14:paraId="55385ECD" w14:textId="7B5A6A73" w:rsidR="00833EDD" w:rsidRPr="0087436F" w:rsidRDefault="00833EDD" w:rsidP="0087436F">
      <w:pPr>
        <w:pStyle w:val="Heading1"/>
        <w:spacing w:line="360" w:lineRule="auto"/>
        <w:rPr>
          <w:rFonts w:ascii="Arial" w:hAnsi="Arial" w:cs="Arial"/>
        </w:rPr>
      </w:pPr>
      <w:bookmarkStart w:id="8" w:name="_Toc224149902"/>
      <w:r w:rsidRPr="0087436F">
        <w:rPr>
          <w:rFonts w:ascii="Arial" w:hAnsi="Arial" w:cs="Arial"/>
        </w:rPr>
        <w:t>References</w:t>
      </w:r>
      <w:bookmarkEnd w:id="8"/>
    </w:p>
    <w:p w14:paraId="6E99D1EF"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Kotler, P. &amp; Keller, K. (2016) </w:t>
      </w:r>
      <w:r w:rsidRPr="0087436F">
        <w:rPr>
          <w:rStyle w:val="Emphasis"/>
          <w:rFonts w:ascii="Arial" w:hAnsi="Arial" w:cs="Arial"/>
        </w:rPr>
        <w:t>Marketing Management</w:t>
      </w:r>
      <w:r w:rsidRPr="0087436F">
        <w:rPr>
          <w:rFonts w:ascii="Arial" w:hAnsi="Arial" w:cs="Arial"/>
        </w:rPr>
        <w:t xml:space="preserve">. 15th </w:t>
      </w:r>
      <w:proofErr w:type="spellStart"/>
      <w:r w:rsidRPr="0087436F">
        <w:rPr>
          <w:rFonts w:ascii="Arial" w:hAnsi="Arial" w:cs="Arial"/>
        </w:rPr>
        <w:t>edn</w:t>
      </w:r>
      <w:proofErr w:type="spellEnd"/>
      <w:r w:rsidRPr="0087436F">
        <w:rPr>
          <w:rFonts w:ascii="Arial" w:hAnsi="Arial" w:cs="Arial"/>
        </w:rPr>
        <w:t>. Pearson, Harlow.</w:t>
      </w:r>
    </w:p>
    <w:p w14:paraId="1E17BA82"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Porter, M. E. (1985) </w:t>
      </w:r>
      <w:r w:rsidRPr="0087436F">
        <w:rPr>
          <w:rStyle w:val="Emphasis"/>
          <w:rFonts w:ascii="Arial" w:hAnsi="Arial" w:cs="Arial"/>
        </w:rPr>
        <w:t>Competitive Advantage: Creating and Sustaining Superior Performance</w:t>
      </w:r>
      <w:r w:rsidRPr="0087436F">
        <w:rPr>
          <w:rFonts w:ascii="Arial" w:hAnsi="Arial" w:cs="Arial"/>
        </w:rPr>
        <w:t>. Free Press, New York.</w:t>
      </w:r>
    </w:p>
    <w:p w14:paraId="0F5ACA4C"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Netflix (2023) </w:t>
      </w:r>
      <w:r w:rsidRPr="0087436F">
        <w:rPr>
          <w:rStyle w:val="Emphasis"/>
          <w:rFonts w:ascii="Arial" w:hAnsi="Arial" w:cs="Arial"/>
        </w:rPr>
        <w:t>Annual Report 2023</w:t>
      </w:r>
      <w:r w:rsidRPr="0087436F">
        <w:rPr>
          <w:rFonts w:ascii="Arial" w:hAnsi="Arial" w:cs="Arial"/>
        </w:rPr>
        <w:t xml:space="preserve">. Available at: </w:t>
      </w:r>
      <w:hyperlink r:id="rId9" w:tgtFrame="_new" w:history="1">
        <w:r w:rsidRPr="0087436F">
          <w:rPr>
            <w:rStyle w:val="Hyperlink"/>
            <w:rFonts w:ascii="Arial" w:eastAsiaTheme="majorEastAsia" w:hAnsi="Arial" w:cs="Arial"/>
          </w:rPr>
          <w:t>https://www.netflixinvestor.com</w:t>
        </w:r>
      </w:hyperlink>
      <w:r w:rsidRPr="0087436F">
        <w:rPr>
          <w:rFonts w:ascii="Arial" w:hAnsi="Arial" w:cs="Arial"/>
        </w:rPr>
        <w:t xml:space="preserve"> (Accessed: 11 March 2026).</w:t>
      </w:r>
    </w:p>
    <w:p w14:paraId="290F7A83"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The Walt Disney Company (2023) </w:t>
      </w:r>
      <w:r w:rsidRPr="0087436F">
        <w:rPr>
          <w:rStyle w:val="Emphasis"/>
          <w:rFonts w:ascii="Arial" w:hAnsi="Arial" w:cs="Arial"/>
        </w:rPr>
        <w:t>Annual Report 2023</w:t>
      </w:r>
      <w:r w:rsidRPr="0087436F">
        <w:rPr>
          <w:rFonts w:ascii="Arial" w:hAnsi="Arial" w:cs="Arial"/>
        </w:rPr>
        <w:t>. Available at: https://www.thewaltdisneycompany.com/investor-relations/ (Accessed: 11 March 2026).</w:t>
      </w:r>
    </w:p>
    <w:p w14:paraId="51DBB035"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Statista (2024) </w:t>
      </w:r>
      <w:r w:rsidRPr="0087436F">
        <w:rPr>
          <w:rStyle w:val="Emphasis"/>
          <w:rFonts w:ascii="Arial" w:hAnsi="Arial" w:cs="Arial"/>
        </w:rPr>
        <w:t>Video Streaming Market Worldwide</w:t>
      </w:r>
      <w:r w:rsidRPr="0087436F">
        <w:rPr>
          <w:rFonts w:ascii="Arial" w:hAnsi="Arial" w:cs="Arial"/>
        </w:rPr>
        <w:t xml:space="preserve">. Available at: </w:t>
      </w:r>
      <w:hyperlink r:id="rId10" w:tgtFrame="_new" w:history="1">
        <w:r w:rsidRPr="0087436F">
          <w:rPr>
            <w:rStyle w:val="Hyperlink"/>
            <w:rFonts w:ascii="Arial" w:eastAsiaTheme="majorEastAsia" w:hAnsi="Arial" w:cs="Arial"/>
          </w:rPr>
          <w:t>https://www.statista.com</w:t>
        </w:r>
      </w:hyperlink>
      <w:r w:rsidRPr="0087436F">
        <w:rPr>
          <w:rFonts w:ascii="Arial" w:hAnsi="Arial" w:cs="Arial"/>
        </w:rPr>
        <w:t xml:space="preserve"> (Accessed: 11 March 2026).</w:t>
      </w:r>
    </w:p>
    <w:p w14:paraId="7403B911"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Deloitte (2023) </w:t>
      </w:r>
      <w:r w:rsidRPr="0087436F">
        <w:rPr>
          <w:rStyle w:val="Emphasis"/>
          <w:rFonts w:ascii="Arial" w:hAnsi="Arial" w:cs="Arial"/>
        </w:rPr>
        <w:t>Digital Media Trends Survey 2023</w:t>
      </w:r>
      <w:r w:rsidRPr="0087436F">
        <w:rPr>
          <w:rFonts w:ascii="Arial" w:hAnsi="Arial" w:cs="Arial"/>
        </w:rPr>
        <w:t xml:space="preserve">. Deloitte Insights. Available at: </w:t>
      </w:r>
      <w:hyperlink r:id="rId11" w:tgtFrame="_new" w:history="1">
        <w:r w:rsidRPr="0087436F">
          <w:rPr>
            <w:rStyle w:val="Hyperlink"/>
            <w:rFonts w:ascii="Arial" w:eastAsiaTheme="majorEastAsia" w:hAnsi="Arial" w:cs="Arial"/>
          </w:rPr>
          <w:t>https://www2.deloitte.com</w:t>
        </w:r>
      </w:hyperlink>
      <w:r w:rsidRPr="0087436F">
        <w:rPr>
          <w:rFonts w:ascii="Arial" w:hAnsi="Arial" w:cs="Arial"/>
        </w:rPr>
        <w:t xml:space="preserve"> (Accessed: 11 March 2026).</w:t>
      </w:r>
    </w:p>
    <w:p w14:paraId="4DDFBCE2"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IMF – International Monetary Fund (2023) </w:t>
      </w:r>
      <w:r w:rsidRPr="0087436F">
        <w:rPr>
          <w:rStyle w:val="Emphasis"/>
          <w:rFonts w:ascii="Arial" w:hAnsi="Arial" w:cs="Arial"/>
        </w:rPr>
        <w:t>World Economic Outlook</w:t>
      </w:r>
      <w:r w:rsidRPr="0087436F">
        <w:rPr>
          <w:rFonts w:ascii="Arial" w:hAnsi="Arial" w:cs="Arial"/>
        </w:rPr>
        <w:t xml:space="preserve">. Available at: </w:t>
      </w:r>
      <w:hyperlink r:id="rId12" w:tgtFrame="_new" w:history="1">
        <w:r w:rsidRPr="0087436F">
          <w:rPr>
            <w:rStyle w:val="Hyperlink"/>
            <w:rFonts w:ascii="Arial" w:eastAsiaTheme="majorEastAsia" w:hAnsi="Arial" w:cs="Arial"/>
          </w:rPr>
          <w:t>https://www.imf.org</w:t>
        </w:r>
      </w:hyperlink>
      <w:r w:rsidRPr="0087436F">
        <w:rPr>
          <w:rFonts w:ascii="Arial" w:hAnsi="Arial" w:cs="Arial"/>
        </w:rPr>
        <w:t xml:space="preserve"> (Accessed: 11 March 2026).</w:t>
      </w:r>
    </w:p>
    <w:p w14:paraId="1B5DFFBF"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Johnson, G., Scholes, K. &amp; Whittington, R. (2017) </w:t>
      </w:r>
      <w:r w:rsidRPr="0087436F">
        <w:rPr>
          <w:rStyle w:val="Emphasis"/>
          <w:rFonts w:ascii="Arial" w:hAnsi="Arial" w:cs="Arial"/>
        </w:rPr>
        <w:t>Exploring Strategy: Text and Cases</w:t>
      </w:r>
      <w:r w:rsidRPr="0087436F">
        <w:rPr>
          <w:rFonts w:ascii="Arial" w:hAnsi="Arial" w:cs="Arial"/>
        </w:rPr>
        <w:t xml:space="preserve">. 11th </w:t>
      </w:r>
      <w:proofErr w:type="spellStart"/>
      <w:r w:rsidRPr="0087436F">
        <w:rPr>
          <w:rFonts w:ascii="Arial" w:hAnsi="Arial" w:cs="Arial"/>
        </w:rPr>
        <w:t>edn</w:t>
      </w:r>
      <w:proofErr w:type="spellEnd"/>
      <w:r w:rsidRPr="0087436F">
        <w:rPr>
          <w:rFonts w:ascii="Arial" w:hAnsi="Arial" w:cs="Arial"/>
        </w:rPr>
        <w:t>. Pearson, Harlow.</w:t>
      </w:r>
    </w:p>
    <w:p w14:paraId="00290D78"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Arora, S. &amp; Rahman, Z. (2021) ‘Streaming services and consumer behaviour: a global perspective’, </w:t>
      </w:r>
      <w:r w:rsidRPr="0087436F">
        <w:rPr>
          <w:rStyle w:val="Emphasis"/>
          <w:rFonts w:ascii="Arial" w:hAnsi="Arial" w:cs="Arial"/>
        </w:rPr>
        <w:t>Journal of Media Economics</w:t>
      </w:r>
      <w:r w:rsidRPr="0087436F">
        <w:rPr>
          <w:rFonts w:ascii="Arial" w:hAnsi="Arial" w:cs="Arial"/>
        </w:rPr>
        <w:t>, 34(2), pp. 87–101.</w:t>
      </w:r>
    </w:p>
    <w:p w14:paraId="41F66838"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Smith, J. &amp; Chen, L. (2020) ‘Technological innovation in digital streaming’, </w:t>
      </w:r>
      <w:r w:rsidRPr="0087436F">
        <w:rPr>
          <w:rStyle w:val="Emphasis"/>
          <w:rFonts w:ascii="Arial" w:hAnsi="Arial" w:cs="Arial"/>
        </w:rPr>
        <w:t>International Journal of Digital Media</w:t>
      </w:r>
      <w:r w:rsidRPr="0087436F">
        <w:rPr>
          <w:rFonts w:ascii="Arial" w:hAnsi="Arial" w:cs="Arial"/>
        </w:rPr>
        <w:t>, 12(3), pp. 45–62.</w:t>
      </w:r>
    </w:p>
    <w:p w14:paraId="25090BF5"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Deloitte (2022) </w:t>
      </w:r>
      <w:r w:rsidRPr="0087436F">
        <w:rPr>
          <w:rStyle w:val="Emphasis"/>
          <w:rFonts w:ascii="Arial" w:hAnsi="Arial" w:cs="Arial"/>
        </w:rPr>
        <w:t>Global Media Trends Report</w:t>
      </w:r>
      <w:r w:rsidRPr="0087436F">
        <w:rPr>
          <w:rFonts w:ascii="Arial" w:hAnsi="Arial" w:cs="Arial"/>
        </w:rPr>
        <w:t xml:space="preserve">. Available at: </w:t>
      </w:r>
      <w:hyperlink r:id="rId13" w:tgtFrame="_new" w:history="1">
        <w:r w:rsidRPr="0087436F">
          <w:rPr>
            <w:rStyle w:val="Hyperlink"/>
            <w:rFonts w:ascii="Arial" w:eastAsiaTheme="majorEastAsia" w:hAnsi="Arial" w:cs="Arial"/>
          </w:rPr>
          <w:t>https://www2.deloitte.com</w:t>
        </w:r>
      </w:hyperlink>
      <w:r w:rsidRPr="0087436F">
        <w:rPr>
          <w:rFonts w:ascii="Arial" w:hAnsi="Arial" w:cs="Arial"/>
        </w:rPr>
        <w:t xml:space="preserve"> (Accessed: 11 March 2026).</w:t>
      </w:r>
    </w:p>
    <w:p w14:paraId="671C6F2C"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Lee, K. &amp; Park, H. (2021) ‘Economic impact on subscription-based entertainment platforms’, </w:t>
      </w:r>
      <w:r w:rsidRPr="0087436F">
        <w:rPr>
          <w:rStyle w:val="Emphasis"/>
          <w:rFonts w:ascii="Arial" w:hAnsi="Arial" w:cs="Arial"/>
        </w:rPr>
        <w:t>Journal of Business Research</w:t>
      </w:r>
      <w:r w:rsidRPr="0087436F">
        <w:rPr>
          <w:rFonts w:ascii="Arial" w:hAnsi="Arial" w:cs="Arial"/>
        </w:rPr>
        <w:t>, 125, pp. 302–311.</w:t>
      </w:r>
    </w:p>
    <w:p w14:paraId="48E1DB87"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PwC (2023) </w:t>
      </w:r>
      <w:r w:rsidRPr="0087436F">
        <w:rPr>
          <w:rStyle w:val="Emphasis"/>
          <w:rFonts w:ascii="Arial" w:hAnsi="Arial" w:cs="Arial"/>
        </w:rPr>
        <w:t>Global Entertainment &amp; Media Outlook 2023–2027</w:t>
      </w:r>
      <w:r w:rsidRPr="0087436F">
        <w:rPr>
          <w:rFonts w:ascii="Arial" w:hAnsi="Arial" w:cs="Arial"/>
        </w:rPr>
        <w:t xml:space="preserve">. Available at: </w:t>
      </w:r>
      <w:hyperlink r:id="rId14" w:tgtFrame="_new" w:history="1">
        <w:r w:rsidRPr="0087436F">
          <w:rPr>
            <w:rStyle w:val="Hyperlink"/>
            <w:rFonts w:ascii="Arial" w:eastAsiaTheme="majorEastAsia" w:hAnsi="Arial" w:cs="Arial"/>
          </w:rPr>
          <w:t>https://www.pwc.com</w:t>
        </w:r>
      </w:hyperlink>
      <w:r w:rsidRPr="0087436F">
        <w:rPr>
          <w:rFonts w:ascii="Arial" w:hAnsi="Arial" w:cs="Arial"/>
        </w:rPr>
        <w:t xml:space="preserve"> (Accessed: 11 March 2026).</w:t>
      </w:r>
    </w:p>
    <w:p w14:paraId="1BAF9D24"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Chen, M. &amp; Zhang, Y. (2020) ‘Data-driven strategies in video streaming services’, </w:t>
      </w:r>
      <w:r w:rsidRPr="0087436F">
        <w:rPr>
          <w:rStyle w:val="Emphasis"/>
          <w:rFonts w:ascii="Arial" w:hAnsi="Arial" w:cs="Arial"/>
        </w:rPr>
        <w:t>Journal of Marketing Analytics</w:t>
      </w:r>
      <w:r w:rsidRPr="0087436F">
        <w:rPr>
          <w:rFonts w:ascii="Arial" w:hAnsi="Arial" w:cs="Arial"/>
        </w:rPr>
        <w:t>, 8(4), pp. 215–230.</w:t>
      </w:r>
    </w:p>
    <w:p w14:paraId="3B2C326A"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lastRenderedPageBreak/>
        <w:t xml:space="preserve">Statista (2023) </w:t>
      </w:r>
      <w:r w:rsidRPr="0087436F">
        <w:rPr>
          <w:rStyle w:val="Emphasis"/>
          <w:rFonts w:ascii="Arial" w:hAnsi="Arial" w:cs="Arial"/>
        </w:rPr>
        <w:t>Netflix: Global Subscribers by Region</w:t>
      </w:r>
      <w:r w:rsidRPr="0087436F">
        <w:rPr>
          <w:rFonts w:ascii="Arial" w:hAnsi="Arial" w:cs="Arial"/>
        </w:rPr>
        <w:t xml:space="preserve">. Available at: </w:t>
      </w:r>
      <w:hyperlink r:id="rId15" w:tgtFrame="_new" w:history="1">
        <w:r w:rsidRPr="0087436F">
          <w:rPr>
            <w:rStyle w:val="Hyperlink"/>
            <w:rFonts w:ascii="Arial" w:eastAsiaTheme="majorEastAsia" w:hAnsi="Arial" w:cs="Arial"/>
          </w:rPr>
          <w:t>https://www.statista.com</w:t>
        </w:r>
      </w:hyperlink>
      <w:r w:rsidRPr="0087436F">
        <w:rPr>
          <w:rFonts w:ascii="Arial" w:hAnsi="Arial" w:cs="Arial"/>
        </w:rPr>
        <w:t xml:space="preserve"> (Accessed: 11 March 2026).</w:t>
      </w:r>
    </w:p>
    <w:p w14:paraId="2996D929"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Disney+ (2023) </w:t>
      </w:r>
      <w:r w:rsidRPr="0087436F">
        <w:rPr>
          <w:rStyle w:val="Emphasis"/>
          <w:rFonts w:ascii="Arial" w:hAnsi="Arial" w:cs="Arial"/>
        </w:rPr>
        <w:t>Disney+ Platform Overview</w:t>
      </w:r>
      <w:r w:rsidRPr="0087436F">
        <w:rPr>
          <w:rFonts w:ascii="Arial" w:hAnsi="Arial" w:cs="Arial"/>
        </w:rPr>
        <w:t xml:space="preserve">. Available at: </w:t>
      </w:r>
      <w:hyperlink r:id="rId16" w:tgtFrame="_new" w:history="1">
        <w:r w:rsidRPr="0087436F">
          <w:rPr>
            <w:rStyle w:val="Hyperlink"/>
            <w:rFonts w:ascii="Arial" w:eastAsiaTheme="majorEastAsia" w:hAnsi="Arial" w:cs="Arial"/>
          </w:rPr>
          <w:t>https://www.disneyplus.com</w:t>
        </w:r>
      </w:hyperlink>
      <w:r w:rsidRPr="0087436F">
        <w:rPr>
          <w:rFonts w:ascii="Arial" w:hAnsi="Arial" w:cs="Arial"/>
        </w:rPr>
        <w:t xml:space="preserve"> (Accessed: 11 March 2026).</w:t>
      </w:r>
    </w:p>
    <w:p w14:paraId="1B15CCC5"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Smith, A. (2022) ‘Competition and strategic responses in the streaming industry’, </w:t>
      </w:r>
      <w:r w:rsidRPr="0087436F">
        <w:rPr>
          <w:rStyle w:val="Emphasis"/>
          <w:rFonts w:ascii="Arial" w:hAnsi="Arial" w:cs="Arial"/>
        </w:rPr>
        <w:t>Strategic Management Journal</w:t>
      </w:r>
      <w:r w:rsidRPr="0087436F">
        <w:rPr>
          <w:rFonts w:ascii="Arial" w:hAnsi="Arial" w:cs="Arial"/>
        </w:rPr>
        <w:t>, 43(6), pp. 1120–1135.</w:t>
      </w:r>
    </w:p>
    <w:p w14:paraId="2E5D50FF"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KPMG (2023) </w:t>
      </w:r>
      <w:r w:rsidRPr="0087436F">
        <w:rPr>
          <w:rStyle w:val="Emphasis"/>
          <w:rFonts w:ascii="Arial" w:hAnsi="Arial" w:cs="Arial"/>
        </w:rPr>
        <w:t>Global Media &amp; Entertainment Trends</w:t>
      </w:r>
      <w:r w:rsidRPr="0087436F">
        <w:rPr>
          <w:rFonts w:ascii="Arial" w:hAnsi="Arial" w:cs="Arial"/>
        </w:rPr>
        <w:t xml:space="preserve">. Available at: </w:t>
      </w:r>
      <w:hyperlink r:id="rId17" w:tgtFrame="_new" w:history="1">
        <w:r w:rsidRPr="0087436F">
          <w:rPr>
            <w:rStyle w:val="Hyperlink"/>
            <w:rFonts w:ascii="Arial" w:eastAsiaTheme="majorEastAsia" w:hAnsi="Arial" w:cs="Arial"/>
          </w:rPr>
          <w:t>https://home.kpmg.com</w:t>
        </w:r>
      </w:hyperlink>
      <w:r w:rsidRPr="0087436F">
        <w:rPr>
          <w:rFonts w:ascii="Arial" w:hAnsi="Arial" w:cs="Arial"/>
        </w:rPr>
        <w:t xml:space="preserve"> (Accessed: 11 March 2026).</w:t>
      </w:r>
    </w:p>
    <w:p w14:paraId="4CF91FA7" w14:textId="77777777" w:rsidR="00833EDD" w:rsidRPr="0087436F" w:rsidRDefault="00833EDD" w:rsidP="0087436F">
      <w:pPr>
        <w:pStyle w:val="NormalWeb"/>
        <w:numPr>
          <w:ilvl w:val="0"/>
          <w:numId w:val="1"/>
        </w:numPr>
        <w:spacing w:line="360" w:lineRule="auto"/>
        <w:rPr>
          <w:rFonts w:ascii="Arial" w:hAnsi="Arial" w:cs="Arial"/>
        </w:rPr>
      </w:pPr>
      <w:proofErr w:type="spellStart"/>
      <w:r w:rsidRPr="0087436F">
        <w:rPr>
          <w:rFonts w:ascii="Arial" w:hAnsi="Arial" w:cs="Arial"/>
        </w:rPr>
        <w:t>Arditi</w:t>
      </w:r>
      <w:proofErr w:type="spellEnd"/>
      <w:r w:rsidRPr="0087436F">
        <w:rPr>
          <w:rFonts w:ascii="Arial" w:hAnsi="Arial" w:cs="Arial"/>
        </w:rPr>
        <w:t xml:space="preserve">, D. &amp; Ma, Y. (2021) ‘Streaming platforms’ global expansion strategies’, </w:t>
      </w:r>
      <w:r w:rsidRPr="0087436F">
        <w:rPr>
          <w:rStyle w:val="Emphasis"/>
          <w:rFonts w:ascii="Arial" w:hAnsi="Arial" w:cs="Arial"/>
        </w:rPr>
        <w:t>International Journal of Strategic Management</w:t>
      </w:r>
      <w:r w:rsidRPr="0087436F">
        <w:rPr>
          <w:rFonts w:ascii="Arial" w:hAnsi="Arial" w:cs="Arial"/>
        </w:rPr>
        <w:t>, 19(2), pp. 56–73.</w:t>
      </w:r>
    </w:p>
    <w:p w14:paraId="0C401B6B"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Lee, S. &amp; Kim, J. (2022) ‘Original content investment and market competitiveness in streaming’, </w:t>
      </w:r>
      <w:r w:rsidRPr="0087436F">
        <w:rPr>
          <w:rStyle w:val="Emphasis"/>
          <w:rFonts w:ascii="Arial" w:hAnsi="Arial" w:cs="Arial"/>
        </w:rPr>
        <w:t>Entertainment Studies Review</w:t>
      </w:r>
      <w:r w:rsidRPr="0087436F">
        <w:rPr>
          <w:rFonts w:ascii="Arial" w:hAnsi="Arial" w:cs="Arial"/>
        </w:rPr>
        <w:t>, 10(1), pp. 33–49.</w:t>
      </w:r>
    </w:p>
    <w:p w14:paraId="126891DE"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Deloitte (2021) </w:t>
      </w:r>
      <w:r w:rsidRPr="0087436F">
        <w:rPr>
          <w:rStyle w:val="Emphasis"/>
          <w:rFonts w:ascii="Arial" w:hAnsi="Arial" w:cs="Arial"/>
        </w:rPr>
        <w:t>Digital Disruption in Media &amp; Entertainment</w:t>
      </w:r>
      <w:r w:rsidRPr="0087436F">
        <w:rPr>
          <w:rFonts w:ascii="Arial" w:hAnsi="Arial" w:cs="Arial"/>
        </w:rPr>
        <w:t xml:space="preserve">. Available at: </w:t>
      </w:r>
      <w:hyperlink r:id="rId18" w:tgtFrame="_new" w:history="1">
        <w:r w:rsidRPr="0087436F">
          <w:rPr>
            <w:rStyle w:val="Hyperlink"/>
            <w:rFonts w:ascii="Arial" w:eastAsiaTheme="majorEastAsia" w:hAnsi="Arial" w:cs="Arial"/>
          </w:rPr>
          <w:t>https://www2.deloitte.com</w:t>
        </w:r>
      </w:hyperlink>
      <w:r w:rsidRPr="0087436F">
        <w:rPr>
          <w:rFonts w:ascii="Arial" w:hAnsi="Arial" w:cs="Arial"/>
        </w:rPr>
        <w:t xml:space="preserve"> (Accessed: 11 March 2026).</w:t>
      </w:r>
    </w:p>
    <w:p w14:paraId="50B0BBC0"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Statista (2024) </w:t>
      </w:r>
      <w:r w:rsidRPr="0087436F">
        <w:rPr>
          <w:rStyle w:val="Emphasis"/>
          <w:rFonts w:ascii="Arial" w:hAnsi="Arial" w:cs="Arial"/>
        </w:rPr>
        <w:t>Disney+ Subscriber Growth Worldwide</w:t>
      </w:r>
      <w:r w:rsidRPr="0087436F">
        <w:rPr>
          <w:rFonts w:ascii="Arial" w:hAnsi="Arial" w:cs="Arial"/>
        </w:rPr>
        <w:t xml:space="preserve">. Available at: </w:t>
      </w:r>
      <w:hyperlink r:id="rId19" w:tgtFrame="_new" w:history="1">
        <w:r w:rsidRPr="0087436F">
          <w:rPr>
            <w:rStyle w:val="Hyperlink"/>
            <w:rFonts w:ascii="Arial" w:eastAsiaTheme="majorEastAsia" w:hAnsi="Arial" w:cs="Arial"/>
          </w:rPr>
          <w:t>https://www.statista.com</w:t>
        </w:r>
      </w:hyperlink>
      <w:r w:rsidRPr="0087436F">
        <w:rPr>
          <w:rFonts w:ascii="Arial" w:hAnsi="Arial" w:cs="Arial"/>
        </w:rPr>
        <w:t xml:space="preserve"> (Accessed: 11 March 2026).</w:t>
      </w:r>
    </w:p>
    <w:p w14:paraId="271FA73E"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Kotler, P., Armstrong, G. &amp; Cunningham, M. H. (2019) </w:t>
      </w:r>
      <w:r w:rsidRPr="0087436F">
        <w:rPr>
          <w:rStyle w:val="Emphasis"/>
          <w:rFonts w:ascii="Arial" w:hAnsi="Arial" w:cs="Arial"/>
        </w:rPr>
        <w:t>Principles of Marketing</w:t>
      </w:r>
      <w:r w:rsidRPr="0087436F">
        <w:rPr>
          <w:rFonts w:ascii="Arial" w:hAnsi="Arial" w:cs="Arial"/>
        </w:rPr>
        <w:t xml:space="preserve">. 8th </w:t>
      </w:r>
      <w:proofErr w:type="spellStart"/>
      <w:r w:rsidRPr="0087436F">
        <w:rPr>
          <w:rFonts w:ascii="Arial" w:hAnsi="Arial" w:cs="Arial"/>
        </w:rPr>
        <w:t>edn</w:t>
      </w:r>
      <w:proofErr w:type="spellEnd"/>
      <w:r w:rsidRPr="0087436F">
        <w:rPr>
          <w:rFonts w:ascii="Arial" w:hAnsi="Arial" w:cs="Arial"/>
        </w:rPr>
        <w:t>. Pearson, Harlow.</w:t>
      </w:r>
    </w:p>
    <w:p w14:paraId="045FBDFC" w14:textId="77777777" w:rsidR="00833EDD" w:rsidRPr="0087436F" w:rsidRDefault="00833EDD" w:rsidP="0087436F">
      <w:pPr>
        <w:pStyle w:val="NormalWeb"/>
        <w:numPr>
          <w:ilvl w:val="0"/>
          <w:numId w:val="1"/>
        </w:numPr>
        <w:spacing w:line="360" w:lineRule="auto"/>
        <w:rPr>
          <w:rFonts w:ascii="Arial" w:hAnsi="Arial" w:cs="Arial"/>
        </w:rPr>
      </w:pPr>
      <w:r w:rsidRPr="0087436F">
        <w:rPr>
          <w:rFonts w:ascii="Arial" w:hAnsi="Arial" w:cs="Arial"/>
        </w:rPr>
        <w:t xml:space="preserve">PwC (2022) </w:t>
      </w:r>
      <w:r w:rsidRPr="0087436F">
        <w:rPr>
          <w:rStyle w:val="Emphasis"/>
          <w:rFonts w:ascii="Arial" w:hAnsi="Arial" w:cs="Arial"/>
        </w:rPr>
        <w:t>The Rise of Streaming: Market Insights</w:t>
      </w:r>
      <w:r w:rsidRPr="0087436F">
        <w:rPr>
          <w:rFonts w:ascii="Arial" w:hAnsi="Arial" w:cs="Arial"/>
        </w:rPr>
        <w:t xml:space="preserve">. Available at: </w:t>
      </w:r>
      <w:hyperlink r:id="rId20" w:tgtFrame="_new" w:history="1">
        <w:r w:rsidRPr="0087436F">
          <w:rPr>
            <w:rStyle w:val="Hyperlink"/>
            <w:rFonts w:ascii="Arial" w:eastAsiaTheme="majorEastAsia" w:hAnsi="Arial" w:cs="Arial"/>
          </w:rPr>
          <w:t>https://www.pwc.com</w:t>
        </w:r>
      </w:hyperlink>
      <w:r w:rsidRPr="0087436F">
        <w:rPr>
          <w:rFonts w:ascii="Arial" w:hAnsi="Arial" w:cs="Arial"/>
        </w:rPr>
        <w:t xml:space="preserve"> (Accessed: 11 March 2026).</w:t>
      </w:r>
    </w:p>
    <w:p w14:paraId="21C3F718" w14:textId="77777777" w:rsidR="00833EDD" w:rsidRPr="0087436F" w:rsidRDefault="00833EDD" w:rsidP="0087436F">
      <w:pPr>
        <w:pStyle w:val="NormalWeb"/>
        <w:spacing w:line="360" w:lineRule="auto"/>
        <w:rPr>
          <w:rFonts w:ascii="Arial" w:hAnsi="Arial" w:cs="Arial"/>
        </w:rPr>
      </w:pPr>
    </w:p>
    <w:sectPr w:rsidR="00833EDD" w:rsidRPr="0087436F">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79BBC" w14:textId="77777777" w:rsidR="006B0068" w:rsidRDefault="006B0068" w:rsidP="0087436F">
      <w:pPr>
        <w:spacing w:after="0" w:line="240" w:lineRule="auto"/>
      </w:pPr>
      <w:r>
        <w:separator/>
      </w:r>
    </w:p>
  </w:endnote>
  <w:endnote w:type="continuationSeparator" w:id="0">
    <w:p w14:paraId="49F6B764" w14:textId="77777777" w:rsidR="006B0068" w:rsidRDefault="006B0068" w:rsidP="008743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Latha">
    <w:panose1 w:val="02000400000000000000"/>
    <w:charset w:val="00"/>
    <w:family w:val="swiss"/>
    <w:pitch w:val="variable"/>
    <w:sig w:usb0="001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9192922"/>
      <w:docPartObj>
        <w:docPartGallery w:val="Page Numbers (Bottom of Page)"/>
        <w:docPartUnique/>
      </w:docPartObj>
    </w:sdtPr>
    <w:sdtEndPr>
      <w:rPr>
        <w:noProof/>
      </w:rPr>
    </w:sdtEndPr>
    <w:sdtContent>
      <w:p w14:paraId="24C8C6E5" w14:textId="267C9DB7" w:rsidR="0087436F" w:rsidRDefault="008743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B6800C" w14:textId="77777777" w:rsidR="0087436F" w:rsidRDefault="008743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B64B3" w14:textId="77777777" w:rsidR="006B0068" w:rsidRDefault="006B0068" w:rsidP="0087436F">
      <w:pPr>
        <w:spacing w:after="0" w:line="240" w:lineRule="auto"/>
      </w:pPr>
      <w:r>
        <w:separator/>
      </w:r>
    </w:p>
  </w:footnote>
  <w:footnote w:type="continuationSeparator" w:id="0">
    <w:p w14:paraId="390D8E68" w14:textId="77777777" w:rsidR="006B0068" w:rsidRDefault="006B0068" w:rsidP="008743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3509A"/>
    <w:multiLevelType w:val="hybridMultilevel"/>
    <w:tmpl w:val="26BEBF3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1C97CED"/>
    <w:multiLevelType w:val="multilevel"/>
    <w:tmpl w:val="E0CC75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580B10"/>
    <w:multiLevelType w:val="hybridMultilevel"/>
    <w:tmpl w:val="39200D2A"/>
    <w:lvl w:ilvl="0" w:tplc="5410859C">
      <w:start w:val="1"/>
      <w:numFmt w:val="decimal"/>
      <w:lvlText w:val="%1."/>
      <w:lvlJc w:val="left"/>
      <w:pPr>
        <w:ind w:left="720" w:hanging="360"/>
      </w:pPr>
      <w:rPr>
        <w:rFonts w:eastAsiaTheme="minorHAnsi"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46598612">
    <w:abstractNumId w:val="1"/>
  </w:num>
  <w:num w:numId="2" w16cid:durableId="1129399000">
    <w:abstractNumId w:val="2"/>
  </w:num>
  <w:num w:numId="3" w16cid:durableId="11006414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EDD"/>
    <w:rsid w:val="000C0010"/>
    <w:rsid w:val="003338CB"/>
    <w:rsid w:val="006B0068"/>
    <w:rsid w:val="00702FA6"/>
    <w:rsid w:val="00833EDD"/>
    <w:rsid w:val="00874049"/>
    <w:rsid w:val="0087436F"/>
    <w:rsid w:val="00A21D70"/>
    <w:rsid w:val="00BA7705"/>
    <w:rsid w:val="00C53E68"/>
    <w:rsid w:val="00EF698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3C38E"/>
  <w15:chartTrackingRefBased/>
  <w15:docId w15:val="{A705BD80-A996-4237-95F4-02EA18EAC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Latha"/>
    </w:rPr>
  </w:style>
  <w:style w:type="paragraph" w:styleId="Heading1">
    <w:name w:val="heading 1"/>
    <w:basedOn w:val="Normal"/>
    <w:next w:val="Normal"/>
    <w:link w:val="Heading1Char"/>
    <w:uiPriority w:val="9"/>
    <w:qFormat/>
    <w:rsid w:val="00702FA6"/>
    <w:pPr>
      <w:keepNext/>
      <w:keepLines/>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link w:val="Heading2Char"/>
    <w:uiPriority w:val="9"/>
    <w:qFormat/>
    <w:rsid w:val="00702FA6"/>
    <w:pPr>
      <w:spacing w:before="100" w:beforeAutospacing="1" w:after="100" w:afterAutospacing="1" w:line="240" w:lineRule="auto"/>
      <w:outlineLvl w:val="1"/>
    </w:pPr>
    <w:rPr>
      <w:rFonts w:ascii="Times New Roman" w:eastAsia="Times New Roman" w:hAnsi="Times New Roman" w:cs="Times New Roman"/>
      <w:bCs/>
      <w:kern w:val="0"/>
      <w:sz w:val="36"/>
      <w:szCs w:val="36"/>
      <w:lang w:eastAsia="en-IN"/>
      <w14:ligatures w14:val="none"/>
    </w:rPr>
  </w:style>
  <w:style w:type="paragraph" w:styleId="Heading3">
    <w:name w:val="heading 3"/>
    <w:basedOn w:val="Normal"/>
    <w:next w:val="Normal"/>
    <w:link w:val="Heading3Char"/>
    <w:uiPriority w:val="9"/>
    <w:semiHidden/>
    <w:unhideWhenUsed/>
    <w:qFormat/>
    <w:rsid w:val="00833ED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2FA6"/>
    <w:rPr>
      <w:rFonts w:ascii="Times New Roman" w:eastAsia="Times New Roman" w:hAnsi="Times New Roman" w:cs="Times New Roman"/>
      <w:bCs/>
      <w:kern w:val="0"/>
      <w:sz w:val="36"/>
      <w:szCs w:val="36"/>
      <w:lang w:eastAsia="en-IN"/>
      <w14:ligatures w14:val="none"/>
    </w:rPr>
  </w:style>
  <w:style w:type="paragraph" w:styleId="NormalWeb">
    <w:name w:val="Normal (Web)"/>
    <w:basedOn w:val="Normal"/>
    <w:uiPriority w:val="99"/>
    <w:unhideWhenUsed/>
    <w:rsid w:val="00833EDD"/>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Strong">
    <w:name w:val="Strong"/>
    <w:basedOn w:val="DefaultParagraphFont"/>
    <w:uiPriority w:val="22"/>
    <w:qFormat/>
    <w:rsid w:val="00833EDD"/>
    <w:rPr>
      <w:b/>
      <w:bCs/>
    </w:rPr>
  </w:style>
  <w:style w:type="character" w:customStyle="1" w:styleId="whitespace-normal">
    <w:name w:val="whitespace-normal"/>
    <w:basedOn w:val="DefaultParagraphFont"/>
    <w:rsid w:val="00833EDD"/>
  </w:style>
  <w:style w:type="character" w:customStyle="1" w:styleId="Heading3Char">
    <w:name w:val="Heading 3 Char"/>
    <w:basedOn w:val="DefaultParagraphFont"/>
    <w:link w:val="Heading3"/>
    <w:uiPriority w:val="9"/>
    <w:semiHidden/>
    <w:rsid w:val="00833EDD"/>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833EDD"/>
    <w:rPr>
      <w:i/>
      <w:iCs/>
    </w:rPr>
  </w:style>
  <w:style w:type="character" w:styleId="Hyperlink">
    <w:name w:val="Hyperlink"/>
    <w:basedOn w:val="DefaultParagraphFont"/>
    <w:uiPriority w:val="99"/>
    <w:unhideWhenUsed/>
    <w:rsid w:val="00833EDD"/>
    <w:rPr>
      <w:color w:val="0000FF"/>
      <w:u w:val="single"/>
    </w:rPr>
  </w:style>
  <w:style w:type="character" w:customStyle="1" w:styleId="Heading1Char">
    <w:name w:val="Heading 1 Char"/>
    <w:basedOn w:val="DefaultParagraphFont"/>
    <w:link w:val="Heading1"/>
    <w:uiPriority w:val="9"/>
    <w:rsid w:val="00702FA6"/>
    <w:rPr>
      <w:rFonts w:asciiTheme="majorHAnsi" w:eastAsiaTheme="majorEastAsia" w:hAnsiTheme="majorHAnsi" w:cstheme="majorBidi"/>
      <w:b/>
      <w:color w:val="000000" w:themeColor="text1"/>
      <w:sz w:val="32"/>
      <w:szCs w:val="32"/>
    </w:rPr>
  </w:style>
  <w:style w:type="paragraph" w:styleId="TOCHeading">
    <w:name w:val="TOC Heading"/>
    <w:basedOn w:val="Heading1"/>
    <w:next w:val="Normal"/>
    <w:uiPriority w:val="39"/>
    <w:unhideWhenUsed/>
    <w:qFormat/>
    <w:rsid w:val="00702FA6"/>
    <w:pPr>
      <w:outlineLvl w:val="9"/>
    </w:pPr>
    <w:rPr>
      <w:b w:val="0"/>
      <w:color w:val="2F5496" w:themeColor="accent1" w:themeShade="BF"/>
      <w:kern w:val="0"/>
      <w:lang w:val="en-US" w:bidi="ar-SA"/>
      <w14:ligatures w14:val="none"/>
    </w:rPr>
  </w:style>
  <w:style w:type="paragraph" w:styleId="TOC1">
    <w:name w:val="toc 1"/>
    <w:basedOn w:val="Normal"/>
    <w:next w:val="Normal"/>
    <w:autoRedefine/>
    <w:uiPriority w:val="39"/>
    <w:unhideWhenUsed/>
    <w:rsid w:val="00702FA6"/>
    <w:pPr>
      <w:spacing w:after="100"/>
    </w:pPr>
  </w:style>
  <w:style w:type="paragraph" w:styleId="TOC2">
    <w:name w:val="toc 2"/>
    <w:basedOn w:val="Normal"/>
    <w:next w:val="Normal"/>
    <w:autoRedefine/>
    <w:uiPriority w:val="39"/>
    <w:unhideWhenUsed/>
    <w:rsid w:val="00702FA6"/>
    <w:pPr>
      <w:spacing w:after="100"/>
      <w:ind w:left="220"/>
    </w:pPr>
  </w:style>
  <w:style w:type="paragraph" w:styleId="Header">
    <w:name w:val="header"/>
    <w:basedOn w:val="Normal"/>
    <w:link w:val="HeaderChar"/>
    <w:uiPriority w:val="99"/>
    <w:unhideWhenUsed/>
    <w:rsid w:val="008743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436F"/>
    <w:rPr>
      <w:rFonts w:cs="Latha"/>
    </w:rPr>
  </w:style>
  <w:style w:type="paragraph" w:styleId="Footer">
    <w:name w:val="footer"/>
    <w:basedOn w:val="Normal"/>
    <w:link w:val="FooterChar"/>
    <w:uiPriority w:val="99"/>
    <w:unhideWhenUsed/>
    <w:rsid w:val="008743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436F"/>
    <w:rPr>
      <w:rFonts w:cs="Lath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3387115">
      <w:bodyDiv w:val="1"/>
      <w:marLeft w:val="0"/>
      <w:marRight w:val="0"/>
      <w:marTop w:val="0"/>
      <w:marBottom w:val="0"/>
      <w:divBdr>
        <w:top w:val="none" w:sz="0" w:space="0" w:color="auto"/>
        <w:left w:val="none" w:sz="0" w:space="0" w:color="auto"/>
        <w:bottom w:val="none" w:sz="0" w:space="0" w:color="auto"/>
        <w:right w:val="none" w:sz="0" w:space="0" w:color="auto"/>
      </w:divBdr>
    </w:div>
    <w:div w:id="719942745">
      <w:bodyDiv w:val="1"/>
      <w:marLeft w:val="0"/>
      <w:marRight w:val="0"/>
      <w:marTop w:val="0"/>
      <w:marBottom w:val="0"/>
      <w:divBdr>
        <w:top w:val="none" w:sz="0" w:space="0" w:color="auto"/>
        <w:left w:val="none" w:sz="0" w:space="0" w:color="auto"/>
        <w:bottom w:val="none" w:sz="0" w:space="0" w:color="auto"/>
        <w:right w:val="none" w:sz="0" w:space="0" w:color="auto"/>
      </w:divBdr>
    </w:div>
    <w:div w:id="1031537971">
      <w:bodyDiv w:val="1"/>
      <w:marLeft w:val="0"/>
      <w:marRight w:val="0"/>
      <w:marTop w:val="0"/>
      <w:marBottom w:val="0"/>
      <w:divBdr>
        <w:top w:val="none" w:sz="0" w:space="0" w:color="auto"/>
        <w:left w:val="none" w:sz="0" w:space="0" w:color="auto"/>
        <w:bottom w:val="none" w:sz="0" w:space="0" w:color="auto"/>
        <w:right w:val="none" w:sz="0" w:space="0" w:color="auto"/>
      </w:divBdr>
    </w:div>
    <w:div w:id="1040319954">
      <w:bodyDiv w:val="1"/>
      <w:marLeft w:val="0"/>
      <w:marRight w:val="0"/>
      <w:marTop w:val="0"/>
      <w:marBottom w:val="0"/>
      <w:divBdr>
        <w:top w:val="none" w:sz="0" w:space="0" w:color="auto"/>
        <w:left w:val="none" w:sz="0" w:space="0" w:color="auto"/>
        <w:bottom w:val="none" w:sz="0" w:space="0" w:color="auto"/>
        <w:right w:val="none" w:sz="0" w:space="0" w:color="auto"/>
      </w:divBdr>
    </w:div>
    <w:div w:id="1153372423">
      <w:bodyDiv w:val="1"/>
      <w:marLeft w:val="0"/>
      <w:marRight w:val="0"/>
      <w:marTop w:val="0"/>
      <w:marBottom w:val="0"/>
      <w:divBdr>
        <w:top w:val="none" w:sz="0" w:space="0" w:color="auto"/>
        <w:left w:val="none" w:sz="0" w:space="0" w:color="auto"/>
        <w:bottom w:val="none" w:sz="0" w:space="0" w:color="auto"/>
        <w:right w:val="none" w:sz="0" w:space="0" w:color="auto"/>
      </w:divBdr>
    </w:div>
    <w:div w:id="1155955417">
      <w:bodyDiv w:val="1"/>
      <w:marLeft w:val="0"/>
      <w:marRight w:val="0"/>
      <w:marTop w:val="0"/>
      <w:marBottom w:val="0"/>
      <w:divBdr>
        <w:top w:val="none" w:sz="0" w:space="0" w:color="auto"/>
        <w:left w:val="none" w:sz="0" w:space="0" w:color="auto"/>
        <w:bottom w:val="none" w:sz="0" w:space="0" w:color="auto"/>
        <w:right w:val="none" w:sz="0" w:space="0" w:color="auto"/>
      </w:divBdr>
    </w:div>
    <w:div w:id="1169324331">
      <w:bodyDiv w:val="1"/>
      <w:marLeft w:val="0"/>
      <w:marRight w:val="0"/>
      <w:marTop w:val="0"/>
      <w:marBottom w:val="0"/>
      <w:divBdr>
        <w:top w:val="none" w:sz="0" w:space="0" w:color="auto"/>
        <w:left w:val="none" w:sz="0" w:space="0" w:color="auto"/>
        <w:bottom w:val="none" w:sz="0" w:space="0" w:color="auto"/>
        <w:right w:val="none" w:sz="0" w:space="0" w:color="auto"/>
      </w:divBdr>
    </w:div>
    <w:div w:id="1379012443">
      <w:bodyDiv w:val="1"/>
      <w:marLeft w:val="0"/>
      <w:marRight w:val="0"/>
      <w:marTop w:val="0"/>
      <w:marBottom w:val="0"/>
      <w:divBdr>
        <w:top w:val="none" w:sz="0" w:space="0" w:color="auto"/>
        <w:left w:val="none" w:sz="0" w:space="0" w:color="auto"/>
        <w:bottom w:val="none" w:sz="0" w:space="0" w:color="auto"/>
        <w:right w:val="none" w:sz="0" w:space="0" w:color="auto"/>
      </w:divBdr>
    </w:div>
    <w:div w:id="1731225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2.deloitte.com" TargetMode="External"/><Relationship Id="rId18" Type="http://schemas.openxmlformats.org/officeDocument/2006/relationships/hyperlink" Target="https://www2.deloitte.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imf.org" TargetMode="External"/><Relationship Id="rId17" Type="http://schemas.openxmlformats.org/officeDocument/2006/relationships/hyperlink" Target="https://home.kpmg.com" TargetMode="External"/><Relationship Id="rId2" Type="http://schemas.openxmlformats.org/officeDocument/2006/relationships/numbering" Target="numbering.xml"/><Relationship Id="rId16" Type="http://schemas.openxmlformats.org/officeDocument/2006/relationships/hyperlink" Target="https://www.disneyplus.com" TargetMode="External"/><Relationship Id="rId20" Type="http://schemas.openxmlformats.org/officeDocument/2006/relationships/hyperlink" Target="https://www.pwc.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2.deloitte.com" TargetMode="External"/><Relationship Id="rId5" Type="http://schemas.openxmlformats.org/officeDocument/2006/relationships/webSettings" Target="webSettings.xml"/><Relationship Id="rId15" Type="http://schemas.openxmlformats.org/officeDocument/2006/relationships/hyperlink" Target="https://www.statista.com" TargetMode="External"/><Relationship Id="rId23" Type="http://schemas.openxmlformats.org/officeDocument/2006/relationships/theme" Target="theme/theme1.xml"/><Relationship Id="rId10" Type="http://schemas.openxmlformats.org/officeDocument/2006/relationships/hyperlink" Target="https://www.statista.com" TargetMode="External"/><Relationship Id="rId19" Type="http://schemas.openxmlformats.org/officeDocument/2006/relationships/hyperlink" Target="https://www.statista.com" TargetMode="External"/><Relationship Id="rId4" Type="http://schemas.openxmlformats.org/officeDocument/2006/relationships/settings" Target="settings.xml"/><Relationship Id="rId9" Type="http://schemas.openxmlformats.org/officeDocument/2006/relationships/hyperlink" Target="https://www.netflixinvestor.com" TargetMode="External"/><Relationship Id="rId14" Type="http://schemas.openxmlformats.org/officeDocument/2006/relationships/hyperlink" Target="https://www.pwc.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9D248F-08D9-492B-AFC4-85CFEB467C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12</Pages>
  <Words>3254</Words>
  <Characters>18549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4</cp:revision>
  <dcterms:created xsi:type="dcterms:W3CDTF">2026-03-11T12:59:00Z</dcterms:created>
  <dcterms:modified xsi:type="dcterms:W3CDTF">2026-03-17T17:11:00Z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28cbd4fa-4a98-46a4-94d7-8e8985f218ae</vt:lpwstr>
  </property>
</Properties>
</file>