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6048B9" w14:textId="782F97F2" w:rsidR="69453932" w:rsidRPr="00B54584" w:rsidRDefault="097244D8" w:rsidP="00B54584">
      <w:pPr>
        <w:spacing w:line="276" w:lineRule="auto"/>
        <w:jc w:val="center"/>
        <w:rPr>
          <w:rFonts w:ascii="Times New Roman" w:eastAsiaTheme="minorEastAsia" w:hAnsi="Times New Roman" w:cs="Times New Roman"/>
          <w:b/>
          <w:bCs/>
          <w:sz w:val="24"/>
          <w:szCs w:val="24"/>
          <w:u w:val="single"/>
        </w:rPr>
      </w:pPr>
      <w:r w:rsidRPr="00B54584">
        <w:rPr>
          <w:rFonts w:ascii="Times New Roman" w:eastAsiaTheme="minorEastAsia" w:hAnsi="Times New Roman" w:cs="Times New Roman"/>
          <w:b/>
          <w:bCs/>
          <w:sz w:val="24"/>
          <w:szCs w:val="24"/>
          <w:u w:val="single"/>
        </w:rPr>
        <w:t>Critically discuss the importance of gender and status, as well as the concepts of dominance and passivity in relation to Roman sexuality</w:t>
      </w:r>
    </w:p>
    <w:p w14:paraId="2394F4B4" w14:textId="6DD716D5" w:rsidR="69453932" w:rsidRPr="00B54584" w:rsidRDefault="69453932" w:rsidP="00B54584">
      <w:pPr>
        <w:spacing w:line="276" w:lineRule="auto"/>
        <w:rPr>
          <w:rFonts w:ascii="Times New Roman" w:eastAsiaTheme="minorEastAsia" w:hAnsi="Times New Roman" w:cs="Times New Roman"/>
          <w:b/>
          <w:bCs/>
          <w:sz w:val="24"/>
          <w:szCs w:val="24"/>
          <w:u w:val="single"/>
        </w:rPr>
      </w:pPr>
    </w:p>
    <w:p w14:paraId="07FEF7D0" w14:textId="413C7CDC" w:rsidR="69453932" w:rsidRPr="00B54584" w:rsidRDefault="097244D8" w:rsidP="00B54584">
      <w:pPr>
        <w:spacing w:line="276" w:lineRule="auto"/>
        <w:rPr>
          <w:rFonts w:ascii="Times New Roman" w:eastAsiaTheme="minorEastAsia" w:hAnsi="Times New Roman" w:cs="Times New Roman"/>
          <w:sz w:val="24"/>
          <w:szCs w:val="24"/>
        </w:rPr>
      </w:pPr>
      <w:r w:rsidRPr="00B54584">
        <w:rPr>
          <w:rFonts w:ascii="Times New Roman" w:eastAsiaTheme="minorEastAsia" w:hAnsi="Times New Roman" w:cs="Times New Roman"/>
          <w:sz w:val="24"/>
          <w:szCs w:val="24"/>
        </w:rPr>
        <w:t>Each of these four aspects, gender, status, dominance and passivity, were important in their own way within Roman sexuality. The importance of gender was defined by what each gender could do and be accepted within society. Status was important, especially within the role of prostitution, as there was a hierarchy of status within their line of work. Dominance and passivity would not exist without each other, and they were the main ideals that Roman sexuality was based around.</w:t>
      </w:r>
    </w:p>
    <w:p w14:paraId="709E7564" w14:textId="33D67808" w:rsidR="69453932" w:rsidRPr="00B54584" w:rsidRDefault="69453932" w:rsidP="00B54584">
      <w:pPr>
        <w:spacing w:line="276" w:lineRule="auto"/>
        <w:rPr>
          <w:rFonts w:ascii="Times New Roman" w:eastAsiaTheme="minorEastAsia" w:hAnsi="Times New Roman" w:cs="Times New Roman"/>
          <w:sz w:val="24"/>
          <w:szCs w:val="24"/>
        </w:rPr>
      </w:pPr>
    </w:p>
    <w:p w14:paraId="2A454ADD" w14:textId="359859E2" w:rsidR="69453932" w:rsidRPr="00B54584" w:rsidRDefault="097244D8" w:rsidP="00B54584">
      <w:pPr>
        <w:spacing w:line="276" w:lineRule="auto"/>
        <w:rPr>
          <w:rFonts w:ascii="Times New Roman" w:eastAsiaTheme="minorEastAsia" w:hAnsi="Times New Roman" w:cs="Times New Roman"/>
          <w:sz w:val="24"/>
          <w:szCs w:val="24"/>
        </w:rPr>
      </w:pPr>
      <w:r w:rsidRPr="00B54584">
        <w:rPr>
          <w:rFonts w:ascii="Times New Roman" w:eastAsiaTheme="minorEastAsia" w:hAnsi="Times New Roman" w:cs="Times New Roman"/>
          <w:sz w:val="24"/>
          <w:szCs w:val="24"/>
        </w:rPr>
        <w:t>In Ancient Rome the binary oppositions do not appear to be at play in concepts of homosexuality and heterosexuality but they do in relation to gender relationships. The concepts of homosexuality and heterosexuality are modern concepts.</w:t>
      </w:r>
      <w:r w:rsidR="69453932" w:rsidRPr="00B54584">
        <w:rPr>
          <w:rStyle w:val="FootnoteReference"/>
          <w:rFonts w:ascii="Times New Roman" w:eastAsiaTheme="minorEastAsia" w:hAnsi="Times New Roman" w:cs="Times New Roman"/>
          <w:sz w:val="24"/>
          <w:szCs w:val="24"/>
        </w:rPr>
        <w:footnoteReference w:id="1"/>
      </w:r>
      <w:r w:rsidRPr="00B54584">
        <w:rPr>
          <w:rFonts w:ascii="Times New Roman" w:eastAsiaTheme="minorEastAsia" w:hAnsi="Times New Roman" w:cs="Times New Roman"/>
          <w:sz w:val="24"/>
          <w:szCs w:val="24"/>
        </w:rPr>
        <w:t xml:space="preserve"> The Romans did not mind whether you had sex with a man or a woman, instead they cared more about the role you played within you sexual relations. As mentioned above gender was important within Roman sexuality with what was acceptable for each gender to do. Men could commit adultery, and were still accepted within society, whereas their wives could not. For a Roman woman your virtue was incredibly important, not just once as a virgin girl waiting to be married but also as a married woman, and staying faithful to your husband. On the other hand</w:t>
      </w:r>
      <w:r w:rsidR="004F5509" w:rsidRPr="00B54584">
        <w:rPr>
          <w:rFonts w:ascii="Times New Roman" w:eastAsiaTheme="minorEastAsia" w:hAnsi="Times New Roman" w:cs="Times New Roman"/>
          <w:sz w:val="24"/>
          <w:szCs w:val="24"/>
        </w:rPr>
        <w:t>,</w:t>
      </w:r>
      <w:r w:rsidRPr="00B54584">
        <w:rPr>
          <w:rFonts w:ascii="Times New Roman" w:eastAsiaTheme="minorEastAsia" w:hAnsi="Times New Roman" w:cs="Times New Roman"/>
          <w:sz w:val="24"/>
          <w:szCs w:val="24"/>
        </w:rPr>
        <w:t xml:space="preserve"> if you were male then you could have sex with whomever you pleased. This was shown by the fact that prostitutes were assumed to distract the men from respectable, married women.</w:t>
      </w:r>
      <w:r w:rsidR="69453932" w:rsidRPr="00B54584">
        <w:rPr>
          <w:rStyle w:val="FootnoteReference"/>
          <w:rFonts w:ascii="Times New Roman" w:eastAsiaTheme="minorEastAsia" w:hAnsi="Times New Roman" w:cs="Times New Roman"/>
          <w:sz w:val="24"/>
          <w:szCs w:val="24"/>
        </w:rPr>
        <w:footnoteReference w:id="2"/>
      </w:r>
      <w:r w:rsidRPr="00B54584">
        <w:rPr>
          <w:rFonts w:ascii="Times New Roman" w:eastAsiaTheme="minorEastAsia" w:hAnsi="Times New Roman" w:cs="Times New Roman"/>
          <w:sz w:val="24"/>
          <w:szCs w:val="24"/>
        </w:rPr>
        <w:t xml:space="preserve"> Another aspect of gender to consider are hermaphrodites. They were talked about by multiple ancient sources, such as Livy, Pliny and </w:t>
      </w:r>
      <w:proofErr w:type="spellStart"/>
      <w:r w:rsidRPr="00B54584">
        <w:rPr>
          <w:rFonts w:ascii="Times New Roman" w:eastAsiaTheme="minorEastAsia" w:hAnsi="Times New Roman" w:cs="Times New Roman"/>
          <w:sz w:val="24"/>
          <w:szCs w:val="24"/>
        </w:rPr>
        <w:t>Diodorus</w:t>
      </w:r>
      <w:proofErr w:type="spellEnd"/>
      <w:r w:rsidRPr="00B54584">
        <w:rPr>
          <w:rFonts w:ascii="Times New Roman" w:eastAsiaTheme="minorEastAsia" w:hAnsi="Times New Roman" w:cs="Times New Roman"/>
          <w:sz w:val="24"/>
          <w:szCs w:val="24"/>
        </w:rPr>
        <w:t>. Some people considered them to be marvels, whereas others saw them as a violation of society; some believed that they announced good or bad omens with their birth because they were so rare. It was even believed that they could impregnate themselves.</w:t>
      </w:r>
    </w:p>
    <w:p w14:paraId="2C1C2539" w14:textId="101A62E7" w:rsidR="69453932" w:rsidRPr="00B54584" w:rsidRDefault="69453932" w:rsidP="00B54584">
      <w:pPr>
        <w:spacing w:line="276" w:lineRule="auto"/>
        <w:rPr>
          <w:rFonts w:ascii="Times New Roman" w:eastAsiaTheme="minorEastAsia" w:hAnsi="Times New Roman" w:cs="Times New Roman"/>
          <w:sz w:val="24"/>
          <w:szCs w:val="24"/>
        </w:rPr>
      </w:pPr>
    </w:p>
    <w:p w14:paraId="26DC3B90" w14:textId="6857A4EE" w:rsidR="69453932" w:rsidRPr="00B54584" w:rsidRDefault="097244D8" w:rsidP="00B54584">
      <w:pPr>
        <w:spacing w:line="276" w:lineRule="auto"/>
        <w:rPr>
          <w:rFonts w:ascii="Times New Roman" w:eastAsiaTheme="minorEastAsia" w:hAnsi="Times New Roman" w:cs="Times New Roman"/>
          <w:sz w:val="24"/>
          <w:szCs w:val="24"/>
        </w:rPr>
      </w:pPr>
      <w:r w:rsidRPr="00B54584">
        <w:rPr>
          <w:rFonts w:ascii="Times New Roman" w:eastAsiaTheme="minorEastAsia" w:hAnsi="Times New Roman" w:cs="Times New Roman"/>
          <w:sz w:val="24"/>
          <w:szCs w:val="24"/>
        </w:rPr>
        <w:t>Status mattered to the Romans hugely, even in terms of sexuality. Even within the line of prostitution there was a hierarchy of status.</w:t>
      </w:r>
      <w:r w:rsidR="69453932" w:rsidRPr="00B54584">
        <w:rPr>
          <w:rStyle w:val="FootnoteReference"/>
          <w:rFonts w:ascii="Times New Roman" w:eastAsiaTheme="minorEastAsia" w:hAnsi="Times New Roman" w:cs="Times New Roman"/>
          <w:sz w:val="24"/>
          <w:szCs w:val="24"/>
        </w:rPr>
        <w:footnoteReference w:id="3"/>
      </w:r>
      <w:r w:rsidRPr="00B54584">
        <w:rPr>
          <w:rFonts w:ascii="Times New Roman" w:eastAsiaTheme="minorEastAsia" w:hAnsi="Times New Roman" w:cs="Times New Roman"/>
          <w:sz w:val="24"/>
          <w:szCs w:val="24"/>
        </w:rPr>
        <w:t xml:space="preserve"> Though overall, prostitutes had a much lower status than that of a married and virtuous woman. However, if a respected woman were to be accused of adultery or compared to a prostitute then she could lose all status within her society. An example of this is Cicero in his speech 'Pro </w:t>
      </w:r>
      <w:proofErr w:type="spellStart"/>
      <w:r w:rsidRPr="00B54584">
        <w:rPr>
          <w:rFonts w:ascii="Times New Roman" w:eastAsiaTheme="minorEastAsia" w:hAnsi="Times New Roman" w:cs="Times New Roman"/>
          <w:sz w:val="24"/>
          <w:szCs w:val="24"/>
        </w:rPr>
        <w:t>Caelio</w:t>
      </w:r>
      <w:proofErr w:type="spellEnd"/>
      <w:r w:rsidRPr="00B54584">
        <w:rPr>
          <w:rFonts w:ascii="Times New Roman" w:eastAsiaTheme="minorEastAsia" w:hAnsi="Times New Roman" w:cs="Times New Roman"/>
          <w:sz w:val="24"/>
          <w:szCs w:val="24"/>
        </w:rPr>
        <w:t xml:space="preserve">' in which he accuses </w:t>
      </w:r>
      <w:proofErr w:type="spellStart"/>
      <w:r w:rsidRPr="00B54584">
        <w:rPr>
          <w:rFonts w:ascii="Times New Roman" w:eastAsiaTheme="minorEastAsia" w:hAnsi="Times New Roman" w:cs="Times New Roman"/>
          <w:sz w:val="24"/>
          <w:szCs w:val="24"/>
        </w:rPr>
        <w:t>Clodia</w:t>
      </w:r>
      <w:proofErr w:type="spellEnd"/>
      <w:r w:rsidRPr="00B54584">
        <w:rPr>
          <w:rFonts w:ascii="Times New Roman" w:eastAsiaTheme="minorEastAsia" w:hAnsi="Times New Roman" w:cs="Times New Roman"/>
          <w:sz w:val="24"/>
          <w:szCs w:val="24"/>
        </w:rPr>
        <w:t xml:space="preserve">, a once respected woman, of trying to seduce his client. As a result of this, while his claims were largely untruthful, it is believed that </w:t>
      </w:r>
      <w:proofErr w:type="spellStart"/>
      <w:r w:rsidRPr="00B54584">
        <w:rPr>
          <w:rFonts w:ascii="Times New Roman" w:eastAsiaTheme="minorEastAsia" w:hAnsi="Times New Roman" w:cs="Times New Roman"/>
          <w:sz w:val="24"/>
          <w:szCs w:val="24"/>
        </w:rPr>
        <w:t>Clodia</w:t>
      </w:r>
      <w:proofErr w:type="spellEnd"/>
      <w:r w:rsidRPr="00B54584">
        <w:rPr>
          <w:rFonts w:ascii="Times New Roman" w:eastAsiaTheme="minorEastAsia" w:hAnsi="Times New Roman" w:cs="Times New Roman"/>
          <w:sz w:val="24"/>
          <w:szCs w:val="24"/>
        </w:rPr>
        <w:t xml:space="preserve"> was shamed from society and was not heard </w:t>
      </w:r>
      <w:r w:rsidRPr="00B54584">
        <w:rPr>
          <w:rFonts w:ascii="Times New Roman" w:eastAsiaTheme="minorEastAsia" w:hAnsi="Times New Roman" w:cs="Times New Roman"/>
          <w:sz w:val="24"/>
          <w:szCs w:val="24"/>
        </w:rPr>
        <w:lastRenderedPageBreak/>
        <w:t>about after this case took place.</w:t>
      </w:r>
      <w:r w:rsidR="69453932" w:rsidRPr="00B54584">
        <w:rPr>
          <w:rStyle w:val="FootnoteReference"/>
          <w:rFonts w:ascii="Times New Roman" w:eastAsiaTheme="minorEastAsia" w:hAnsi="Times New Roman" w:cs="Times New Roman"/>
          <w:sz w:val="24"/>
          <w:szCs w:val="24"/>
        </w:rPr>
        <w:footnoteReference w:id="4"/>
      </w:r>
      <w:r w:rsidRPr="00B54584">
        <w:rPr>
          <w:rFonts w:ascii="Times New Roman" w:eastAsiaTheme="minorEastAsia" w:hAnsi="Times New Roman" w:cs="Times New Roman"/>
          <w:sz w:val="24"/>
          <w:szCs w:val="24"/>
        </w:rPr>
        <w:t xml:space="preserve"> The Christian Justin Martyr suggested that most of the exposed Roman babies were raised into the line of prostitution, male or female, which would explain why there were so many brothels and prostitutes available to the Roman people.</w:t>
      </w:r>
      <w:r w:rsidR="69453932" w:rsidRPr="00B54584">
        <w:rPr>
          <w:rStyle w:val="FootnoteReference"/>
          <w:rFonts w:ascii="Times New Roman" w:eastAsiaTheme="minorEastAsia" w:hAnsi="Times New Roman" w:cs="Times New Roman"/>
          <w:sz w:val="24"/>
          <w:szCs w:val="24"/>
        </w:rPr>
        <w:footnoteReference w:id="5"/>
      </w:r>
      <w:r w:rsidRPr="00B54584">
        <w:rPr>
          <w:rFonts w:ascii="Times New Roman" w:eastAsiaTheme="minorEastAsia" w:hAnsi="Times New Roman" w:cs="Times New Roman"/>
          <w:sz w:val="24"/>
          <w:szCs w:val="24"/>
        </w:rPr>
        <w:t xml:space="preserve"> Most prostitutes were of the same status as slaves, and were often brought and sold in the same way that working slaves were. As mentioned before, prostitutes were thought to be used to distract men from more respectable women. This was because if you were to have sex with someone outside of your marriage then it was likely to be with someone of a lower status, so as not to tarnish the status of a respectable person. Status mattered within sexual relationships. Especially because it mattered so much in society – for a man to have sex with someone of lower status than himself was accepted in society, however for a woman to have sex with someone of lower status than herself reflected badly on her husband, and was humiliating for him.</w:t>
      </w:r>
    </w:p>
    <w:p w14:paraId="2A233BBA" w14:textId="0323AC27" w:rsidR="097244D8" w:rsidRPr="00B54584" w:rsidRDefault="097244D8" w:rsidP="00B54584">
      <w:pPr>
        <w:spacing w:line="276" w:lineRule="auto"/>
        <w:rPr>
          <w:rFonts w:ascii="Times New Roman" w:eastAsiaTheme="minorEastAsia" w:hAnsi="Times New Roman" w:cs="Times New Roman"/>
          <w:sz w:val="24"/>
          <w:szCs w:val="24"/>
        </w:rPr>
      </w:pPr>
    </w:p>
    <w:p w14:paraId="36BEC671" w14:textId="38C5CF04" w:rsidR="097244D8" w:rsidRPr="00B54584" w:rsidRDefault="097244D8" w:rsidP="00B54584">
      <w:pPr>
        <w:spacing w:line="276" w:lineRule="auto"/>
        <w:rPr>
          <w:rFonts w:ascii="Times New Roman" w:eastAsiaTheme="minorEastAsia" w:hAnsi="Times New Roman" w:cs="Times New Roman"/>
          <w:sz w:val="24"/>
          <w:szCs w:val="24"/>
        </w:rPr>
      </w:pPr>
      <w:r w:rsidRPr="00B54584">
        <w:rPr>
          <w:rFonts w:ascii="Times New Roman" w:eastAsiaTheme="minorEastAsia" w:hAnsi="Times New Roman" w:cs="Times New Roman"/>
          <w:sz w:val="24"/>
          <w:szCs w:val="24"/>
        </w:rPr>
        <w:t>Dominance was the normal male role and the abnormal female role within Roman sexuality, much like it was in Roman society.</w:t>
      </w:r>
      <w:r w:rsidRPr="00B54584">
        <w:rPr>
          <w:rStyle w:val="FootnoteReference"/>
          <w:rFonts w:ascii="Times New Roman" w:eastAsiaTheme="minorEastAsia" w:hAnsi="Times New Roman" w:cs="Times New Roman"/>
          <w:sz w:val="24"/>
          <w:szCs w:val="24"/>
        </w:rPr>
        <w:footnoteReference w:id="6"/>
      </w:r>
      <w:r w:rsidRPr="00B54584">
        <w:rPr>
          <w:rFonts w:ascii="Times New Roman" w:eastAsiaTheme="minorEastAsia" w:hAnsi="Times New Roman" w:cs="Times New Roman"/>
          <w:sz w:val="24"/>
          <w:szCs w:val="24"/>
        </w:rPr>
        <w:t xml:space="preserve"> The dominant man was socially accepted, whereas the dominant woman </w:t>
      </w:r>
      <w:proofErr w:type="gramStart"/>
      <w:r w:rsidRPr="00B54584">
        <w:rPr>
          <w:rFonts w:ascii="Times New Roman" w:eastAsiaTheme="minorEastAsia" w:hAnsi="Times New Roman" w:cs="Times New Roman"/>
          <w:sz w:val="24"/>
          <w:szCs w:val="24"/>
        </w:rPr>
        <w:t>was seen as</w:t>
      </w:r>
      <w:proofErr w:type="gramEnd"/>
      <w:r w:rsidRPr="00B54584">
        <w:rPr>
          <w:rFonts w:ascii="Times New Roman" w:eastAsiaTheme="minorEastAsia" w:hAnsi="Times New Roman" w:cs="Times New Roman"/>
          <w:sz w:val="24"/>
          <w:szCs w:val="24"/>
        </w:rPr>
        <w:t xml:space="preserve"> a monster in society. The normal, dominant man penetrated any hole that he </w:t>
      </w:r>
      <w:proofErr w:type="gramStart"/>
      <w:r w:rsidRPr="00B54584">
        <w:rPr>
          <w:rFonts w:ascii="Times New Roman" w:eastAsiaTheme="minorEastAsia" w:hAnsi="Times New Roman" w:cs="Times New Roman"/>
          <w:sz w:val="24"/>
          <w:szCs w:val="24"/>
        </w:rPr>
        <w:t>was able to</w:t>
      </w:r>
      <w:proofErr w:type="gramEnd"/>
      <w:r w:rsidRPr="00B54584">
        <w:rPr>
          <w:rFonts w:ascii="Times New Roman" w:eastAsiaTheme="minorEastAsia" w:hAnsi="Times New Roman" w:cs="Times New Roman"/>
          <w:sz w:val="24"/>
          <w:szCs w:val="24"/>
        </w:rPr>
        <w:t xml:space="preserve">, that be the vagina, the anus, or the mouth. </w:t>
      </w:r>
      <w:proofErr w:type="gramStart"/>
      <w:r w:rsidRPr="00B54584">
        <w:rPr>
          <w:rFonts w:ascii="Times New Roman" w:eastAsiaTheme="minorEastAsia" w:hAnsi="Times New Roman" w:cs="Times New Roman"/>
          <w:sz w:val="24"/>
          <w:szCs w:val="24"/>
        </w:rPr>
        <w:t>Therefore</w:t>
      </w:r>
      <w:proofErr w:type="gramEnd"/>
      <w:r w:rsidRPr="00B54584">
        <w:rPr>
          <w:rFonts w:ascii="Times New Roman" w:eastAsiaTheme="minorEastAsia" w:hAnsi="Times New Roman" w:cs="Times New Roman"/>
          <w:sz w:val="24"/>
          <w:szCs w:val="24"/>
        </w:rPr>
        <w:t xml:space="preserve"> the preferred role to play was the dominant role. Roman society was incredibly phallocentric, which meant that women could never fully be dominant within a relationship as she did not have a penis and therefore could not penetrate anyone.</w:t>
      </w:r>
      <w:r w:rsidRPr="00B54584">
        <w:rPr>
          <w:rStyle w:val="FootnoteReference"/>
          <w:rFonts w:ascii="Times New Roman" w:eastAsiaTheme="minorEastAsia" w:hAnsi="Times New Roman" w:cs="Times New Roman"/>
          <w:sz w:val="24"/>
          <w:szCs w:val="24"/>
        </w:rPr>
        <w:footnoteReference w:id="7"/>
      </w:r>
      <w:r w:rsidRPr="00B54584">
        <w:rPr>
          <w:rFonts w:ascii="Times New Roman" w:eastAsiaTheme="minorEastAsia" w:hAnsi="Times New Roman" w:cs="Times New Roman"/>
          <w:sz w:val="24"/>
          <w:szCs w:val="24"/>
        </w:rPr>
        <w:t xml:space="preserve"> The only way that a woman could </w:t>
      </w:r>
      <w:proofErr w:type="gramStart"/>
      <w:r w:rsidRPr="00B54584">
        <w:rPr>
          <w:rFonts w:ascii="Times New Roman" w:eastAsiaTheme="minorEastAsia" w:hAnsi="Times New Roman" w:cs="Times New Roman"/>
          <w:sz w:val="24"/>
          <w:szCs w:val="24"/>
        </w:rPr>
        <w:t>be seen as</w:t>
      </w:r>
      <w:proofErr w:type="gramEnd"/>
      <w:r w:rsidRPr="00B54584">
        <w:rPr>
          <w:rFonts w:ascii="Times New Roman" w:eastAsiaTheme="minorEastAsia" w:hAnsi="Times New Roman" w:cs="Times New Roman"/>
          <w:sz w:val="24"/>
          <w:szCs w:val="24"/>
        </w:rPr>
        <w:t xml:space="preserve"> dominant within a sexual relationship is if a man performed cunnilingus on her. As mentioned before, the sexually dominant or active woman was not looked upon favourably in Roman society, and </w:t>
      </w:r>
      <w:proofErr w:type="gramStart"/>
      <w:r w:rsidRPr="00B54584">
        <w:rPr>
          <w:rFonts w:ascii="Times New Roman" w:eastAsiaTheme="minorEastAsia" w:hAnsi="Times New Roman" w:cs="Times New Roman"/>
          <w:sz w:val="24"/>
          <w:szCs w:val="24"/>
        </w:rPr>
        <w:t>was seen as</w:t>
      </w:r>
      <w:proofErr w:type="gramEnd"/>
      <w:r w:rsidRPr="00B54584">
        <w:rPr>
          <w:rFonts w:ascii="Times New Roman" w:eastAsiaTheme="minorEastAsia" w:hAnsi="Times New Roman" w:cs="Times New Roman"/>
          <w:sz w:val="24"/>
          <w:szCs w:val="24"/>
        </w:rPr>
        <w:t xml:space="preserve"> something that went against society, and was possibly something to be feared. Examples of socially dominant and strong women within Roman history are Cleopatra and Boudica. They were powerful women, but seen as abnormalities to the Romans, something to be feared, something not understood by the dominant males of the time. Men tried to dominate these women over time, Caesar by sleeping with Cleopatra, and Roman soldiers capturing Boudica's daughters and raping them. </w:t>
      </w:r>
    </w:p>
    <w:p w14:paraId="6B0880C4" w14:textId="08F50130" w:rsidR="097244D8" w:rsidRPr="00B54584" w:rsidRDefault="097244D8" w:rsidP="00B54584">
      <w:pPr>
        <w:spacing w:line="276" w:lineRule="auto"/>
        <w:rPr>
          <w:rFonts w:ascii="Times New Roman" w:eastAsiaTheme="minorEastAsia" w:hAnsi="Times New Roman" w:cs="Times New Roman"/>
          <w:sz w:val="24"/>
          <w:szCs w:val="24"/>
        </w:rPr>
      </w:pPr>
    </w:p>
    <w:p w14:paraId="51C840DC" w14:textId="561DE5E5" w:rsidR="097244D8" w:rsidRPr="00B54584" w:rsidRDefault="097244D8" w:rsidP="00B54584">
      <w:pPr>
        <w:spacing w:line="276" w:lineRule="auto"/>
        <w:rPr>
          <w:rFonts w:ascii="Times New Roman" w:eastAsiaTheme="minorEastAsia" w:hAnsi="Times New Roman" w:cs="Times New Roman"/>
          <w:sz w:val="24"/>
          <w:szCs w:val="24"/>
        </w:rPr>
      </w:pPr>
      <w:r w:rsidRPr="00B54584">
        <w:rPr>
          <w:rFonts w:ascii="Times New Roman" w:eastAsiaTheme="minorEastAsia" w:hAnsi="Times New Roman" w:cs="Times New Roman"/>
          <w:sz w:val="24"/>
          <w:szCs w:val="24"/>
        </w:rPr>
        <w:t xml:space="preserve">On the flip side of dominance is passivity. In Roman sexuality the normal female was passive, as well as the abnormal male. For a man to take the passive role in a sexual relationship was humiliating, in fact the passive role within sex for both genders </w:t>
      </w:r>
      <w:proofErr w:type="gramStart"/>
      <w:r w:rsidRPr="00B54584">
        <w:rPr>
          <w:rFonts w:ascii="Times New Roman" w:eastAsiaTheme="minorEastAsia" w:hAnsi="Times New Roman" w:cs="Times New Roman"/>
          <w:sz w:val="24"/>
          <w:szCs w:val="24"/>
        </w:rPr>
        <w:t>was seen as</w:t>
      </w:r>
      <w:proofErr w:type="gramEnd"/>
      <w:r w:rsidRPr="00B54584">
        <w:rPr>
          <w:rFonts w:ascii="Times New Roman" w:eastAsiaTheme="minorEastAsia" w:hAnsi="Times New Roman" w:cs="Times New Roman"/>
          <w:sz w:val="24"/>
          <w:szCs w:val="24"/>
        </w:rPr>
        <w:t xml:space="preserve"> humiliating.</w:t>
      </w:r>
      <w:r w:rsidRPr="00B54584">
        <w:rPr>
          <w:rStyle w:val="FootnoteReference"/>
          <w:rFonts w:ascii="Times New Roman" w:eastAsiaTheme="minorEastAsia" w:hAnsi="Times New Roman" w:cs="Times New Roman"/>
          <w:sz w:val="24"/>
          <w:szCs w:val="24"/>
        </w:rPr>
        <w:footnoteReference w:id="8"/>
      </w:r>
      <w:r w:rsidRPr="00B54584">
        <w:rPr>
          <w:rFonts w:ascii="Times New Roman" w:eastAsiaTheme="minorEastAsia" w:hAnsi="Times New Roman" w:cs="Times New Roman"/>
          <w:sz w:val="24"/>
          <w:szCs w:val="24"/>
        </w:rPr>
        <w:t xml:space="preserve"> It was seen as socially unacceptable for an elite man to be passive, therefore it was much more likely for a sexually passive man to be a slave or a freedman, possibly one employed as a prostitute. The passive role, while being humiliating, was also very likely to be a role in which you were raped if your dominant wished to have sex and you did not. Though </w:t>
      </w:r>
      <w:r w:rsidRPr="00B54584">
        <w:rPr>
          <w:rFonts w:ascii="Times New Roman" w:eastAsiaTheme="minorEastAsia" w:hAnsi="Times New Roman" w:cs="Times New Roman"/>
          <w:sz w:val="24"/>
          <w:szCs w:val="24"/>
        </w:rPr>
        <w:lastRenderedPageBreak/>
        <w:t>this idea was rewritten as the passive being "one who actively desires to be hurt, humiliated, fucked and fucked over."</w:t>
      </w:r>
      <w:r w:rsidRPr="00B54584">
        <w:rPr>
          <w:rStyle w:val="FootnoteReference"/>
          <w:rFonts w:ascii="Times New Roman" w:eastAsiaTheme="minorEastAsia" w:hAnsi="Times New Roman" w:cs="Times New Roman"/>
          <w:sz w:val="24"/>
          <w:szCs w:val="24"/>
        </w:rPr>
        <w:footnoteReference w:id="9"/>
      </w:r>
      <w:r w:rsidRPr="00B54584">
        <w:rPr>
          <w:rFonts w:ascii="Times New Roman" w:eastAsiaTheme="minorEastAsia" w:hAnsi="Times New Roman" w:cs="Times New Roman"/>
          <w:sz w:val="24"/>
          <w:szCs w:val="24"/>
        </w:rPr>
        <w:t xml:space="preserve"> This was to stop any guilt being passed onto the dominant.</w:t>
      </w:r>
    </w:p>
    <w:p w14:paraId="781186F8" w14:textId="4129FB7B" w:rsidR="097244D8" w:rsidRPr="00B54584" w:rsidRDefault="097244D8" w:rsidP="00B54584">
      <w:pPr>
        <w:spacing w:line="276" w:lineRule="auto"/>
        <w:rPr>
          <w:rFonts w:ascii="Times New Roman" w:eastAsiaTheme="minorEastAsia" w:hAnsi="Times New Roman" w:cs="Times New Roman"/>
          <w:sz w:val="24"/>
          <w:szCs w:val="24"/>
        </w:rPr>
      </w:pPr>
    </w:p>
    <w:p w14:paraId="27E49C4A" w14:textId="6843ECCC" w:rsidR="097244D8" w:rsidRPr="00B54584" w:rsidRDefault="097244D8" w:rsidP="00B54584">
      <w:pPr>
        <w:spacing w:line="276" w:lineRule="auto"/>
        <w:rPr>
          <w:rFonts w:ascii="Times New Roman" w:eastAsiaTheme="minorEastAsia" w:hAnsi="Times New Roman" w:cs="Times New Roman"/>
          <w:sz w:val="24"/>
          <w:szCs w:val="24"/>
        </w:rPr>
      </w:pPr>
      <w:r w:rsidRPr="00B54584">
        <w:rPr>
          <w:rFonts w:ascii="Times New Roman" w:eastAsiaTheme="minorEastAsia" w:hAnsi="Times New Roman" w:cs="Times New Roman"/>
          <w:sz w:val="24"/>
          <w:szCs w:val="24"/>
        </w:rPr>
        <w:t>As mentioned in the introduction, dominance and passivity, while being important to Roman sexuality separately, they were also important in a combined sense, with the fact that they would not exist without each other. All four of these concepts link together within Roman sexuality in some way or another. Gender is important because it laid out lines for what was socially acceptable for each gender, as well as what was socially acceptable for each person status wise. Being combined does not diminish the importance of each separate concept and they are all important in their different ways.</w:t>
      </w:r>
    </w:p>
    <w:p w14:paraId="3778BF6A" w14:textId="5C69E052" w:rsidR="00B54584" w:rsidRDefault="00B54584">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br w:type="page"/>
      </w:r>
    </w:p>
    <w:p w14:paraId="64CF8DE4" w14:textId="77777777" w:rsidR="097244D8" w:rsidRPr="00B54584" w:rsidRDefault="097244D8" w:rsidP="00B54584">
      <w:pPr>
        <w:spacing w:line="276" w:lineRule="auto"/>
        <w:rPr>
          <w:rFonts w:ascii="Times New Roman" w:hAnsi="Times New Roman" w:cs="Times New Roman"/>
          <w:sz w:val="24"/>
          <w:szCs w:val="24"/>
        </w:rPr>
      </w:pPr>
    </w:p>
    <w:p w14:paraId="3A9FA219" w14:textId="1D9CA429" w:rsidR="097244D8" w:rsidRPr="00B720BC" w:rsidRDefault="097244D8" w:rsidP="00B54584">
      <w:pPr>
        <w:spacing w:line="276" w:lineRule="auto"/>
        <w:rPr>
          <w:rFonts w:ascii="Times New Roman" w:eastAsiaTheme="minorEastAsia" w:hAnsi="Times New Roman" w:cs="Times New Roman"/>
          <w:b/>
          <w:sz w:val="24"/>
          <w:szCs w:val="24"/>
          <w:u w:val="single"/>
        </w:rPr>
      </w:pPr>
      <w:r w:rsidRPr="00B720BC">
        <w:rPr>
          <w:rFonts w:ascii="Times New Roman" w:eastAsiaTheme="minorEastAsia" w:hAnsi="Times New Roman" w:cs="Times New Roman"/>
          <w:b/>
          <w:sz w:val="24"/>
          <w:szCs w:val="24"/>
          <w:u w:val="single"/>
        </w:rPr>
        <w:t>Bibliography</w:t>
      </w:r>
    </w:p>
    <w:p w14:paraId="76FCB0A1" w14:textId="2E575158" w:rsidR="097244D8" w:rsidRPr="00B54584" w:rsidRDefault="097244D8" w:rsidP="00B54584">
      <w:pPr>
        <w:spacing w:line="276" w:lineRule="auto"/>
        <w:rPr>
          <w:rFonts w:ascii="Times New Roman" w:eastAsiaTheme="minorEastAsia" w:hAnsi="Times New Roman" w:cs="Times New Roman"/>
          <w:sz w:val="24"/>
          <w:szCs w:val="24"/>
        </w:rPr>
      </w:pPr>
    </w:p>
    <w:p w14:paraId="362533A6" w14:textId="15CF3518" w:rsidR="097244D8" w:rsidRPr="00B54584" w:rsidRDefault="097244D8" w:rsidP="00B54584">
      <w:pPr>
        <w:spacing w:line="276" w:lineRule="auto"/>
        <w:rPr>
          <w:rFonts w:ascii="Times New Roman" w:hAnsi="Times New Roman" w:cs="Times New Roman"/>
          <w:sz w:val="24"/>
          <w:szCs w:val="24"/>
        </w:rPr>
      </w:pPr>
      <w:proofErr w:type="spellStart"/>
      <w:r w:rsidRPr="00B54584">
        <w:rPr>
          <w:rFonts w:ascii="Times New Roman" w:eastAsia="Calibri" w:hAnsi="Times New Roman" w:cs="Times New Roman"/>
          <w:sz w:val="24"/>
          <w:szCs w:val="24"/>
        </w:rPr>
        <w:t>Flemming</w:t>
      </w:r>
      <w:proofErr w:type="spellEnd"/>
      <w:r w:rsidRPr="00B54584">
        <w:rPr>
          <w:rFonts w:ascii="Times New Roman" w:eastAsia="Calibri" w:hAnsi="Times New Roman" w:cs="Times New Roman"/>
          <w:sz w:val="24"/>
          <w:szCs w:val="24"/>
        </w:rPr>
        <w:t>, R. 1999. '</w:t>
      </w:r>
      <w:proofErr w:type="spellStart"/>
      <w:r w:rsidRPr="00B54584">
        <w:rPr>
          <w:rFonts w:ascii="Times New Roman" w:eastAsia="Calibri" w:hAnsi="Times New Roman" w:cs="Times New Roman"/>
          <w:sz w:val="24"/>
          <w:szCs w:val="24"/>
        </w:rPr>
        <w:t>Quae</w:t>
      </w:r>
      <w:proofErr w:type="spellEnd"/>
      <w:r w:rsidRPr="00B54584">
        <w:rPr>
          <w:rFonts w:ascii="Times New Roman" w:eastAsia="Calibri" w:hAnsi="Times New Roman" w:cs="Times New Roman"/>
          <w:sz w:val="24"/>
          <w:szCs w:val="24"/>
        </w:rPr>
        <w:t xml:space="preserve"> Corpore </w:t>
      </w:r>
      <w:proofErr w:type="spellStart"/>
      <w:r w:rsidRPr="00B54584">
        <w:rPr>
          <w:rFonts w:ascii="Times New Roman" w:eastAsia="Calibri" w:hAnsi="Times New Roman" w:cs="Times New Roman"/>
          <w:sz w:val="24"/>
          <w:szCs w:val="24"/>
        </w:rPr>
        <w:t>Quaestum</w:t>
      </w:r>
      <w:proofErr w:type="spellEnd"/>
      <w:r w:rsidRPr="00B54584">
        <w:rPr>
          <w:rFonts w:ascii="Times New Roman" w:eastAsia="Calibri" w:hAnsi="Times New Roman" w:cs="Times New Roman"/>
          <w:sz w:val="24"/>
          <w:szCs w:val="24"/>
        </w:rPr>
        <w:t xml:space="preserve"> </w:t>
      </w:r>
      <w:proofErr w:type="spellStart"/>
      <w:r w:rsidRPr="00B54584">
        <w:rPr>
          <w:rFonts w:ascii="Times New Roman" w:eastAsia="Calibri" w:hAnsi="Times New Roman" w:cs="Times New Roman"/>
          <w:sz w:val="24"/>
          <w:szCs w:val="24"/>
        </w:rPr>
        <w:t>Facit</w:t>
      </w:r>
      <w:proofErr w:type="spellEnd"/>
      <w:r w:rsidRPr="00B54584">
        <w:rPr>
          <w:rFonts w:ascii="Times New Roman" w:eastAsia="Calibri" w:hAnsi="Times New Roman" w:cs="Times New Roman"/>
          <w:sz w:val="24"/>
          <w:szCs w:val="24"/>
        </w:rPr>
        <w:t>: The Sexual Economy of Female Prostitution in the Roman Empire', The Journal of Roman Studies 89, 38-61</w:t>
      </w:r>
    </w:p>
    <w:p w14:paraId="22D5DFE0" w14:textId="1782A7CD" w:rsidR="097244D8" w:rsidRPr="00B54584" w:rsidRDefault="097244D8" w:rsidP="00B54584">
      <w:pPr>
        <w:spacing w:line="276" w:lineRule="auto"/>
        <w:rPr>
          <w:rFonts w:ascii="Times New Roman" w:hAnsi="Times New Roman" w:cs="Times New Roman"/>
          <w:sz w:val="24"/>
          <w:szCs w:val="24"/>
        </w:rPr>
      </w:pPr>
      <w:r w:rsidRPr="00B54584">
        <w:rPr>
          <w:rFonts w:ascii="Times New Roman" w:eastAsia="Calibri" w:hAnsi="Times New Roman" w:cs="Times New Roman"/>
          <w:sz w:val="24"/>
          <w:szCs w:val="24"/>
        </w:rPr>
        <w:t xml:space="preserve">McCoy, M. 2006. 'The Politics of Prostitution: </w:t>
      </w:r>
      <w:proofErr w:type="spellStart"/>
      <w:r w:rsidRPr="00B54584">
        <w:rPr>
          <w:rFonts w:ascii="Times New Roman" w:eastAsia="Calibri" w:hAnsi="Times New Roman" w:cs="Times New Roman"/>
          <w:sz w:val="24"/>
          <w:szCs w:val="24"/>
        </w:rPr>
        <w:t>Clodia</w:t>
      </w:r>
      <w:proofErr w:type="spellEnd"/>
      <w:r w:rsidRPr="00B54584">
        <w:rPr>
          <w:rFonts w:ascii="Times New Roman" w:eastAsia="Calibri" w:hAnsi="Times New Roman" w:cs="Times New Roman"/>
          <w:sz w:val="24"/>
          <w:szCs w:val="24"/>
        </w:rPr>
        <w:t xml:space="preserve">, Cicero, and Social Order in the Late Roman Republic', in C, A, </w:t>
      </w:r>
      <w:proofErr w:type="spellStart"/>
      <w:r w:rsidRPr="00B54584">
        <w:rPr>
          <w:rFonts w:ascii="Times New Roman" w:eastAsia="Calibri" w:hAnsi="Times New Roman" w:cs="Times New Roman"/>
          <w:sz w:val="24"/>
          <w:szCs w:val="24"/>
        </w:rPr>
        <w:t>Faraone</w:t>
      </w:r>
      <w:proofErr w:type="spellEnd"/>
      <w:r w:rsidRPr="00B54584">
        <w:rPr>
          <w:rFonts w:ascii="Times New Roman" w:eastAsia="Calibri" w:hAnsi="Times New Roman" w:cs="Times New Roman"/>
          <w:sz w:val="24"/>
          <w:szCs w:val="24"/>
        </w:rPr>
        <w:t xml:space="preserve"> and L, K, McClure (eds.), Prostitutes and Courtesans in the Ancient World. Wisconsin: The University of Wisconsin Press, 177-185</w:t>
      </w:r>
    </w:p>
    <w:p w14:paraId="3FC81D79" w14:textId="6D37F1FF" w:rsidR="097244D8" w:rsidRPr="00B54584" w:rsidRDefault="097244D8" w:rsidP="00B54584">
      <w:pPr>
        <w:spacing w:line="276" w:lineRule="auto"/>
        <w:rPr>
          <w:rFonts w:ascii="Times New Roman" w:hAnsi="Times New Roman" w:cs="Times New Roman"/>
          <w:sz w:val="24"/>
          <w:szCs w:val="24"/>
        </w:rPr>
      </w:pPr>
      <w:r w:rsidRPr="00B54584">
        <w:rPr>
          <w:rFonts w:ascii="Times New Roman" w:eastAsia="Calibri" w:hAnsi="Times New Roman" w:cs="Times New Roman"/>
          <w:sz w:val="24"/>
          <w:szCs w:val="24"/>
        </w:rPr>
        <w:t xml:space="preserve">McGinn, T. 2006. 'Zoning Shame in the Roman City', in </w:t>
      </w:r>
      <w:proofErr w:type="gramStart"/>
      <w:r w:rsidRPr="00B54584">
        <w:rPr>
          <w:rFonts w:ascii="Times New Roman" w:eastAsia="Calibri" w:hAnsi="Times New Roman" w:cs="Times New Roman"/>
          <w:sz w:val="24"/>
          <w:szCs w:val="24"/>
        </w:rPr>
        <w:t>C,A</w:t>
      </w:r>
      <w:proofErr w:type="gramEnd"/>
      <w:r w:rsidRPr="00B54584">
        <w:rPr>
          <w:rFonts w:ascii="Times New Roman" w:eastAsia="Calibri" w:hAnsi="Times New Roman" w:cs="Times New Roman"/>
          <w:sz w:val="24"/>
          <w:szCs w:val="24"/>
        </w:rPr>
        <w:t xml:space="preserve">, </w:t>
      </w:r>
      <w:proofErr w:type="spellStart"/>
      <w:r w:rsidRPr="00B54584">
        <w:rPr>
          <w:rFonts w:ascii="Times New Roman" w:eastAsia="Calibri" w:hAnsi="Times New Roman" w:cs="Times New Roman"/>
          <w:sz w:val="24"/>
          <w:szCs w:val="24"/>
        </w:rPr>
        <w:t>Faraone</w:t>
      </w:r>
      <w:proofErr w:type="spellEnd"/>
      <w:r w:rsidRPr="00B54584">
        <w:rPr>
          <w:rFonts w:ascii="Times New Roman" w:eastAsia="Calibri" w:hAnsi="Times New Roman" w:cs="Times New Roman"/>
          <w:sz w:val="24"/>
          <w:szCs w:val="24"/>
        </w:rPr>
        <w:t xml:space="preserve"> and L, K, McClure (eds.), Prostitutes and Courtesans in the Ancient World. Wisconsin: The University of Wisconsin Press, 161-176</w:t>
      </w:r>
    </w:p>
    <w:p w14:paraId="3850B89C" w14:textId="13E8B257" w:rsidR="097244D8" w:rsidRPr="00B54584" w:rsidRDefault="097244D8" w:rsidP="00B54584">
      <w:pPr>
        <w:spacing w:line="276" w:lineRule="auto"/>
        <w:rPr>
          <w:rFonts w:ascii="Times New Roman" w:hAnsi="Times New Roman" w:cs="Times New Roman"/>
          <w:sz w:val="24"/>
          <w:szCs w:val="24"/>
        </w:rPr>
      </w:pPr>
      <w:r w:rsidRPr="00B54584">
        <w:rPr>
          <w:rFonts w:ascii="Times New Roman" w:eastAsia="Calibri" w:hAnsi="Times New Roman" w:cs="Times New Roman"/>
          <w:sz w:val="24"/>
          <w:szCs w:val="24"/>
        </w:rPr>
        <w:t>Olson, K. 2006. '</w:t>
      </w:r>
      <w:proofErr w:type="spellStart"/>
      <w:r w:rsidRPr="00B54584">
        <w:rPr>
          <w:rFonts w:ascii="Times New Roman" w:eastAsia="Calibri" w:hAnsi="Times New Roman" w:cs="Times New Roman"/>
          <w:sz w:val="24"/>
          <w:szCs w:val="24"/>
        </w:rPr>
        <w:t>Matrona</w:t>
      </w:r>
      <w:proofErr w:type="spellEnd"/>
      <w:r w:rsidRPr="00B54584">
        <w:rPr>
          <w:rFonts w:ascii="Times New Roman" w:eastAsia="Calibri" w:hAnsi="Times New Roman" w:cs="Times New Roman"/>
          <w:sz w:val="24"/>
          <w:szCs w:val="24"/>
        </w:rPr>
        <w:t xml:space="preserve"> and Whore: Clothing Definition in Roman Antiquity', in C, A, </w:t>
      </w:r>
      <w:proofErr w:type="spellStart"/>
      <w:r w:rsidRPr="00B54584">
        <w:rPr>
          <w:rFonts w:ascii="Times New Roman" w:eastAsia="Calibri" w:hAnsi="Times New Roman" w:cs="Times New Roman"/>
          <w:sz w:val="24"/>
          <w:szCs w:val="24"/>
        </w:rPr>
        <w:t>Faraone</w:t>
      </w:r>
      <w:proofErr w:type="spellEnd"/>
      <w:r w:rsidRPr="00B54584">
        <w:rPr>
          <w:rFonts w:ascii="Times New Roman" w:eastAsia="Calibri" w:hAnsi="Times New Roman" w:cs="Times New Roman"/>
          <w:sz w:val="24"/>
          <w:szCs w:val="24"/>
        </w:rPr>
        <w:t xml:space="preserve"> and L, K, McClure (eds.), Prostitutes and Courtesans in the Ancient World. Wisconsin: The University of Wisconsin Press, 186-204</w:t>
      </w:r>
    </w:p>
    <w:p w14:paraId="2136F89C" w14:textId="26713B38" w:rsidR="097244D8" w:rsidRPr="00B54584" w:rsidRDefault="097244D8" w:rsidP="00B54584">
      <w:pPr>
        <w:spacing w:line="276" w:lineRule="auto"/>
        <w:rPr>
          <w:rFonts w:ascii="Times New Roman" w:hAnsi="Times New Roman" w:cs="Times New Roman"/>
          <w:sz w:val="24"/>
          <w:szCs w:val="24"/>
        </w:rPr>
      </w:pPr>
      <w:r w:rsidRPr="00B54584">
        <w:rPr>
          <w:rFonts w:ascii="Times New Roman" w:eastAsia="Calibri" w:hAnsi="Times New Roman" w:cs="Times New Roman"/>
          <w:sz w:val="24"/>
          <w:szCs w:val="24"/>
        </w:rPr>
        <w:t xml:space="preserve">Parker, H, N. 1997. 'The Teratogenic Grid', in J, P, </w:t>
      </w:r>
      <w:proofErr w:type="spellStart"/>
      <w:r w:rsidRPr="00B54584">
        <w:rPr>
          <w:rFonts w:ascii="Times New Roman" w:eastAsia="Calibri" w:hAnsi="Times New Roman" w:cs="Times New Roman"/>
          <w:sz w:val="24"/>
          <w:szCs w:val="24"/>
        </w:rPr>
        <w:t>Hallet</w:t>
      </w:r>
      <w:proofErr w:type="spellEnd"/>
      <w:r w:rsidRPr="00B54584">
        <w:rPr>
          <w:rFonts w:ascii="Times New Roman" w:eastAsia="Calibri" w:hAnsi="Times New Roman" w:cs="Times New Roman"/>
          <w:sz w:val="24"/>
          <w:szCs w:val="24"/>
        </w:rPr>
        <w:t xml:space="preserve"> and M, B, Skinner (eds.), Roman Sexualities. New Jersey: Princeton University Press, 47-65</w:t>
      </w:r>
    </w:p>
    <w:p w14:paraId="695841AB" w14:textId="759007AF" w:rsidR="097244D8" w:rsidRPr="00B54584" w:rsidRDefault="097244D8" w:rsidP="00B54584">
      <w:pPr>
        <w:spacing w:line="276" w:lineRule="auto"/>
        <w:rPr>
          <w:rFonts w:ascii="Times New Roman" w:hAnsi="Times New Roman" w:cs="Times New Roman"/>
          <w:sz w:val="24"/>
          <w:szCs w:val="24"/>
        </w:rPr>
      </w:pPr>
      <w:r w:rsidRPr="00B54584">
        <w:rPr>
          <w:rFonts w:ascii="Times New Roman" w:eastAsia="Calibri" w:hAnsi="Times New Roman" w:cs="Times New Roman"/>
          <w:sz w:val="24"/>
          <w:szCs w:val="24"/>
        </w:rPr>
        <w:t>Stark, R. 1996. The Rise of Christianity: A Sociologist Reconsiders History. New Jersey: Princeton University Press</w:t>
      </w:r>
      <w:bookmarkStart w:id="0" w:name="_GoBack"/>
      <w:bookmarkEnd w:id="0"/>
    </w:p>
    <w:p w14:paraId="2908DEB7" w14:textId="279B299D" w:rsidR="097244D8" w:rsidRPr="00B54584" w:rsidRDefault="097244D8" w:rsidP="00B54584">
      <w:pPr>
        <w:spacing w:line="276" w:lineRule="auto"/>
        <w:rPr>
          <w:rFonts w:ascii="Times New Roman" w:eastAsia="Calibri" w:hAnsi="Times New Roman" w:cs="Times New Roman"/>
          <w:sz w:val="24"/>
          <w:szCs w:val="24"/>
        </w:rPr>
      </w:pPr>
    </w:p>
    <w:p w14:paraId="7F934A4D" w14:textId="5FC4BA15" w:rsidR="097244D8" w:rsidRPr="00B54584" w:rsidRDefault="097244D8" w:rsidP="00B54584">
      <w:pPr>
        <w:spacing w:line="276" w:lineRule="auto"/>
        <w:rPr>
          <w:rFonts w:ascii="Times New Roman" w:eastAsia="Calibri" w:hAnsi="Times New Roman" w:cs="Times New Roman"/>
          <w:sz w:val="24"/>
          <w:szCs w:val="24"/>
        </w:rPr>
      </w:pPr>
    </w:p>
    <w:sectPr w:rsidR="097244D8" w:rsidRPr="00B5458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753D21" w14:textId="77777777" w:rsidR="00000000" w:rsidRDefault="00721941">
      <w:pPr>
        <w:spacing w:after="0" w:line="240" w:lineRule="auto"/>
      </w:pPr>
      <w:r>
        <w:separator/>
      </w:r>
    </w:p>
  </w:endnote>
  <w:endnote w:type="continuationSeparator" w:id="0">
    <w:p w14:paraId="29455EBD" w14:textId="77777777" w:rsidR="00000000" w:rsidRDefault="00721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219B75" w14:textId="746D6291" w:rsidR="097244D8" w:rsidRDefault="097244D8">
      <w:pPr>
        <w:spacing w:after="0" w:line="240" w:lineRule="auto"/>
      </w:pPr>
      <w:r>
        <w:separator/>
      </w:r>
    </w:p>
  </w:footnote>
  <w:footnote w:type="continuationSeparator" w:id="0">
    <w:p w14:paraId="163C280F" w14:textId="5713792C" w:rsidR="097244D8" w:rsidRDefault="097244D8">
      <w:pPr>
        <w:spacing w:after="0" w:line="240" w:lineRule="auto"/>
      </w:pPr>
      <w:r>
        <w:continuationSeparator/>
      </w:r>
    </w:p>
  </w:footnote>
  <w:footnote w:id="1">
    <w:p w14:paraId="7C90D8D3" w14:textId="32FECB8E" w:rsidR="097244D8" w:rsidRPr="00B54584" w:rsidRDefault="097244D8" w:rsidP="097244D8">
      <w:pPr>
        <w:rPr>
          <w:rFonts w:ascii="Times New Roman" w:hAnsi="Times New Roman" w:cs="Times New Roman"/>
          <w:sz w:val="24"/>
          <w:szCs w:val="24"/>
        </w:rPr>
      </w:pPr>
      <w:r w:rsidRPr="00B54584">
        <w:rPr>
          <w:rStyle w:val="FootnoteReference"/>
          <w:rFonts w:ascii="Times New Roman" w:hAnsi="Times New Roman" w:cs="Times New Roman"/>
          <w:sz w:val="24"/>
          <w:szCs w:val="24"/>
        </w:rPr>
        <w:footnoteRef/>
      </w:r>
      <w:r w:rsidRPr="00B54584">
        <w:rPr>
          <w:rFonts w:ascii="Times New Roman" w:hAnsi="Times New Roman" w:cs="Times New Roman"/>
          <w:sz w:val="24"/>
          <w:szCs w:val="24"/>
        </w:rPr>
        <w:t xml:space="preserve"> Parker, H, N. 1997. 47</w:t>
      </w:r>
    </w:p>
  </w:footnote>
  <w:footnote w:id="2">
    <w:p w14:paraId="418A47BF" w14:textId="0EE5B7B0" w:rsidR="097244D8" w:rsidRPr="00B54584" w:rsidRDefault="097244D8" w:rsidP="097244D8">
      <w:pPr>
        <w:rPr>
          <w:rFonts w:ascii="Times New Roman" w:hAnsi="Times New Roman" w:cs="Times New Roman"/>
          <w:sz w:val="24"/>
          <w:szCs w:val="24"/>
        </w:rPr>
      </w:pPr>
      <w:r w:rsidRPr="00B54584">
        <w:rPr>
          <w:rStyle w:val="FootnoteReference"/>
          <w:rFonts w:ascii="Times New Roman" w:hAnsi="Times New Roman" w:cs="Times New Roman"/>
          <w:sz w:val="24"/>
          <w:szCs w:val="24"/>
        </w:rPr>
        <w:footnoteRef/>
      </w:r>
      <w:r w:rsidRPr="00B54584">
        <w:rPr>
          <w:rFonts w:ascii="Times New Roman" w:hAnsi="Times New Roman" w:cs="Times New Roman"/>
          <w:sz w:val="24"/>
          <w:szCs w:val="24"/>
        </w:rPr>
        <w:t xml:space="preserve"> McGinn, T. 2006. Page 169</w:t>
      </w:r>
    </w:p>
  </w:footnote>
  <w:footnote w:id="3">
    <w:p w14:paraId="76D5F97B" w14:textId="5E503A9C" w:rsidR="097244D8" w:rsidRDefault="097244D8" w:rsidP="097244D8">
      <w:pPr>
        <w:pStyle w:val="FootnoteText"/>
      </w:pPr>
      <w:r w:rsidRPr="00B54584">
        <w:rPr>
          <w:rStyle w:val="FootnoteReference"/>
          <w:rFonts w:ascii="Times New Roman" w:hAnsi="Times New Roman" w:cs="Times New Roman"/>
          <w:sz w:val="24"/>
          <w:szCs w:val="24"/>
        </w:rPr>
        <w:footnoteRef/>
      </w:r>
      <w:r w:rsidRPr="00B54584">
        <w:rPr>
          <w:rFonts w:ascii="Times New Roman" w:hAnsi="Times New Roman" w:cs="Times New Roman"/>
          <w:sz w:val="24"/>
          <w:szCs w:val="24"/>
        </w:rPr>
        <w:t xml:space="preserve"> "Nudity was the marker of the lowest whore, a woman who was said to</w:t>
      </w:r>
      <w:r w:rsidR="004F5509" w:rsidRPr="00B54584">
        <w:rPr>
          <w:rFonts w:ascii="Times New Roman" w:hAnsi="Times New Roman" w:cs="Times New Roman"/>
          <w:sz w:val="24"/>
          <w:szCs w:val="24"/>
        </w:rPr>
        <w:t xml:space="preserve"> be ready for any kind of lust"</w:t>
      </w:r>
      <w:r w:rsidRPr="00B54584">
        <w:rPr>
          <w:rFonts w:ascii="Times New Roman" w:hAnsi="Times New Roman" w:cs="Times New Roman"/>
          <w:sz w:val="24"/>
          <w:szCs w:val="24"/>
        </w:rPr>
        <w:t xml:space="preserve"> Olson, 2006, p195</w:t>
      </w:r>
    </w:p>
  </w:footnote>
  <w:footnote w:id="4">
    <w:p w14:paraId="50FDD78E" w14:textId="5EDA0BE5" w:rsidR="097244D8" w:rsidRPr="00B54584" w:rsidRDefault="097244D8" w:rsidP="097244D8">
      <w:pPr>
        <w:pStyle w:val="FootnoteText"/>
        <w:rPr>
          <w:rFonts w:ascii="Times New Roman" w:hAnsi="Times New Roman" w:cs="Times New Roman"/>
          <w:sz w:val="24"/>
          <w:szCs w:val="24"/>
        </w:rPr>
      </w:pPr>
      <w:r w:rsidRPr="00B54584">
        <w:rPr>
          <w:rStyle w:val="FootnoteReference"/>
          <w:rFonts w:ascii="Times New Roman" w:hAnsi="Times New Roman" w:cs="Times New Roman"/>
          <w:sz w:val="24"/>
          <w:szCs w:val="24"/>
        </w:rPr>
        <w:footnoteRef/>
      </w:r>
      <w:r w:rsidRPr="00B54584">
        <w:rPr>
          <w:rFonts w:ascii="Times New Roman" w:hAnsi="Times New Roman" w:cs="Times New Roman"/>
          <w:sz w:val="24"/>
          <w:szCs w:val="24"/>
        </w:rPr>
        <w:t xml:space="preserve"> McCoy, 2006, p177</w:t>
      </w:r>
    </w:p>
  </w:footnote>
  <w:footnote w:id="5">
    <w:p w14:paraId="65C7E004" w14:textId="38E2103E" w:rsidR="097244D8" w:rsidRPr="00B54584" w:rsidRDefault="097244D8" w:rsidP="097244D8">
      <w:pPr>
        <w:pStyle w:val="FootnoteText"/>
        <w:rPr>
          <w:rFonts w:ascii="Times New Roman" w:hAnsi="Times New Roman" w:cs="Times New Roman"/>
          <w:sz w:val="24"/>
          <w:szCs w:val="24"/>
        </w:rPr>
      </w:pPr>
      <w:r w:rsidRPr="00B54584">
        <w:rPr>
          <w:rStyle w:val="FootnoteReference"/>
          <w:rFonts w:ascii="Times New Roman" w:hAnsi="Times New Roman" w:cs="Times New Roman"/>
          <w:sz w:val="24"/>
          <w:szCs w:val="24"/>
        </w:rPr>
        <w:footnoteRef/>
      </w:r>
      <w:r w:rsidRPr="00B54584">
        <w:rPr>
          <w:rFonts w:ascii="Times New Roman" w:hAnsi="Times New Roman" w:cs="Times New Roman"/>
          <w:sz w:val="24"/>
          <w:szCs w:val="24"/>
        </w:rPr>
        <w:t xml:space="preserve"> Fleming, R, 1999, p41</w:t>
      </w:r>
    </w:p>
  </w:footnote>
  <w:footnote w:id="6">
    <w:p w14:paraId="4686E1A5" w14:textId="0DBDFA8A" w:rsidR="097244D8" w:rsidRPr="00B54584" w:rsidRDefault="097244D8" w:rsidP="097244D8">
      <w:pPr>
        <w:pStyle w:val="FootnoteText"/>
        <w:rPr>
          <w:rFonts w:ascii="Times New Roman" w:hAnsi="Times New Roman" w:cs="Times New Roman"/>
          <w:sz w:val="24"/>
          <w:szCs w:val="24"/>
        </w:rPr>
      </w:pPr>
      <w:r w:rsidRPr="00B54584">
        <w:rPr>
          <w:rStyle w:val="FootnoteReference"/>
          <w:rFonts w:ascii="Times New Roman" w:hAnsi="Times New Roman" w:cs="Times New Roman"/>
          <w:sz w:val="24"/>
          <w:szCs w:val="24"/>
        </w:rPr>
        <w:footnoteRef/>
      </w:r>
      <w:r w:rsidRPr="00B54584">
        <w:rPr>
          <w:rFonts w:ascii="Times New Roman" w:hAnsi="Times New Roman" w:cs="Times New Roman"/>
          <w:sz w:val="24"/>
          <w:szCs w:val="24"/>
        </w:rPr>
        <w:t xml:space="preserve"> Parker, H, N, 1997, p48</w:t>
      </w:r>
    </w:p>
  </w:footnote>
  <w:footnote w:id="7">
    <w:p w14:paraId="6099E322" w14:textId="09163CDF" w:rsidR="097244D8" w:rsidRPr="00B54584" w:rsidRDefault="097244D8" w:rsidP="097244D8">
      <w:pPr>
        <w:pStyle w:val="FootnoteText"/>
        <w:rPr>
          <w:rFonts w:ascii="Times New Roman" w:hAnsi="Times New Roman" w:cs="Times New Roman"/>
          <w:sz w:val="24"/>
          <w:szCs w:val="24"/>
        </w:rPr>
      </w:pPr>
      <w:r w:rsidRPr="00B54584">
        <w:rPr>
          <w:rStyle w:val="FootnoteReference"/>
          <w:rFonts w:ascii="Times New Roman" w:hAnsi="Times New Roman" w:cs="Times New Roman"/>
          <w:sz w:val="24"/>
          <w:szCs w:val="24"/>
        </w:rPr>
        <w:footnoteRef/>
      </w:r>
      <w:r w:rsidRPr="00B54584">
        <w:rPr>
          <w:rFonts w:ascii="Times New Roman" w:hAnsi="Times New Roman" w:cs="Times New Roman"/>
          <w:sz w:val="24"/>
          <w:szCs w:val="24"/>
        </w:rPr>
        <w:t xml:space="preserve"> Parker, H, N, 1997, p50</w:t>
      </w:r>
    </w:p>
  </w:footnote>
  <w:footnote w:id="8">
    <w:p w14:paraId="596A8B06" w14:textId="11EA2B8C" w:rsidR="097244D8" w:rsidRDefault="097244D8" w:rsidP="097244D8">
      <w:pPr>
        <w:pStyle w:val="FootnoteText"/>
      </w:pPr>
      <w:r w:rsidRPr="00B54584">
        <w:rPr>
          <w:rStyle w:val="FootnoteReference"/>
          <w:rFonts w:ascii="Times New Roman" w:hAnsi="Times New Roman" w:cs="Times New Roman"/>
          <w:sz w:val="24"/>
          <w:szCs w:val="24"/>
        </w:rPr>
        <w:footnoteRef/>
      </w:r>
      <w:r w:rsidRPr="00B54584">
        <w:rPr>
          <w:rFonts w:ascii="Times New Roman" w:hAnsi="Times New Roman" w:cs="Times New Roman"/>
          <w:sz w:val="24"/>
          <w:szCs w:val="24"/>
        </w:rPr>
        <w:t xml:space="preserve"> Parker, H, N, 1997, p54</w:t>
      </w:r>
    </w:p>
  </w:footnote>
  <w:footnote w:id="9">
    <w:p w14:paraId="0F2536E0" w14:textId="33BFFFB4" w:rsidR="097244D8" w:rsidRDefault="097244D8" w:rsidP="097244D8">
      <w:pPr>
        <w:pStyle w:val="FootnoteText"/>
      </w:pPr>
      <w:r w:rsidRPr="097244D8">
        <w:rPr>
          <w:rStyle w:val="FootnoteReference"/>
        </w:rPr>
        <w:footnoteRef/>
      </w:r>
      <w:r>
        <w:t xml:space="preserve"> </w:t>
      </w:r>
      <w:r w:rsidRPr="00B54584">
        <w:rPr>
          <w:rFonts w:ascii="Times New Roman" w:hAnsi="Times New Roman" w:cs="Times New Roman"/>
          <w:sz w:val="24"/>
          <w:szCs w:val="24"/>
        </w:rPr>
        <w:t>Parker, H, N, 1997, p54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SzMDM1tzC0NDO0tLRQ0lEKTi0uzszPAykwrAUA/XdLtywAAAA="/>
  </w:docVars>
  <w:rsids>
    <w:rsidRoot w:val="751F55E8"/>
    <w:rsid w:val="004F5509"/>
    <w:rsid w:val="00721941"/>
    <w:rsid w:val="00B54584"/>
    <w:rsid w:val="00B720BC"/>
    <w:rsid w:val="097244D8"/>
    <w:rsid w:val="1818D4AF"/>
    <w:rsid w:val="69453932"/>
    <w:rsid w:val="751F5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8D4AF"/>
  <w15:chartTrackingRefBased/>
  <w15:docId w15:val="{4DBEAA54-7F4F-4A33-8DEA-C0A96E572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1114</Words>
  <Characters>6355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cp:lastModifiedBy>
  <cp:revision>2</cp:revision>
  <dcterms:created xsi:type="dcterms:W3CDTF">2018-05-01T22:21:00Z</dcterms:created>
  <dcterms:modified xsi:type="dcterms:W3CDTF">2018-05-01T22:21:00Z</dcterms:modified>
</cp:coreProperties>
</file>