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305E6C" w:rsidP="6E5B3B39" w:rsidRDefault="67305E6C" w14:paraId="64A52540" w14:textId="1558A431">
      <w:pPr>
        <w:pStyle w:val="Normal"/>
        <w:spacing w:line="360" w:lineRule="auto"/>
        <w:jc w:val="both"/>
        <w:rPr>
          <w:rFonts w:ascii="Arial" w:hAnsi="Arial" w:eastAsia="Arial" w:cs="Arial"/>
          <w:b w:val="0"/>
          <w:bCs w:val="0"/>
          <w:noProof w:val="0"/>
          <w:sz w:val="22"/>
          <w:szCs w:val="22"/>
          <w:lang w:val="en-US"/>
        </w:rPr>
      </w:pPr>
      <w:r w:rsidRPr="4DA97AE3" w:rsidR="04E4E664">
        <w:rPr>
          <w:rFonts w:ascii="Arial" w:hAnsi="Arial" w:eastAsia="Arial" w:cs="Arial"/>
          <w:noProof w:val="0"/>
          <w:sz w:val="22"/>
          <w:szCs w:val="22"/>
          <w:lang w:val="en-US"/>
        </w:rPr>
        <w:t xml:space="preserve">                             </w:t>
      </w:r>
      <w:r w:rsidRPr="4DA97AE3" w:rsidR="04E4E664">
        <w:rPr>
          <w:rFonts w:ascii="Arial" w:hAnsi="Arial" w:eastAsia="Arial" w:cs="Arial"/>
          <w:b w:val="1"/>
          <w:bCs w:val="1"/>
          <w:noProof w:val="0"/>
          <w:sz w:val="22"/>
          <w:szCs w:val="22"/>
          <w:lang w:val="en-US"/>
        </w:rPr>
        <w:t xml:space="preserve">Student Name: </w:t>
      </w:r>
      <w:r w:rsidRPr="4DA97AE3" w:rsidR="14D67A74">
        <w:rPr>
          <w:rFonts w:ascii="Arial" w:hAnsi="Arial" w:eastAsia="Arial" w:cs="Arial"/>
          <w:b w:val="0"/>
          <w:bCs w:val="0"/>
          <w:noProof w:val="0"/>
          <w:sz w:val="22"/>
          <w:szCs w:val="22"/>
          <w:lang w:val="en-US"/>
        </w:rPr>
        <w:t>Naomi Lubanza Kihani</w:t>
      </w:r>
    </w:p>
    <w:p w:rsidR="14D67A74" w:rsidP="4DA97AE3" w:rsidRDefault="14D67A74" w14:paraId="45BDDF53" w14:textId="5822CA35">
      <w:pPr>
        <w:pStyle w:val="Normal"/>
        <w:spacing w:line="360" w:lineRule="auto"/>
        <w:jc w:val="both"/>
        <w:rPr>
          <w:rFonts w:ascii="Arial" w:hAnsi="Arial" w:eastAsia="Arial" w:cs="Arial"/>
          <w:b w:val="0"/>
          <w:bCs w:val="0"/>
          <w:noProof w:val="0"/>
          <w:sz w:val="22"/>
          <w:szCs w:val="22"/>
          <w:lang w:val="en-US"/>
        </w:rPr>
      </w:pPr>
      <w:r w:rsidRPr="4DA97AE3" w:rsidR="14D67A74">
        <w:rPr>
          <w:rFonts w:ascii="Arial" w:hAnsi="Arial" w:eastAsia="Arial" w:cs="Arial"/>
          <w:b w:val="0"/>
          <w:bCs w:val="0"/>
          <w:noProof w:val="0"/>
          <w:sz w:val="22"/>
          <w:szCs w:val="22"/>
          <w:lang w:val="en-US"/>
        </w:rPr>
        <w:t xml:space="preserve">                                </w:t>
      </w:r>
      <w:r w:rsidRPr="4DA97AE3" w:rsidR="14D67A74">
        <w:rPr>
          <w:rFonts w:ascii="Arial" w:hAnsi="Arial" w:eastAsia="Arial" w:cs="Arial"/>
          <w:b w:val="1"/>
          <w:bCs w:val="1"/>
          <w:noProof w:val="0"/>
          <w:sz w:val="22"/>
          <w:szCs w:val="22"/>
          <w:lang w:val="en-US"/>
        </w:rPr>
        <w:t xml:space="preserve">Student ID Number: </w:t>
      </w:r>
      <w:r w:rsidRPr="4DA97AE3" w:rsidR="23ED63FF">
        <w:rPr>
          <w:rFonts w:ascii="Arial" w:hAnsi="Arial" w:eastAsia="Arial" w:cs="Arial"/>
          <w:b w:val="0"/>
          <w:bCs w:val="0"/>
          <w:noProof w:val="0"/>
          <w:sz w:val="22"/>
          <w:szCs w:val="22"/>
          <w:lang w:val="en-US"/>
        </w:rPr>
        <w:t>2424519</w:t>
      </w:r>
    </w:p>
    <w:p w:rsidR="23ED63FF" w:rsidP="4DA97AE3" w:rsidRDefault="23ED63FF" w14:paraId="1C3A5574" w14:textId="6F8141C8">
      <w:pPr>
        <w:pStyle w:val="Normal"/>
        <w:spacing w:line="360" w:lineRule="auto"/>
        <w:jc w:val="both"/>
        <w:rPr>
          <w:rFonts w:ascii="Arial" w:hAnsi="Arial" w:eastAsia="Arial" w:cs="Arial"/>
          <w:b w:val="0"/>
          <w:bCs w:val="0"/>
          <w:noProof w:val="0"/>
          <w:sz w:val="22"/>
          <w:szCs w:val="22"/>
          <w:lang w:val="en-US"/>
        </w:rPr>
      </w:pPr>
      <w:r w:rsidRPr="4DA97AE3" w:rsidR="23ED63FF">
        <w:rPr>
          <w:rFonts w:ascii="Arial" w:hAnsi="Arial" w:eastAsia="Arial" w:cs="Arial"/>
          <w:b w:val="0"/>
          <w:bCs w:val="0"/>
          <w:noProof w:val="0"/>
          <w:sz w:val="22"/>
          <w:szCs w:val="22"/>
          <w:lang w:val="en-US"/>
        </w:rPr>
        <w:t xml:space="preserve">             </w:t>
      </w:r>
      <w:r>
        <w:tab/>
      </w:r>
      <w:r w:rsidRPr="4DA97AE3" w:rsidR="23ED63FF">
        <w:rPr>
          <w:rFonts w:ascii="Arial" w:hAnsi="Arial" w:eastAsia="Arial" w:cs="Arial"/>
          <w:b w:val="0"/>
          <w:bCs w:val="0"/>
          <w:noProof w:val="0"/>
          <w:sz w:val="22"/>
          <w:szCs w:val="22"/>
          <w:lang w:val="en-US"/>
        </w:rPr>
        <w:t xml:space="preserve"> </w:t>
      </w:r>
      <w:r w:rsidRPr="4DA97AE3" w:rsidR="23ED63FF">
        <w:rPr>
          <w:rFonts w:ascii="Arial" w:hAnsi="Arial" w:eastAsia="Arial" w:cs="Arial"/>
          <w:b w:val="1"/>
          <w:bCs w:val="1"/>
          <w:noProof w:val="0"/>
          <w:sz w:val="22"/>
          <w:szCs w:val="22"/>
          <w:lang w:val="en-US"/>
        </w:rPr>
        <w:t xml:space="preserve">Module: </w:t>
      </w:r>
      <w:r w:rsidRPr="4DA97AE3" w:rsidR="23ED63FF">
        <w:rPr>
          <w:rFonts w:ascii="Arial" w:hAnsi="Arial" w:eastAsia="Arial" w:cs="Arial"/>
          <w:b w:val="0"/>
          <w:bCs w:val="0"/>
          <w:noProof w:val="0"/>
          <w:sz w:val="22"/>
          <w:szCs w:val="22"/>
          <w:lang w:val="en-US"/>
        </w:rPr>
        <w:t xml:space="preserve">Principles </w:t>
      </w:r>
      <w:r w:rsidRPr="4DA97AE3" w:rsidR="003D063D">
        <w:rPr>
          <w:rFonts w:ascii="Arial" w:hAnsi="Arial" w:eastAsia="Arial" w:cs="Arial"/>
          <w:b w:val="0"/>
          <w:bCs w:val="0"/>
          <w:noProof w:val="0"/>
          <w:sz w:val="22"/>
          <w:szCs w:val="22"/>
          <w:lang w:val="en-US"/>
        </w:rPr>
        <w:t>of Health and Social Care</w:t>
      </w:r>
    </w:p>
    <w:p w:rsidR="139C381F" w:rsidP="4DA97AE3" w:rsidRDefault="139C381F" w14:paraId="12A997A1" w14:textId="2CD4EB7A">
      <w:pPr>
        <w:pStyle w:val="Normal"/>
        <w:spacing w:line="360" w:lineRule="auto"/>
        <w:jc w:val="both"/>
        <w:rPr>
          <w:rFonts w:ascii="Arial" w:hAnsi="Arial" w:eastAsia="Arial" w:cs="Arial"/>
          <w:b w:val="0"/>
          <w:bCs w:val="0"/>
          <w:noProof w:val="0"/>
          <w:sz w:val="22"/>
          <w:szCs w:val="22"/>
          <w:lang w:val="en-US"/>
        </w:rPr>
      </w:pPr>
      <w:r w:rsidRPr="4DA97AE3" w:rsidR="139C381F">
        <w:rPr>
          <w:rFonts w:ascii="Arial" w:hAnsi="Arial" w:eastAsia="Arial" w:cs="Arial"/>
          <w:b w:val="0"/>
          <w:bCs w:val="0"/>
          <w:noProof w:val="0"/>
          <w:sz w:val="22"/>
          <w:szCs w:val="22"/>
          <w:lang w:val="en-US"/>
        </w:rPr>
        <w:t xml:space="preserve">                              </w:t>
      </w:r>
      <w:r>
        <w:tab/>
      </w:r>
      <w:r w:rsidRPr="4DA97AE3" w:rsidR="139C381F">
        <w:rPr>
          <w:rFonts w:ascii="Arial" w:hAnsi="Arial" w:eastAsia="Arial" w:cs="Arial"/>
          <w:b w:val="1"/>
          <w:bCs w:val="1"/>
          <w:noProof w:val="0"/>
          <w:sz w:val="22"/>
          <w:szCs w:val="22"/>
          <w:lang w:val="en-US"/>
        </w:rPr>
        <w:t>Module Code</w:t>
      </w:r>
      <w:r w:rsidRPr="4DA97AE3" w:rsidR="1F867630">
        <w:rPr>
          <w:rFonts w:ascii="Arial" w:hAnsi="Arial" w:eastAsia="Arial" w:cs="Arial"/>
          <w:b w:val="1"/>
          <w:bCs w:val="1"/>
          <w:noProof w:val="0"/>
          <w:sz w:val="22"/>
          <w:szCs w:val="22"/>
          <w:lang w:val="en-US"/>
        </w:rPr>
        <w:t xml:space="preserve">: </w:t>
      </w:r>
      <w:r w:rsidRPr="4DA97AE3" w:rsidR="1F867630">
        <w:rPr>
          <w:rFonts w:ascii="Arial" w:hAnsi="Arial" w:eastAsia="Arial" w:cs="Arial"/>
          <w:b w:val="0"/>
          <w:bCs w:val="0"/>
          <w:noProof w:val="0"/>
          <w:sz w:val="22"/>
          <w:szCs w:val="22"/>
          <w:lang w:val="en-US"/>
        </w:rPr>
        <w:t>BMHP5016</w:t>
      </w:r>
      <w:r w:rsidRPr="4DA97AE3" w:rsidR="139C381F">
        <w:rPr>
          <w:rFonts w:ascii="Arial" w:hAnsi="Arial" w:eastAsia="Arial" w:cs="Arial"/>
          <w:b w:val="1"/>
          <w:bCs w:val="1"/>
          <w:noProof w:val="0"/>
          <w:sz w:val="22"/>
          <w:szCs w:val="22"/>
          <w:lang w:val="en-US"/>
        </w:rPr>
        <w:t xml:space="preserve"> </w:t>
      </w:r>
    </w:p>
    <w:p w:rsidR="02515074" w:rsidP="4DA97AE3" w:rsidRDefault="02515074" w14:paraId="38F41E84" w14:textId="20B9B148">
      <w:pPr>
        <w:pStyle w:val="Normal"/>
        <w:spacing w:line="360" w:lineRule="auto"/>
        <w:ind w:left="1440" w:firstLine="720"/>
        <w:jc w:val="both"/>
        <w:rPr>
          <w:rFonts w:ascii="Arial" w:hAnsi="Arial" w:eastAsia="Arial" w:cs="Arial"/>
          <w:b w:val="0"/>
          <w:bCs w:val="0"/>
          <w:noProof w:val="0"/>
          <w:sz w:val="22"/>
          <w:szCs w:val="22"/>
          <w:lang w:val="en-US"/>
        </w:rPr>
      </w:pPr>
      <w:r w:rsidRPr="4DA97AE3" w:rsidR="02515074">
        <w:rPr>
          <w:rFonts w:ascii="Arial" w:hAnsi="Arial" w:eastAsia="Arial" w:cs="Arial"/>
          <w:b w:val="1"/>
          <w:bCs w:val="1"/>
          <w:noProof w:val="0"/>
          <w:sz w:val="22"/>
          <w:szCs w:val="22"/>
          <w:lang w:val="en-US"/>
        </w:rPr>
        <w:t xml:space="preserve">Lecturer: </w:t>
      </w:r>
      <w:r w:rsidRPr="4DA97AE3" w:rsidR="02515074">
        <w:rPr>
          <w:rFonts w:ascii="Arial" w:hAnsi="Arial" w:eastAsia="Arial" w:cs="Arial"/>
          <w:b w:val="0"/>
          <w:bCs w:val="0"/>
          <w:noProof w:val="0"/>
          <w:sz w:val="22"/>
          <w:szCs w:val="22"/>
          <w:lang w:val="en-US"/>
        </w:rPr>
        <w:t>Tsiwani</w:t>
      </w:r>
      <w:r w:rsidRPr="4DA97AE3" w:rsidR="02515074">
        <w:rPr>
          <w:rFonts w:ascii="Arial" w:hAnsi="Arial" w:eastAsia="Arial" w:cs="Arial"/>
          <w:b w:val="0"/>
          <w:bCs w:val="0"/>
          <w:noProof w:val="0"/>
          <w:sz w:val="22"/>
          <w:szCs w:val="22"/>
          <w:lang w:val="en-US"/>
        </w:rPr>
        <w:t xml:space="preserve"> Khumalo</w:t>
      </w:r>
    </w:p>
    <w:p w:rsidR="5B4AB7DF" w:rsidP="4DA97AE3" w:rsidRDefault="5B4AB7DF" w14:paraId="7A303C22" w14:textId="4591C6F6">
      <w:pPr>
        <w:pStyle w:val="Normal"/>
        <w:spacing w:line="360" w:lineRule="auto"/>
        <w:ind w:left="720" w:firstLine="0"/>
        <w:jc w:val="both"/>
        <w:rPr>
          <w:rFonts w:ascii="Arial" w:hAnsi="Arial" w:eastAsia="Arial" w:cs="Arial"/>
          <w:b w:val="0"/>
          <w:bCs w:val="0"/>
          <w:noProof w:val="0"/>
          <w:sz w:val="22"/>
          <w:szCs w:val="22"/>
          <w:lang w:val="en-US"/>
        </w:rPr>
      </w:pPr>
      <w:r w:rsidRPr="4DA97AE3" w:rsidR="5B4AB7DF">
        <w:rPr>
          <w:rFonts w:ascii="Arial" w:hAnsi="Arial" w:eastAsia="Arial" w:cs="Arial"/>
          <w:b w:val="1"/>
          <w:bCs w:val="1"/>
          <w:noProof w:val="0"/>
          <w:sz w:val="22"/>
          <w:szCs w:val="22"/>
          <w:lang w:val="en-US"/>
        </w:rPr>
        <w:t xml:space="preserve">     </w:t>
      </w:r>
      <w:r>
        <w:tab/>
      </w:r>
      <w:r w:rsidRPr="4DA97AE3" w:rsidR="0745F28A">
        <w:rPr>
          <w:rFonts w:ascii="Arial" w:hAnsi="Arial" w:eastAsia="Arial" w:cs="Arial"/>
          <w:b w:val="1"/>
          <w:bCs w:val="1"/>
          <w:noProof w:val="0"/>
          <w:sz w:val="22"/>
          <w:szCs w:val="22"/>
          <w:lang w:val="en-US"/>
        </w:rPr>
        <w:t xml:space="preserve">      </w:t>
      </w:r>
      <w:r w:rsidRPr="4DA97AE3" w:rsidR="5B4AB7DF">
        <w:rPr>
          <w:rFonts w:ascii="Arial" w:hAnsi="Arial" w:eastAsia="Arial" w:cs="Arial"/>
          <w:b w:val="1"/>
          <w:bCs w:val="1"/>
          <w:noProof w:val="0"/>
          <w:sz w:val="22"/>
          <w:szCs w:val="22"/>
          <w:lang w:val="en-US"/>
        </w:rPr>
        <w:t xml:space="preserve">Assignment Title: </w:t>
      </w:r>
      <w:r w:rsidRPr="4DA97AE3" w:rsidR="5B4AB7DF">
        <w:rPr>
          <w:rFonts w:ascii="Arial" w:hAnsi="Arial" w:eastAsia="Arial" w:cs="Arial"/>
          <w:b w:val="0"/>
          <w:bCs w:val="0"/>
          <w:noProof w:val="0"/>
          <w:sz w:val="22"/>
          <w:szCs w:val="22"/>
          <w:lang w:val="en-US"/>
        </w:rPr>
        <w:t>Reflective Report</w:t>
      </w:r>
      <w:r w:rsidRPr="4DA97AE3" w:rsidR="139C381F">
        <w:rPr>
          <w:rFonts w:ascii="Arial" w:hAnsi="Arial" w:eastAsia="Arial" w:cs="Arial"/>
          <w:b w:val="1"/>
          <w:bCs w:val="1"/>
          <w:noProof w:val="0"/>
          <w:sz w:val="22"/>
          <w:szCs w:val="22"/>
          <w:lang w:val="en-US"/>
        </w:rPr>
        <w:t xml:space="preserve"> </w:t>
      </w:r>
    </w:p>
    <w:p w:rsidR="4DA97AE3" w:rsidP="4DA97AE3" w:rsidRDefault="4DA97AE3" w14:paraId="42ABB872" w14:textId="75FBDA29">
      <w:pPr>
        <w:pStyle w:val="Normal"/>
        <w:spacing w:line="360" w:lineRule="auto"/>
        <w:ind w:left="720" w:firstLine="0"/>
        <w:jc w:val="both"/>
        <w:rPr>
          <w:rFonts w:ascii="Arial" w:hAnsi="Arial" w:eastAsia="Arial" w:cs="Arial"/>
          <w:b w:val="1"/>
          <w:bCs w:val="1"/>
          <w:noProof w:val="0"/>
          <w:sz w:val="22"/>
          <w:szCs w:val="22"/>
          <w:lang w:val="en-US"/>
        </w:rPr>
      </w:pPr>
    </w:p>
    <w:p w:rsidR="139C381F" w:rsidP="4DA97AE3" w:rsidRDefault="139C381F" w14:paraId="0D47BAD6" w14:textId="33266E6C">
      <w:pPr>
        <w:pStyle w:val="Normal"/>
        <w:spacing w:line="360" w:lineRule="auto"/>
        <w:jc w:val="both"/>
        <w:rPr>
          <w:rFonts w:ascii="Arial" w:hAnsi="Arial" w:eastAsia="Arial" w:cs="Arial"/>
          <w:b w:val="0"/>
          <w:bCs w:val="0"/>
          <w:noProof w:val="0"/>
          <w:sz w:val="22"/>
          <w:szCs w:val="22"/>
          <w:lang w:val="en-US"/>
        </w:rPr>
      </w:pPr>
      <w:r w:rsidRPr="4DA97AE3" w:rsidR="139C381F">
        <w:rPr>
          <w:rFonts w:ascii="Arial" w:hAnsi="Arial" w:eastAsia="Arial" w:cs="Arial"/>
          <w:b w:val="1"/>
          <w:bCs w:val="1"/>
          <w:noProof w:val="0"/>
          <w:sz w:val="22"/>
          <w:szCs w:val="22"/>
          <w:lang w:val="en-US"/>
        </w:rPr>
        <w:t xml:space="preserve">    </w:t>
      </w:r>
      <w:r>
        <w:tab/>
      </w:r>
    </w:p>
    <w:p w:rsidR="4DA97AE3" w:rsidP="4DA97AE3" w:rsidRDefault="4DA97AE3" w14:paraId="5EA02AC3" w14:textId="099447BD">
      <w:pPr>
        <w:pStyle w:val="Normal"/>
        <w:spacing w:line="360" w:lineRule="auto"/>
        <w:jc w:val="both"/>
        <w:rPr>
          <w:rFonts w:ascii="Arial" w:hAnsi="Arial" w:eastAsia="Arial" w:cs="Arial"/>
          <w:b w:val="0"/>
          <w:bCs w:val="0"/>
          <w:noProof w:val="0"/>
          <w:sz w:val="22"/>
          <w:szCs w:val="22"/>
          <w:lang w:val="en-US"/>
        </w:rPr>
      </w:pPr>
    </w:p>
    <w:p w:rsidR="6E5B3B39" w:rsidP="6E5B3B39" w:rsidRDefault="6E5B3B39" w14:paraId="5058EE13" w14:textId="5A1606F2">
      <w:pPr>
        <w:pStyle w:val="Normal"/>
        <w:spacing w:line="360" w:lineRule="auto"/>
        <w:jc w:val="both"/>
        <w:rPr>
          <w:rFonts w:ascii="Arial" w:hAnsi="Arial" w:eastAsia="Arial" w:cs="Arial"/>
          <w:noProof w:val="0"/>
          <w:sz w:val="22"/>
          <w:szCs w:val="22"/>
          <w:lang w:val="en-US"/>
        </w:rPr>
      </w:pPr>
    </w:p>
    <w:p w:rsidR="6E5B3B39" w:rsidP="6E5B3B39" w:rsidRDefault="6E5B3B39" w14:paraId="68B7AC3C" w14:textId="34C2C7A9">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766C923F" w:rsidP="6E5B3B39" w:rsidRDefault="766C923F" w14:paraId="0C14E1F0" w14:textId="0DE7D2C4">
      <w:pPr>
        <w:pStyle w:val="Normal"/>
        <w:spacing w:line="360" w:lineRule="auto"/>
        <w:ind w:left="0"/>
        <w:jc w:val="both"/>
        <w:rPr>
          <w:rFonts w:ascii="Arial" w:hAnsi="Arial" w:eastAsia="Arial" w:cs="Arial"/>
          <w:b w:val="1"/>
          <w:bCs w:val="1"/>
          <w:noProof w:val="0"/>
          <w:sz w:val="22"/>
          <w:szCs w:val="22"/>
          <w:lang w:val="en-US"/>
        </w:rPr>
      </w:pPr>
      <w:r w:rsidRPr="6E5B3B39" w:rsidR="766C923F">
        <w:rPr>
          <w:rFonts w:ascii="Arial" w:hAnsi="Arial" w:eastAsia="Arial" w:cs="Arial"/>
          <w:b w:val="1"/>
          <w:bCs w:val="1"/>
          <w:noProof w:val="0"/>
          <w:sz w:val="22"/>
          <w:szCs w:val="22"/>
          <w:lang w:val="en-US"/>
        </w:rPr>
        <w:t>TABLE OF CONTENTS</w:t>
      </w:r>
    </w:p>
    <w:p w:rsidR="44820C8D" w:rsidP="4DA97AE3" w:rsidRDefault="44820C8D" w14:paraId="6EB4A3E0" w14:textId="48E401CD">
      <w:pPr>
        <w:pStyle w:val="ListParagraph"/>
        <w:numPr>
          <w:ilvl w:val="0"/>
          <w:numId w:val="4"/>
        </w:numPr>
        <w:spacing w:line="360" w:lineRule="auto"/>
        <w:jc w:val="both"/>
        <w:rPr>
          <w:rFonts w:ascii="Arial" w:hAnsi="Arial" w:eastAsia="Arial" w:cs="Arial"/>
          <w:noProof w:val="0"/>
          <w:sz w:val="22"/>
          <w:szCs w:val="22"/>
          <w:lang w:val="en-US"/>
        </w:rPr>
      </w:pPr>
      <w:r w:rsidRPr="4DA97AE3" w:rsidR="44820C8D">
        <w:rPr>
          <w:rFonts w:ascii="Arial" w:hAnsi="Arial" w:eastAsia="Arial" w:cs="Arial"/>
          <w:noProof w:val="0"/>
          <w:sz w:val="22"/>
          <w:szCs w:val="22"/>
          <w:lang w:val="en-US"/>
        </w:rPr>
        <w:t>Introduction</w:t>
      </w:r>
      <w:r w:rsidRPr="4DA97AE3" w:rsidR="12FBA6A5">
        <w:rPr>
          <w:rFonts w:ascii="Arial" w:hAnsi="Arial" w:eastAsia="Arial" w:cs="Arial"/>
          <w:noProof w:val="0"/>
          <w:sz w:val="22"/>
          <w:szCs w:val="22"/>
          <w:lang w:val="en-US"/>
        </w:rPr>
        <w:t>......................................................................................................................</w:t>
      </w:r>
      <w:r w:rsidRPr="4DA97AE3" w:rsidR="49E6907A">
        <w:rPr>
          <w:rFonts w:ascii="Arial" w:hAnsi="Arial" w:eastAsia="Arial" w:cs="Arial"/>
          <w:noProof w:val="0"/>
          <w:sz w:val="22"/>
          <w:szCs w:val="22"/>
          <w:lang w:val="en-US"/>
        </w:rPr>
        <w:t>3</w:t>
      </w:r>
    </w:p>
    <w:p w:rsidR="053924AF" w:rsidP="4DA97AE3" w:rsidRDefault="053924AF" w14:paraId="60888AB9" w14:textId="2D4980C6">
      <w:pPr>
        <w:pStyle w:val="ListParagraph"/>
        <w:numPr>
          <w:ilvl w:val="0"/>
          <w:numId w:val="4"/>
        </w:numPr>
        <w:spacing w:line="360" w:lineRule="auto"/>
        <w:ind/>
        <w:jc w:val="both"/>
        <w:rPr/>
      </w:pPr>
      <w:r w:rsidRPr="4DA97AE3" w:rsidR="44820C8D">
        <w:rPr>
          <w:rFonts w:ascii="Arial" w:hAnsi="Arial" w:eastAsia="Arial" w:cs="Arial"/>
          <w:noProof w:val="0"/>
          <w:sz w:val="22"/>
          <w:szCs w:val="22"/>
          <w:lang w:val="en-US"/>
        </w:rPr>
        <w:t>Task 1 – Definitions, Importance</w:t>
      </w:r>
      <w:r w:rsidRPr="4DA97AE3" w:rsidR="0C37A6E5">
        <w:rPr>
          <w:rFonts w:ascii="Arial" w:hAnsi="Arial" w:eastAsia="Arial" w:cs="Arial"/>
          <w:noProof w:val="0"/>
          <w:sz w:val="22"/>
          <w:szCs w:val="22"/>
          <w:lang w:val="en-US"/>
        </w:rPr>
        <w:t xml:space="preserve"> of PCC, PW and Ethics</w:t>
      </w:r>
      <w:r w:rsidRPr="4DA97AE3" w:rsidR="44820C8D">
        <w:rPr>
          <w:rFonts w:ascii="Arial" w:hAnsi="Arial" w:eastAsia="Arial" w:cs="Arial"/>
          <w:noProof w:val="0"/>
          <w:sz w:val="22"/>
          <w:szCs w:val="22"/>
          <w:lang w:val="en-US"/>
        </w:rPr>
        <w:t xml:space="preserve"> in Health and Social Care</w:t>
      </w:r>
      <w:r w:rsidRPr="4DA97AE3" w:rsidR="5C8A6F9D">
        <w:rPr>
          <w:rFonts w:ascii="Arial" w:hAnsi="Arial" w:eastAsia="Arial" w:cs="Arial"/>
          <w:noProof w:val="0"/>
          <w:sz w:val="22"/>
          <w:szCs w:val="22"/>
          <w:lang w:val="en-US"/>
        </w:rPr>
        <w:t>...</w:t>
      </w:r>
      <w:r w:rsidRPr="4DA97AE3" w:rsidR="5CDF65A8">
        <w:rPr>
          <w:rFonts w:ascii="Arial" w:hAnsi="Arial" w:eastAsia="Arial" w:cs="Arial"/>
          <w:noProof w:val="0"/>
          <w:sz w:val="22"/>
          <w:szCs w:val="22"/>
          <w:lang w:val="en-US"/>
        </w:rPr>
        <w:t>..3</w:t>
      </w:r>
      <w:r>
        <w:br/>
      </w:r>
      <w:r w:rsidRPr="4DA97AE3" w:rsidR="44820C8D">
        <w:rPr>
          <w:rFonts w:ascii="Arial" w:hAnsi="Arial" w:eastAsia="Arial" w:cs="Arial"/>
          <w:noProof w:val="0"/>
          <w:sz w:val="22"/>
          <w:szCs w:val="22"/>
          <w:lang w:val="en-US"/>
        </w:rPr>
        <w:t xml:space="preserve"> 2.1 Person-</w:t>
      </w:r>
      <w:r w:rsidRPr="4DA97AE3" w:rsidR="44820C8D">
        <w:rPr>
          <w:rFonts w:ascii="Arial" w:hAnsi="Arial" w:eastAsia="Arial" w:cs="Arial"/>
          <w:noProof w:val="0"/>
          <w:sz w:val="22"/>
          <w:szCs w:val="22"/>
          <w:lang w:val="en-US"/>
        </w:rPr>
        <w:t>Centred</w:t>
      </w:r>
      <w:r w:rsidRPr="4DA97AE3" w:rsidR="44820C8D">
        <w:rPr>
          <w:rFonts w:ascii="Arial" w:hAnsi="Arial" w:eastAsia="Arial" w:cs="Arial"/>
          <w:noProof w:val="0"/>
          <w:sz w:val="22"/>
          <w:szCs w:val="22"/>
          <w:lang w:val="en-US"/>
        </w:rPr>
        <w:t xml:space="preserve"> Care</w:t>
      </w:r>
      <w:r w:rsidRPr="4DA97AE3" w:rsidR="42018BA3">
        <w:rPr>
          <w:rFonts w:ascii="Arial" w:hAnsi="Arial" w:eastAsia="Arial" w:cs="Arial"/>
          <w:noProof w:val="0"/>
          <w:sz w:val="22"/>
          <w:szCs w:val="22"/>
          <w:lang w:val="en-US"/>
        </w:rPr>
        <w:t>................................................................................................3</w:t>
      </w:r>
      <w:r>
        <w:br/>
      </w:r>
      <w:r w:rsidRPr="4DA97AE3" w:rsidR="44820C8D">
        <w:rPr>
          <w:rFonts w:ascii="Arial" w:hAnsi="Arial" w:eastAsia="Arial" w:cs="Arial"/>
          <w:noProof w:val="0"/>
          <w:sz w:val="22"/>
          <w:szCs w:val="22"/>
          <w:lang w:val="en-US"/>
        </w:rPr>
        <w:t xml:space="preserve"> 2.</w:t>
      </w:r>
      <w:r w:rsidRPr="4DA97AE3" w:rsidR="74DFB75A">
        <w:rPr>
          <w:rFonts w:ascii="Arial" w:hAnsi="Arial" w:eastAsia="Arial" w:cs="Arial"/>
          <w:noProof w:val="0"/>
          <w:sz w:val="22"/>
          <w:szCs w:val="22"/>
          <w:lang w:val="en-US"/>
        </w:rPr>
        <w:t>2 Partnership Working..................................................................................................4</w:t>
      </w:r>
      <w:r>
        <w:br/>
      </w:r>
      <w:r w:rsidRPr="4DA97AE3" w:rsidR="44820C8D">
        <w:rPr>
          <w:rFonts w:ascii="Arial" w:hAnsi="Arial" w:eastAsia="Arial" w:cs="Arial"/>
          <w:noProof w:val="0"/>
          <w:sz w:val="22"/>
          <w:szCs w:val="22"/>
          <w:lang w:val="en-US"/>
        </w:rPr>
        <w:t xml:space="preserve"> 2.</w:t>
      </w:r>
      <w:r w:rsidRPr="4DA97AE3" w:rsidR="7C3E3D63">
        <w:rPr>
          <w:rFonts w:ascii="Arial" w:hAnsi="Arial" w:eastAsia="Arial" w:cs="Arial"/>
          <w:noProof w:val="0"/>
          <w:sz w:val="22"/>
          <w:szCs w:val="22"/>
          <w:lang w:val="en-US"/>
        </w:rPr>
        <w:t>3 Ethics.....................................................................................................................4- 5</w:t>
      </w:r>
    </w:p>
    <w:p w:rsidR="44820C8D" w:rsidP="6E5B3B39" w:rsidRDefault="44820C8D" w14:paraId="653B6105" w14:textId="71249C91">
      <w:pPr>
        <w:pStyle w:val="ListParagraph"/>
        <w:numPr>
          <w:ilvl w:val="0"/>
          <w:numId w:val="4"/>
        </w:numPr>
        <w:spacing w:line="360" w:lineRule="auto"/>
        <w:jc w:val="both"/>
        <w:rPr>
          <w:rFonts w:ascii="Arial" w:hAnsi="Arial" w:eastAsia="Arial" w:cs="Arial"/>
          <w:noProof w:val="0"/>
          <w:sz w:val="22"/>
          <w:szCs w:val="22"/>
          <w:lang w:val="en-US"/>
        </w:rPr>
      </w:pPr>
      <w:r w:rsidRPr="4DA97AE3" w:rsidR="44820C8D">
        <w:rPr>
          <w:rFonts w:ascii="Arial" w:hAnsi="Arial" w:eastAsia="Arial" w:cs="Arial"/>
          <w:noProof w:val="0"/>
          <w:sz w:val="22"/>
          <w:szCs w:val="22"/>
          <w:lang w:val="en-US"/>
        </w:rPr>
        <w:t>Task 2 – Practical Application to Joan’s Case</w:t>
      </w:r>
      <w:r w:rsidRPr="4DA97AE3" w:rsidR="33006301">
        <w:rPr>
          <w:rFonts w:ascii="Arial" w:hAnsi="Arial" w:eastAsia="Arial" w:cs="Arial"/>
          <w:noProof w:val="0"/>
          <w:sz w:val="22"/>
          <w:szCs w:val="22"/>
          <w:lang w:val="en-US"/>
        </w:rPr>
        <w:t>..................................................................6</w:t>
      </w:r>
      <w:r>
        <w:br/>
      </w:r>
      <w:r w:rsidRPr="4DA97AE3" w:rsidR="44820C8D">
        <w:rPr>
          <w:rFonts w:ascii="Arial" w:hAnsi="Arial" w:eastAsia="Arial" w:cs="Arial"/>
          <w:noProof w:val="0"/>
          <w:sz w:val="22"/>
          <w:szCs w:val="22"/>
          <w:lang w:val="en-US"/>
        </w:rPr>
        <w:t xml:space="preserve"> 3.1 Person-</w:t>
      </w:r>
      <w:r w:rsidRPr="4DA97AE3" w:rsidR="44820C8D">
        <w:rPr>
          <w:rFonts w:ascii="Arial" w:hAnsi="Arial" w:eastAsia="Arial" w:cs="Arial"/>
          <w:noProof w:val="0"/>
          <w:sz w:val="22"/>
          <w:szCs w:val="22"/>
          <w:lang w:val="en-US"/>
        </w:rPr>
        <w:t>Centred</w:t>
      </w:r>
      <w:r w:rsidRPr="4DA97AE3" w:rsidR="44820C8D">
        <w:rPr>
          <w:rFonts w:ascii="Arial" w:hAnsi="Arial" w:eastAsia="Arial" w:cs="Arial"/>
          <w:noProof w:val="0"/>
          <w:sz w:val="22"/>
          <w:szCs w:val="22"/>
          <w:lang w:val="en-US"/>
        </w:rPr>
        <w:t xml:space="preserve"> Care in Practice</w:t>
      </w:r>
      <w:r w:rsidRPr="4DA97AE3" w:rsidR="64D71D5D">
        <w:rPr>
          <w:rFonts w:ascii="Arial" w:hAnsi="Arial" w:eastAsia="Arial" w:cs="Arial"/>
          <w:noProof w:val="0"/>
          <w:sz w:val="22"/>
          <w:szCs w:val="22"/>
          <w:lang w:val="en-US"/>
        </w:rPr>
        <w:t>...............................................................................6</w:t>
      </w:r>
      <w:r>
        <w:br/>
      </w:r>
      <w:r w:rsidRPr="4DA97AE3" w:rsidR="44820C8D">
        <w:rPr>
          <w:rFonts w:ascii="Arial" w:hAnsi="Arial" w:eastAsia="Arial" w:cs="Arial"/>
          <w:noProof w:val="0"/>
          <w:sz w:val="22"/>
          <w:szCs w:val="22"/>
          <w:lang w:val="en-US"/>
        </w:rPr>
        <w:t xml:space="preserve"> </w:t>
      </w:r>
      <w:r w:rsidRPr="4DA97AE3" w:rsidR="44820C8D">
        <w:rPr>
          <w:rFonts w:ascii="Arial" w:hAnsi="Arial" w:eastAsia="Arial" w:cs="Arial"/>
          <w:noProof w:val="0"/>
          <w:sz w:val="22"/>
          <w:szCs w:val="22"/>
          <w:lang w:val="en-US"/>
        </w:rPr>
        <w:t>3.</w:t>
      </w:r>
      <w:r w:rsidRPr="4DA97AE3" w:rsidR="22978D40">
        <w:rPr>
          <w:rFonts w:ascii="Arial" w:hAnsi="Arial" w:eastAsia="Arial" w:cs="Arial"/>
          <w:noProof w:val="0"/>
          <w:sz w:val="22"/>
          <w:szCs w:val="22"/>
          <w:lang w:val="en-US"/>
        </w:rPr>
        <w:t>2</w:t>
      </w:r>
      <w:r w:rsidRPr="4DA97AE3" w:rsidR="44820C8D">
        <w:rPr>
          <w:rFonts w:ascii="Arial" w:hAnsi="Arial" w:eastAsia="Arial" w:cs="Arial"/>
          <w:noProof w:val="0"/>
          <w:sz w:val="22"/>
          <w:szCs w:val="22"/>
          <w:lang w:val="en-US"/>
        </w:rPr>
        <w:t xml:space="preserve"> Partnership Working and Integrated Care</w:t>
      </w:r>
      <w:r w:rsidRPr="4DA97AE3" w:rsidR="22FB407F">
        <w:rPr>
          <w:rFonts w:ascii="Arial" w:hAnsi="Arial" w:eastAsia="Arial" w:cs="Arial"/>
          <w:noProof w:val="0"/>
          <w:sz w:val="22"/>
          <w:szCs w:val="22"/>
          <w:lang w:val="en-US"/>
        </w:rPr>
        <w:t>................................................................7</w:t>
      </w:r>
      <w:r>
        <w:br/>
      </w:r>
      <w:r w:rsidRPr="4DA97AE3" w:rsidR="44820C8D">
        <w:rPr>
          <w:rFonts w:ascii="Arial" w:hAnsi="Arial" w:eastAsia="Arial" w:cs="Arial"/>
          <w:noProof w:val="0"/>
          <w:sz w:val="22"/>
          <w:szCs w:val="22"/>
          <w:lang w:val="en-US"/>
        </w:rPr>
        <w:t xml:space="preserve"> 3.</w:t>
      </w:r>
      <w:r w:rsidRPr="4DA97AE3" w:rsidR="6A9B7F38">
        <w:rPr>
          <w:rFonts w:ascii="Arial" w:hAnsi="Arial" w:eastAsia="Arial" w:cs="Arial"/>
          <w:noProof w:val="0"/>
          <w:sz w:val="22"/>
          <w:szCs w:val="22"/>
          <w:lang w:val="en-US"/>
        </w:rPr>
        <w:t>3</w:t>
      </w:r>
      <w:r w:rsidRPr="4DA97AE3" w:rsidR="44820C8D">
        <w:rPr>
          <w:rFonts w:ascii="Arial" w:hAnsi="Arial" w:eastAsia="Arial" w:cs="Arial"/>
          <w:noProof w:val="0"/>
          <w:sz w:val="22"/>
          <w:szCs w:val="22"/>
          <w:lang w:val="en-US"/>
        </w:rPr>
        <w:t xml:space="preserve"> Ethical Considerations</w:t>
      </w:r>
      <w:r w:rsidRPr="4DA97AE3" w:rsidR="634F7578">
        <w:rPr>
          <w:rFonts w:ascii="Arial" w:hAnsi="Arial" w:eastAsia="Arial" w:cs="Arial"/>
          <w:noProof w:val="0"/>
          <w:sz w:val="22"/>
          <w:szCs w:val="22"/>
          <w:lang w:val="en-US"/>
        </w:rPr>
        <w:t>...............................................................................................7</w:t>
      </w:r>
    </w:p>
    <w:p w:rsidR="44820C8D" w:rsidP="6E5B3B39" w:rsidRDefault="44820C8D" w14:paraId="33653C24" w14:textId="5B27F8CF">
      <w:pPr>
        <w:pStyle w:val="ListParagraph"/>
        <w:numPr>
          <w:ilvl w:val="0"/>
          <w:numId w:val="4"/>
        </w:numPr>
        <w:spacing w:line="360" w:lineRule="auto"/>
        <w:jc w:val="both"/>
        <w:rPr>
          <w:rFonts w:ascii="Arial" w:hAnsi="Arial" w:eastAsia="Arial" w:cs="Arial"/>
          <w:noProof w:val="0"/>
          <w:sz w:val="22"/>
          <w:szCs w:val="22"/>
          <w:lang w:val="en-US"/>
        </w:rPr>
      </w:pPr>
      <w:r w:rsidRPr="4DA97AE3" w:rsidR="44820C8D">
        <w:rPr>
          <w:rFonts w:ascii="Arial" w:hAnsi="Arial" w:eastAsia="Arial" w:cs="Arial"/>
          <w:noProof w:val="0"/>
          <w:sz w:val="22"/>
          <w:szCs w:val="22"/>
          <w:lang w:val="en-US"/>
        </w:rPr>
        <w:t>Task 3 – Self-Reflection Using Gibbs’ Reflective Cycle</w:t>
      </w:r>
      <w:r w:rsidRPr="4DA97AE3" w:rsidR="25F37F39">
        <w:rPr>
          <w:rFonts w:ascii="Arial" w:hAnsi="Arial" w:eastAsia="Arial" w:cs="Arial"/>
          <w:noProof w:val="0"/>
          <w:sz w:val="22"/>
          <w:szCs w:val="22"/>
          <w:lang w:val="en-US"/>
        </w:rPr>
        <w:t>...................................................8</w:t>
      </w:r>
      <w:r>
        <w:br/>
      </w:r>
      <w:r w:rsidRPr="4DA97AE3" w:rsidR="44820C8D">
        <w:rPr>
          <w:rFonts w:ascii="Arial" w:hAnsi="Arial" w:eastAsia="Arial" w:cs="Arial"/>
          <w:noProof w:val="0"/>
          <w:sz w:val="22"/>
          <w:szCs w:val="22"/>
          <w:lang w:val="en-US"/>
        </w:rPr>
        <w:t xml:space="preserve"> 4.1 Description</w:t>
      </w:r>
      <w:r w:rsidRPr="4DA97AE3" w:rsidR="60FCAF98">
        <w:rPr>
          <w:rFonts w:ascii="Arial" w:hAnsi="Arial" w:eastAsia="Arial" w:cs="Arial"/>
          <w:noProof w:val="0"/>
          <w:sz w:val="22"/>
          <w:szCs w:val="22"/>
          <w:lang w:val="en-US"/>
        </w:rPr>
        <w:t>.................................................................................................................8</w:t>
      </w:r>
      <w:r>
        <w:br/>
      </w:r>
      <w:r w:rsidRPr="4DA97AE3" w:rsidR="44820C8D">
        <w:rPr>
          <w:rFonts w:ascii="Arial" w:hAnsi="Arial" w:eastAsia="Arial" w:cs="Arial"/>
          <w:noProof w:val="0"/>
          <w:sz w:val="22"/>
          <w:szCs w:val="22"/>
          <w:lang w:val="en-US"/>
        </w:rPr>
        <w:t xml:space="preserve"> 4.2 Feelings</w:t>
      </w:r>
      <w:r w:rsidRPr="4DA97AE3" w:rsidR="7AC72357">
        <w:rPr>
          <w:rFonts w:ascii="Arial" w:hAnsi="Arial" w:eastAsia="Arial" w:cs="Arial"/>
          <w:noProof w:val="0"/>
          <w:sz w:val="22"/>
          <w:szCs w:val="22"/>
          <w:lang w:val="en-US"/>
        </w:rPr>
        <w:t>.....................................................................................................................9</w:t>
      </w:r>
      <w:r>
        <w:br/>
      </w:r>
      <w:r w:rsidRPr="4DA97AE3" w:rsidR="44820C8D">
        <w:rPr>
          <w:rFonts w:ascii="Arial" w:hAnsi="Arial" w:eastAsia="Arial" w:cs="Arial"/>
          <w:noProof w:val="0"/>
          <w:sz w:val="22"/>
          <w:szCs w:val="22"/>
          <w:lang w:val="en-US"/>
        </w:rPr>
        <w:t xml:space="preserve"> 4.3 Evaluation</w:t>
      </w:r>
      <w:r w:rsidRPr="4DA97AE3" w:rsidR="6A2CE000">
        <w:rPr>
          <w:rFonts w:ascii="Arial" w:hAnsi="Arial" w:eastAsia="Arial" w:cs="Arial"/>
          <w:noProof w:val="0"/>
          <w:sz w:val="22"/>
          <w:szCs w:val="22"/>
          <w:lang w:val="en-US"/>
        </w:rPr>
        <w:t>..................................................................................................................9</w:t>
      </w:r>
      <w:r>
        <w:br/>
      </w:r>
      <w:r w:rsidRPr="4DA97AE3" w:rsidR="44820C8D">
        <w:rPr>
          <w:rFonts w:ascii="Arial" w:hAnsi="Arial" w:eastAsia="Arial" w:cs="Arial"/>
          <w:noProof w:val="0"/>
          <w:sz w:val="22"/>
          <w:szCs w:val="22"/>
          <w:lang w:val="en-US"/>
        </w:rPr>
        <w:t xml:space="preserve"> 4.4 Analysis</w:t>
      </w:r>
      <w:r w:rsidRPr="4DA97AE3" w:rsidR="64AB5D40">
        <w:rPr>
          <w:rFonts w:ascii="Arial" w:hAnsi="Arial" w:eastAsia="Arial" w:cs="Arial"/>
          <w:noProof w:val="0"/>
          <w:sz w:val="22"/>
          <w:szCs w:val="22"/>
          <w:lang w:val="en-US"/>
        </w:rPr>
        <w:t>.............................................................................................................</w:t>
      </w:r>
      <w:r w:rsidRPr="4DA97AE3" w:rsidR="595C1DAC">
        <w:rPr>
          <w:rFonts w:ascii="Arial" w:hAnsi="Arial" w:eastAsia="Arial" w:cs="Arial"/>
          <w:noProof w:val="0"/>
          <w:sz w:val="22"/>
          <w:szCs w:val="22"/>
          <w:lang w:val="en-US"/>
        </w:rPr>
        <w:t>10-11</w:t>
      </w:r>
      <w:r>
        <w:br/>
      </w:r>
      <w:r w:rsidRPr="4DA97AE3" w:rsidR="44820C8D">
        <w:rPr>
          <w:rFonts w:ascii="Arial" w:hAnsi="Arial" w:eastAsia="Arial" w:cs="Arial"/>
          <w:noProof w:val="0"/>
          <w:sz w:val="22"/>
          <w:szCs w:val="22"/>
          <w:lang w:val="en-US"/>
        </w:rPr>
        <w:t xml:space="preserve"> 4.5 Action Plan</w:t>
      </w:r>
      <w:r w:rsidRPr="4DA97AE3" w:rsidR="25D7477F">
        <w:rPr>
          <w:rFonts w:ascii="Arial" w:hAnsi="Arial" w:eastAsia="Arial" w:cs="Arial"/>
          <w:noProof w:val="0"/>
          <w:sz w:val="22"/>
          <w:szCs w:val="22"/>
          <w:lang w:val="en-US"/>
        </w:rPr>
        <w:t>...............................................................................................................11</w:t>
      </w:r>
    </w:p>
    <w:p w:rsidR="44820C8D" w:rsidP="6E5B3B39" w:rsidRDefault="44820C8D" w14:paraId="48174F19" w14:textId="145E5A72">
      <w:pPr>
        <w:pStyle w:val="ListParagraph"/>
        <w:numPr>
          <w:ilvl w:val="0"/>
          <w:numId w:val="4"/>
        </w:numPr>
        <w:spacing w:line="360" w:lineRule="auto"/>
        <w:jc w:val="both"/>
        <w:rPr>
          <w:rFonts w:ascii="Arial" w:hAnsi="Arial" w:eastAsia="Arial" w:cs="Arial"/>
          <w:noProof w:val="0"/>
          <w:sz w:val="22"/>
          <w:szCs w:val="22"/>
          <w:lang w:val="en-US"/>
        </w:rPr>
      </w:pPr>
      <w:r w:rsidRPr="4DA97AE3" w:rsidR="44820C8D">
        <w:rPr>
          <w:rFonts w:ascii="Arial" w:hAnsi="Arial" w:eastAsia="Arial" w:cs="Arial"/>
          <w:noProof w:val="0"/>
          <w:sz w:val="22"/>
          <w:szCs w:val="22"/>
          <w:lang w:val="en-US"/>
        </w:rPr>
        <w:t>Conclusion</w:t>
      </w:r>
      <w:r w:rsidRPr="4DA97AE3" w:rsidR="1B6A0469">
        <w:rPr>
          <w:rFonts w:ascii="Arial" w:hAnsi="Arial" w:eastAsia="Arial" w:cs="Arial"/>
          <w:noProof w:val="0"/>
          <w:sz w:val="22"/>
          <w:szCs w:val="22"/>
          <w:lang w:val="en-US"/>
        </w:rPr>
        <w:t>......................................................................................................................12</w:t>
      </w:r>
    </w:p>
    <w:p w:rsidR="44820C8D" w:rsidP="6E5B3B39" w:rsidRDefault="44820C8D" w14:paraId="75645485" w14:textId="42129A2F">
      <w:pPr>
        <w:pStyle w:val="ListParagraph"/>
        <w:numPr>
          <w:ilvl w:val="0"/>
          <w:numId w:val="4"/>
        </w:numPr>
        <w:spacing w:line="360" w:lineRule="auto"/>
        <w:jc w:val="both"/>
        <w:rPr>
          <w:rFonts w:ascii="Arial" w:hAnsi="Arial" w:eastAsia="Arial" w:cs="Arial"/>
          <w:noProof w:val="0"/>
          <w:sz w:val="22"/>
          <w:szCs w:val="22"/>
          <w:lang w:val="en-US"/>
        </w:rPr>
      </w:pPr>
      <w:r w:rsidRPr="4DA97AE3" w:rsidR="44820C8D">
        <w:rPr>
          <w:rFonts w:ascii="Arial" w:hAnsi="Arial" w:eastAsia="Arial" w:cs="Arial"/>
          <w:noProof w:val="0"/>
          <w:sz w:val="22"/>
          <w:szCs w:val="22"/>
          <w:lang w:val="en-US"/>
        </w:rPr>
        <w:t>References</w:t>
      </w:r>
      <w:r w:rsidRPr="4DA97AE3" w:rsidR="4759F22A">
        <w:rPr>
          <w:rFonts w:ascii="Arial" w:hAnsi="Arial" w:eastAsia="Arial" w:cs="Arial"/>
          <w:noProof w:val="0"/>
          <w:sz w:val="22"/>
          <w:szCs w:val="22"/>
          <w:lang w:val="en-US"/>
        </w:rPr>
        <w:t>............................................................................................ ......13, 14, 15, 16</w:t>
      </w:r>
    </w:p>
    <w:p w:rsidR="6E5B3B39" w:rsidP="6E5B3B39" w:rsidRDefault="6E5B3B39" w14:paraId="5D085351" w14:textId="339044DE">
      <w:pPr>
        <w:pStyle w:val="Normal"/>
        <w:spacing w:line="360" w:lineRule="auto"/>
        <w:jc w:val="both"/>
        <w:rPr>
          <w:rFonts w:ascii="Arial" w:hAnsi="Arial" w:eastAsia="Arial" w:cs="Arial"/>
          <w:noProof w:val="0"/>
          <w:sz w:val="22"/>
          <w:szCs w:val="22"/>
          <w:lang w:val="en-US"/>
        </w:rPr>
      </w:pPr>
    </w:p>
    <w:p w:rsidR="6E5B3B39" w:rsidP="6E5B3B39" w:rsidRDefault="6E5B3B39" w14:paraId="62930DBF" w14:textId="0922E8A6">
      <w:pPr>
        <w:pStyle w:val="Normal"/>
        <w:spacing w:line="360" w:lineRule="auto"/>
        <w:jc w:val="both"/>
        <w:rPr>
          <w:rFonts w:ascii="Arial" w:hAnsi="Arial" w:eastAsia="Arial" w:cs="Arial"/>
          <w:noProof w:val="0"/>
          <w:sz w:val="22"/>
          <w:szCs w:val="22"/>
          <w:lang w:val="en-US"/>
        </w:rPr>
      </w:pPr>
    </w:p>
    <w:p w:rsidR="6E5B3B39" w:rsidP="6E5B3B39" w:rsidRDefault="6E5B3B39" w14:paraId="29DACAF5" w14:textId="490242EC">
      <w:pPr>
        <w:pStyle w:val="Normal"/>
        <w:spacing w:line="360" w:lineRule="auto"/>
        <w:jc w:val="both"/>
        <w:rPr>
          <w:rFonts w:ascii="Arial" w:hAnsi="Arial" w:eastAsia="Arial" w:cs="Arial"/>
          <w:noProof w:val="0"/>
          <w:sz w:val="22"/>
          <w:szCs w:val="22"/>
          <w:lang w:val="en-US"/>
        </w:rPr>
      </w:pPr>
    </w:p>
    <w:p w:rsidR="6E5B3B39" w:rsidP="6E5B3B39" w:rsidRDefault="6E5B3B39" w14:paraId="62FA0977" w14:textId="447995C4">
      <w:pPr>
        <w:pStyle w:val="Normal"/>
        <w:spacing w:line="360" w:lineRule="auto"/>
        <w:jc w:val="both"/>
        <w:rPr>
          <w:rFonts w:ascii="Arial" w:hAnsi="Arial" w:eastAsia="Arial" w:cs="Arial"/>
          <w:noProof w:val="0"/>
          <w:sz w:val="22"/>
          <w:szCs w:val="22"/>
          <w:lang w:val="en-US"/>
        </w:rPr>
      </w:pPr>
    </w:p>
    <w:p w:rsidR="6E5B3B39" w:rsidP="6E5B3B39" w:rsidRDefault="6E5B3B39" w14:paraId="2BA4EB60" w14:textId="195AD22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E5B3B39" w:rsidP="6E5B3B39" w:rsidRDefault="6E5B3B39" w14:paraId="52C26DED" w14:textId="1DE54238">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1861E418" w:rsidP="6E5B3B39" w:rsidRDefault="1861E418" w14:paraId="0A145CBC" w14:textId="53EAB535">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6E5B3B39" w:rsidR="1861E418">
        <w:rPr>
          <w:rFonts w:ascii="Arial" w:hAnsi="Arial" w:eastAsia="Arial" w:cs="Arial"/>
          <w:b w:val="0"/>
          <w:bCs w:val="0"/>
          <w:i w:val="0"/>
          <w:iCs w:val="0"/>
          <w:caps w:val="0"/>
          <w:smallCaps w:val="0"/>
          <w:noProof w:val="0"/>
          <w:color w:val="000000" w:themeColor="text1" w:themeTint="FF" w:themeShade="FF"/>
          <w:sz w:val="22"/>
          <w:szCs w:val="22"/>
          <w:u w:val="none"/>
          <w:lang w:val="en-US"/>
        </w:rPr>
        <w:t>Introduction</w:t>
      </w:r>
    </w:p>
    <w:p w:rsidR="1861E418" w:rsidP="4DA97AE3" w:rsidRDefault="1861E418" w14:paraId="035F7A3B" w14:textId="5CBA5F3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This reflective report consists of three tasks which will consider person-</w:t>
      </w:r>
      <w:r w:rsidRPr="4DA97AE3" w:rsidR="7CC96956">
        <w:rPr>
          <w:rFonts w:ascii="Arial" w:hAnsi="Arial" w:eastAsia="Arial" w:cs="Arial"/>
          <w:b w:val="0"/>
          <w:bCs w:val="0"/>
          <w:i w:val="0"/>
          <w:iCs w:val="0"/>
          <w:caps w:val="0"/>
          <w:smallCaps w:val="0"/>
          <w:noProof w:val="0"/>
          <w:color w:val="000000" w:themeColor="text1" w:themeTint="FF" w:themeShade="FF"/>
          <w:sz w:val="22"/>
          <w:szCs w:val="22"/>
          <w:lang w:val="en-US"/>
        </w:rPr>
        <w:t>centred</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care, partnership working and ethics in health and social care system within the United Kingdom. Task one will provide definitions of each </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term,</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briefly </w:t>
      </w:r>
      <w:r w:rsidRPr="4DA97AE3" w:rsidR="036205CB">
        <w:rPr>
          <w:rFonts w:ascii="Arial" w:hAnsi="Arial" w:eastAsia="Arial" w:cs="Arial"/>
          <w:b w:val="0"/>
          <w:bCs w:val="0"/>
          <w:i w:val="0"/>
          <w:iCs w:val="0"/>
          <w:caps w:val="0"/>
          <w:smallCaps w:val="0"/>
          <w:noProof w:val="0"/>
          <w:color w:val="000000" w:themeColor="text1" w:themeTint="FF" w:themeShade="FF"/>
          <w:sz w:val="22"/>
          <w:szCs w:val="22"/>
          <w:lang w:val="en-US"/>
        </w:rPr>
        <w:t>summarize</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why these concepts are key features of excellent practice in health and </w:t>
      </w:r>
      <w:r w:rsidRPr="4DA97AE3" w:rsidR="31A9E5A1">
        <w:rPr>
          <w:rFonts w:ascii="Arial" w:hAnsi="Arial" w:eastAsia="Arial" w:cs="Arial"/>
          <w:b w:val="0"/>
          <w:bCs w:val="0"/>
          <w:i w:val="0"/>
          <w:iCs w:val="0"/>
          <w:caps w:val="0"/>
          <w:smallCaps w:val="0"/>
          <w:noProof w:val="0"/>
          <w:color w:val="000000" w:themeColor="text1" w:themeTint="FF" w:themeShade="FF"/>
          <w:sz w:val="22"/>
          <w:szCs w:val="22"/>
          <w:lang w:val="en-US"/>
        </w:rPr>
        <w:t>social</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care and discuss their similarities and differences. Additionally, this task integrates Maslow’s hierarchy of needs </w:t>
      </w:r>
      <w:r w:rsidRPr="4DA97AE3" w:rsidR="1CFB7232">
        <w:rPr>
          <w:rFonts w:ascii="Arial" w:hAnsi="Arial" w:eastAsia="Arial" w:cs="Arial"/>
          <w:b w:val="0"/>
          <w:bCs w:val="0"/>
          <w:i w:val="0"/>
          <w:iCs w:val="0"/>
          <w:caps w:val="0"/>
          <w:smallCaps w:val="0"/>
          <w:noProof w:val="0"/>
          <w:color w:val="000000" w:themeColor="text1" w:themeTint="FF" w:themeShade="FF"/>
          <w:sz w:val="22"/>
          <w:szCs w:val="22"/>
          <w:lang w:val="en-US"/>
        </w:rPr>
        <w:t>to model</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to develop theoretical understanding. Task 2 will apply key concepts to Joan’s case – Joan is a female patient who presented with COPD and Crohn’s disease and was labelled “not engaging” with pulmonary rehabilitation and self-management support. Task 2 draws on literature from task one to understand how person-</w:t>
      </w:r>
      <w:r w:rsidRPr="4DA97AE3" w:rsidR="725A636D">
        <w:rPr>
          <w:rFonts w:ascii="Arial" w:hAnsi="Arial" w:eastAsia="Arial" w:cs="Arial"/>
          <w:b w:val="0"/>
          <w:bCs w:val="0"/>
          <w:i w:val="0"/>
          <w:iCs w:val="0"/>
          <w:caps w:val="0"/>
          <w:smallCaps w:val="0"/>
          <w:noProof w:val="0"/>
          <w:color w:val="000000" w:themeColor="text1" w:themeTint="FF" w:themeShade="FF"/>
          <w:sz w:val="22"/>
          <w:szCs w:val="22"/>
          <w:lang w:val="en-US"/>
        </w:rPr>
        <w:t>centred</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collaborative</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and ethical working improved activation and use of services for Joan. Finally, task </w:t>
      </w:r>
      <w:r w:rsidRPr="4DA97AE3" w:rsidR="3A779D5A">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uses Learning by Doing: A Guide to Teaching and Learning Methods as a practical framework for reflection.</w:t>
      </w:r>
      <w:r w:rsidRPr="4DA97AE3" w:rsidR="1861E418">
        <w:rPr>
          <w:rFonts w:ascii="Arial" w:hAnsi="Arial" w:eastAsia="Arial" w:cs="Arial"/>
          <w:b w:val="0"/>
          <w:bCs w:val="0"/>
          <w:i w:val="0"/>
          <w:iCs w:val="0"/>
          <w:caps w:val="0"/>
          <w:smallCaps w:val="0"/>
          <w:noProof w:val="0"/>
          <w:color w:val="000000" w:themeColor="text1" w:themeTint="FF" w:themeShade="FF"/>
          <w:sz w:val="22"/>
          <w:szCs w:val="22"/>
          <w:lang w:val="en-US"/>
        </w:rPr>
        <w:t xml:space="preserve"> Reflections will consider how this learning activity will influence future practice.</w:t>
      </w:r>
    </w:p>
    <w:p w:rsidR="6E5B3B39" w:rsidP="6E5B3B39" w:rsidRDefault="6E5B3B39" w14:paraId="0B235B90" w14:textId="54437C4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84FF04C" w:rsidP="4DA97AE3" w:rsidRDefault="084FF04C" w14:paraId="3FE593E9" w14:textId="61C1BD48">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US"/>
        </w:rPr>
      </w:pPr>
      <w:r w:rsidRPr="4DA97AE3" w:rsidR="084FF04C">
        <w:rPr>
          <w:rFonts w:ascii="Arial" w:hAnsi="Arial" w:eastAsia="Arial" w:cs="Arial"/>
          <w:noProof w:val="0"/>
          <w:sz w:val="22"/>
          <w:szCs w:val="22"/>
          <w:lang w:val="en-US"/>
        </w:rPr>
        <w:t>Task 1 – Reflection on the Importance of Principles of Health and Social Care</w:t>
      </w:r>
    </w:p>
    <w:p w:rsidR="64C3A90C" w:rsidP="6E5B3B39" w:rsidRDefault="64C3A90C" w14:paraId="26ABD21A" w14:textId="43A1197A">
      <w:pPr>
        <w:spacing w:before="240" w:beforeAutospacing="off" w:after="240" w:afterAutospacing="off" w:line="360" w:lineRule="auto"/>
        <w:jc w:val="both"/>
        <w:rPr>
          <w:rFonts w:ascii="Arial" w:hAnsi="Arial" w:eastAsia="Arial" w:cs="Arial"/>
          <w:noProof w:val="0"/>
          <w:sz w:val="22"/>
          <w:szCs w:val="22"/>
          <w:lang w:val="en-US"/>
        </w:rPr>
      </w:pPr>
      <w:r w:rsidRPr="4DA97AE3" w:rsidR="01182A32">
        <w:rPr>
          <w:rFonts w:ascii="Arial" w:hAnsi="Arial" w:eastAsia="Arial" w:cs="Arial"/>
          <w:noProof w:val="0"/>
          <w:sz w:val="22"/>
          <w:szCs w:val="22"/>
          <w:lang w:val="en-US"/>
        </w:rPr>
        <w:t>2</w:t>
      </w:r>
      <w:r w:rsidRPr="4DA97AE3" w:rsidR="084FF04C">
        <w:rPr>
          <w:rFonts w:ascii="Arial" w:hAnsi="Arial" w:eastAsia="Arial" w:cs="Arial"/>
          <w:noProof w:val="0"/>
          <w:sz w:val="22"/>
          <w:szCs w:val="22"/>
          <w:lang w:val="en-US"/>
        </w:rPr>
        <w:t>.1 Person-</w:t>
      </w:r>
      <w:r w:rsidRPr="4DA97AE3" w:rsidR="3BE95695">
        <w:rPr>
          <w:rFonts w:ascii="Arial" w:hAnsi="Arial" w:eastAsia="Arial" w:cs="Arial"/>
          <w:noProof w:val="0"/>
          <w:sz w:val="22"/>
          <w:szCs w:val="22"/>
          <w:lang w:val="en-US"/>
        </w:rPr>
        <w:t>centered</w:t>
      </w:r>
      <w:r w:rsidRPr="4DA97AE3" w:rsidR="084FF04C">
        <w:rPr>
          <w:rFonts w:ascii="Arial" w:hAnsi="Arial" w:eastAsia="Arial" w:cs="Arial"/>
          <w:noProof w:val="0"/>
          <w:sz w:val="22"/>
          <w:szCs w:val="22"/>
          <w:lang w:val="en-US"/>
        </w:rPr>
        <w:t xml:space="preserve"> care (PCC) is an approach in which healthcare professionals work collaboratively with service users to ensure that care is coordinated, </w:t>
      </w:r>
      <w:r w:rsidRPr="4DA97AE3" w:rsidR="716DCA72">
        <w:rPr>
          <w:rFonts w:ascii="Arial" w:hAnsi="Arial" w:eastAsia="Arial" w:cs="Arial"/>
          <w:noProof w:val="0"/>
          <w:sz w:val="22"/>
          <w:szCs w:val="22"/>
          <w:lang w:val="en-US"/>
        </w:rPr>
        <w:t>personali</w:t>
      </w:r>
      <w:r w:rsidRPr="4DA97AE3" w:rsidR="55B69A94">
        <w:rPr>
          <w:rFonts w:ascii="Arial" w:hAnsi="Arial" w:eastAsia="Arial" w:cs="Arial"/>
          <w:noProof w:val="0"/>
          <w:sz w:val="22"/>
          <w:szCs w:val="22"/>
          <w:lang w:val="en-US"/>
        </w:rPr>
        <w:t>s</w:t>
      </w:r>
      <w:r w:rsidRPr="4DA97AE3" w:rsidR="716DCA72">
        <w:rPr>
          <w:rFonts w:ascii="Arial" w:hAnsi="Arial" w:eastAsia="Arial" w:cs="Arial"/>
          <w:noProof w:val="0"/>
          <w:sz w:val="22"/>
          <w:szCs w:val="22"/>
          <w:lang w:val="en-US"/>
        </w:rPr>
        <w:t>ed</w:t>
      </w:r>
      <w:r w:rsidRPr="4DA97AE3" w:rsidR="084FF04C">
        <w:rPr>
          <w:rFonts w:ascii="Arial" w:hAnsi="Arial" w:eastAsia="Arial" w:cs="Arial"/>
          <w:noProof w:val="0"/>
          <w:sz w:val="22"/>
          <w:szCs w:val="22"/>
          <w:lang w:val="en-US"/>
        </w:rPr>
        <w:t xml:space="preserve">, and grounded in dignity and respect (The Health Foundation, 2016; Santana et al., 2018). Rather than </w:t>
      </w:r>
      <w:r w:rsidRPr="4DA97AE3" w:rsidR="620D6FE3">
        <w:rPr>
          <w:rFonts w:ascii="Arial" w:hAnsi="Arial" w:eastAsia="Arial" w:cs="Arial"/>
          <w:noProof w:val="0"/>
          <w:sz w:val="22"/>
          <w:szCs w:val="22"/>
          <w:lang w:val="en-US"/>
        </w:rPr>
        <w:t>organi</w:t>
      </w:r>
      <w:r w:rsidRPr="4DA97AE3" w:rsidR="42098FBF">
        <w:rPr>
          <w:rFonts w:ascii="Arial" w:hAnsi="Arial" w:eastAsia="Arial" w:cs="Arial"/>
          <w:noProof w:val="0"/>
          <w:sz w:val="22"/>
          <w:szCs w:val="22"/>
          <w:lang w:val="en-US"/>
        </w:rPr>
        <w:t>s</w:t>
      </w:r>
      <w:r w:rsidRPr="4DA97AE3" w:rsidR="620D6FE3">
        <w:rPr>
          <w:rFonts w:ascii="Arial" w:hAnsi="Arial" w:eastAsia="Arial" w:cs="Arial"/>
          <w:noProof w:val="0"/>
          <w:sz w:val="22"/>
          <w:szCs w:val="22"/>
          <w:lang w:val="en-US"/>
        </w:rPr>
        <w:t>ing</w:t>
      </w:r>
      <w:r w:rsidRPr="4DA97AE3" w:rsidR="084FF04C">
        <w:rPr>
          <w:rFonts w:ascii="Arial" w:hAnsi="Arial" w:eastAsia="Arial" w:cs="Arial"/>
          <w:noProof w:val="0"/>
          <w:sz w:val="22"/>
          <w:szCs w:val="22"/>
          <w:lang w:val="en-US"/>
        </w:rPr>
        <w:t xml:space="preserve"> healthcare around diseases or professional priorities, PCC places the person’s values, preferences, and life circumstances at the </w:t>
      </w:r>
      <w:r w:rsidRPr="4DA97AE3" w:rsidR="3D5C2012">
        <w:rPr>
          <w:rFonts w:ascii="Arial" w:hAnsi="Arial" w:eastAsia="Arial" w:cs="Arial"/>
          <w:noProof w:val="0"/>
          <w:sz w:val="22"/>
          <w:szCs w:val="22"/>
          <w:lang w:val="en-US"/>
        </w:rPr>
        <w:t>Centre</w:t>
      </w:r>
      <w:r w:rsidRPr="4DA97AE3" w:rsidR="084FF04C">
        <w:rPr>
          <w:rFonts w:ascii="Arial" w:hAnsi="Arial" w:eastAsia="Arial" w:cs="Arial"/>
          <w:noProof w:val="0"/>
          <w:sz w:val="22"/>
          <w:szCs w:val="22"/>
          <w:lang w:val="en-US"/>
        </w:rPr>
        <w:t xml:space="preserve"> of decision-making (Coulter et al., 2016). Its importance lies in improving engagement, activation, and self-management, particularly for individuals living with long-term conditions (Hibbard and Greene, 2013; Nkhoma et al., 2022). In the UK context, PCC supports quality by strengthening autonomy and tailoring care to individual </w:t>
      </w:r>
      <w:r w:rsidRPr="4DA97AE3" w:rsidR="45E8A639">
        <w:rPr>
          <w:rFonts w:ascii="Arial" w:hAnsi="Arial" w:eastAsia="Arial" w:cs="Arial"/>
          <w:noProof w:val="0"/>
          <w:sz w:val="22"/>
          <w:szCs w:val="22"/>
          <w:lang w:val="en-US"/>
        </w:rPr>
        <w:t>needs</w:t>
      </w:r>
      <w:r w:rsidRPr="4DA97AE3" w:rsidR="084FF04C">
        <w:rPr>
          <w:rFonts w:ascii="Arial" w:hAnsi="Arial" w:eastAsia="Arial" w:cs="Arial"/>
          <w:noProof w:val="0"/>
          <w:sz w:val="22"/>
          <w:szCs w:val="22"/>
          <w:lang w:val="en-US"/>
        </w:rPr>
        <w:t>, which is central to NHS policy (NHS England, 2019).</w:t>
      </w:r>
    </w:p>
    <w:p w:rsidR="084FF04C" w:rsidP="6E5B3B39" w:rsidRDefault="084FF04C" w14:paraId="40B6A07C" w14:textId="17601DFA">
      <w:pPr>
        <w:spacing w:before="240" w:beforeAutospacing="off" w:after="240" w:afterAutospacing="off" w:line="360" w:lineRule="auto"/>
        <w:jc w:val="both"/>
        <w:rPr>
          <w:rFonts w:ascii="Arial" w:hAnsi="Arial" w:eastAsia="Arial" w:cs="Arial"/>
          <w:noProof w:val="0"/>
          <w:sz w:val="22"/>
          <w:szCs w:val="22"/>
          <w:lang w:val="en-US"/>
        </w:rPr>
      </w:pPr>
      <w:r w:rsidRPr="4DA97AE3" w:rsidR="084FF04C">
        <w:rPr>
          <w:rFonts w:ascii="Arial" w:hAnsi="Arial" w:eastAsia="Arial" w:cs="Arial"/>
          <w:noProof w:val="0"/>
          <w:sz w:val="22"/>
          <w:szCs w:val="22"/>
          <w:lang w:val="en-US"/>
        </w:rPr>
        <w:t>The theoretical underpinning of PCC can be understood through Abraham Maslow’s hierarchy of needs. Maslow (1943) proposed that physiological and safety needs must be met before individuals can progress towards belonging, esteem, and self-</w:t>
      </w:r>
      <w:r w:rsidRPr="4DA97AE3" w:rsidR="134AFFBA">
        <w:rPr>
          <w:rFonts w:ascii="Arial" w:hAnsi="Arial" w:eastAsia="Arial" w:cs="Arial"/>
          <w:noProof w:val="0"/>
          <w:sz w:val="22"/>
          <w:szCs w:val="22"/>
          <w:lang w:val="en-US"/>
        </w:rPr>
        <w:t>actualization</w:t>
      </w:r>
      <w:r w:rsidRPr="4DA97AE3" w:rsidR="084FF04C">
        <w:rPr>
          <w:rFonts w:ascii="Arial" w:hAnsi="Arial" w:eastAsia="Arial" w:cs="Arial"/>
          <w:noProof w:val="0"/>
          <w:sz w:val="22"/>
          <w:szCs w:val="22"/>
          <w:lang w:val="en-US"/>
        </w:rPr>
        <w:t xml:space="preserve">. Within health and social care, this theory </w:t>
      </w:r>
      <w:r w:rsidRPr="4DA97AE3" w:rsidR="084FF04C">
        <w:rPr>
          <w:rFonts w:ascii="Arial" w:hAnsi="Arial" w:eastAsia="Arial" w:cs="Arial"/>
          <w:noProof w:val="0"/>
          <w:sz w:val="22"/>
          <w:szCs w:val="22"/>
          <w:lang w:val="en-US"/>
        </w:rPr>
        <w:t>demonstrates</w:t>
      </w:r>
      <w:r w:rsidRPr="4DA97AE3" w:rsidR="084FF04C">
        <w:rPr>
          <w:rFonts w:ascii="Arial" w:hAnsi="Arial" w:eastAsia="Arial" w:cs="Arial"/>
          <w:noProof w:val="0"/>
          <w:sz w:val="22"/>
          <w:szCs w:val="22"/>
          <w:lang w:val="en-US"/>
        </w:rPr>
        <w:t xml:space="preserve"> that individuals are unlikely to engage in </w:t>
      </w:r>
      <w:r w:rsidRPr="4DA97AE3" w:rsidR="084FF04C">
        <w:rPr>
          <w:rFonts w:ascii="Arial" w:hAnsi="Arial" w:eastAsia="Arial" w:cs="Arial"/>
          <w:noProof w:val="0"/>
          <w:sz w:val="22"/>
          <w:szCs w:val="22"/>
          <w:lang w:val="en-US"/>
        </w:rPr>
        <w:t>behaviour</w:t>
      </w:r>
      <w:r w:rsidRPr="4DA97AE3" w:rsidR="084FF04C">
        <w:rPr>
          <w:rFonts w:ascii="Arial" w:hAnsi="Arial" w:eastAsia="Arial" w:cs="Arial"/>
          <w:noProof w:val="0"/>
          <w:sz w:val="22"/>
          <w:szCs w:val="22"/>
          <w:lang w:val="en-US"/>
        </w:rPr>
        <w:t xml:space="preserve"> change or rehabilitation if foundational needs </w:t>
      </w:r>
      <w:r w:rsidRPr="4DA97AE3" w:rsidR="084FF04C">
        <w:rPr>
          <w:rFonts w:ascii="Arial" w:hAnsi="Arial" w:eastAsia="Arial" w:cs="Arial"/>
          <w:noProof w:val="0"/>
          <w:sz w:val="22"/>
          <w:szCs w:val="22"/>
          <w:lang w:val="en-US"/>
        </w:rPr>
        <w:t>remain</w:t>
      </w:r>
      <w:r w:rsidRPr="4DA97AE3" w:rsidR="084FF04C">
        <w:rPr>
          <w:rFonts w:ascii="Arial" w:hAnsi="Arial" w:eastAsia="Arial" w:cs="Arial"/>
          <w:noProof w:val="0"/>
          <w:sz w:val="22"/>
          <w:szCs w:val="22"/>
          <w:lang w:val="en-US"/>
        </w:rPr>
        <w:t xml:space="preserve"> unmet (Tay and Diener, 2011). Therefore, PCC supports quality of care by </w:t>
      </w:r>
      <w:r w:rsidRPr="4DA97AE3" w:rsidR="084FF04C">
        <w:rPr>
          <w:rFonts w:ascii="Arial" w:hAnsi="Arial" w:eastAsia="Arial" w:cs="Arial"/>
          <w:noProof w:val="0"/>
          <w:sz w:val="22"/>
          <w:szCs w:val="22"/>
          <w:lang w:val="en-US"/>
        </w:rPr>
        <w:t>recognising</w:t>
      </w:r>
      <w:r w:rsidRPr="4DA97AE3" w:rsidR="084FF04C">
        <w:rPr>
          <w:rFonts w:ascii="Arial" w:hAnsi="Arial" w:eastAsia="Arial" w:cs="Arial"/>
          <w:noProof w:val="0"/>
          <w:sz w:val="22"/>
          <w:szCs w:val="22"/>
          <w:lang w:val="en-US"/>
        </w:rPr>
        <w:t xml:space="preserve"> interconnected physical, emotional, and social factors that influence wellbeing.</w:t>
      </w:r>
    </w:p>
    <w:p w:rsidR="700EA7FF" w:rsidP="6E5B3B39" w:rsidRDefault="700EA7FF" w14:paraId="6EB76C5F" w14:textId="1371C2D1">
      <w:pPr>
        <w:spacing w:before="240" w:beforeAutospacing="off" w:after="240" w:afterAutospacing="off" w:line="360" w:lineRule="auto"/>
        <w:jc w:val="both"/>
        <w:rPr>
          <w:rFonts w:ascii="Arial" w:hAnsi="Arial" w:eastAsia="Arial" w:cs="Arial"/>
          <w:noProof w:val="0"/>
          <w:sz w:val="22"/>
          <w:szCs w:val="22"/>
          <w:lang w:val="en-US"/>
        </w:rPr>
      </w:pPr>
      <w:r w:rsidRPr="4DA97AE3" w:rsidR="1FF0F647">
        <w:rPr>
          <w:rFonts w:ascii="Arial" w:hAnsi="Arial" w:eastAsia="Arial" w:cs="Arial"/>
          <w:noProof w:val="0"/>
          <w:sz w:val="22"/>
          <w:szCs w:val="22"/>
          <w:lang w:val="en-US"/>
        </w:rPr>
        <w:t>2.2 Partnership</w:t>
      </w:r>
      <w:r w:rsidRPr="4DA97AE3" w:rsidR="084FF04C">
        <w:rPr>
          <w:rFonts w:ascii="Arial" w:hAnsi="Arial" w:eastAsia="Arial" w:cs="Arial"/>
          <w:noProof w:val="0"/>
          <w:sz w:val="22"/>
          <w:szCs w:val="22"/>
          <w:lang w:val="en-US"/>
        </w:rPr>
        <w:t xml:space="preserve"> working</w:t>
      </w:r>
    </w:p>
    <w:p w:rsidR="084FF04C" w:rsidP="6E5B3B39" w:rsidRDefault="084FF04C" w14:paraId="12C785E7" w14:textId="05702A44">
      <w:pPr>
        <w:spacing w:before="240" w:beforeAutospacing="off" w:after="240" w:afterAutospacing="off" w:line="360" w:lineRule="auto"/>
        <w:jc w:val="both"/>
        <w:rPr>
          <w:rFonts w:ascii="Arial" w:hAnsi="Arial" w:eastAsia="Arial" w:cs="Arial"/>
          <w:noProof w:val="0"/>
          <w:sz w:val="22"/>
          <w:szCs w:val="22"/>
          <w:lang w:val="en-US"/>
        </w:rPr>
      </w:pPr>
      <w:r w:rsidRPr="6E5B3B39" w:rsidR="084FF04C">
        <w:rPr>
          <w:rFonts w:ascii="Arial" w:hAnsi="Arial" w:eastAsia="Arial" w:cs="Arial"/>
          <w:noProof w:val="0"/>
          <w:sz w:val="22"/>
          <w:szCs w:val="22"/>
          <w:lang w:val="en-US"/>
        </w:rPr>
        <w:t>Alongside individualised care, partnership working emphasises collaboration between professionals, organisations, service users, and communities in the planning and delivery of care (Glasby and Dickinson, 2014). In England, integrated care systems and multidisciplinary teams aim to reduce fragmentation and improve continuity across services (NHS England, 2019; NHS England, 2023). The importance of partnership working lies in its ability to address complex needs that extend beyond single professional roles. Evidence suggests that effective interprofessional collaboration improves outcomes and service efficiency (Reeves et al., 2018; Glasby and Dickinson, 2014). Without collaboration, care risks becoming disjointed, leading to duplication, gaps in support, and reduced patient experience.</w:t>
      </w:r>
    </w:p>
    <w:p w:rsidR="30A8E392" w:rsidP="6E5B3B39" w:rsidRDefault="30A8E392" w14:paraId="287A1296" w14:textId="38C56CEB">
      <w:pPr>
        <w:spacing w:before="240" w:beforeAutospacing="off" w:after="240" w:afterAutospacing="off" w:line="360" w:lineRule="auto"/>
        <w:jc w:val="both"/>
        <w:rPr>
          <w:rFonts w:ascii="Arial" w:hAnsi="Arial" w:eastAsia="Arial" w:cs="Arial"/>
          <w:noProof w:val="0"/>
          <w:sz w:val="22"/>
          <w:szCs w:val="22"/>
          <w:lang w:val="en-US"/>
        </w:rPr>
      </w:pPr>
      <w:r w:rsidRPr="4DA97AE3" w:rsidR="30A8E392">
        <w:rPr>
          <w:rFonts w:ascii="Arial" w:hAnsi="Arial" w:eastAsia="Arial" w:cs="Arial"/>
          <w:noProof w:val="0"/>
          <w:sz w:val="22"/>
          <w:szCs w:val="22"/>
          <w:lang w:val="en-US"/>
        </w:rPr>
        <w:t>2</w:t>
      </w:r>
      <w:r w:rsidRPr="4DA97AE3" w:rsidR="084FF04C">
        <w:rPr>
          <w:rFonts w:ascii="Arial" w:hAnsi="Arial" w:eastAsia="Arial" w:cs="Arial"/>
          <w:noProof w:val="0"/>
          <w:sz w:val="22"/>
          <w:szCs w:val="22"/>
          <w:lang w:val="en-US"/>
        </w:rPr>
        <w:t>.</w:t>
      </w:r>
      <w:r w:rsidRPr="4DA97AE3" w:rsidR="0F94B2F7">
        <w:rPr>
          <w:rFonts w:ascii="Arial" w:hAnsi="Arial" w:eastAsia="Arial" w:cs="Arial"/>
          <w:noProof w:val="0"/>
          <w:sz w:val="22"/>
          <w:szCs w:val="22"/>
          <w:lang w:val="en-US"/>
        </w:rPr>
        <w:t>3</w:t>
      </w:r>
      <w:r w:rsidRPr="4DA97AE3" w:rsidR="084FF04C">
        <w:rPr>
          <w:rFonts w:ascii="Arial" w:hAnsi="Arial" w:eastAsia="Arial" w:cs="Arial"/>
          <w:noProof w:val="0"/>
          <w:sz w:val="22"/>
          <w:szCs w:val="22"/>
          <w:lang w:val="en-US"/>
        </w:rPr>
        <w:t xml:space="preserve"> Ethic</w:t>
      </w:r>
    </w:p>
    <w:p w:rsidR="13F93A34" w:rsidP="6E5B3B39" w:rsidRDefault="13F93A34" w14:paraId="593FC032" w14:textId="7EBFC651">
      <w:pPr>
        <w:spacing w:before="240" w:beforeAutospacing="off" w:after="240" w:afterAutospacing="off" w:line="360" w:lineRule="auto"/>
        <w:jc w:val="both"/>
        <w:rPr>
          <w:rFonts w:ascii="Arial" w:hAnsi="Arial" w:eastAsia="Arial" w:cs="Arial"/>
          <w:noProof w:val="0"/>
          <w:sz w:val="22"/>
          <w:szCs w:val="22"/>
          <w:lang w:val="en-US"/>
        </w:rPr>
      </w:pPr>
      <w:r w:rsidRPr="4DA97AE3" w:rsidR="084FF04C">
        <w:rPr>
          <w:rFonts w:ascii="Arial" w:hAnsi="Arial" w:eastAsia="Arial" w:cs="Arial"/>
          <w:noProof w:val="0"/>
          <w:sz w:val="22"/>
          <w:szCs w:val="22"/>
          <w:lang w:val="en-US"/>
        </w:rPr>
        <w:t>Ethical principles underpin both person-</w:t>
      </w:r>
      <w:r w:rsidRPr="4DA97AE3" w:rsidR="084FF04C">
        <w:rPr>
          <w:rFonts w:ascii="Arial" w:hAnsi="Arial" w:eastAsia="Arial" w:cs="Arial"/>
          <w:noProof w:val="0"/>
          <w:sz w:val="22"/>
          <w:szCs w:val="22"/>
          <w:lang w:val="en-US"/>
        </w:rPr>
        <w:t>centred</w:t>
      </w:r>
      <w:r w:rsidRPr="4DA97AE3" w:rsidR="084FF04C">
        <w:rPr>
          <w:rFonts w:ascii="Arial" w:hAnsi="Arial" w:eastAsia="Arial" w:cs="Arial"/>
          <w:noProof w:val="0"/>
          <w:sz w:val="22"/>
          <w:szCs w:val="22"/>
          <w:lang w:val="en-US"/>
        </w:rPr>
        <w:t xml:space="preserve"> care and partnership working. The principles of autonomy, beneficence, non-maleficence, and justice provide a moral framework for decision-making within health and social care (Beauchamp and Childress, 2019). These principles are embedded within UK legislation and professional standards, including the Mental Capacity Act 2005 and the Equality Act 2010. Ethics ensures that care promotes equality, protects vulnerable individuals, and balances professional responsibility with individual rights. Ethical decision-making is particularly important when managing risk, capacity, and resource allocation.</w:t>
      </w:r>
    </w:p>
    <w:p w:rsidR="084FF04C" w:rsidP="6E5B3B39" w:rsidRDefault="084FF04C" w14:paraId="5D29597C" w14:textId="0A2C57C5">
      <w:pPr>
        <w:spacing w:before="240" w:beforeAutospacing="off" w:after="240" w:afterAutospacing="off" w:line="360" w:lineRule="auto"/>
        <w:jc w:val="both"/>
        <w:rPr>
          <w:rFonts w:ascii="Arial" w:hAnsi="Arial" w:eastAsia="Arial" w:cs="Arial"/>
          <w:noProof w:val="0"/>
          <w:sz w:val="22"/>
          <w:szCs w:val="22"/>
          <w:lang w:val="en-US"/>
        </w:rPr>
      </w:pPr>
      <w:r w:rsidRPr="6E5B3B39" w:rsidR="084FF04C">
        <w:rPr>
          <w:rFonts w:ascii="Arial" w:hAnsi="Arial" w:eastAsia="Arial" w:cs="Arial"/>
          <w:noProof w:val="0"/>
          <w:sz w:val="22"/>
          <w:szCs w:val="22"/>
          <w:lang w:val="en-US"/>
        </w:rPr>
        <w:t xml:space="preserve">There are clear similarities between these principles. All three prioritise respect for individuals and aim to improve outcomes and experiences of care (The Health Foundation, 2016; Reeves et al., 2018). They are interconnected, as person-centred care relies on ethical principles to uphold autonomy and justice, while partnership working supports coordinated delivery of </w:t>
      </w:r>
      <w:r w:rsidRPr="6E5B3B39" w:rsidR="084FF04C">
        <w:rPr>
          <w:rFonts w:ascii="Arial" w:hAnsi="Arial" w:eastAsia="Arial" w:cs="Arial"/>
          <w:noProof w:val="0"/>
          <w:sz w:val="22"/>
          <w:szCs w:val="22"/>
          <w:lang w:val="en-US"/>
        </w:rPr>
        <w:t>individualised</w:t>
      </w:r>
      <w:r w:rsidRPr="6E5B3B39" w:rsidR="084FF04C">
        <w:rPr>
          <w:rFonts w:ascii="Arial" w:hAnsi="Arial" w:eastAsia="Arial" w:cs="Arial"/>
          <w:noProof w:val="0"/>
          <w:sz w:val="22"/>
          <w:szCs w:val="22"/>
          <w:lang w:val="en-US"/>
        </w:rPr>
        <w:t xml:space="preserve"> care. However, there are also differences. Person-centred care focuses primarily on the individual’s lived experience and preferences (Coulter et al., 2016), partnership working </w:t>
      </w:r>
      <w:r w:rsidRPr="6E5B3B39" w:rsidR="084FF04C">
        <w:rPr>
          <w:rFonts w:ascii="Arial" w:hAnsi="Arial" w:eastAsia="Arial" w:cs="Arial"/>
          <w:noProof w:val="0"/>
          <w:sz w:val="22"/>
          <w:szCs w:val="22"/>
          <w:lang w:val="en-US"/>
        </w:rPr>
        <w:t>concentrates on collaboration across systems (Glasby and Dickinson, 2014), and ethics provides the moral foundation guiding professional conduct (Beauchamp and Childress, 2019).</w:t>
      </w:r>
    </w:p>
    <w:p w:rsidR="221AACAD" w:rsidP="6E5B3B39" w:rsidRDefault="221AACAD" w14:paraId="61E75A84" w14:textId="78F5E543">
      <w:pPr>
        <w:spacing w:before="240" w:beforeAutospacing="off" w:after="240" w:afterAutospacing="off" w:line="360" w:lineRule="auto"/>
        <w:jc w:val="both"/>
        <w:rPr>
          <w:rFonts w:ascii="Arial" w:hAnsi="Arial" w:eastAsia="Arial" w:cs="Arial"/>
          <w:noProof w:val="0"/>
          <w:sz w:val="22"/>
          <w:szCs w:val="22"/>
          <w:lang w:val="en-US"/>
        </w:rPr>
      </w:pPr>
      <w:r w:rsidRPr="6E5B3B39" w:rsidR="221AACAD">
        <w:rPr>
          <w:rFonts w:ascii="Arial" w:hAnsi="Arial" w:eastAsia="Arial" w:cs="Arial"/>
          <w:noProof w:val="0"/>
          <w:sz w:val="22"/>
          <w:szCs w:val="22"/>
          <w:lang w:val="en-US"/>
        </w:rPr>
        <w:t>To sum this up</w:t>
      </w:r>
      <w:r w:rsidRPr="6E5B3B39" w:rsidR="084FF04C">
        <w:rPr>
          <w:rFonts w:ascii="Arial" w:hAnsi="Arial" w:eastAsia="Arial" w:cs="Arial"/>
          <w:noProof w:val="0"/>
          <w:sz w:val="22"/>
          <w:szCs w:val="22"/>
          <w:lang w:val="en-US"/>
        </w:rPr>
        <w:t>, the principles of person-</w:t>
      </w:r>
      <w:r w:rsidRPr="6E5B3B39" w:rsidR="084FF04C">
        <w:rPr>
          <w:rFonts w:ascii="Arial" w:hAnsi="Arial" w:eastAsia="Arial" w:cs="Arial"/>
          <w:noProof w:val="0"/>
          <w:sz w:val="22"/>
          <w:szCs w:val="22"/>
          <w:lang w:val="en-US"/>
        </w:rPr>
        <w:t>centred care, partnership working, and ethics collectively support quality within UK health and social care. Maslow’s theory reinforces the importance of addressing foundational needs before expecting engagement or self-management. Together, these principles ensure that care is individualised, collaborative, and ethically justified, thereby promoting safe, equitable, and effective services.</w:t>
      </w:r>
    </w:p>
    <w:p w:rsidR="6E5B3B39" w:rsidP="6E5B3B39" w:rsidRDefault="6E5B3B39" w14:paraId="6ABD3231" w14:textId="727F61B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E5B3B39" w:rsidP="6E5B3B39" w:rsidRDefault="6E5B3B39" w14:paraId="49FC7D4C" w14:textId="4F15213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E5B3B39" w:rsidP="6E5B3B39" w:rsidRDefault="6E5B3B39" w14:paraId="386FF072" w14:textId="2E7ADCBC">
      <w:pPr>
        <w:pStyle w:val="Normal"/>
        <w:spacing w:before="240" w:beforeAutospacing="off" w:after="240" w:afterAutospacing="off" w:line="360" w:lineRule="auto"/>
        <w:jc w:val="both"/>
        <w:rPr>
          <w:rFonts w:ascii="Arial" w:hAnsi="Arial" w:eastAsia="Arial" w:cs="Arial"/>
          <w:noProof w:val="0"/>
          <w:sz w:val="22"/>
          <w:szCs w:val="22"/>
          <w:lang w:val="en-US"/>
        </w:rPr>
      </w:pPr>
    </w:p>
    <w:p w:rsidR="6E5B3B39" w:rsidP="6E5B3B39" w:rsidRDefault="6E5B3B39" w14:paraId="7AF27314" w14:textId="230BA1DA">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3F5AB4AF" w:rsidP="6E5B3B39" w:rsidRDefault="3F5AB4AF" w14:paraId="4A0702B3" w14:textId="46DC43CA">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Task 2 – Practical application to Joan’s case</w:t>
      </w:r>
    </w:p>
    <w:p w:rsidR="3F5AB4AF" w:rsidP="6E5B3B39" w:rsidRDefault="3F5AB4AF" w14:paraId="3A129821" w14:textId="74187CA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Joan’s case highlights how person-</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centred</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care (PCC), partnership working and ethical practice can work synergistically to promote activation and improve outcomes for an individual with multiple LTCs. Joan was diagnosed with severe COPD and presented with low activation scores, poor attendance at </w:t>
      </w:r>
      <w:r w:rsidRPr="6E5B3B39" w:rsidR="6C721719">
        <w:rPr>
          <w:rFonts w:ascii="Arial" w:hAnsi="Arial" w:eastAsia="Arial" w:cs="Arial"/>
          <w:b w:val="0"/>
          <w:bCs w:val="0"/>
          <w:i w:val="0"/>
          <w:iCs w:val="0"/>
          <w:caps w:val="0"/>
          <w:smallCaps w:val="0"/>
          <w:noProof w:val="0"/>
          <w:color w:val="000000" w:themeColor="text1" w:themeTint="FF" w:themeShade="FF"/>
          <w:sz w:val="22"/>
          <w:szCs w:val="22"/>
          <w:lang w:val="en-US"/>
        </w:rPr>
        <w:t xml:space="preserve">Pulmonary Rehabilitation (PR)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and repeated admissions to A&amp;E. Research tells us that individuals with higher activation are more likely to demonstrate self-management skills, report a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better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quality of life and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utilise</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less healthcare services (</w:t>
      </w:r>
      <w:r w:rsidRPr="6E5B3B39" w:rsidR="0EAD5BB4">
        <w:rPr>
          <w:rFonts w:ascii="Arial" w:hAnsi="Arial" w:eastAsia="Arial" w:cs="Arial"/>
          <w:b w:val="0"/>
          <w:bCs w:val="0"/>
          <w:i w:val="0"/>
          <w:iCs w:val="0"/>
          <w:caps w:val="0"/>
          <w:smallCaps w:val="0"/>
          <w:noProof w:val="0"/>
          <w:color w:val="000000" w:themeColor="text1" w:themeTint="FF" w:themeShade="FF"/>
          <w:sz w:val="22"/>
          <w:szCs w:val="22"/>
          <w:lang w:val="en-US"/>
        </w:rPr>
        <w:t>Barker et al.</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201</w:t>
      </w:r>
      <w:r w:rsidRPr="6E5B3B39" w:rsidR="1064127A">
        <w:rPr>
          <w:rFonts w:ascii="Arial" w:hAnsi="Arial" w:eastAsia="Arial" w:cs="Arial"/>
          <w:b w:val="0"/>
          <w:bCs w:val="0"/>
          <w:i w:val="0"/>
          <w:iCs w:val="0"/>
          <w:caps w:val="0"/>
          <w:smallCaps w:val="0"/>
          <w:noProof w:val="0"/>
          <w:color w:val="000000" w:themeColor="text1" w:themeTint="FF" w:themeShade="FF"/>
          <w:sz w:val="22"/>
          <w:szCs w:val="22"/>
          <w:lang w:val="en-US"/>
        </w:rPr>
        <w:t>8</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Pulmonary rehabilitation has also been found to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improve ex</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ercise capacity,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confidence</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and activation in people with COPD </w:t>
      </w:r>
      <w:r w:rsidRPr="6E5B3B39" w:rsidR="6B9F36D8">
        <w:rPr>
          <w:rFonts w:ascii="Arial" w:hAnsi="Arial" w:eastAsia="Arial" w:cs="Arial"/>
          <w:b w:val="0"/>
          <w:bCs w:val="0"/>
          <w:i w:val="0"/>
          <w:iCs w:val="0"/>
          <w:caps w:val="0"/>
          <w:smallCaps w:val="0"/>
          <w:noProof w:val="0"/>
          <w:color w:val="000000" w:themeColor="text1" w:themeTint="FF" w:themeShade="FF"/>
          <w:sz w:val="22"/>
          <w:szCs w:val="22"/>
          <w:lang w:val="en-US"/>
        </w:rPr>
        <w:t>(</w:t>
      </w:r>
      <w:r w:rsidRPr="6E5B3B39" w:rsidR="6B9F36D8">
        <w:rPr>
          <w:rFonts w:ascii="Arial" w:hAnsi="Arial" w:eastAsia="Arial" w:cs="Arial"/>
          <w:b w:val="0"/>
          <w:bCs w:val="0"/>
          <w:i w:val="0"/>
          <w:iCs w:val="0"/>
          <w:caps w:val="0"/>
          <w:smallCaps w:val="0"/>
          <w:noProof w:val="0"/>
          <w:color w:val="000000" w:themeColor="text1" w:themeTint="FF" w:themeShade="FF"/>
          <w:sz w:val="22"/>
          <w:szCs w:val="22"/>
          <w:lang w:val="en-US"/>
        </w:rPr>
        <w:t>Rochester</w:t>
      </w:r>
      <w:r w:rsidRPr="6E5B3B39" w:rsidR="6B9F36D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et al., 20</w:t>
      </w:r>
      <w:r w:rsidRPr="6E5B3B39" w:rsidR="3E5A2264">
        <w:rPr>
          <w:rFonts w:ascii="Arial" w:hAnsi="Arial" w:eastAsia="Arial" w:cs="Arial"/>
          <w:b w:val="0"/>
          <w:bCs w:val="0"/>
          <w:i w:val="0"/>
          <w:iCs w:val="0"/>
          <w:caps w:val="0"/>
          <w:smallCaps w:val="0"/>
          <w:noProof w:val="0"/>
          <w:color w:val="000000" w:themeColor="text1" w:themeTint="FF" w:themeShade="FF"/>
          <w:sz w:val="22"/>
          <w:szCs w:val="22"/>
          <w:lang w:val="en-US"/>
        </w:rPr>
        <w:t>15)</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Joan’s repeated non-attendance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therefore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highlighted that </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ad</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ditional</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 xml:space="preserve"> b</w:t>
      </w:r>
      <w:r w:rsidRPr="6E5B3B39" w:rsidR="3F5AB4AF">
        <w:rPr>
          <w:rFonts w:ascii="Arial" w:hAnsi="Arial" w:eastAsia="Arial" w:cs="Arial"/>
          <w:b w:val="0"/>
          <w:bCs w:val="0"/>
          <w:i w:val="0"/>
          <w:iCs w:val="0"/>
          <w:caps w:val="0"/>
          <w:smallCaps w:val="0"/>
          <w:noProof w:val="0"/>
          <w:color w:val="000000" w:themeColor="text1" w:themeTint="FF" w:themeShade="FF"/>
          <w:sz w:val="22"/>
          <w:szCs w:val="22"/>
          <w:lang w:val="en-US"/>
        </w:rPr>
        <w:t>arriers needed to be addressed to enable her engagement.</w:t>
      </w:r>
    </w:p>
    <w:p w:rsidR="68311AB4" w:rsidP="6E5B3B39" w:rsidRDefault="68311AB4" w14:paraId="27F96B0F" w14:textId="24D389E1">
      <w:pPr>
        <w:pStyle w:val="Normal"/>
        <w:spacing w:before="240" w:beforeAutospacing="off" w:after="240" w:afterAutospacing="off" w:line="360" w:lineRule="auto"/>
        <w:jc w:val="both"/>
        <w:rPr>
          <w:rFonts w:ascii="Arial" w:hAnsi="Arial" w:eastAsia="Arial" w:cs="Arial"/>
          <w:noProof w:val="0"/>
          <w:sz w:val="22"/>
          <w:szCs w:val="22"/>
          <w:lang w:val="en-US"/>
        </w:rPr>
      </w:pPr>
      <w:r w:rsidRPr="4DA97AE3" w:rsidR="7590F70C">
        <w:rPr>
          <w:rFonts w:ascii="Arial" w:hAnsi="Arial" w:eastAsia="Arial" w:cs="Arial"/>
          <w:b w:val="0"/>
          <w:bCs w:val="0"/>
          <w:i w:val="0"/>
          <w:iCs w:val="0"/>
          <w:caps w:val="0"/>
          <w:smallCaps w:val="0"/>
          <w:noProof w:val="0"/>
          <w:color w:val="000000" w:themeColor="text1" w:themeTint="FF" w:themeShade="FF"/>
          <w:sz w:val="22"/>
          <w:szCs w:val="22"/>
          <w:lang w:val="en-US"/>
        </w:rPr>
        <w:t>3</w:t>
      </w:r>
      <w:r w:rsidRPr="4DA97AE3" w:rsidR="0D18C7AE">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In terms of PCC, the professional approach needed to change</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Instead of solely focusing on PR attendance, home visits we</w:t>
      </w:r>
      <w:r w:rsidRPr="4DA97AE3" w:rsidR="2AC623DB">
        <w:rPr>
          <w:rFonts w:ascii="Arial" w:hAnsi="Arial" w:eastAsia="Arial" w:cs="Arial"/>
          <w:b w:val="0"/>
          <w:bCs w:val="0"/>
          <w:i w:val="0"/>
          <w:iCs w:val="0"/>
          <w:caps w:val="0"/>
          <w:smallCaps w:val="0"/>
          <w:noProof w:val="0"/>
          <w:color w:val="000000" w:themeColor="text1" w:themeTint="FF" w:themeShade="FF"/>
          <w:sz w:val="22"/>
          <w:szCs w:val="22"/>
          <w:lang w:val="en-US"/>
        </w:rPr>
        <w:t>re</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xml:space="preserve"> implemented to allow time for holistic conversation around Joan’s</w:t>
      </w:r>
      <w:r w:rsidRPr="4DA97AE3" w:rsidR="4AB679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experienc</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xml:space="preserve">es, </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conc</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erns</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xml:space="preserve"> and priorities. Asking open questions allowed the therapist to understand there were other factors contributing to Joan’s health outside of her respiratory condition</w:t>
      </w:r>
      <w:r w:rsidRPr="4DA97AE3" w:rsidR="19446D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19446DBB">
        <w:rPr>
          <w:rFonts w:ascii="Arial" w:hAnsi="Arial" w:eastAsia="Arial" w:cs="Arial"/>
          <w:noProof w:val="0"/>
          <w:sz w:val="22"/>
          <w:szCs w:val="22"/>
          <w:lang w:val="en-US"/>
        </w:rPr>
        <w:t>(Santana et al., 2018)</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Joan had uncontrolled Crohn’s disease which caused her anxiety around needing the toilet urgently and “not wanting to bother people</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w:t>
      </w:r>
      <w:r w:rsidRPr="4DA97AE3" w:rsidR="55CB56B9">
        <w:rPr>
          <w:rFonts w:ascii="Arial" w:hAnsi="Arial" w:eastAsia="Arial" w:cs="Arial"/>
          <w:b w:val="0"/>
          <w:bCs w:val="0"/>
          <w:i w:val="0"/>
          <w:iCs w:val="0"/>
          <w:caps w:val="0"/>
          <w:smallCaps w:val="0"/>
          <w:noProof w:val="0"/>
          <w:color w:val="000000" w:themeColor="text1" w:themeTint="FF" w:themeShade="FF"/>
          <w:sz w:val="22"/>
          <w:szCs w:val="22"/>
          <w:lang w:val="en-US"/>
        </w:rPr>
        <w:t xml:space="preserve"> Due to her physical symptoms causing embarrassment she was avoiding PR because she was frightened to attend in case she needed to leave suddenly</w:t>
      </w:r>
      <w:r w:rsidRPr="4DA97AE3" w:rsidR="7405905F">
        <w:rPr>
          <w:rFonts w:ascii="Arial" w:hAnsi="Arial" w:eastAsia="Arial" w:cs="Arial"/>
          <w:b w:val="0"/>
          <w:bCs w:val="0"/>
          <w:i w:val="0"/>
          <w:iCs w:val="0"/>
          <w:caps w:val="0"/>
          <w:smallCaps w:val="0"/>
          <w:noProof w:val="0"/>
          <w:color w:val="000000" w:themeColor="text1" w:themeTint="FF" w:themeShade="FF"/>
          <w:sz w:val="22"/>
          <w:szCs w:val="22"/>
          <w:lang w:val="en-US"/>
        </w:rPr>
        <w:t xml:space="preserve">, causing her </w:t>
      </w:r>
      <w:r w:rsidRPr="4DA97AE3" w:rsidR="7405905F">
        <w:rPr>
          <w:rFonts w:ascii="Arial" w:hAnsi="Arial" w:eastAsia="Arial" w:cs="Arial"/>
          <w:b w:val="0"/>
          <w:bCs w:val="0"/>
          <w:i w:val="0"/>
          <w:iCs w:val="0"/>
          <w:caps w:val="0"/>
          <w:smallCaps w:val="0"/>
          <w:noProof w:val="0"/>
          <w:color w:val="000000" w:themeColor="text1" w:themeTint="FF" w:themeShade="FF"/>
          <w:sz w:val="22"/>
          <w:szCs w:val="22"/>
          <w:lang w:val="en-US"/>
        </w:rPr>
        <w:t>signficant</w:t>
      </w:r>
      <w:r w:rsidRPr="4DA97AE3" w:rsidR="7405905F">
        <w:rPr>
          <w:rFonts w:ascii="Arial" w:hAnsi="Arial" w:eastAsia="Arial" w:cs="Arial"/>
          <w:b w:val="0"/>
          <w:bCs w:val="0"/>
          <w:i w:val="0"/>
          <w:iCs w:val="0"/>
          <w:caps w:val="0"/>
          <w:smallCaps w:val="0"/>
          <w:noProof w:val="0"/>
          <w:color w:val="000000" w:themeColor="text1" w:themeTint="FF" w:themeShade="FF"/>
          <w:sz w:val="22"/>
          <w:szCs w:val="22"/>
          <w:lang w:val="en-US"/>
        </w:rPr>
        <w:t xml:space="preserve"> psychological distress and embarrassment, and this is </w:t>
      </w:r>
      <w:r w:rsidRPr="4DA97AE3" w:rsidR="7405905F">
        <w:rPr>
          <w:rFonts w:ascii="Arial" w:hAnsi="Arial" w:eastAsia="Arial" w:cs="Arial"/>
          <w:b w:val="0"/>
          <w:bCs w:val="0"/>
          <w:i w:val="0"/>
          <w:iCs w:val="0"/>
          <w:caps w:val="0"/>
          <w:smallCaps w:val="0"/>
          <w:noProof w:val="0"/>
          <w:color w:val="000000" w:themeColor="text1" w:themeTint="FF" w:themeShade="FF"/>
          <w:sz w:val="22"/>
          <w:szCs w:val="22"/>
          <w:lang w:val="en-US"/>
        </w:rPr>
        <w:t>recognised</w:t>
      </w:r>
      <w:r w:rsidRPr="4DA97AE3" w:rsidR="7405905F">
        <w:rPr>
          <w:rFonts w:ascii="Arial" w:hAnsi="Arial" w:eastAsia="Arial" w:cs="Arial"/>
          <w:b w:val="0"/>
          <w:bCs w:val="0"/>
          <w:i w:val="0"/>
          <w:iCs w:val="0"/>
          <w:caps w:val="0"/>
          <w:smallCaps w:val="0"/>
          <w:noProof w:val="0"/>
          <w:color w:val="000000" w:themeColor="text1" w:themeTint="FF" w:themeShade="FF"/>
          <w:sz w:val="22"/>
          <w:szCs w:val="22"/>
          <w:lang w:val="en-US"/>
        </w:rPr>
        <w:t xml:space="preserve"> as a barrier to engagement among individuals </w:t>
      </w:r>
      <w:r w:rsidRPr="4DA97AE3" w:rsidR="49BC7473">
        <w:rPr>
          <w:rFonts w:ascii="Arial" w:hAnsi="Arial" w:eastAsia="Arial" w:cs="Arial"/>
          <w:b w:val="0"/>
          <w:bCs w:val="0"/>
          <w:i w:val="0"/>
          <w:iCs w:val="0"/>
          <w:caps w:val="0"/>
          <w:smallCaps w:val="0"/>
          <w:noProof w:val="0"/>
          <w:color w:val="000000" w:themeColor="text1" w:themeTint="FF" w:themeShade="FF"/>
          <w:sz w:val="22"/>
          <w:szCs w:val="22"/>
          <w:lang w:val="en-US"/>
        </w:rPr>
        <w:t xml:space="preserve">with inflammatory </w:t>
      </w:r>
      <w:r w:rsidRPr="4DA97AE3" w:rsidR="2433D359">
        <w:rPr>
          <w:rFonts w:ascii="Arial" w:hAnsi="Arial" w:eastAsia="Arial" w:cs="Arial"/>
          <w:b w:val="0"/>
          <w:bCs w:val="0"/>
          <w:i w:val="0"/>
          <w:iCs w:val="0"/>
          <w:caps w:val="0"/>
          <w:smallCaps w:val="0"/>
          <w:noProof w:val="0"/>
          <w:color w:val="000000" w:themeColor="text1" w:themeTint="FF" w:themeShade="FF"/>
          <w:sz w:val="22"/>
          <w:szCs w:val="22"/>
          <w:lang w:val="en-US"/>
        </w:rPr>
        <w:t>bowel</w:t>
      </w:r>
      <w:r w:rsidRPr="4DA97AE3" w:rsidR="49BC7473">
        <w:rPr>
          <w:rFonts w:ascii="Arial" w:hAnsi="Arial" w:eastAsia="Arial" w:cs="Arial"/>
          <w:b w:val="0"/>
          <w:bCs w:val="0"/>
          <w:i w:val="0"/>
          <w:iCs w:val="0"/>
          <w:caps w:val="0"/>
          <w:smallCaps w:val="0"/>
          <w:noProof w:val="0"/>
          <w:color w:val="000000" w:themeColor="text1" w:themeTint="FF" w:themeShade="FF"/>
          <w:sz w:val="22"/>
          <w:szCs w:val="22"/>
          <w:lang w:val="en-US"/>
        </w:rPr>
        <w:t xml:space="preserve"> disease (</w:t>
      </w:r>
      <w:r w:rsidRPr="4DA97AE3" w:rsidR="5C176CE9">
        <w:rPr>
          <w:rFonts w:ascii="Arial" w:hAnsi="Arial" w:eastAsia="Arial" w:cs="Arial"/>
          <w:b w:val="0"/>
          <w:bCs w:val="0"/>
          <w:i w:val="0"/>
          <w:iCs w:val="0"/>
          <w:caps w:val="0"/>
          <w:smallCaps w:val="0"/>
          <w:noProof w:val="0"/>
          <w:color w:val="222222"/>
          <w:sz w:val="22"/>
          <w:szCs w:val="22"/>
          <w:lang w:val="en-US"/>
        </w:rPr>
        <w:t>Balestrieri</w:t>
      </w:r>
      <w:r w:rsidRPr="4DA97AE3" w:rsidR="49BC7473">
        <w:rPr>
          <w:rFonts w:ascii="Arial" w:hAnsi="Arial" w:eastAsia="Arial" w:cs="Arial"/>
          <w:noProof w:val="0"/>
          <w:sz w:val="22"/>
          <w:szCs w:val="22"/>
          <w:lang w:val="en-US"/>
        </w:rPr>
        <w:t xml:space="preserve"> et al., 20</w:t>
      </w:r>
      <w:r w:rsidRPr="4DA97AE3" w:rsidR="2AFF74B6">
        <w:rPr>
          <w:rFonts w:ascii="Arial" w:hAnsi="Arial" w:eastAsia="Arial" w:cs="Arial"/>
          <w:noProof w:val="0"/>
          <w:sz w:val="22"/>
          <w:szCs w:val="22"/>
          <w:lang w:val="en-US"/>
        </w:rPr>
        <w:t>23</w:t>
      </w:r>
      <w:r w:rsidRPr="4DA97AE3" w:rsidR="49BC7473">
        <w:rPr>
          <w:rFonts w:ascii="Arial" w:hAnsi="Arial" w:eastAsia="Arial" w:cs="Arial"/>
          <w:noProof w:val="0"/>
          <w:sz w:val="22"/>
          <w:szCs w:val="22"/>
          <w:lang w:val="en-US"/>
        </w:rPr>
        <w:t>).</w:t>
      </w:r>
      <w:r w:rsidRPr="4DA97AE3" w:rsidR="39F22926">
        <w:rPr>
          <w:rFonts w:ascii="Arial" w:hAnsi="Arial" w:eastAsia="Arial" w:cs="Arial"/>
          <w:noProof w:val="0"/>
          <w:sz w:val="22"/>
          <w:szCs w:val="22"/>
          <w:lang w:val="en-US"/>
        </w:rPr>
        <w:t xml:space="preserve"> </w:t>
      </w:r>
      <w:r w:rsidRPr="4DA97AE3" w:rsidR="68311AB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xml:space="preserve">Maslow’s hierarchy of needs (Maslow, 1943) can be used to understand Joan’s experience. Joan had basic physiological needs that were not </w:t>
      </w:r>
      <w:r w:rsidRPr="4DA97AE3" w:rsidR="016022B4">
        <w:rPr>
          <w:rFonts w:ascii="Arial" w:hAnsi="Arial" w:eastAsia="Arial" w:cs="Arial"/>
          <w:b w:val="0"/>
          <w:bCs w:val="0"/>
          <w:i w:val="0"/>
          <w:iCs w:val="0"/>
          <w:caps w:val="0"/>
          <w:smallCaps w:val="0"/>
          <w:noProof w:val="0"/>
          <w:color w:val="000000" w:themeColor="text1" w:themeTint="FF" w:themeShade="FF"/>
          <w:sz w:val="22"/>
          <w:szCs w:val="22"/>
          <w:lang w:val="en-US"/>
        </w:rPr>
        <w:t>met</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xml:space="preserve"> due to her uncontrolled bowel symptoms. Her safety needs were also not met because she was worried about leaving her home and not being able to access </w:t>
      </w:r>
      <w:r w:rsidRPr="4DA97AE3" w:rsidR="045DB8A0">
        <w:rPr>
          <w:rFonts w:ascii="Arial" w:hAnsi="Arial" w:eastAsia="Arial" w:cs="Arial"/>
          <w:b w:val="0"/>
          <w:bCs w:val="0"/>
          <w:i w:val="0"/>
          <w:iCs w:val="0"/>
          <w:caps w:val="0"/>
          <w:smallCaps w:val="0"/>
          <w:noProof w:val="0"/>
          <w:color w:val="000000" w:themeColor="text1" w:themeTint="FF" w:themeShade="FF"/>
          <w:sz w:val="22"/>
          <w:szCs w:val="22"/>
          <w:lang w:val="en-US"/>
        </w:rPr>
        <w:t>the toilet</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xml:space="preserve">. Expecting Joan to attend PR and become activated without addressing these foundational needs would have been futile. The professional </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recognised</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xml:space="preserve"> this and acted in a person-</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centred</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xml:space="preserve"> way. Activation and confidence to manage her health cannot improve when someone feels unsafe</w:t>
      </w:r>
      <w:r w:rsidRPr="4DA97AE3" w:rsidR="0370550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0370550D">
        <w:rPr>
          <w:rFonts w:ascii="Arial" w:hAnsi="Arial" w:eastAsia="Arial" w:cs="Arial"/>
          <w:noProof w:val="0"/>
          <w:sz w:val="22"/>
          <w:szCs w:val="22"/>
          <w:lang w:val="en-US"/>
        </w:rPr>
        <w:t>(Tay and Diener, 2011; Nkhoma et al., 2022)</w:t>
      </w:r>
      <w:r w:rsidRPr="4DA97AE3" w:rsidR="092840B7">
        <w:rPr>
          <w:rFonts w:ascii="Arial" w:hAnsi="Arial" w:eastAsia="Arial" w:cs="Arial"/>
          <w:b w:val="0"/>
          <w:bCs w:val="0"/>
          <w:i w:val="0"/>
          <w:iCs w:val="0"/>
          <w:caps w:val="0"/>
          <w:smallCaps w:val="0"/>
          <w:noProof w:val="0"/>
          <w:color w:val="000000" w:themeColor="text1" w:themeTint="FF" w:themeShade="FF"/>
          <w:sz w:val="22"/>
          <w:szCs w:val="22"/>
          <w:lang w:val="en-US"/>
        </w:rPr>
        <w:t>. Finding a goal that was important to Joan (Christmas shopping with her daughter) promoted her belonging and esteem needs, which improved her activation.</w:t>
      </w:r>
    </w:p>
    <w:p w:rsidR="756AEBCA" w:rsidP="6E5B3B39" w:rsidRDefault="756AEBCA" w14:paraId="56C4F1B6" w14:textId="2FA3A505">
      <w:pPr>
        <w:pStyle w:val="Normal"/>
        <w:spacing w:before="240" w:beforeAutospacing="off" w:after="240" w:afterAutospacing="off" w:line="360" w:lineRule="auto"/>
        <w:jc w:val="both"/>
        <w:rPr>
          <w:rFonts w:ascii="Arial" w:hAnsi="Arial" w:eastAsia="Arial" w:cs="Arial"/>
          <w:noProof w:val="0"/>
          <w:sz w:val="22"/>
          <w:szCs w:val="22"/>
          <w:lang w:val="en-US"/>
        </w:rPr>
      </w:pPr>
      <w:r w:rsidRPr="4DA97AE3" w:rsidR="756AEBCA">
        <w:rPr>
          <w:rFonts w:ascii="Arial" w:hAnsi="Arial" w:eastAsia="Arial" w:cs="Arial"/>
          <w:noProof w:val="0"/>
          <w:sz w:val="22"/>
          <w:szCs w:val="22"/>
          <w:lang w:val="en-US"/>
        </w:rPr>
        <w:t>3.</w:t>
      </w:r>
      <w:r w:rsidRPr="4DA97AE3" w:rsidR="21FA3C1B">
        <w:rPr>
          <w:rFonts w:ascii="Arial" w:hAnsi="Arial" w:eastAsia="Arial" w:cs="Arial"/>
          <w:noProof w:val="0"/>
          <w:sz w:val="22"/>
          <w:szCs w:val="22"/>
          <w:lang w:val="en-US"/>
        </w:rPr>
        <w:t>2</w:t>
      </w:r>
      <w:r w:rsidRPr="4DA97AE3" w:rsidR="756AEBCA">
        <w:rPr>
          <w:rFonts w:ascii="Arial" w:hAnsi="Arial" w:eastAsia="Arial" w:cs="Arial"/>
          <w:noProof w:val="0"/>
          <w:sz w:val="22"/>
          <w:szCs w:val="22"/>
          <w:lang w:val="en-US"/>
        </w:rPr>
        <w:t xml:space="preserve"> </w:t>
      </w:r>
      <w:r w:rsidRPr="4DA97AE3" w:rsidR="5D738E1C">
        <w:rPr>
          <w:rFonts w:ascii="Arial" w:hAnsi="Arial" w:eastAsia="Arial" w:cs="Arial"/>
          <w:noProof w:val="0"/>
          <w:sz w:val="22"/>
          <w:szCs w:val="22"/>
          <w:lang w:val="en-US"/>
        </w:rPr>
        <w:t xml:space="preserve">Partnership working supported Joan’s care through collaboration between therapy teams, </w:t>
      </w:r>
      <w:r w:rsidRPr="4DA97AE3" w:rsidR="5D738E1C">
        <w:rPr>
          <w:rFonts w:ascii="Arial" w:hAnsi="Arial" w:eastAsia="Arial" w:cs="Arial"/>
          <w:noProof w:val="0"/>
          <w:sz w:val="22"/>
          <w:szCs w:val="22"/>
          <w:lang w:val="en-US"/>
        </w:rPr>
        <w:t>primary care, and family members. The Patient Activation Measure</w:t>
      </w:r>
      <w:r w:rsidRPr="4DA97AE3" w:rsidR="55728840">
        <w:rPr>
          <w:rFonts w:ascii="Arial" w:hAnsi="Arial" w:eastAsia="Arial" w:cs="Arial"/>
          <w:noProof w:val="0"/>
          <w:sz w:val="22"/>
          <w:szCs w:val="22"/>
          <w:lang w:val="en-US"/>
        </w:rPr>
        <w:t xml:space="preserve"> (PAM)</w:t>
      </w:r>
      <w:r w:rsidRPr="4DA97AE3" w:rsidR="5D738E1C">
        <w:rPr>
          <w:rFonts w:ascii="Arial" w:hAnsi="Arial" w:eastAsia="Arial" w:cs="Arial"/>
          <w:noProof w:val="0"/>
          <w:sz w:val="22"/>
          <w:szCs w:val="22"/>
          <w:lang w:val="en-US"/>
        </w:rPr>
        <w:t xml:space="preserve"> was used to </w:t>
      </w:r>
      <w:r w:rsidRPr="4DA97AE3" w:rsidR="5D738E1C">
        <w:rPr>
          <w:rFonts w:ascii="Arial" w:hAnsi="Arial" w:eastAsia="Arial" w:cs="Arial"/>
          <w:noProof w:val="0"/>
          <w:sz w:val="22"/>
          <w:szCs w:val="22"/>
          <w:lang w:val="en-US"/>
        </w:rPr>
        <w:t>monitor</w:t>
      </w:r>
      <w:r w:rsidRPr="4DA97AE3" w:rsidR="5D738E1C">
        <w:rPr>
          <w:rFonts w:ascii="Arial" w:hAnsi="Arial" w:eastAsia="Arial" w:cs="Arial"/>
          <w:noProof w:val="0"/>
          <w:sz w:val="22"/>
          <w:szCs w:val="22"/>
          <w:lang w:val="en-US"/>
        </w:rPr>
        <w:t xml:space="preserve"> confidence and progress</w:t>
      </w:r>
      <w:r w:rsidRPr="4DA97AE3" w:rsidR="62566DD9">
        <w:rPr>
          <w:rFonts w:ascii="Arial" w:hAnsi="Arial" w:eastAsia="Arial" w:cs="Arial"/>
          <w:b w:val="0"/>
          <w:bCs w:val="0"/>
          <w:i w:val="0"/>
          <w:iCs w:val="0"/>
          <w:caps w:val="0"/>
          <w:smallCaps w:val="0"/>
          <w:noProof w:val="0"/>
          <w:color w:val="000000" w:themeColor="text1" w:themeTint="FF" w:themeShade="FF"/>
          <w:sz w:val="22"/>
          <w:szCs w:val="22"/>
          <w:lang w:val="en-US"/>
        </w:rPr>
        <w:t xml:space="preserve"> (Hibbard and Greene, 2013)</w:t>
      </w:r>
      <w:r w:rsidRPr="4DA97AE3" w:rsidR="5D738E1C">
        <w:rPr>
          <w:rFonts w:ascii="Arial" w:hAnsi="Arial" w:eastAsia="Arial" w:cs="Arial"/>
          <w:noProof w:val="0"/>
          <w:sz w:val="22"/>
          <w:szCs w:val="22"/>
          <w:lang w:val="en-US"/>
        </w:rPr>
        <w:t xml:space="preserve">. Joan’s GP reviewed treatment to improve Crohn’s disease control, addressing physiological barriers affecting engagement. Community-based pulmonary rehabilitation closer to her home was also offered in line with integrated care principles (NHS England, 2019; NHS England, 2023). Following these adjustments, Joan’s attendance improved, activation scores increased, and emergency admissions decreased. This aligns with evidence that </w:t>
      </w:r>
      <w:r w:rsidRPr="4DA97AE3" w:rsidR="5D738E1C">
        <w:rPr>
          <w:rFonts w:ascii="Arial" w:hAnsi="Arial" w:eastAsia="Arial" w:cs="Arial"/>
          <w:noProof w:val="0"/>
          <w:sz w:val="22"/>
          <w:szCs w:val="22"/>
          <w:lang w:val="en-US"/>
        </w:rPr>
        <w:t>personalised</w:t>
      </w:r>
      <w:r w:rsidRPr="4DA97AE3" w:rsidR="5D738E1C">
        <w:rPr>
          <w:rFonts w:ascii="Arial" w:hAnsi="Arial" w:eastAsia="Arial" w:cs="Arial"/>
          <w:noProof w:val="0"/>
          <w:sz w:val="22"/>
          <w:szCs w:val="22"/>
          <w:lang w:val="en-US"/>
        </w:rPr>
        <w:t xml:space="preserve"> self-management interventions reduce healthcare </w:t>
      </w:r>
      <w:r w:rsidRPr="4DA97AE3" w:rsidR="5D738E1C">
        <w:rPr>
          <w:rFonts w:ascii="Arial" w:hAnsi="Arial" w:eastAsia="Arial" w:cs="Arial"/>
          <w:noProof w:val="0"/>
          <w:sz w:val="22"/>
          <w:szCs w:val="22"/>
          <w:lang w:val="en-US"/>
        </w:rPr>
        <w:t>utilisation</w:t>
      </w:r>
      <w:r w:rsidRPr="4DA97AE3" w:rsidR="5D738E1C">
        <w:rPr>
          <w:rFonts w:ascii="Arial" w:hAnsi="Arial" w:eastAsia="Arial" w:cs="Arial"/>
          <w:noProof w:val="0"/>
          <w:sz w:val="22"/>
          <w:szCs w:val="22"/>
          <w:lang w:val="en-US"/>
        </w:rPr>
        <w:t xml:space="preserve"> among COPD populations (</w:t>
      </w:r>
      <w:r w:rsidRPr="4DA97AE3" w:rsidR="5D738E1C">
        <w:rPr>
          <w:rFonts w:ascii="Arial" w:hAnsi="Arial" w:eastAsia="Arial" w:cs="Arial"/>
          <w:noProof w:val="0"/>
          <w:sz w:val="22"/>
          <w:szCs w:val="22"/>
          <w:lang w:val="en-US"/>
        </w:rPr>
        <w:t>Puhan</w:t>
      </w:r>
      <w:r w:rsidRPr="4DA97AE3" w:rsidR="5D738E1C">
        <w:rPr>
          <w:rFonts w:ascii="Arial" w:hAnsi="Arial" w:eastAsia="Arial" w:cs="Arial"/>
          <w:noProof w:val="0"/>
          <w:sz w:val="22"/>
          <w:szCs w:val="22"/>
          <w:lang w:val="en-US"/>
        </w:rPr>
        <w:t xml:space="preserve"> et al., 2016).</w:t>
      </w:r>
    </w:p>
    <w:p w:rsidR="0E184599" w:rsidP="4DA97AE3" w:rsidRDefault="0E184599" w14:paraId="720FAD33" w14:textId="60326C92">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A97AE3" w:rsidR="0E184599">
        <w:rPr>
          <w:rFonts w:ascii="Arial" w:hAnsi="Arial" w:eastAsia="Arial" w:cs="Arial"/>
          <w:b w:val="0"/>
          <w:bCs w:val="0"/>
          <w:i w:val="0"/>
          <w:iCs w:val="0"/>
          <w:caps w:val="0"/>
          <w:smallCaps w:val="0"/>
          <w:noProof w:val="0"/>
          <w:color w:val="000000" w:themeColor="text1" w:themeTint="FF" w:themeShade="FF"/>
          <w:sz w:val="22"/>
          <w:szCs w:val="22"/>
          <w:lang w:val="en-US"/>
        </w:rPr>
        <w:t>3.</w:t>
      </w:r>
      <w:r w:rsidRPr="4DA97AE3" w:rsidR="034825E5">
        <w:rPr>
          <w:rFonts w:ascii="Arial" w:hAnsi="Arial" w:eastAsia="Arial" w:cs="Arial"/>
          <w:b w:val="0"/>
          <w:bCs w:val="0"/>
          <w:i w:val="0"/>
          <w:iCs w:val="0"/>
          <w:caps w:val="0"/>
          <w:smallCaps w:val="0"/>
          <w:noProof w:val="0"/>
          <w:color w:val="000000" w:themeColor="text1" w:themeTint="FF" w:themeShade="FF"/>
          <w:sz w:val="22"/>
          <w:szCs w:val="22"/>
          <w:lang w:val="en-US"/>
        </w:rPr>
        <w:t>3</w:t>
      </w:r>
      <w:r w:rsidRPr="4DA97AE3" w:rsidR="0E1845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 xml:space="preserve">Ethics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was key throughout this process. Joan’s autonomy was respected by offering choice about where she could receive PR and involving her in shared goal setting</w:t>
      </w:r>
      <w:r w:rsidRPr="4DA97AE3" w:rsidR="1B39390D">
        <w:rPr>
          <w:rFonts w:ascii="Arial" w:hAnsi="Arial" w:eastAsia="Arial" w:cs="Arial"/>
          <w:noProof w:val="0"/>
          <w:sz w:val="22"/>
          <w:szCs w:val="22"/>
          <w:lang w:val="en-US"/>
        </w:rPr>
        <w:t xml:space="preserve"> (Beauchamp and Childress, 2019)</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 xml:space="preserve">. The principles of beneficence and non-maleficence were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demonstrated</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 xml:space="preserve"> by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 xml:space="preserve"> barriers to engagement and addressing root causes. Joan was not honest about her reasons for not attending PR because she felt embarrassed. Justice was applied by adapting how she could access PR. Joan had low activation at the beginning of engagement with PR; however, she was still offered alternative services so that she could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benefit</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 xml:space="preserve"> from the </w:t>
      </w:r>
      <w:r w:rsidRPr="4DA97AE3" w:rsidR="1B39390D">
        <w:rPr>
          <w:rFonts w:ascii="Arial" w:hAnsi="Arial" w:eastAsia="Arial" w:cs="Arial"/>
          <w:b w:val="0"/>
          <w:bCs w:val="0"/>
          <w:i w:val="0"/>
          <w:iCs w:val="0"/>
          <w:caps w:val="0"/>
          <w:smallCaps w:val="0"/>
          <w:noProof w:val="0"/>
          <w:color w:val="000000" w:themeColor="text1" w:themeTint="FF" w:themeShade="FF"/>
          <w:sz w:val="22"/>
          <w:szCs w:val="22"/>
          <w:lang w:val="en-US"/>
        </w:rPr>
        <w:t>program</w:t>
      </w:r>
      <w:r w:rsidRPr="4DA97AE3" w:rsidR="62B75B2A">
        <w:rPr>
          <w:rFonts w:ascii="Arial" w:hAnsi="Arial" w:eastAsia="Arial" w:cs="Arial"/>
          <w:b w:val="0"/>
          <w:bCs w:val="0"/>
          <w:i w:val="0"/>
          <w:iCs w:val="0"/>
          <w:caps w:val="0"/>
          <w:smallCaps w:val="0"/>
          <w:noProof w:val="0"/>
          <w:color w:val="000000" w:themeColor="text1" w:themeTint="FF" w:themeShade="FF"/>
          <w:sz w:val="22"/>
          <w:szCs w:val="22"/>
          <w:lang w:val="en-US"/>
        </w:rPr>
        <w:t>me</w:t>
      </w:r>
      <w:r w:rsidRPr="4DA97AE3" w:rsidR="62B75B2A">
        <w:rPr>
          <w:rFonts w:ascii="Arial" w:hAnsi="Arial" w:eastAsia="Arial" w:cs="Arial"/>
          <w:b w:val="0"/>
          <w:bCs w:val="0"/>
          <w:i w:val="0"/>
          <w:iCs w:val="0"/>
          <w:caps w:val="0"/>
          <w:smallCaps w:val="0"/>
          <w:noProof w:val="0"/>
          <w:color w:val="000000" w:themeColor="text1" w:themeTint="FF" w:themeShade="FF"/>
          <w:sz w:val="22"/>
          <w:szCs w:val="22"/>
          <w:lang w:val="en-US"/>
        </w:rPr>
        <w:t xml:space="preserve">. Professional guidance from the </w:t>
      </w:r>
      <w:r w:rsidRPr="4DA97AE3" w:rsidR="34BF8528">
        <w:rPr>
          <w:rFonts w:ascii="Arial" w:hAnsi="Arial" w:eastAsia="Arial" w:cs="Arial"/>
          <w:b w:val="0"/>
          <w:bCs w:val="0"/>
          <w:i w:val="0"/>
          <w:iCs w:val="0"/>
          <w:caps w:val="0"/>
          <w:smallCaps w:val="0"/>
          <w:noProof w:val="0"/>
          <w:color w:val="000000" w:themeColor="text1" w:themeTint="FF" w:themeShade="FF"/>
          <w:sz w:val="22"/>
          <w:szCs w:val="22"/>
          <w:lang w:val="en-US"/>
        </w:rPr>
        <w:t>H</w:t>
      </w:r>
      <w:r w:rsidRPr="4DA97AE3" w:rsidR="62B75B2A">
        <w:rPr>
          <w:rFonts w:ascii="Arial" w:hAnsi="Arial" w:eastAsia="Arial" w:cs="Arial"/>
          <w:b w:val="0"/>
          <w:bCs w:val="0"/>
          <w:i w:val="0"/>
          <w:iCs w:val="0"/>
          <w:caps w:val="0"/>
          <w:smallCaps w:val="0"/>
          <w:noProof w:val="0"/>
          <w:color w:val="000000" w:themeColor="text1" w:themeTint="FF" w:themeShade="FF"/>
          <w:sz w:val="22"/>
          <w:szCs w:val="22"/>
          <w:lang w:val="en-US"/>
        </w:rPr>
        <w:t>ealth</w:t>
      </w:r>
      <w:r w:rsidRPr="4DA97AE3" w:rsidR="629CFA0B">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 xml:space="preserve"> Care </w:t>
      </w:r>
      <w:r w:rsidRPr="4DA97AE3" w:rsidR="4224DB3F">
        <w:rPr>
          <w:rFonts w:ascii="Arial" w:hAnsi="Arial" w:eastAsia="Arial" w:cs="Arial"/>
          <w:b w:val="0"/>
          <w:bCs w:val="0"/>
          <w:i w:val="0"/>
          <w:iCs w:val="0"/>
          <w:caps w:val="0"/>
          <w:smallCaps w:val="0"/>
          <w:noProof w:val="0"/>
          <w:color w:val="000000" w:themeColor="text1" w:themeTint="FF" w:themeShade="FF"/>
          <w:sz w:val="22"/>
          <w:szCs w:val="22"/>
          <w:lang w:val="en-US"/>
        </w:rPr>
        <w:t>Professions</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 xml:space="preserve"> Council and equality legislation supports such inclusive practice (</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HCPC</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 20</w:t>
      </w:r>
      <w:r w:rsidRPr="4DA97AE3" w:rsidR="3497029D">
        <w:rPr>
          <w:rFonts w:ascii="Arial" w:hAnsi="Arial" w:eastAsia="Arial" w:cs="Arial"/>
          <w:b w:val="0"/>
          <w:bCs w:val="0"/>
          <w:i w:val="0"/>
          <w:iCs w:val="0"/>
          <w:caps w:val="0"/>
          <w:smallCaps w:val="0"/>
          <w:noProof w:val="0"/>
          <w:color w:val="000000" w:themeColor="text1" w:themeTint="FF" w:themeShade="FF"/>
          <w:sz w:val="22"/>
          <w:szCs w:val="22"/>
          <w:lang w:val="en-US"/>
        </w:rPr>
        <w:t>12</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w:t>
      </w:r>
      <w:r w:rsidRPr="4DA97AE3" w:rsidR="2DC9951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A97AE3" w:rsidR="4ADD49E6">
        <w:rPr>
          <w:rFonts w:ascii="Arial" w:hAnsi="Arial" w:eastAsia="Arial" w:cs="Arial"/>
          <w:b w:val="0"/>
          <w:bCs w:val="0"/>
          <w:i w:val="0"/>
          <w:iCs w:val="0"/>
          <w:caps w:val="0"/>
          <w:smallCaps w:val="0"/>
          <w:noProof w:val="0"/>
          <w:color w:val="000000" w:themeColor="text1" w:themeTint="FF" w:themeShade="FF"/>
          <w:sz w:val="22"/>
          <w:szCs w:val="22"/>
          <w:lang w:val="en-US"/>
        </w:rPr>
        <w:t>Equality</w:t>
      </w:r>
      <w:r w:rsidRPr="4DA97AE3" w:rsidR="38B15F67">
        <w:rPr>
          <w:rFonts w:ascii="Arial" w:hAnsi="Arial" w:eastAsia="Arial" w:cs="Arial"/>
          <w:b w:val="0"/>
          <w:bCs w:val="0"/>
          <w:i w:val="0"/>
          <w:iCs w:val="0"/>
          <w:caps w:val="0"/>
          <w:smallCaps w:val="0"/>
          <w:noProof w:val="0"/>
          <w:color w:val="000000" w:themeColor="text1" w:themeTint="FF" w:themeShade="FF"/>
          <w:sz w:val="22"/>
          <w:szCs w:val="22"/>
          <w:lang w:val="en-US"/>
        </w:rPr>
        <w:t xml:space="preserve"> Act 2010).</w:t>
      </w:r>
    </w:p>
    <w:p w:rsidR="6E5B3B39" w:rsidP="6E5B3B39" w:rsidRDefault="6E5B3B39" w14:paraId="1BECB675" w14:textId="1666B14F">
      <w:pPr>
        <w:pStyle w:val="Normal"/>
        <w:spacing w:before="240" w:beforeAutospacing="off" w:after="240" w:afterAutospacing="off" w:line="360" w:lineRule="auto"/>
        <w:jc w:val="both"/>
        <w:rPr>
          <w:rFonts w:ascii="Arial" w:hAnsi="Arial" w:eastAsia="Arial" w:cs="Arial"/>
          <w:noProof w:val="0"/>
          <w:sz w:val="22"/>
          <w:szCs w:val="22"/>
          <w:lang w:val="en-US"/>
        </w:rPr>
      </w:pPr>
    </w:p>
    <w:p w:rsidR="6E5B3B39" w:rsidP="6E5B3B39" w:rsidRDefault="6E5B3B39" w14:paraId="7D477ED3" w14:textId="09DFBF2D">
      <w:pPr>
        <w:pStyle w:val="Normal"/>
        <w:spacing w:before="240" w:beforeAutospacing="off" w:after="240" w:afterAutospacing="off" w:line="360" w:lineRule="auto"/>
        <w:jc w:val="both"/>
        <w:rPr>
          <w:rFonts w:ascii="Arial" w:hAnsi="Arial" w:eastAsia="Arial" w:cs="Arial"/>
          <w:noProof w:val="0"/>
          <w:sz w:val="22"/>
          <w:szCs w:val="22"/>
          <w:lang w:val="en-US"/>
        </w:rPr>
      </w:pPr>
    </w:p>
    <w:p w:rsidR="6E5B3B39" w:rsidP="6E5B3B39" w:rsidRDefault="6E5B3B39" w14:paraId="0DEAE586" w14:textId="2EE23ED4">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55A81D02" w:rsidP="6E5B3B39" w:rsidRDefault="55A81D02" w14:paraId="131B0225" w14:textId="331CCFD9">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55A81D02">
        <w:rPr>
          <w:rFonts w:ascii="Arial" w:hAnsi="Arial" w:eastAsia="Arial" w:cs="Arial"/>
          <w:b w:val="0"/>
          <w:bCs w:val="0"/>
          <w:i w:val="0"/>
          <w:iCs w:val="0"/>
          <w:caps w:val="0"/>
          <w:smallCaps w:val="0"/>
          <w:noProof w:val="0"/>
          <w:color w:val="000000" w:themeColor="text1" w:themeTint="FF" w:themeShade="FF"/>
          <w:sz w:val="22"/>
          <w:szCs w:val="22"/>
          <w:lang w:val="en-US"/>
        </w:rPr>
        <w:t>Task 3 – Self-reflection using Gibbs’ reflective cycle</w:t>
      </w:r>
    </w:p>
    <w:p w:rsidR="5E6BCA4A" w:rsidP="6E5B3B39" w:rsidRDefault="5E6BCA4A" w14:paraId="38FBAEB3" w14:textId="6D00FA7F">
      <w:pPr>
        <w:spacing w:before="240" w:beforeAutospacing="off" w:after="240" w:afterAutospacing="off" w:line="360" w:lineRule="auto"/>
        <w:jc w:val="both"/>
        <w:rPr>
          <w:rFonts w:ascii="Arial" w:hAnsi="Arial" w:eastAsia="Arial" w:cs="Arial"/>
          <w:noProof w:val="0"/>
          <w:sz w:val="22"/>
          <w:szCs w:val="22"/>
          <w:lang w:val="en-US"/>
        </w:rPr>
      </w:pPr>
      <w:r w:rsidRPr="6E5B3B39" w:rsidR="5E6BCA4A">
        <w:rPr>
          <w:rFonts w:ascii="Arial" w:hAnsi="Arial" w:eastAsia="Arial" w:cs="Arial"/>
          <w:noProof w:val="0"/>
          <w:sz w:val="22"/>
          <w:szCs w:val="22"/>
          <w:lang w:val="en-US"/>
        </w:rPr>
        <w:t>This reflection is guided by Learning by Doing: A Guide to Teaching and Learning Methods by Graham Gibbs (1988). Gibbs’ reflective cycle provides a structured framework consisting of six stages: description, feelings, evaluation, analysis, conclusion, and action plan. By progressing systematically through each stage, it is possible to move beyond simple description and develop deeper critical insight into practice. Consistent with Tasks 1 and 2, this reflection considers person-</w:t>
      </w:r>
      <w:r w:rsidRPr="6E5B3B39" w:rsidR="5E6BCA4A">
        <w:rPr>
          <w:rFonts w:ascii="Arial" w:hAnsi="Arial" w:eastAsia="Arial" w:cs="Arial"/>
          <w:noProof w:val="0"/>
          <w:sz w:val="22"/>
          <w:szCs w:val="22"/>
          <w:lang w:val="en-US"/>
        </w:rPr>
        <w:t>centred</w:t>
      </w:r>
      <w:r w:rsidRPr="6E5B3B39" w:rsidR="5E6BCA4A">
        <w:rPr>
          <w:rFonts w:ascii="Arial" w:hAnsi="Arial" w:eastAsia="Arial" w:cs="Arial"/>
          <w:noProof w:val="0"/>
          <w:sz w:val="22"/>
          <w:szCs w:val="22"/>
          <w:lang w:val="en-US"/>
        </w:rPr>
        <w:t xml:space="preserve"> care (PCC), partnership working, ethical principles, and Abraham Maslow’s hierarchy of needs.</w:t>
      </w:r>
    </w:p>
    <w:p w:rsidR="19340057" w:rsidP="6E5B3B39" w:rsidRDefault="19340057" w14:paraId="35AF7EFA" w14:textId="6C5F328B">
      <w:pPr>
        <w:spacing w:before="240" w:beforeAutospacing="off" w:after="240" w:afterAutospacing="off" w:line="360" w:lineRule="auto"/>
        <w:jc w:val="both"/>
        <w:rPr>
          <w:rFonts w:ascii="Arial" w:hAnsi="Arial" w:eastAsia="Arial" w:cs="Arial"/>
          <w:noProof w:val="0"/>
          <w:sz w:val="22"/>
          <w:szCs w:val="22"/>
          <w:lang w:val="en-US"/>
        </w:rPr>
      </w:pPr>
      <w:r w:rsidRPr="6E5B3B39" w:rsidR="19340057">
        <w:rPr>
          <w:rFonts w:ascii="Arial" w:hAnsi="Arial" w:eastAsia="Arial" w:cs="Arial"/>
          <w:noProof w:val="0"/>
          <w:sz w:val="22"/>
          <w:szCs w:val="22"/>
          <w:lang w:val="en-US"/>
        </w:rPr>
        <w:t xml:space="preserve">4.1 </w:t>
      </w:r>
      <w:r w:rsidRPr="6E5B3B39" w:rsidR="3B87CFCB">
        <w:rPr>
          <w:rFonts w:ascii="Arial" w:hAnsi="Arial" w:eastAsia="Arial" w:cs="Arial"/>
          <w:noProof w:val="0"/>
          <w:sz w:val="22"/>
          <w:szCs w:val="22"/>
          <w:lang w:val="en-US"/>
        </w:rPr>
        <w:t>Description</w:t>
      </w:r>
    </w:p>
    <w:p w:rsidR="48AEA4BB" w:rsidP="6E5B3B39" w:rsidRDefault="48AEA4BB" w14:paraId="4B9A50FC" w14:textId="0BE28B94">
      <w:pPr>
        <w:spacing w:before="240" w:beforeAutospacing="off" w:after="240" w:afterAutospacing="off" w:line="360" w:lineRule="auto"/>
        <w:jc w:val="both"/>
        <w:rPr>
          <w:rFonts w:ascii="Arial" w:hAnsi="Arial" w:eastAsia="Arial" w:cs="Arial"/>
          <w:noProof w:val="0"/>
          <w:sz w:val="22"/>
          <w:szCs w:val="22"/>
          <w:lang w:val="en-US"/>
        </w:rPr>
      </w:pPr>
      <w:r w:rsidRPr="6E5B3B39" w:rsidR="48AEA4BB">
        <w:rPr>
          <w:rFonts w:ascii="Arial" w:hAnsi="Arial" w:eastAsia="Arial" w:cs="Arial"/>
          <w:noProof w:val="0"/>
          <w:sz w:val="22"/>
          <w:szCs w:val="22"/>
          <w:lang w:val="en-US"/>
        </w:rPr>
        <w:t>During the third year of university placement, work was undertaken with an older adult referred to here as “</w:t>
      </w:r>
      <w:r w:rsidRPr="6E5B3B39" w:rsidR="48AEA4BB">
        <w:rPr>
          <w:rFonts w:ascii="Arial" w:hAnsi="Arial" w:eastAsia="Arial" w:cs="Arial"/>
          <w:noProof w:val="0"/>
          <w:sz w:val="22"/>
          <w:szCs w:val="22"/>
          <w:lang w:val="en-US"/>
        </w:rPr>
        <w:t>Mr</w:t>
      </w:r>
      <w:r w:rsidRPr="6E5B3B39" w:rsidR="48AEA4BB">
        <w:rPr>
          <w:rFonts w:ascii="Arial" w:hAnsi="Arial" w:eastAsia="Arial" w:cs="Arial"/>
          <w:noProof w:val="0"/>
          <w:sz w:val="22"/>
          <w:szCs w:val="22"/>
          <w:lang w:val="en-US"/>
        </w:rPr>
        <w:t xml:space="preserve"> </w:t>
      </w:r>
      <w:r w:rsidRPr="6E5B3B39" w:rsidR="48AEA4BB">
        <w:rPr>
          <w:rFonts w:ascii="Arial" w:hAnsi="Arial" w:eastAsia="Arial" w:cs="Arial"/>
          <w:noProof w:val="0"/>
          <w:sz w:val="22"/>
          <w:szCs w:val="22"/>
          <w:lang w:val="en-US"/>
        </w:rPr>
        <w:t>Kihani</w:t>
      </w:r>
      <w:r w:rsidRPr="6E5B3B39" w:rsidR="48AEA4BB">
        <w:rPr>
          <w:rFonts w:ascii="Arial" w:hAnsi="Arial" w:eastAsia="Arial" w:cs="Arial"/>
          <w:noProof w:val="0"/>
          <w:sz w:val="22"/>
          <w:szCs w:val="22"/>
          <w:lang w:val="en-US"/>
        </w:rPr>
        <w:t xml:space="preserve">” to preserve confidentiality. He had been diagnosed with COPD and type 2 diabetes and was referred to the </w:t>
      </w:r>
      <w:r w:rsidRPr="6E5B3B39" w:rsidR="48AEA4BB">
        <w:rPr>
          <w:rFonts w:ascii="Arial" w:hAnsi="Arial" w:eastAsia="Arial" w:cs="Arial"/>
          <w:noProof w:val="0"/>
          <w:sz w:val="22"/>
          <w:szCs w:val="22"/>
          <w:lang w:val="en-US"/>
        </w:rPr>
        <w:t>community</w:t>
      </w:r>
      <w:r w:rsidRPr="6E5B3B39" w:rsidR="48AEA4BB">
        <w:rPr>
          <w:rFonts w:ascii="Arial" w:hAnsi="Arial" w:eastAsia="Arial" w:cs="Arial"/>
          <w:noProof w:val="0"/>
          <w:sz w:val="22"/>
          <w:szCs w:val="22"/>
          <w:lang w:val="en-US"/>
        </w:rPr>
        <w:t xml:space="preserve"> pulmonary rehabilitation (PR) team following multiple hospital admissions for COPD exacerbations. However, he was not attending PR appointments and was described as “not engaging.”</w:t>
      </w:r>
      <w:r w:rsidRPr="6E5B3B39" w:rsidR="6C79A8C1">
        <w:rPr>
          <w:rFonts w:ascii="Arial" w:hAnsi="Arial" w:eastAsia="Arial" w:cs="Arial"/>
          <w:noProof w:val="0"/>
          <w:sz w:val="22"/>
          <w:szCs w:val="22"/>
          <w:lang w:val="en-US"/>
        </w:rPr>
        <w:t xml:space="preserve"> </w:t>
      </w:r>
      <w:r w:rsidRPr="6E5B3B39" w:rsidR="48AEA4BB">
        <w:rPr>
          <w:rFonts w:ascii="Arial" w:hAnsi="Arial" w:eastAsia="Arial" w:cs="Arial"/>
          <w:noProof w:val="0"/>
          <w:sz w:val="22"/>
          <w:szCs w:val="22"/>
          <w:lang w:val="en-US"/>
        </w:rPr>
        <w:t xml:space="preserve">At that time, part of the role involved conducting telephone follow-ups after each missed session to encourage attendance, in addition to </w:t>
      </w:r>
      <w:r w:rsidRPr="6E5B3B39" w:rsidR="48AEA4BB">
        <w:rPr>
          <w:rFonts w:ascii="Arial" w:hAnsi="Arial" w:eastAsia="Arial" w:cs="Arial"/>
          <w:noProof w:val="0"/>
          <w:sz w:val="22"/>
          <w:szCs w:val="22"/>
          <w:lang w:val="en-US"/>
        </w:rPr>
        <w:t>accompanying</w:t>
      </w:r>
      <w:r w:rsidRPr="6E5B3B39" w:rsidR="48AEA4BB">
        <w:rPr>
          <w:rFonts w:ascii="Arial" w:hAnsi="Arial" w:eastAsia="Arial" w:cs="Arial"/>
          <w:noProof w:val="0"/>
          <w:sz w:val="22"/>
          <w:szCs w:val="22"/>
          <w:lang w:val="en-US"/>
        </w:rPr>
        <w:t xml:space="preserve"> a senior physiotherapist on home visits. Despite repeated reminders, attendance did not improve. Consequently, a home visit was arranged to explore potential barriers in greater depth.</w:t>
      </w:r>
    </w:p>
    <w:p w:rsidR="48AEA4BB" w:rsidP="6E5B3B39" w:rsidRDefault="48AEA4BB" w14:paraId="4F417BB5" w14:textId="3ECAFE66">
      <w:pPr>
        <w:spacing w:before="240" w:beforeAutospacing="off" w:after="240" w:afterAutospacing="off" w:line="360" w:lineRule="auto"/>
        <w:jc w:val="both"/>
        <w:rPr>
          <w:rFonts w:ascii="Arial" w:hAnsi="Arial" w:eastAsia="Arial" w:cs="Arial"/>
          <w:noProof w:val="0"/>
          <w:sz w:val="22"/>
          <w:szCs w:val="22"/>
          <w:lang w:val="en-US"/>
        </w:rPr>
      </w:pPr>
      <w:r w:rsidRPr="6E5B3B39" w:rsidR="48AEA4BB">
        <w:rPr>
          <w:rFonts w:ascii="Arial" w:hAnsi="Arial" w:eastAsia="Arial" w:cs="Arial"/>
          <w:noProof w:val="0"/>
          <w:sz w:val="22"/>
          <w:szCs w:val="22"/>
          <w:lang w:val="en-US"/>
        </w:rPr>
        <w:t xml:space="preserve">During the visit, a noticeably different approach was adopted. Rather than focusing on missed appointments, the physiotherapist used open-ended questions to explore </w:t>
      </w:r>
      <w:r w:rsidRPr="6E5B3B39" w:rsidR="48AEA4BB">
        <w:rPr>
          <w:rFonts w:ascii="Arial" w:hAnsi="Arial" w:eastAsia="Arial" w:cs="Arial"/>
          <w:noProof w:val="0"/>
          <w:sz w:val="22"/>
          <w:szCs w:val="22"/>
          <w:lang w:val="en-US"/>
        </w:rPr>
        <w:t>Mr</w:t>
      </w:r>
      <w:r w:rsidRPr="6E5B3B39" w:rsidR="48AEA4BB">
        <w:rPr>
          <w:rFonts w:ascii="Arial" w:hAnsi="Arial" w:eastAsia="Arial" w:cs="Arial"/>
          <w:noProof w:val="0"/>
          <w:sz w:val="22"/>
          <w:szCs w:val="22"/>
          <w:lang w:val="en-US"/>
        </w:rPr>
        <w:t xml:space="preserve"> </w:t>
      </w:r>
      <w:r w:rsidRPr="6E5B3B39" w:rsidR="48AEA4BB">
        <w:rPr>
          <w:rFonts w:ascii="Arial" w:hAnsi="Arial" w:eastAsia="Arial" w:cs="Arial"/>
          <w:noProof w:val="0"/>
          <w:sz w:val="22"/>
          <w:szCs w:val="22"/>
          <w:lang w:val="en-US"/>
        </w:rPr>
        <w:t>Kihani’s</w:t>
      </w:r>
      <w:r w:rsidRPr="6E5B3B39" w:rsidR="48AEA4BB">
        <w:rPr>
          <w:rFonts w:ascii="Arial" w:hAnsi="Arial" w:eastAsia="Arial" w:cs="Arial"/>
          <w:noProof w:val="0"/>
          <w:sz w:val="22"/>
          <w:szCs w:val="22"/>
          <w:lang w:val="en-US"/>
        </w:rPr>
        <w:t xml:space="preserve"> daily routine, responsibilities, and concerns. As a result, he </w:t>
      </w:r>
      <w:r w:rsidRPr="6E5B3B39" w:rsidR="48AEA4BB">
        <w:rPr>
          <w:rFonts w:ascii="Arial" w:hAnsi="Arial" w:eastAsia="Arial" w:cs="Arial"/>
          <w:noProof w:val="0"/>
          <w:sz w:val="22"/>
          <w:szCs w:val="22"/>
          <w:lang w:val="en-US"/>
        </w:rPr>
        <w:t>disclosed</w:t>
      </w:r>
      <w:r w:rsidRPr="6E5B3B39" w:rsidR="48AEA4BB">
        <w:rPr>
          <w:rFonts w:ascii="Arial" w:hAnsi="Arial" w:eastAsia="Arial" w:cs="Arial"/>
          <w:noProof w:val="0"/>
          <w:sz w:val="22"/>
          <w:szCs w:val="22"/>
          <w:lang w:val="en-US"/>
        </w:rPr>
        <w:t xml:space="preserve"> feelings of embarrassment about becoming breathless in public. In addition, he expressed fear of experiencing </w:t>
      </w:r>
      <w:r w:rsidRPr="6E5B3B39" w:rsidR="48AEA4BB">
        <w:rPr>
          <w:rFonts w:ascii="Arial" w:hAnsi="Arial" w:eastAsia="Arial" w:cs="Arial"/>
          <w:noProof w:val="0"/>
          <w:sz w:val="22"/>
          <w:szCs w:val="22"/>
          <w:lang w:val="en-US"/>
        </w:rPr>
        <w:t>hypoglycaemic</w:t>
      </w:r>
      <w:r w:rsidRPr="6E5B3B39" w:rsidR="48AEA4BB">
        <w:rPr>
          <w:rFonts w:ascii="Arial" w:hAnsi="Arial" w:eastAsia="Arial" w:cs="Arial"/>
          <w:noProof w:val="0"/>
          <w:sz w:val="22"/>
          <w:szCs w:val="22"/>
          <w:lang w:val="en-US"/>
        </w:rPr>
        <w:t xml:space="preserve"> episodes away from home. Furthermore, he explained that he was the primary carer for his wife, which significantly limited his flexibility. Taken together, these factors were identified as key barriers to </w:t>
      </w:r>
      <w:r w:rsidRPr="6E5B3B39" w:rsidR="48AEA4BB">
        <w:rPr>
          <w:rFonts w:ascii="Arial" w:hAnsi="Arial" w:eastAsia="Arial" w:cs="Arial"/>
          <w:noProof w:val="0"/>
          <w:sz w:val="22"/>
          <w:szCs w:val="22"/>
          <w:lang w:val="en-US"/>
        </w:rPr>
        <w:t>rehabilitation</w:t>
      </w:r>
      <w:r w:rsidRPr="6E5B3B39" w:rsidR="48AEA4BB">
        <w:rPr>
          <w:rFonts w:ascii="Arial" w:hAnsi="Arial" w:eastAsia="Arial" w:cs="Arial"/>
          <w:noProof w:val="0"/>
          <w:sz w:val="22"/>
          <w:szCs w:val="22"/>
          <w:lang w:val="en-US"/>
        </w:rPr>
        <w:t xml:space="preserve"> attendance.</w:t>
      </w:r>
    </w:p>
    <w:p w:rsidR="48AEA4BB" w:rsidP="6E5B3B39" w:rsidRDefault="48AEA4BB" w14:paraId="20B8CA31" w14:textId="1026965F">
      <w:pPr>
        <w:spacing w:before="240" w:beforeAutospacing="off" w:after="240" w:afterAutospacing="off" w:line="360" w:lineRule="auto"/>
        <w:jc w:val="both"/>
        <w:rPr>
          <w:rFonts w:ascii="Arial" w:hAnsi="Arial" w:eastAsia="Arial" w:cs="Arial"/>
          <w:noProof w:val="0"/>
          <w:sz w:val="22"/>
          <w:szCs w:val="22"/>
          <w:lang w:val="en-US"/>
        </w:rPr>
      </w:pPr>
      <w:r w:rsidRPr="6E5B3B39" w:rsidR="48AEA4BB">
        <w:rPr>
          <w:rFonts w:ascii="Arial" w:hAnsi="Arial" w:eastAsia="Arial" w:cs="Arial"/>
          <w:noProof w:val="0"/>
          <w:sz w:val="22"/>
          <w:szCs w:val="22"/>
          <w:lang w:val="en-US"/>
        </w:rPr>
        <w:t>Following this discussion, a multidisciplinary meeting was conducted.</w:t>
      </w:r>
      <w:r w:rsidRPr="6E5B3B39" w:rsidR="48AEA4BB">
        <w:rPr>
          <w:rFonts w:ascii="Arial" w:hAnsi="Arial" w:eastAsia="Arial" w:cs="Arial"/>
          <w:noProof w:val="0"/>
          <w:sz w:val="22"/>
          <w:szCs w:val="22"/>
          <w:lang w:val="en-US"/>
        </w:rPr>
        <w:t xml:space="preserve"> Subsequently, a revised and more </w:t>
      </w:r>
      <w:r w:rsidRPr="6E5B3B39" w:rsidR="48AEA4BB">
        <w:rPr>
          <w:rFonts w:ascii="Arial" w:hAnsi="Arial" w:eastAsia="Arial" w:cs="Arial"/>
          <w:noProof w:val="0"/>
          <w:sz w:val="22"/>
          <w:szCs w:val="22"/>
          <w:lang w:val="en-US"/>
        </w:rPr>
        <w:t>personalised</w:t>
      </w:r>
      <w:r w:rsidRPr="6E5B3B39" w:rsidR="48AEA4BB">
        <w:rPr>
          <w:rFonts w:ascii="Arial" w:hAnsi="Arial" w:eastAsia="Arial" w:cs="Arial"/>
          <w:noProof w:val="0"/>
          <w:sz w:val="22"/>
          <w:szCs w:val="22"/>
          <w:lang w:val="en-US"/>
        </w:rPr>
        <w:t xml:space="preserve"> care plan was developed. His GP was contacted to </w:t>
      </w:r>
      <w:r w:rsidRPr="6E5B3B39" w:rsidR="48AEA4BB">
        <w:rPr>
          <w:rFonts w:ascii="Arial" w:hAnsi="Arial" w:eastAsia="Arial" w:cs="Arial"/>
          <w:noProof w:val="0"/>
          <w:sz w:val="22"/>
          <w:szCs w:val="22"/>
          <w:lang w:val="en-US"/>
        </w:rPr>
        <w:t>optimise</w:t>
      </w:r>
      <w:r w:rsidRPr="6E5B3B39" w:rsidR="48AEA4BB">
        <w:rPr>
          <w:rFonts w:ascii="Arial" w:hAnsi="Arial" w:eastAsia="Arial" w:cs="Arial"/>
          <w:noProof w:val="0"/>
          <w:sz w:val="22"/>
          <w:szCs w:val="22"/>
          <w:lang w:val="en-US"/>
        </w:rPr>
        <w:t xml:space="preserve"> diabetes management, and a community PR class closer to his home was arranged to reduce travel-related anxiety and improve accessibility (NHS England, 2019; The Health Foundation, 2016).</w:t>
      </w:r>
    </w:p>
    <w:p w:rsidR="566C2559" w:rsidP="6E5B3B39" w:rsidRDefault="566C2559" w14:paraId="685B484D" w14:textId="283E5E3E">
      <w:pPr>
        <w:pStyle w:val="Normal"/>
        <w:spacing w:before="240" w:beforeAutospacing="off" w:after="240" w:afterAutospacing="off" w:line="360" w:lineRule="auto"/>
        <w:jc w:val="both"/>
        <w:rPr>
          <w:rFonts w:ascii="Arial" w:hAnsi="Arial" w:eastAsia="Arial" w:cs="Arial"/>
          <w:noProof w:val="0"/>
          <w:sz w:val="22"/>
          <w:szCs w:val="22"/>
          <w:lang w:val="en-US"/>
        </w:rPr>
      </w:pPr>
      <w:r w:rsidRPr="6E5B3B39" w:rsidR="566C2559">
        <w:rPr>
          <w:rFonts w:ascii="Arial" w:hAnsi="Arial" w:eastAsia="Arial" w:cs="Arial"/>
          <w:noProof w:val="0"/>
          <w:sz w:val="22"/>
          <w:szCs w:val="22"/>
          <w:lang w:val="en-US"/>
        </w:rPr>
        <w:t xml:space="preserve">4.2 </w:t>
      </w:r>
      <w:r w:rsidRPr="6E5B3B39" w:rsidR="5C7356DD">
        <w:rPr>
          <w:rFonts w:ascii="Arial" w:hAnsi="Arial" w:eastAsia="Arial" w:cs="Arial"/>
          <w:noProof w:val="0"/>
          <w:sz w:val="22"/>
          <w:szCs w:val="22"/>
          <w:lang w:val="en-US"/>
        </w:rPr>
        <w:t>Feelings</w:t>
      </w:r>
    </w:p>
    <w:p w:rsidR="5C7356DD" w:rsidP="6E5B3B39" w:rsidRDefault="5C7356DD" w14:paraId="2AF4C0FC" w14:textId="6E38612E">
      <w:pPr>
        <w:spacing w:before="240" w:beforeAutospacing="off" w:after="240" w:afterAutospacing="off" w:line="360" w:lineRule="auto"/>
        <w:jc w:val="both"/>
        <w:rPr>
          <w:rFonts w:ascii="Arial" w:hAnsi="Arial" w:eastAsia="Arial" w:cs="Arial"/>
          <w:noProof w:val="0"/>
          <w:sz w:val="22"/>
          <w:szCs w:val="22"/>
          <w:lang w:val="en-US"/>
        </w:rPr>
      </w:pPr>
      <w:r w:rsidRPr="6E5B3B39" w:rsidR="5C7356DD">
        <w:rPr>
          <w:rFonts w:ascii="Arial" w:hAnsi="Arial" w:eastAsia="Arial" w:cs="Arial"/>
          <w:noProof w:val="0"/>
          <w:sz w:val="22"/>
          <w:szCs w:val="22"/>
          <w:lang w:val="en-US"/>
        </w:rPr>
        <w:t xml:space="preserve">Initially, feelings of frustration </w:t>
      </w:r>
      <w:r w:rsidRPr="6E5B3B39" w:rsidR="5C7356DD">
        <w:rPr>
          <w:rFonts w:ascii="Arial" w:hAnsi="Arial" w:eastAsia="Arial" w:cs="Arial"/>
          <w:noProof w:val="0"/>
          <w:sz w:val="22"/>
          <w:szCs w:val="22"/>
          <w:lang w:val="en-US"/>
        </w:rPr>
        <w:t>emerged</w:t>
      </w:r>
      <w:r w:rsidRPr="6E5B3B39" w:rsidR="5C7356DD">
        <w:rPr>
          <w:rFonts w:ascii="Arial" w:hAnsi="Arial" w:eastAsia="Arial" w:cs="Arial"/>
          <w:noProof w:val="0"/>
          <w:sz w:val="22"/>
          <w:szCs w:val="22"/>
          <w:lang w:val="en-US"/>
        </w:rPr>
        <w:t xml:space="preserve"> when repeated appointments were missed. It was assumed that non-attendance reflected low motivation and that providing clearer information about session locations would resolve the issue.</w:t>
      </w:r>
    </w:p>
    <w:p w:rsidR="5C7356DD" w:rsidP="6E5B3B39" w:rsidRDefault="5C7356DD" w14:paraId="4139415B" w14:textId="57FC9F79">
      <w:pPr>
        <w:spacing w:before="240" w:beforeAutospacing="off" w:after="240" w:afterAutospacing="off" w:line="360" w:lineRule="auto"/>
        <w:jc w:val="both"/>
        <w:rPr>
          <w:rFonts w:ascii="Arial" w:hAnsi="Arial" w:eastAsia="Arial" w:cs="Arial"/>
          <w:noProof w:val="0"/>
          <w:sz w:val="22"/>
          <w:szCs w:val="22"/>
          <w:lang w:val="en-US"/>
        </w:rPr>
      </w:pPr>
      <w:r w:rsidRPr="6E5B3B39" w:rsidR="5C7356DD">
        <w:rPr>
          <w:rFonts w:ascii="Arial" w:hAnsi="Arial" w:eastAsia="Arial" w:cs="Arial"/>
          <w:noProof w:val="0"/>
          <w:sz w:val="22"/>
          <w:szCs w:val="22"/>
          <w:lang w:val="en-US"/>
        </w:rPr>
        <w:t xml:space="preserve">However, after attending the home visit and hearing </w:t>
      </w:r>
      <w:r w:rsidRPr="6E5B3B39" w:rsidR="5C7356DD">
        <w:rPr>
          <w:rFonts w:ascii="Arial" w:hAnsi="Arial" w:eastAsia="Arial" w:cs="Arial"/>
          <w:noProof w:val="0"/>
          <w:sz w:val="22"/>
          <w:szCs w:val="22"/>
          <w:lang w:val="en-US"/>
        </w:rPr>
        <w:t>Mr</w:t>
      </w:r>
      <w:r w:rsidRPr="6E5B3B39" w:rsidR="5C7356DD">
        <w:rPr>
          <w:rFonts w:ascii="Arial" w:hAnsi="Arial" w:eastAsia="Arial" w:cs="Arial"/>
          <w:noProof w:val="0"/>
          <w:sz w:val="22"/>
          <w:szCs w:val="22"/>
          <w:lang w:val="en-US"/>
        </w:rPr>
        <w:t xml:space="preserve"> </w:t>
      </w:r>
      <w:r w:rsidRPr="6E5B3B39" w:rsidR="5C7356DD">
        <w:rPr>
          <w:rFonts w:ascii="Arial" w:hAnsi="Arial" w:eastAsia="Arial" w:cs="Arial"/>
          <w:noProof w:val="0"/>
          <w:sz w:val="22"/>
          <w:szCs w:val="22"/>
          <w:lang w:val="en-US"/>
        </w:rPr>
        <w:t>Kihani’s</w:t>
      </w:r>
      <w:r w:rsidRPr="6E5B3B39" w:rsidR="5C7356DD">
        <w:rPr>
          <w:rFonts w:ascii="Arial" w:hAnsi="Arial" w:eastAsia="Arial" w:cs="Arial"/>
          <w:noProof w:val="0"/>
          <w:sz w:val="22"/>
          <w:szCs w:val="22"/>
          <w:lang w:val="en-US"/>
        </w:rPr>
        <w:t xml:space="preserve"> concerns directly, this perception shifted. Empathy replaced frustration, and it became clear that earlier assumptions had been premature. Feelings of guilt followed, particularly in </w:t>
      </w:r>
      <w:r w:rsidRPr="6E5B3B39" w:rsidR="5C7356DD">
        <w:rPr>
          <w:rFonts w:ascii="Arial" w:hAnsi="Arial" w:eastAsia="Arial" w:cs="Arial"/>
          <w:noProof w:val="0"/>
          <w:sz w:val="22"/>
          <w:szCs w:val="22"/>
          <w:lang w:val="en-US"/>
        </w:rPr>
        <w:t>recognising</w:t>
      </w:r>
      <w:r w:rsidRPr="6E5B3B39" w:rsidR="5C7356DD">
        <w:rPr>
          <w:rFonts w:ascii="Arial" w:hAnsi="Arial" w:eastAsia="Arial" w:cs="Arial"/>
          <w:noProof w:val="0"/>
          <w:sz w:val="22"/>
          <w:szCs w:val="22"/>
          <w:lang w:val="en-US"/>
        </w:rPr>
        <w:t xml:space="preserve"> that he had been unconsciously labelled as unmotivated without a full understanding of his circumstances. This stage of reflection highlighted how </w:t>
      </w:r>
      <w:r w:rsidRPr="6E5B3B39" w:rsidR="5C7356DD">
        <w:rPr>
          <w:rFonts w:ascii="Arial" w:hAnsi="Arial" w:eastAsia="Arial" w:cs="Arial"/>
          <w:noProof w:val="0"/>
          <w:sz w:val="22"/>
          <w:szCs w:val="22"/>
          <w:lang w:val="en-US"/>
        </w:rPr>
        <w:t>initial</w:t>
      </w:r>
      <w:r w:rsidRPr="6E5B3B39" w:rsidR="5C7356DD">
        <w:rPr>
          <w:rFonts w:ascii="Arial" w:hAnsi="Arial" w:eastAsia="Arial" w:cs="Arial"/>
          <w:noProof w:val="0"/>
          <w:sz w:val="22"/>
          <w:szCs w:val="22"/>
          <w:lang w:val="en-US"/>
        </w:rPr>
        <w:t xml:space="preserve"> judgements can influence professional attitudes before sufficient assessment has taken place.</w:t>
      </w:r>
    </w:p>
    <w:p w:rsidR="2381EF49" w:rsidP="6E5B3B39" w:rsidRDefault="2381EF49" w14:paraId="253F7052" w14:textId="5A9EFC1A">
      <w:pPr>
        <w:spacing w:before="240" w:beforeAutospacing="off" w:after="240" w:afterAutospacing="off" w:line="360" w:lineRule="auto"/>
        <w:jc w:val="both"/>
        <w:rPr>
          <w:rFonts w:ascii="Arial" w:hAnsi="Arial" w:eastAsia="Arial" w:cs="Arial"/>
          <w:noProof w:val="0"/>
          <w:sz w:val="22"/>
          <w:szCs w:val="22"/>
          <w:lang w:val="en-US"/>
        </w:rPr>
      </w:pPr>
      <w:r w:rsidRPr="6E5B3B39" w:rsidR="2381EF49">
        <w:rPr>
          <w:rFonts w:ascii="Arial" w:hAnsi="Arial" w:eastAsia="Arial" w:cs="Arial"/>
          <w:noProof w:val="0"/>
          <w:sz w:val="22"/>
          <w:szCs w:val="22"/>
          <w:lang w:val="en-US"/>
        </w:rPr>
        <w:t xml:space="preserve">4.3 </w:t>
      </w:r>
      <w:r w:rsidRPr="6E5B3B39" w:rsidR="207BB77F">
        <w:rPr>
          <w:rFonts w:ascii="Arial" w:hAnsi="Arial" w:eastAsia="Arial" w:cs="Arial"/>
          <w:noProof w:val="0"/>
          <w:sz w:val="22"/>
          <w:szCs w:val="22"/>
          <w:lang w:val="en-US"/>
        </w:rPr>
        <w:t>Evaluation</w:t>
      </w:r>
    </w:p>
    <w:p w:rsidR="207BB77F" w:rsidP="6E5B3B39" w:rsidRDefault="207BB77F" w14:paraId="183A2808" w14:textId="7D93FE94">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Several positive aspects </w:t>
      </w:r>
      <w:r w:rsidRPr="6E5B3B39" w:rsidR="207BB77F">
        <w:rPr>
          <w:rFonts w:ascii="Arial" w:hAnsi="Arial" w:eastAsia="Arial" w:cs="Arial"/>
          <w:noProof w:val="0"/>
          <w:sz w:val="22"/>
          <w:szCs w:val="22"/>
          <w:lang w:val="en-US"/>
        </w:rPr>
        <w:t>emerged</w:t>
      </w:r>
      <w:r w:rsidRPr="6E5B3B39" w:rsidR="207BB77F">
        <w:rPr>
          <w:rFonts w:ascii="Arial" w:hAnsi="Arial" w:eastAsia="Arial" w:cs="Arial"/>
          <w:noProof w:val="0"/>
          <w:sz w:val="22"/>
          <w:szCs w:val="22"/>
          <w:lang w:val="en-US"/>
        </w:rPr>
        <w:t xml:space="preserve"> from this experience. Most notably, the home visit </w:t>
      </w:r>
      <w:r w:rsidRPr="6E5B3B39" w:rsidR="207BB77F">
        <w:rPr>
          <w:rFonts w:ascii="Arial" w:hAnsi="Arial" w:eastAsia="Arial" w:cs="Arial"/>
          <w:noProof w:val="0"/>
          <w:sz w:val="22"/>
          <w:szCs w:val="22"/>
          <w:lang w:val="en-US"/>
        </w:rPr>
        <w:t>facilitated</w:t>
      </w:r>
      <w:r w:rsidRPr="6E5B3B39" w:rsidR="207BB77F">
        <w:rPr>
          <w:rFonts w:ascii="Arial" w:hAnsi="Arial" w:eastAsia="Arial" w:cs="Arial"/>
          <w:noProof w:val="0"/>
          <w:sz w:val="22"/>
          <w:szCs w:val="22"/>
          <w:lang w:val="en-US"/>
        </w:rPr>
        <w:t xml:space="preserve"> a holistic understanding of </w:t>
      </w:r>
      <w:r w:rsidRPr="6E5B3B39" w:rsidR="207BB77F">
        <w:rPr>
          <w:rFonts w:ascii="Arial" w:hAnsi="Arial" w:eastAsia="Arial" w:cs="Arial"/>
          <w:noProof w:val="0"/>
          <w:sz w:val="22"/>
          <w:szCs w:val="22"/>
          <w:lang w:val="en-US"/>
        </w:rPr>
        <w:t>Mr</w:t>
      </w:r>
      <w:r w:rsidRPr="6E5B3B39" w:rsidR="207BB77F">
        <w:rPr>
          <w:rFonts w:ascii="Arial" w:hAnsi="Arial" w:eastAsia="Arial" w:cs="Arial"/>
          <w:noProof w:val="0"/>
          <w:sz w:val="22"/>
          <w:szCs w:val="22"/>
          <w:lang w:val="en-US"/>
        </w:rPr>
        <w:t xml:space="preserve"> </w:t>
      </w:r>
      <w:r w:rsidRPr="6E5B3B39" w:rsidR="207BB77F">
        <w:rPr>
          <w:rFonts w:ascii="Arial" w:hAnsi="Arial" w:eastAsia="Arial" w:cs="Arial"/>
          <w:noProof w:val="0"/>
          <w:sz w:val="22"/>
          <w:szCs w:val="22"/>
          <w:lang w:val="en-US"/>
        </w:rPr>
        <w:t>Kihani’s</w:t>
      </w:r>
      <w:r w:rsidRPr="6E5B3B39" w:rsidR="207BB77F">
        <w:rPr>
          <w:rFonts w:ascii="Arial" w:hAnsi="Arial" w:eastAsia="Arial" w:cs="Arial"/>
          <w:noProof w:val="0"/>
          <w:sz w:val="22"/>
          <w:szCs w:val="22"/>
          <w:lang w:val="en-US"/>
        </w:rPr>
        <w:t xml:space="preserve"> physical, psychological, and social circumstances. Instead of concentrating solely on attendance outcomes, the underlying causes of non-engagement were </w:t>
      </w:r>
      <w:r w:rsidRPr="6E5B3B39" w:rsidR="207BB77F">
        <w:rPr>
          <w:rFonts w:ascii="Arial" w:hAnsi="Arial" w:eastAsia="Arial" w:cs="Arial"/>
          <w:noProof w:val="0"/>
          <w:sz w:val="22"/>
          <w:szCs w:val="22"/>
          <w:lang w:val="en-US"/>
        </w:rPr>
        <w:t>identified</w:t>
      </w:r>
      <w:r w:rsidRPr="6E5B3B39" w:rsidR="207BB77F">
        <w:rPr>
          <w:rFonts w:ascii="Arial" w:hAnsi="Arial" w:eastAsia="Arial" w:cs="Arial"/>
          <w:noProof w:val="0"/>
          <w:sz w:val="22"/>
          <w:szCs w:val="22"/>
          <w:lang w:val="en-US"/>
        </w:rPr>
        <w:t xml:space="preserve"> and addressed. Consequently, person-</w:t>
      </w:r>
      <w:r w:rsidRPr="6E5B3B39" w:rsidR="207BB77F">
        <w:rPr>
          <w:rFonts w:ascii="Arial" w:hAnsi="Arial" w:eastAsia="Arial" w:cs="Arial"/>
          <w:noProof w:val="0"/>
          <w:sz w:val="22"/>
          <w:szCs w:val="22"/>
          <w:lang w:val="en-US"/>
        </w:rPr>
        <w:t>centred</w:t>
      </w:r>
      <w:r w:rsidRPr="6E5B3B39" w:rsidR="207BB77F">
        <w:rPr>
          <w:rFonts w:ascii="Arial" w:hAnsi="Arial" w:eastAsia="Arial" w:cs="Arial"/>
          <w:noProof w:val="0"/>
          <w:sz w:val="22"/>
          <w:szCs w:val="22"/>
          <w:lang w:val="en-US"/>
        </w:rPr>
        <w:t xml:space="preserve"> care principles were more effectively implemented by </w:t>
      </w:r>
      <w:r w:rsidRPr="6E5B3B39" w:rsidR="207BB77F">
        <w:rPr>
          <w:rFonts w:ascii="Arial" w:hAnsi="Arial" w:eastAsia="Arial" w:cs="Arial"/>
          <w:noProof w:val="0"/>
          <w:sz w:val="22"/>
          <w:szCs w:val="22"/>
          <w:lang w:val="en-US"/>
        </w:rPr>
        <w:t>demonstrating</w:t>
      </w:r>
      <w:r w:rsidRPr="6E5B3B39" w:rsidR="207BB77F">
        <w:rPr>
          <w:rFonts w:ascii="Arial" w:hAnsi="Arial" w:eastAsia="Arial" w:cs="Arial"/>
          <w:noProof w:val="0"/>
          <w:sz w:val="22"/>
          <w:szCs w:val="22"/>
          <w:lang w:val="en-US"/>
        </w:rPr>
        <w:t xml:space="preserve"> dignity, respect, coordinated working, and </w:t>
      </w:r>
      <w:r w:rsidRPr="6E5B3B39" w:rsidR="207BB77F">
        <w:rPr>
          <w:rFonts w:ascii="Arial" w:hAnsi="Arial" w:eastAsia="Arial" w:cs="Arial"/>
          <w:noProof w:val="0"/>
          <w:sz w:val="22"/>
          <w:szCs w:val="22"/>
          <w:lang w:val="en-US"/>
        </w:rPr>
        <w:t>personalised</w:t>
      </w:r>
      <w:r w:rsidRPr="6E5B3B39" w:rsidR="207BB77F">
        <w:rPr>
          <w:rFonts w:ascii="Arial" w:hAnsi="Arial" w:eastAsia="Arial" w:cs="Arial"/>
          <w:noProof w:val="0"/>
          <w:sz w:val="22"/>
          <w:szCs w:val="22"/>
          <w:lang w:val="en-US"/>
        </w:rPr>
        <w:t xml:space="preserve"> planning (The Health Foundation, 2016).</w:t>
      </w:r>
    </w:p>
    <w:p w:rsidR="207BB77F" w:rsidP="6E5B3B39" w:rsidRDefault="207BB77F" w14:paraId="3794D3DD" w14:textId="3A78EF16">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Furthermore, partnership working was </w:t>
      </w:r>
      <w:r w:rsidRPr="6E5B3B39" w:rsidR="207BB77F">
        <w:rPr>
          <w:rFonts w:ascii="Arial" w:hAnsi="Arial" w:eastAsia="Arial" w:cs="Arial"/>
          <w:noProof w:val="0"/>
          <w:sz w:val="22"/>
          <w:szCs w:val="22"/>
          <w:lang w:val="en-US"/>
        </w:rPr>
        <w:t>evident</w:t>
      </w:r>
      <w:r w:rsidRPr="6E5B3B39" w:rsidR="207BB77F">
        <w:rPr>
          <w:rFonts w:ascii="Arial" w:hAnsi="Arial" w:eastAsia="Arial" w:cs="Arial"/>
          <w:noProof w:val="0"/>
          <w:sz w:val="22"/>
          <w:szCs w:val="22"/>
          <w:lang w:val="en-US"/>
        </w:rPr>
        <w:t xml:space="preserve"> in the collaboration between the physiotherapy team, primary care, and community services. This collective approach enabled barriers to be addressed from multiple perspectives rather than in isolation.</w:t>
      </w:r>
    </w:p>
    <w:p w:rsidR="207BB77F" w:rsidP="6E5B3B39" w:rsidRDefault="207BB77F" w14:paraId="13B4B87C" w14:textId="083665AE">
      <w:pPr>
        <w:spacing w:before="240" w:beforeAutospacing="off" w:after="240" w:afterAutospacing="off" w:line="360" w:lineRule="auto"/>
        <w:jc w:val="both"/>
        <w:rPr>
          <w:rFonts w:ascii="Arial" w:hAnsi="Arial" w:eastAsia="Arial" w:cs="Arial"/>
          <w:noProof w:val="0"/>
          <w:sz w:val="22"/>
          <w:szCs w:val="22"/>
          <w:lang w:val="en-US"/>
        </w:rPr>
      </w:pPr>
      <w:r w:rsidRPr="4DA97AE3" w:rsidR="207BB77F">
        <w:rPr>
          <w:rFonts w:ascii="Arial" w:hAnsi="Arial" w:eastAsia="Arial" w:cs="Arial"/>
          <w:noProof w:val="0"/>
          <w:sz w:val="22"/>
          <w:szCs w:val="22"/>
          <w:lang w:val="en-US"/>
        </w:rPr>
        <w:t xml:space="preserve">Ethical principles were also upheld. Autonomy was supported </w:t>
      </w:r>
      <w:r w:rsidRPr="4DA97AE3" w:rsidR="207BB77F">
        <w:rPr>
          <w:rFonts w:ascii="Arial" w:hAnsi="Arial" w:eastAsia="Arial" w:cs="Arial"/>
          <w:noProof w:val="0"/>
          <w:sz w:val="22"/>
          <w:szCs w:val="22"/>
          <w:lang w:val="en-US"/>
        </w:rPr>
        <w:t>by involving</w:t>
      </w:r>
      <w:r w:rsidRPr="4DA97AE3" w:rsidR="207BB77F">
        <w:rPr>
          <w:rFonts w:ascii="Arial" w:hAnsi="Arial" w:eastAsia="Arial" w:cs="Arial"/>
          <w:noProof w:val="0"/>
          <w:sz w:val="22"/>
          <w:szCs w:val="22"/>
          <w:lang w:val="en-US"/>
        </w:rPr>
        <w:t xml:space="preserve"> </w:t>
      </w:r>
      <w:r w:rsidRPr="4DA97AE3" w:rsidR="207BB77F">
        <w:rPr>
          <w:rFonts w:ascii="Arial" w:hAnsi="Arial" w:eastAsia="Arial" w:cs="Arial"/>
          <w:noProof w:val="0"/>
          <w:sz w:val="22"/>
          <w:szCs w:val="22"/>
          <w:lang w:val="en-US"/>
        </w:rPr>
        <w:t>Mr</w:t>
      </w:r>
      <w:r w:rsidRPr="4DA97AE3" w:rsidR="207BB77F">
        <w:rPr>
          <w:rFonts w:ascii="Arial" w:hAnsi="Arial" w:eastAsia="Arial" w:cs="Arial"/>
          <w:noProof w:val="0"/>
          <w:sz w:val="22"/>
          <w:szCs w:val="22"/>
          <w:lang w:val="en-US"/>
        </w:rPr>
        <w:t xml:space="preserve"> </w:t>
      </w:r>
      <w:r w:rsidRPr="4DA97AE3" w:rsidR="207BB77F">
        <w:rPr>
          <w:rFonts w:ascii="Arial" w:hAnsi="Arial" w:eastAsia="Arial" w:cs="Arial"/>
          <w:noProof w:val="0"/>
          <w:sz w:val="22"/>
          <w:szCs w:val="22"/>
          <w:lang w:val="en-US"/>
        </w:rPr>
        <w:t>Kihani</w:t>
      </w:r>
      <w:r w:rsidRPr="4DA97AE3" w:rsidR="207BB77F">
        <w:rPr>
          <w:rFonts w:ascii="Arial" w:hAnsi="Arial" w:eastAsia="Arial" w:cs="Arial"/>
          <w:noProof w:val="0"/>
          <w:sz w:val="22"/>
          <w:szCs w:val="22"/>
          <w:lang w:val="en-US"/>
        </w:rPr>
        <w:t xml:space="preserve"> in care planning decisions. Beneficence and non-maleficence were </w:t>
      </w:r>
      <w:r w:rsidRPr="4DA97AE3" w:rsidR="207BB77F">
        <w:rPr>
          <w:rFonts w:ascii="Arial" w:hAnsi="Arial" w:eastAsia="Arial" w:cs="Arial"/>
          <w:noProof w:val="0"/>
          <w:sz w:val="22"/>
          <w:szCs w:val="22"/>
          <w:lang w:val="en-US"/>
        </w:rPr>
        <w:t>demonstrated</w:t>
      </w:r>
      <w:r w:rsidRPr="4DA97AE3" w:rsidR="207BB77F">
        <w:rPr>
          <w:rFonts w:ascii="Arial" w:hAnsi="Arial" w:eastAsia="Arial" w:cs="Arial"/>
          <w:noProof w:val="0"/>
          <w:sz w:val="22"/>
          <w:szCs w:val="22"/>
          <w:lang w:val="en-US"/>
        </w:rPr>
        <w:t xml:space="preserve"> by addressing the risks associated with </w:t>
      </w:r>
      <w:r w:rsidRPr="4DA97AE3" w:rsidR="61B4B351">
        <w:rPr>
          <w:rFonts w:ascii="Arial" w:hAnsi="Arial" w:eastAsia="Arial" w:cs="Arial"/>
          <w:noProof w:val="0"/>
          <w:sz w:val="22"/>
          <w:szCs w:val="22"/>
          <w:lang w:val="en-US"/>
        </w:rPr>
        <w:t>hypoglycemia</w:t>
      </w:r>
      <w:r w:rsidRPr="4DA97AE3" w:rsidR="207BB77F">
        <w:rPr>
          <w:rFonts w:ascii="Arial" w:hAnsi="Arial" w:eastAsia="Arial" w:cs="Arial"/>
          <w:noProof w:val="0"/>
          <w:sz w:val="22"/>
          <w:szCs w:val="22"/>
          <w:lang w:val="en-US"/>
        </w:rPr>
        <w:t xml:space="preserve"> and psychological distress. Justice was promoted by ensuring </w:t>
      </w:r>
      <w:r w:rsidRPr="4DA97AE3" w:rsidR="207BB77F">
        <w:rPr>
          <w:rFonts w:ascii="Arial" w:hAnsi="Arial" w:eastAsia="Arial" w:cs="Arial"/>
          <w:noProof w:val="0"/>
          <w:sz w:val="22"/>
          <w:szCs w:val="22"/>
          <w:lang w:val="en-US"/>
        </w:rPr>
        <w:t>equitable</w:t>
      </w:r>
      <w:r w:rsidRPr="4DA97AE3" w:rsidR="207BB77F">
        <w:rPr>
          <w:rFonts w:ascii="Arial" w:hAnsi="Arial" w:eastAsia="Arial" w:cs="Arial"/>
          <w:noProof w:val="0"/>
          <w:sz w:val="22"/>
          <w:szCs w:val="22"/>
          <w:lang w:val="en-US"/>
        </w:rPr>
        <w:t xml:space="preserve"> access to PR despite </w:t>
      </w:r>
      <w:r w:rsidRPr="4DA97AE3" w:rsidR="207BB77F">
        <w:rPr>
          <w:rFonts w:ascii="Arial" w:hAnsi="Arial" w:eastAsia="Arial" w:cs="Arial"/>
          <w:noProof w:val="0"/>
          <w:sz w:val="22"/>
          <w:szCs w:val="22"/>
          <w:lang w:val="en-US"/>
        </w:rPr>
        <w:t>initial</w:t>
      </w:r>
      <w:r w:rsidRPr="4DA97AE3" w:rsidR="207BB77F">
        <w:rPr>
          <w:rFonts w:ascii="Arial" w:hAnsi="Arial" w:eastAsia="Arial" w:cs="Arial"/>
          <w:noProof w:val="0"/>
          <w:sz w:val="22"/>
          <w:szCs w:val="22"/>
          <w:lang w:val="en-US"/>
        </w:rPr>
        <w:t xml:space="preserve"> engagement difficulties. These actions align with the ethical framework outlined by Tom Beauchamp and James Childress (2019) and professional standards set by the </w:t>
      </w:r>
      <w:r w:rsidRPr="4DA97AE3" w:rsidR="207BB77F">
        <w:rPr>
          <w:rFonts w:ascii="Arial" w:hAnsi="Arial" w:eastAsia="Arial" w:cs="Arial"/>
          <w:noProof w:val="0"/>
          <w:sz w:val="22"/>
          <w:szCs w:val="22"/>
          <w:lang w:val="en-US"/>
        </w:rPr>
        <w:t>HCPC</w:t>
      </w:r>
      <w:r w:rsidRPr="4DA97AE3" w:rsidR="207BB77F">
        <w:rPr>
          <w:rFonts w:ascii="Arial" w:hAnsi="Arial" w:eastAsia="Arial" w:cs="Arial"/>
          <w:noProof w:val="0"/>
          <w:sz w:val="22"/>
          <w:szCs w:val="22"/>
          <w:lang w:val="en-US"/>
        </w:rPr>
        <w:t xml:space="preserve"> (20</w:t>
      </w:r>
      <w:r w:rsidRPr="4DA97AE3" w:rsidR="43B6971F">
        <w:rPr>
          <w:rFonts w:ascii="Arial" w:hAnsi="Arial" w:eastAsia="Arial" w:cs="Arial"/>
          <w:noProof w:val="0"/>
          <w:sz w:val="22"/>
          <w:szCs w:val="22"/>
          <w:lang w:val="en-US"/>
        </w:rPr>
        <w:t>12</w:t>
      </w:r>
      <w:r w:rsidRPr="4DA97AE3" w:rsidR="207BB77F">
        <w:rPr>
          <w:rFonts w:ascii="Arial" w:hAnsi="Arial" w:eastAsia="Arial" w:cs="Arial"/>
          <w:noProof w:val="0"/>
          <w:sz w:val="22"/>
          <w:szCs w:val="22"/>
          <w:lang w:val="en-US"/>
        </w:rPr>
        <w:t>).</w:t>
      </w:r>
    </w:p>
    <w:p w:rsidR="207BB77F" w:rsidP="6E5B3B39" w:rsidRDefault="207BB77F" w14:paraId="6A2093DD" w14:textId="4F89CC4B">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Nevertheless, there were also limitations. Referring to </w:t>
      </w:r>
      <w:r w:rsidRPr="6E5B3B39" w:rsidR="207BB77F">
        <w:rPr>
          <w:rFonts w:ascii="Arial" w:hAnsi="Arial" w:eastAsia="Arial" w:cs="Arial"/>
          <w:noProof w:val="0"/>
          <w:sz w:val="22"/>
          <w:szCs w:val="22"/>
          <w:lang w:val="en-US"/>
        </w:rPr>
        <w:t>Mr</w:t>
      </w:r>
      <w:r w:rsidRPr="6E5B3B39" w:rsidR="207BB77F">
        <w:rPr>
          <w:rFonts w:ascii="Arial" w:hAnsi="Arial" w:eastAsia="Arial" w:cs="Arial"/>
          <w:noProof w:val="0"/>
          <w:sz w:val="22"/>
          <w:szCs w:val="22"/>
          <w:lang w:val="en-US"/>
        </w:rPr>
        <w:t xml:space="preserve"> </w:t>
      </w:r>
      <w:r w:rsidRPr="6E5B3B39" w:rsidR="207BB77F">
        <w:rPr>
          <w:rFonts w:ascii="Arial" w:hAnsi="Arial" w:eastAsia="Arial" w:cs="Arial"/>
          <w:noProof w:val="0"/>
          <w:sz w:val="22"/>
          <w:szCs w:val="22"/>
          <w:lang w:val="en-US"/>
        </w:rPr>
        <w:t>Kihani</w:t>
      </w:r>
      <w:r w:rsidRPr="6E5B3B39" w:rsidR="207BB77F">
        <w:rPr>
          <w:rFonts w:ascii="Arial" w:hAnsi="Arial" w:eastAsia="Arial" w:cs="Arial"/>
          <w:noProof w:val="0"/>
          <w:sz w:val="22"/>
          <w:szCs w:val="22"/>
          <w:lang w:val="en-US"/>
        </w:rPr>
        <w:t xml:space="preserve"> as a “non-engager” reflected task-oriented thinking and unintentionally reinforced bias. Moreover, alternative models of rehabilitation could have been explored earlier. Earlier holistic assessment may have prevented repeated missed appointments.</w:t>
      </w:r>
    </w:p>
    <w:p w:rsidR="1880F5AE" w:rsidP="6E5B3B39" w:rsidRDefault="1880F5AE" w14:paraId="719B962C" w14:textId="59437E8B">
      <w:pPr>
        <w:spacing w:before="240" w:beforeAutospacing="off" w:after="240" w:afterAutospacing="off" w:line="360" w:lineRule="auto"/>
        <w:jc w:val="both"/>
        <w:rPr>
          <w:rFonts w:ascii="Arial" w:hAnsi="Arial" w:eastAsia="Arial" w:cs="Arial"/>
          <w:noProof w:val="0"/>
          <w:sz w:val="22"/>
          <w:szCs w:val="22"/>
          <w:lang w:val="en-US"/>
        </w:rPr>
      </w:pPr>
      <w:r w:rsidRPr="6E5B3B39" w:rsidR="1880F5AE">
        <w:rPr>
          <w:rFonts w:ascii="Arial" w:hAnsi="Arial" w:eastAsia="Arial" w:cs="Arial"/>
          <w:noProof w:val="0"/>
          <w:sz w:val="22"/>
          <w:szCs w:val="22"/>
          <w:lang w:val="en-US"/>
        </w:rPr>
        <w:t xml:space="preserve">4.4 </w:t>
      </w:r>
      <w:r w:rsidRPr="6E5B3B39" w:rsidR="207BB77F">
        <w:rPr>
          <w:rFonts w:ascii="Arial" w:hAnsi="Arial" w:eastAsia="Arial" w:cs="Arial"/>
          <w:noProof w:val="0"/>
          <w:sz w:val="22"/>
          <w:szCs w:val="22"/>
          <w:lang w:val="en-US"/>
        </w:rPr>
        <w:t>Analysis</w:t>
      </w:r>
    </w:p>
    <w:p w:rsidR="207BB77F" w:rsidP="6E5B3B39" w:rsidRDefault="207BB77F" w14:paraId="0A216E79" w14:textId="76A6B9B4">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On deeper analysis, this experience </w:t>
      </w:r>
      <w:r w:rsidRPr="6E5B3B39" w:rsidR="207BB77F">
        <w:rPr>
          <w:rFonts w:ascii="Arial" w:hAnsi="Arial" w:eastAsia="Arial" w:cs="Arial"/>
          <w:noProof w:val="0"/>
          <w:sz w:val="22"/>
          <w:szCs w:val="22"/>
          <w:lang w:val="en-US"/>
        </w:rPr>
        <w:t>demonstrated</w:t>
      </w:r>
      <w:r w:rsidRPr="6E5B3B39" w:rsidR="207BB77F">
        <w:rPr>
          <w:rFonts w:ascii="Arial" w:hAnsi="Arial" w:eastAsia="Arial" w:cs="Arial"/>
          <w:noProof w:val="0"/>
          <w:sz w:val="22"/>
          <w:szCs w:val="22"/>
          <w:lang w:val="en-US"/>
        </w:rPr>
        <w:t xml:space="preserve"> that perceived person-</w:t>
      </w:r>
      <w:r w:rsidRPr="6E5B3B39" w:rsidR="207BB77F">
        <w:rPr>
          <w:rFonts w:ascii="Arial" w:hAnsi="Arial" w:eastAsia="Arial" w:cs="Arial"/>
          <w:noProof w:val="0"/>
          <w:sz w:val="22"/>
          <w:szCs w:val="22"/>
          <w:lang w:val="en-US"/>
        </w:rPr>
        <w:t>centred</w:t>
      </w:r>
      <w:r w:rsidRPr="6E5B3B39" w:rsidR="207BB77F">
        <w:rPr>
          <w:rFonts w:ascii="Arial" w:hAnsi="Arial" w:eastAsia="Arial" w:cs="Arial"/>
          <w:noProof w:val="0"/>
          <w:sz w:val="22"/>
          <w:szCs w:val="22"/>
          <w:lang w:val="en-US"/>
        </w:rPr>
        <w:t xml:space="preserve"> practice does not always equate to genuine person-</w:t>
      </w:r>
      <w:r w:rsidRPr="6E5B3B39" w:rsidR="207BB77F">
        <w:rPr>
          <w:rFonts w:ascii="Arial" w:hAnsi="Arial" w:eastAsia="Arial" w:cs="Arial"/>
          <w:noProof w:val="0"/>
          <w:sz w:val="22"/>
          <w:szCs w:val="22"/>
          <w:lang w:val="en-US"/>
        </w:rPr>
        <w:t>centred</w:t>
      </w:r>
      <w:r w:rsidRPr="6E5B3B39" w:rsidR="207BB77F">
        <w:rPr>
          <w:rFonts w:ascii="Arial" w:hAnsi="Arial" w:eastAsia="Arial" w:cs="Arial"/>
          <w:noProof w:val="0"/>
          <w:sz w:val="22"/>
          <w:szCs w:val="22"/>
          <w:lang w:val="en-US"/>
        </w:rPr>
        <w:t xml:space="preserve"> care. Weekly reminder calls were intended to support engagement; however, they </w:t>
      </w:r>
      <w:r w:rsidRPr="6E5B3B39" w:rsidR="207BB77F">
        <w:rPr>
          <w:rFonts w:ascii="Arial" w:hAnsi="Arial" w:eastAsia="Arial" w:cs="Arial"/>
          <w:noProof w:val="0"/>
          <w:sz w:val="22"/>
          <w:szCs w:val="22"/>
          <w:lang w:val="en-US"/>
        </w:rPr>
        <w:t>prioritised</w:t>
      </w:r>
      <w:r w:rsidRPr="6E5B3B39" w:rsidR="207BB77F">
        <w:rPr>
          <w:rFonts w:ascii="Arial" w:hAnsi="Arial" w:eastAsia="Arial" w:cs="Arial"/>
          <w:noProof w:val="0"/>
          <w:sz w:val="22"/>
          <w:szCs w:val="22"/>
          <w:lang w:val="en-US"/>
        </w:rPr>
        <w:t xml:space="preserve"> service targets over individual understanding. In retrospect, this approach aligned more closely with </w:t>
      </w:r>
      <w:r w:rsidRPr="6E5B3B39" w:rsidR="207BB77F">
        <w:rPr>
          <w:rFonts w:ascii="Arial" w:hAnsi="Arial" w:eastAsia="Arial" w:cs="Arial"/>
          <w:noProof w:val="0"/>
          <w:sz w:val="22"/>
          <w:szCs w:val="22"/>
          <w:lang w:val="en-US"/>
        </w:rPr>
        <w:t>organisational</w:t>
      </w:r>
      <w:r w:rsidRPr="6E5B3B39" w:rsidR="207BB77F">
        <w:rPr>
          <w:rFonts w:ascii="Arial" w:hAnsi="Arial" w:eastAsia="Arial" w:cs="Arial"/>
          <w:noProof w:val="0"/>
          <w:sz w:val="22"/>
          <w:szCs w:val="22"/>
          <w:lang w:val="en-US"/>
        </w:rPr>
        <w:t xml:space="preserve"> outcomes than with the individual’s lived experience.</w:t>
      </w:r>
    </w:p>
    <w:p w:rsidR="207BB77F" w:rsidP="6E5B3B39" w:rsidRDefault="207BB77F" w14:paraId="63D7E99B" w14:textId="0592704D">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Person-</w:t>
      </w:r>
      <w:r w:rsidRPr="6E5B3B39" w:rsidR="207BB77F">
        <w:rPr>
          <w:rFonts w:ascii="Arial" w:hAnsi="Arial" w:eastAsia="Arial" w:cs="Arial"/>
          <w:noProof w:val="0"/>
          <w:sz w:val="22"/>
          <w:szCs w:val="22"/>
          <w:lang w:val="en-US"/>
        </w:rPr>
        <w:t>centred</w:t>
      </w:r>
      <w:r w:rsidRPr="6E5B3B39" w:rsidR="207BB77F">
        <w:rPr>
          <w:rFonts w:ascii="Arial" w:hAnsi="Arial" w:eastAsia="Arial" w:cs="Arial"/>
          <w:noProof w:val="0"/>
          <w:sz w:val="22"/>
          <w:szCs w:val="22"/>
          <w:lang w:val="en-US"/>
        </w:rPr>
        <w:t xml:space="preserve"> care requires consideration of interconnected physical, psychological, and social needs (</w:t>
      </w:r>
      <w:r w:rsidRPr="6E5B3B39" w:rsidR="207BB77F">
        <w:rPr>
          <w:rFonts w:ascii="Arial" w:hAnsi="Arial" w:eastAsia="Arial" w:cs="Arial"/>
          <w:noProof w:val="0"/>
          <w:sz w:val="22"/>
          <w:szCs w:val="22"/>
          <w:lang w:val="en-US"/>
        </w:rPr>
        <w:t>Coulter</w:t>
      </w:r>
      <w:r w:rsidRPr="6E5B3B39" w:rsidR="207BB77F">
        <w:rPr>
          <w:rFonts w:ascii="Arial" w:hAnsi="Arial" w:eastAsia="Arial" w:cs="Arial"/>
          <w:noProof w:val="0"/>
          <w:sz w:val="22"/>
          <w:szCs w:val="22"/>
          <w:lang w:val="en-US"/>
        </w:rPr>
        <w:t xml:space="preserve"> et al., 201</w:t>
      </w:r>
      <w:r w:rsidRPr="6E5B3B39" w:rsidR="42AD7B51">
        <w:rPr>
          <w:rFonts w:ascii="Arial" w:hAnsi="Arial" w:eastAsia="Arial" w:cs="Arial"/>
          <w:noProof w:val="0"/>
          <w:sz w:val="22"/>
          <w:szCs w:val="22"/>
          <w:lang w:val="en-US"/>
        </w:rPr>
        <w:t>6</w:t>
      </w:r>
      <w:r w:rsidRPr="6E5B3B39" w:rsidR="207BB77F">
        <w:rPr>
          <w:rFonts w:ascii="Arial" w:hAnsi="Arial" w:eastAsia="Arial" w:cs="Arial"/>
          <w:noProof w:val="0"/>
          <w:sz w:val="22"/>
          <w:szCs w:val="22"/>
          <w:lang w:val="en-US"/>
        </w:rPr>
        <w:t xml:space="preserve">). By labelling </w:t>
      </w:r>
      <w:r w:rsidRPr="6E5B3B39" w:rsidR="207BB77F">
        <w:rPr>
          <w:rFonts w:ascii="Arial" w:hAnsi="Arial" w:eastAsia="Arial" w:cs="Arial"/>
          <w:noProof w:val="0"/>
          <w:sz w:val="22"/>
          <w:szCs w:val="22"/>
          <w:lang w:val="en-US"/>
        </w:rPr>
        <w:t>Mr</w:t>
      </w:r>
      <w:r w:rsidRPr="6E5B3B39" w:rsidR="207BB77F">
        <w:rPr>
          <w:rFonts w:ascii="Arial" w:hAnsi="Arial" w:eastAsia="Arial" w:cs="Arial"/>
          <w:noProof w:val="0"/>
          <w:sz w:val="22"/>
          <w:szCs w:val="22"/>
          <w:lang w:val="en-US"/>
        </w:rPr>
        <w:t xml:space="preserve"> </w:t>
      </w:r>
      <w:r w:rsidRPr="6E5B3B39" w:rsidR="207BB77F">
        <w:rPr>
          <w:rFonts w:ascii="Arial" w:hAnsi="Arial" w:eastAsia="Arial" w:cs="Arial"/>
          <w:noProof w:val="0"/>
          <w:sz w:val="22"/>
          <w:szCs w:val="22"/>
          <w:lang w:val="en-US"/>
        </w:rPr>
        <w:t>Kihani</w:t>
      </w:r>
      <w:r w:rsidRPr="6E5B3B39" w:rsidR="207BB77F">
        <w:rPr>
          <w:rFonts w:ascii="Arial" w:hAnsi="Arial" w:eastAsia="Arial" w:cs="Arial"/>
          <w:noProof w:val="0"/>
          <w:sz w:val="22"/>
          <w:szCs w:val="22"/>
          <w:lang w:val="en-US"/>
        </w:rPr>
        <w:t xml:space="preserve"> before comprehensive assessment, an opportunity to </w:t>
      </w:r>
      <w:r w:rsidRPr="6E5B3B39" w:rsidR="207BB77F">
        <w:rPr>
          <w:rFonts w:ascii="Arial" w:hAnsi="Arial" w:eastAsia="Arial" w:cs="Arial"/>
          <w:noProof w:val="0"/>
          <w:sz w:val="22"/>
          <w:szCs w:val="22"/>
          <w:lang w:val="en-US"/>
        </w:rPr>
        <w:t>identify</w:t>
      </w:r>
      <w:r w:rsidRPr="6E5B3B39" w:rsidR="207BB77F">
        <w:rPr>
          <w:rFonts w:ascii="Arial" w:hAnsi="Arial" w:eastAsia="Arial" w:cs="Arial"/>
          <w:noProof w:val="0"/>
          <w:sz w:val="22"/>
          <w:szCs w:val="22"/>
          <w:lang w:val="en-US"/>
        </w:rPr>
        <w:t xml:space="preserve"> modifiable barriers was initially missed.</w:t>
      </w:r>
    </w:p>
    <w:p w:rsidR="207BB77F" w:rsidP="6E5B3B39" w:rsidRDefault="207BB77F" w14:paraId="2DB22F89" w14:textId="41A50DAC">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Maslow’s hierarchy of needs further clarifies this situation. Fear of </w:t>
      </w:r>
      <w:r w:rsidRPr="6E5B3B39" w:rsidR="207BB77F">
        <w:rPr>
          <w:rFonts w:ascii="Arial" w:hAnsi="Arial" w:eastAsia="Arial" w:cs="Arial"/>
          <w:noProof w:val="0"/>
          <w:sz w:val="22"/>
          <w:szCs w:val="22"/>
          <w:lang w:val="en-US"/>
        </w:rPr>
        <w:t>hypoglycaemic</w:t>
      </w:r>
      <w:r w:rsidRPr="6E5B3B39" w:rsidR="207BB77F">
        <w:rPr>
          <w:rFonts w:ascii="Arial" w:hAnsi="Arial" w:eastAsia="Arial" w:cs="Arial"/>
          <w:noProof w:val="0"/>
          <w:sz w:val="22"/>
          <w:szCs w:val="22"/>
          <w:lang w:val="en-US"/>
        </w:rPr>
        <w:t xml:space="preserve"> episodes </w:t>
      </w:r>
      <w:r w:rsidRPr="6E5B3B39" w:rsidR="207BB77F">
        <w:rPr>
          <w:rFonts w:ascii="Arial" w:hAnsi="Arial" w:eastAsia="Arial" w:cs="Arial"/>
          <w:noProof w:val="0"/>
          <w:sz w:val="22"/>
          <w:szCs w:val="22"/>
          <w:lang w:val="en-US"/>
        </w:rPr>
        <w:t>represented</w:t>
      </w:r>
      <w:r w:rsidRPr="6E5B3B39" w:rsidR="207BB77F">
        <w:rPr>
          <w:rFonts w:ascii="Arial" w:hAnsi="Arial" w:eastAsia="Arial" w:cs="Arial"/>
          <w:noProof w:val="0"/>
          <w:sz w:val="22"/>
          <w:szCs w:val="22"/>
          <w:lang w:val="en-US"/>
        </w:rPr>
        <w:t xml:space="preserve"> a safety need, while embarrassment associated with breathlessness related to belonging and esteem needs. According to Maslow (1943), progression towards higher-level functioning is unlikely when foundational needs </w:t>
      </w:r>
      <w:r w:rsidRPr="6E5B3B39" w:rsidR="207BB77F">
        <w:rPr>
          <w:rFonts w:ascii="Arial" w:hAnsi="Arial" w:eastAsia="Arial" w:cs="Arial"/>
          <w:noProof w:val="0"/>
          <w:sz w:val="22"/>
          <w:szCs w:val="22"/>
          <w:lang w:val="en-US"/>
        </w:rPr>
        <w:t>remain</w:t>
      </w:r>
      <w:r w:rsidRPr="6E5B3B39" w:rsidR="207BB77F">
        <w:rPr>
          <w:rFonts w:ascii="Arial" w:hAnsi="Arial" w:eastAsia="Arial" w:cs="Arial"/>
          <w:noProof w:val="0"/>
          <w:sz w:val="22"/>
          <w:szCs w:val="22"/>
          <w:lang w:val="en-US"/>
        </w:rPr>
        <w:t xml:space="preserve"> unmet. Similarly, activation—defined as the knowledge, skills, and confidence </w:t>
      </w:r>
      <w:r w:rsidRPr="6E5B3B39" w:rsidR="207BB77F">
        <w:rPr>
          <w:rFonts w:ascii="Arial" w:hAnsi="Arial" w:eastAsia="Arial" w:cs="Arial"/>
          <w:noProof w:val="0"/>
          <w:sz w:val="22"/>
          <w:szCs w:val="22"/>
          <w:lang w:val="en-US"/>
        </w:rPr>
        <w:t>required</w:t>
      </w:r>
      <w:r w:rsidRPr="6E5B3B39" w:rsidR="207BB77F">
        <w:rPr>
          <w:rFonts w:ascii="Arial" w:hAnsi="Arial" w:eastAsia="Arial" w:cs="Arial"/>
          <w:noProof w:val="0"/>
          <w:sz w:val="22"/>
          <w:szCs w:val="22"/>
          <w:lang w:val="en-US"/>
        </w:rPr>
        <w:t xml:space="preserve"> to manage health (Hibbard and Greene, 2013)—is unlikely to improve if individuals feel unsafe or socially vulnerable. Therefore, expecting consistent PR attendance without addressing these needs was unrealistic.</w:t>
      </w:r>
    </w:p>
    <w:p w:rsidR="207BB77F" w:rsidP="6E5B3B39" w:rsidRDefault="207BB77F" w14:paraId="41F4C31F" w14:textId="1D84242B">
      <w:pPr>
        <w:spacing w:before="240" w:beforeAutospacing="off" w:after="240" w:afterAutospacing="off" w:line="360" w:lineRule="auto"/>
        <w:jc w:val="both"/>
        <w:rPr>
          <w:rFonts w:ascii="Arial" w:hAnsi="Arial" w:eastAsia="Arial" w:cs="Arial"/>
          <w:noProof w:val="0"/>
          <w:sz w:val="22"/>
          <w:szCs w:val="22"/>
          <w:lang w:val="en-US"/>
        </w:rPr>
      </w:pPr>
      <w:r w:rsidRPr="6E5B3B39" w:rsidR="207BB77F">
        <w:rPr>
          <w:rFonts w:ascii="Arial" w:hAnsi="Arial" w:eastAsia="Arial" w:cs="Arial"/>
          <w:noProof w:val="0"/>
          <w:sz w:val="22"/>
          <w:szCs w:val="22"/>
          <w:lang w:val="en-US"/>
        </w:rPr>
        <w:t xml:space="preserve">In addition, this experience highlights the importance of </w:t>
      </w:r>
      <w:r w:rsidRPr="6E5B3B39" w:rsidR="207BB77F">
        <w:rPr>
          <w:rFonts w:ascii="Arial" w:hAnsi="Arial" w:eastAsia="Arial" w:cs="Arial"/>
          <w:noProof w:val="0"/>
          <w:sz w:val="22"/>
          <w:szCs w:val="22"/>
          <w:lang w:val="en-US"/>
        </w:rPr>
        <w:t>timely</w:t>
      </w:r>
      <w:r w:rsidRPr="6E5B3B39" w:rsidR="207BB77F">
        <w:rPr>
          <w:rFonts w:ascii="Arial" w:hAnsi="Arial" w:eastAsia="Arial" w:cs="Arial"/>
          <w:noProof w:val="0"/>
          <w:sz w:val="22"/>
          <w:szCs w:val="22"/>
          <w:lang w:val="en-US"/>
        </w:rPr>
        <w:t xml:space="preserve"> partnership </w:t>
      </w:r>
      <w:r w:rsidRPr="6E5B3B39" w:rsidR="207BB77F">
        <w:rPr>
          <w:rFonts w:ascii="Arial" w:hAnsi="Arial" w:eastAsia="Arial" w:cs="Arial"/>
          <w:noProof w:val="0"/>
          <w:sz w:val="22"/>
          <w:szCs w:val="22"/>
          <w:lang w:val="en-US"/>
        </w:rPr>
        <w:t>working</w:t>
      </w:r>
      <w:r w:rsidRPr="6E5B3B39" w:rsidR="207BB77F">
        <w:rPr>
          <w:rFonts w:ascii="Arial" w:hAnsi="Arial" w:eastAsia="Arial" w:cs="Arial"/>
          <w:noProof w:val="0"/>
          <w:sz w:val="22"/>
          <w:szCs w:val="22"/>
          <w:lang w:val="en-US"/>
        </w:rPr>
        <w:t xml:space="preserve">. Although collaboration </w:t>
      </w:r>
      <w:r w:rsidRPr="6E5B3B39" w:rsidR="207BB77F">
        <w:rPr>
          <w:rFonts w:ascii="Arial" w:hAnsi="Arial" w:eastAsia="Arial" w:cs="Arial"/>
          <w:noProof w:val="0"/>
          <w:sz w:val="22"/>
          <w:szCs w:val="22"/>
          <w:lang w:val="en-US"/>
        </w:rPr>
        <w:t>ultimately improved</w:t>
      </w:r>
      <w:r w:rsidRPr="6E5B3B39" w:rsidR="207BB77F">
        <w:rPr>
          <w:rFonts w:ascii="Arial" w:hAnsi="Arial" w:eastAsia="Arial" w:cs="Arial"/>
          <w:noProof w:val="0"/>
          <w:sz w:val="22"/>
          <w:szCs w:val="22"/>
          <w:lang w:val="en-US"/>
        </w:rPr>
        <w:t xml:space="preserve"> outcomes, it occurred only after multiple missed appointments. Earlier interdisciplinary discussion may have reduced delays. Ethically, labelling the patient as intentionally non-compliant risked undermining principles of justice and beneficence. Using Gibbs’ model </w:t>
      </w:r>
      <w:r w:rsidRPr="6E5B3B39" w:rsidR="207BB77F">
        <w:rPr>
          <w:rFonts w:ascii="Arial" w:hAnsi="Arial" w:eastAsia="Arial" w:cs="Arial"/>
          <w:noProof w:val="0"/>
          <w:sz w:val="22"/>
          <w:szCs w:val="22"/>
          <w:lang w:val="en-US"/>
        </w:rPr>
        <w:t>facilitated</w:t>
      </w:r>
      <w:r w:rsidRPr="6E5B3B39" w:rsidR="207BB77F">
        <w:rPr>
          <w:rFonts w:ascii="Arial" w:hAnsi="Arial" w:eastAsia="Arial" w:cs="Arial"/>
          <w:noProof w:val="0"/>
          <w:sz w:val="22"/>
          <w:szCs w:val="22"/>
          <w:lang w:val="en-US"/>
        </w:rPr>
        <w:t xml:space="preserve"> recognition of these tensions and supported deeper critical awareness of practice.</w:t>
      </w:r>
    </w:p>
    <w:p w:rsidR="11A4AFA4" w:rsidP="6E5B3B39" w:rsidRDefault="11A4AFA4" w14:paraId="6F67258A" w14:textId="732C1232">
      <w:pPr>
        <w:spacing w:before="240" w:beforeAutospacing="off" w:after="240" w:afterAutospacing="off" w:line="360" w:lineRule="auto"/>
        <w:jc w:val="both"/>
        <w:rPr>
          <w:rFonts w:ascii="Arial" w:hAnsi="Arial" w:eastAsia="Arial" w:cs="Arial"/>
          <w:noProof w:val="0"/>
          <w:sz w:val="22"/>
          <w:szCs w:val="22"/>
          <w:lang w:val="en-US"/>
        </w:rPr>
      </w:pPr>
      <w:r w:rsidRPr="6E5B3B39" w:rsidR="11A4AFA4">
        <w:rPr>
          <w:rFonts w:ascii="Arial" w:hAnsi="Arial" w:eastAsia="Arial" w:cs="Arial"/>
          <w:noProof w:val="0"/>
          <w:sz w:val="22"/>
          <w:szCs w:val="22"/>
          <w:lang w:val="en-US"/>
        </w:rPr>
        <w:t xml:space="preserve">4.5 </w:t>
      </w:r>
      <w:r w:rsidRPr="6E5B3B39" w:rsidR="07E7B4BD">
        <w:rPr>
          <w:rFonts w:ascii="Arial" w:hAnsi="Arial" w:eastAsia="Arial" w:cs="Arial"/>
          <w:noProof w:val="0"/>
          <w:sz w:val="22"/>
          <w:szCs w:val="22"/>
          <w:lang w:val="en-US"/>
        </w:rPr>
        <w:t>Action Plan</w:t>
      </w:r>
    </w:p>
    <w:p w:rsidR="07E7B4BD" w:rsidP="6E5B3B39" w:rsidRDefault="07E7B4BD" w14:paraId="30E471FC" w14:textId="56DCE724">
      <w:pPr>
        <w:spacing w:before="240" w:beforeAutospacing="off" w:after="240" w:afterAutospacing="off" w:line="360" w:lineRule="auto"/>
        <w:jc w:val="both"/>
        <w:rPr>
          <w:rFonts w:ascii="Arial" w:hAnsi="Arial" w:eastAsia="Arial" w:cs="Arial"/>
          <w:noProof w:val="0"/>
          <w:sz w:val="22"/>
          <w:szCs w:val="22"/>
          <w:lang w:val="en-US"/>
        </w:rPr>
      </w:pPr>
      <w:r w:rsidRPr="6E5B3B39" w:rsidR="07E7B4BD">
        <w:rPr>
          <w:rFonts w:ascii="Arial" w:hAnsi="Arial" w:eastAsia="Arial" w:cs="Arial"/>
          <w:noProof w:val="0"/>
          <w:sz w:val="22"/>
          <w:szCs w:val="22"/>
          <w:lang w:val="en-US"/>
        </w:rPr>
        <w:t xml:space="preserve">In future practice, earlier holistic </w:t>
      </w:r>
      <w:r w:rsidRPr="6E5B3B39" w:rsidR="07E7B4BD">
        <w:rPr>
          <w:rFonts w:ascii="Arial" w:hAnsi="Arial" w:eastAsia="Arial" w:cs="Arial"/>
          <w:noProof w:val="0"/>
          <w:sz w:val="22"/>
          <w:szCs w:val="22"/>
          <w:lang w:val="en-US"/>
        </w:rPr>
        <w:t>assessment</w:t>
      </w:r>
      <w:r w:rsidRPr="6E5B3B39" w:rsidR="07E7B4BD">
        <w:rPr>
          <w:rFonts w:ascii="Arial" w:hAnsi="Arial" w:eastAsia="Arial" w:cs="Arial"/>
          <w:noProof w:val="0"/>
          <w:sz w:val="22"/>
          <w:szCs w:val="22"/>
          <w:lang w:val="en-US"/>
        </w:rPr>
        <w:t xml:space="preserve"> will be </w:t>
      </w:r>
      <w:r w:rsidRPr="6E5B3B39" w:rsidR="07E7B4BD">
        <w:rPr>
          <w:rFonts w:ascii="Arial" w:hAnsi="Arial" w:eastAsia="Arial" w:cs="Arial"/>
          <w:noProof w:val="0"/>
          <w:sz w:val="22"/>
          <w:szCs w:val="22"/>
          <w:lang w:val="en-US"/>
        </w:rPr>
        <w:t>prioritised</w:t>
      </w:r>
      <w:r w:rsidRPr="6E5B3B39" w:rsidR="07E7B4BD">
        <w:rPr>
          <w:rFonts w:ascii="Arial" w:hAnsi="Arial" w:eastAsia="Arial" w:cs="Arial"/>
          <w:noProof w:val="0"/>
          <w:sz w:val="22"/>
          <w:szCs w:val="22"/>
          <w:lang w:val="en-US"/>
        </w:rPr>
        <w:t xml:space="preserve"> when individuals miss appointments. Rather than assuming lack of motivation, open-ended questioning will be used to explore potential physical, psychological, and social barriers. </w:t>
      </w:r>
      <w:r w:rsidRPr="6E5B3B39" w:rsidR="07E7B4BD">
        <w:rPr>
          <w:rFonts w:ascii="Arial" w:hAnsi="Arial" w:eastAsia="Arial" w:cs="Arial"/>
          <w:noProof w:val="0"/>
          <w:sz w:val="22"/>
          <w:szCs w:val="22"/>
          <w:lang w:val="en-US"/>
        </w:rPr>
        <w:t>Language such as “non-engaging” will be avoided, as it may reinforce bias.</w:t>
      </w:r>
    </w:p>
    <w:p w:rsidR="07E7B4BD" w:rsidP="6E5B3B39" w:rsidRDefault="07E7B4BD" w14:paraId="3428D0EC" w14:textId="07545F7A">
      <w:pPr>
        <w:spacing w:before="240" w:beforeAutospacing="off" w:after="240" w:afterAutospacing="off" w:line="360" w:lineRule="auto"/>
        <w:jc w:val="both"/>
        <w:rPr>
          <w:rFonts w:ascii="Arial" w:hAnsi="Arial" w:eastAsia="Arial" w:cs="Arial"/>
          <w:noProof w:val="0"/>
          <w:sz w:val="22"/>
          <w:szCs w:val="22"/>
          <w:lang w:val="en-US"/>
        </w:rPr>
      </w:pPr>
      <w:r w:rsidRPr="6E5B3B39" w:rsidR="07E7B4BD">
        <w:rPr>
          <w:rFonts w:ascii="Arial" w:hAnsi="Arial" w:eastAsia="Arial" w:cs="Arial"/>
          <w:noProof w:val="0"/>
          <w:sz w:val="22"/>
          <w:szCs w:val="22"/>
          <w:lang w:val="en-US"/>
        </w:rPr>
        <w:t xml:space="preserve">Furthermore, regular feedback will be </w:t>
      </w:r>
      <w:r w:rsidRPr="6E5B3B39" w:rsidR="07E7B4BD">
        <w:rPr>
          <w:rFonts w:ascii="Arial" w:hAnsi="Arial" w:eastAsia="Arial" w:cs="Arial"/>
          <w:noProof w:val="0"/>
          <w:sz w:val="22"/>
          <w:szCs w:val="22"/>
          <w:lang w:val="en-US"/>
        </w:rPr>
        <w:t>sought</w:t>
      </w:r>
      <w:r w:rsidRPr="6E5B3B39" w:rsidR="07E7B4BD">
        <w:rPr>
          <w:rFonts w:ascii="Arial" w:hAnsi="Arial" w:eastAsia="Arial" w:cs="Arial"/>
          <w:noProof w:val="0"/>
          <w:sz w:val="22"/>
          <w:szCs w:val="22"/>
          <w:lang w:val="en-US"/>
        </w:rPr>
        <w:t xml:space="preserve"> from supervisors </w:t>
      </w:r>
      <w:r w:rsidRPr="6E5B3B39" w:rsidR="07E7B4BD">
        <w:rPr>
          <w:rFonts w:ascii="Arial" w:hAnsi="Arial" w:eastAsia="Arial" w:cs="Arial"/>
          <w:noProof w:val="0"/>
          <w:sz w:val="22"/>
          <w:szCs w:val="22"/>
          <w:lang w:val="en-US"/>
        </w:rPr>
        <w:t>regarding</w:t>
      </w:r>
      <w:r w:rsidRPr="6E5B3B39" w:rsidR="07E7B4BD">
        <w:rPr>
          <w:rFonts w:ascii="Arial" w:hAnsi="Arial" w:eastAsia="Arial" w:cs="Arial"/>
          <w:noProof w:val="0"/>
          <w:sz w:val="22"/>
          <w:szCs w:val="22"/>
          <w:lang w:val="en-US"/>
        </w:rPr>
        <w:t xml:space="preserve"> communication style and assumptions in clinical reasoning. </w:t>
      </w:r>
      <w:r w:rsidRPr="6E5B3B39" w:rsidR="07E7B4BD">
        <w:rPr>
          <w:rFonts w:ascii="Arial" w:hAnsi="Arial" w:eastAsia="Arial" w:cs="Arial"/>
          <w:noProof w:val="0"/>
          <w:sz w:val="22"/>
          <w:szCs w:val="22"/>
          <w:lang w:val="en-US"/>
        </w:rPr>
        <w:t>HCPC</w:t>
      </w:r>
      <w:r w:rsidRPr="6E5B3B39" w:rsidR="07E7B4BD">
        <w:rPr>
          <w:rFonts w:ascii="Arial" w:hAnsi="Arial" w:eastAsia="Arial" w:cs="Arial"/>
          <w:noProof w:val="0"/>
          <w:sz w:val="22"/>
          <w:szCs w:val="22"/>
          <w:lang w:val="en-US"/>
        </w:rPr>
        <w:t xml:space="preserve"> (20</w:t>
      </w:r>
      <w:r w:rsidRPr="6E5B3B39" w:rsidR="73B1673B">
        <w:rPr>
          <w:rFonts w:ascii="Arial" w:hAnsi="Arial" w:eastAsia="Arial" w:cs="Arial"/>
          <w:noProof w:val="0"/>
          <w:sz w:val="22"/>
          <w:szCs w:val="22"/>
          <w:lang w:val="en-US"/>
        </w:rPr>
        <w:t>12</w:t>
      </w:r>
      <w:r w:rsidRPr="6E5B3B39" w:rsidR="07E7B4BD">
        <w:rPr>
          <w:rFonts w:ascii="Arial" w:hAnsi="Arial" w:eastAsia="Arial" w:cs="Arial"/>
          <w:noProof w:val="0"/>
          <w:sz w:val="22"/>
          <w:szCs w:val="22"/>
          <w:lang w:val="en-US"/>
        </w:rPr>
        <w:t>) standards will be revisited periodically to ensure ongoing adherence to principles of consent, equality, and partnership working.</w:t>
      </w:r>
    </w:p>
    <w:p w:rsidR="07E7B4BD" w:rsidP="6E5B3B39" w:rsidRDefault="07E7B4BD" w14:paraId="5DB25AEA" w14:textId="462938F0">
      <w:pPr>
        <w:spacing w:before="240" w:beforeAutospacing="off" w:after="240" w:afterAutospacing="off" w:line="360" w:lineRule="auto"/>
        <w:jc w:val="both"/>
        <w:rPr>
          <w:rFonts w:ascii="Arial" w:hAnsi="Arial" w:eastAsia="Arial" w:cs="Arial"/>
          <w:noProof w:val="0"/>
          <w:sz w:val="22"/>
          <w:szCs w:val="22"/>
          <w:lang w:val="en-US"/>
        </w:rPr>
      </w:pPr>
      <w:r w:rsidRPr="6E5B3B39" w:rsidR="07E7B4BD">
        <w:rPr>
          <w:rFonts w:ascii="Arial" w:hAnsi="Arial" w:eastAsia="Arial" w:cs="Arial"/>
          <w:noProof w:val="0"/>
          <w:sz w:val="22"/>
          <w:szCs w:val="22"/>
          <w:lang w:val="en-US"/>
        </w:rPr>
        <w:t>Finally, Gibbs’ reflective cycle will continue to be used following significant clinical experiences. Through structured reflection, theoretical frameworks such as person-</w:t>
      </w:r>
      <w:r w:rsidRPr="6E5B3B39" w:rsidR="07E7B4BD">
        <w:rPr>
          <w:rFonts w:ascii="Arial" w:hAnsi="Arial" w:eastAsia="Arial" w:cs="Arial"/>
          <w:noProof w:val="0"/>
          <w:sz w:val="22"/>
          <w:szCs w:val="22"/>
          <w:lang w:val="en-US"/>
        </w:rPr>
        <w:t>centred</w:t>
      </w:r>
      <w:r w:rsidRPr="6E5B3B39" w:rsidR="07E7B4BD">
        <w:rPr>
          <w:rFonts w:ascii="Arial" w:hAnsi="Arial" w:eastAsia="Arial" w:cs="Arial"/>
          <w:noProof w:val="0"/>
          <w:sz w:val="22"/>
          <w:szCs w:val="22"/>
          <w:lang w:val="en-US"/>
        </w:rPr>
        <w:t xml:space="preserve"> care, ethical principles, and Maslow’s hierarchy can be more effectively integrated into future practice, thereby promoting continuous professional development.</w:t>
      </w:r>
    </w:p>
    <w:p w:rsidR="6E5B3B39" w:rsidP="6E5B3B39" w:rsidRDefault="6E5B3B39" w14:paraId="7541A5A2" w14:textId="3692AFE5">
      <w:pPr>
        <w:spacing w:before="240" w:beforeAutospacing="off" w:after="240" w:afterAutospacing="off" w:line="360" w:lineRule="auto"/>
        <w:jc w:val="both"/>
        <w:rPr>
          <w:rFonts w:ascii="Arial" w:hAnsi="Arial" w:eastAsia="Arial" w:cs="Arial"/>
          <w:noProof w:val="0"/>
          <w:sz w:val="22"/>
          <w:szCs w:val="22"/>
          <w:lang w:val="en-US"/>
        </w:rPr>
      </w:pPr>
    </w:p>
    <w:p w:rsidR="6E5B3B39" w:rsidP="6E5B3B39" w:rsidRDefault="6E5B3B39" w14:paraId="7EA91155" w14:textId="56F9B731">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0965DCA1" w:rsidP="6E5B3B39" w:rsidRDefault="0965DCA1" w14:paraId="1FD958A7" w14:textId="57AC3CA8">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Conclusion </w:t>
      </w:r>
    </w:p>
    <w:p w:rsidR="0965DCA1" w:rsidP="6E5B3B39" w:rsidRDefault="0965DCA1" w14:paraId="50C5B76C" w14:textId="3ECE7BA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My key takeaway from this experience is missed appointments should be a sign to professionals that a person has unmet needs. Working in a person-</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centred</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ethical way and with other partners requires critical reflection on our context,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language</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and assumptions. Maslow’s hierarchy of needs made me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realise</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that physiological wellbeing,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safety</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and belongingness are essential before someone can focus on rehabilitating and managing their health. Without addressing these foundational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needs</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the person’s activation will not improve no matter how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hard professionals try.</w:t>
      </w:r>
    </w:p>
    <w:p w:rsidR="0965DCA1" w:rsidP="6E5B3B39" w:rsidRDefault="0965DCA1" w14:paraId="4ED9C9C9" w14:textId="0E9ED6D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Reflecting using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Gibbs</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framework allowed me to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recognise</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how judgment can become formed without face-to-face conversation. Ethical practice is about continuous reflection and challenging our beliefs. By using theories of PCC, partnership working and ethics allows me to provide </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equitable</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care to my patients. Promoting person-</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centred</w:t>
      </w:r>
      <w:r w:rsidRPr="6E5B3B39" w:rsidR="0965DCA1">
        <w:rPr>
          <w:rFonts w:ascii="Arial" w:hAnsi="Arial" w:eastAsia="Arial" w:cs="Arial"/>
          <w:b w:val="0"/>
          <w:bCs w:val="0"/>
          <w:i w:val="0"/>
          <w:iCs w:val="0"/>
          <w:caps w:val="0"/>
          <w:smallCaps w:val="0"/>
          <w:noProof w:val="0"/>
          <w:color w:val="000000" w:themeColor="text1" w:themeTint="FF" w:themeShade="FF"/>
          <w:sz w:val="22"/>
          <w:szCs w:val="22"/>
          <w:lang w:val="en-US"/>
        </w:rPr>
        <w:t xml:space="preserve"> care by working in partnership with others and upholding ethics will enable meaningful engagement from individuals with complex needs.</w:t>
      </w:r>
    </w:p>
    <w:p w:rsidR="6E5B3B39" w:rsidP="6E5B3B39" w:rsidRDefault="6E5B3B39" w14:paraId="5E73CF8C" w14:textId="566E2A5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E5B3B39" w:rsidP="6E5B3B39" w:rsidRDefault="6E5B3B39" w14:paraId="2193AAE6" w14:textId="12264147">
      <w:pPr>
        <w:spacing w:line="360" w:lineRule="auto"/>
        <w:jc w:val="both"/>
        <w:rPr>
          <w:rFonts w:ascii="Arial" w:hAnsi="Arial" w:eastAsia="Arial" w:cs="Arial"/>
          <w:sz w:val="22"/>
          <w:szCs w:val="22"/>
        </w:rPr>
      </w:pPr>
      <w:r w:rsidRPr="6E5B3B39">
        <w:rPr>
          <w:rFonts w:ascii="Arial" w:hAnsi="Arial" w:eastAsia="Arial" w:cs="Arial"/>
          <w:sz w:val="22"/>
          <w:szCs w:val="22"/>
        </w:rPr>
        <w:br w:type="page"/>
      </w:r>
    </w:p>
    <w:p w:rsidR="5379865B" w:rsidP="6E5B3B39" w:rsidRDefault="5379865B" w14:paraId="769E5B62" w14:textId="69DE1798">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US"/>
        </w:rPr>
      </w:pPr>
      <w:r w:rsidRPr="6E5B3B39" w:rsidR="5379865B">
        <w:rPr>
          <w:rFonts w:ascii="Arial" w:hAnsi="Arial" w:eastAsia="Arial" w:cs="Arial"/>
          <w:noProof w:val="0"/>
          <w:sz w:val="22"/>
          <w:szCs w:val="22"/>
          <w:lang w:val="en-US"/>
        </w:rPr>
        <w:t>References</w:t>
      </w:r>
    </w:p>
    <w:p w:rsidR="039DBEE3" w:rsidP="6E5B3B39" w:rsidRDefault="039DBEE3" w14:paraId="4A5EEA3C" w14:textId="66640FB8">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Balestrieri, P., Cicala, M. and </w:t>
      </w:r>
      <w:r w:rsidRPr="6E5B3B39" w:rsidR="039DBEE3">
        <w:rPr>
          <w:rFonts w:ascii="Arial" w:hAnsi="Arial" w:eastAsia="Arial" w:cs="Arial"/>
          <w:noProof w:val="0"/>
          <w:sz w:val="22"/>
          <w:szCs w:val="22"/>
          <w:lang w:val="en-US"/>
        </w:rPr>
        <w:t>Ribolsi</w:t>
      </w:r>
      <w:r w:rsidRPr="6E5B3B39" w:rsidR="039DBEE3">
        <w:rPr>
          <w:rFonts w:ascii="Arial" w:hAnsi="Arial" w:eastAsia="Arial" w:cs="Arial"/>
          <w:noProof w:val="0"/>
          <w:sz w:val="22"/>
          <w:szCs w:val="22"/>
          <w:lang w:val="en-US"/>
        </w:rPr>
        <w:t>, M. (2023) ‘Psychological distress in inflammatory bowel disease’, Expert Review of Gastroenterology &amp; Hepatology, 17(6), pp. 539–553.</w:t>
      </w:r>
    </w:p>
    <w:p w:rsidR="039DBEE3" w:rsidP="6E5B3B39" w:rsidRDefault="039DBEE3" w14:paraId="05673B7C" w14:textId="728D19D8">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Barker, I., Steventon, A., Williamson, </w:t>
      </w:r>
      <w:r w:rsidRPr="6E5B3B39" w:rsidR="039DBEE3">
        <w:rPr>
          <w:rFonts w:ascii="Arial" w:hAnsi="Arial" w:eastAsia="Arial" w:cs="Arial"/>
          <w:noProof w:val="0"/>
          <w:sz w:val="22"/>
          <w:szCs w:val="22"/>
          <w:lang w:val="en-US"/>
        </w:rPr>
        <w:t>R.</w:t>
      </w:r>
      <w:r w:rsidRPr="6E5B3B39" w:rsidR="039DBEE3">
        <w:rPr>
          <w:rFonts w:ascii="Arial" w:hAnsi="Arial" w:eastAsia="Arial" w:cs="Arial"/>
          <w:noProof w:val="0"/>
          <w:sz w:val="22"/>
          <w:szCs w:val="22"/>
          <w:lang w:val="en-US"/>
        </w:rPr>
        <w:t xml:space="preserve"> and Deeny, S.R. (2018) ‘Self-management capability in patients with long-term conditions is associated with reduced healthcare </w:t>
      </w:r>
      <w:r w:rsidRPr="6E5B3B39" w:rsidR="039DBEE3">
        <w:rPr>
          <w:rFonts w:ascii="Arial" w:hAnsi="Arial" w:eastAsia="Arial" w:cs="Arial"/>
          <w:noProof w:val="0"/>
          <w:sz w:val="22"/>
          <w:szCs w:val="22"/>
          <w:lang w:val="en-US"/>
        </w:rPr>
        <w:t>utilisation</w:t>
      </w:r>
      <w:r w:rsidRPr="6E5B3B39" w:rsidR="039DBEE3">
        <w:rPr>
          <w:rFonts w:ascii="Arial" w:hAnsi="Arial" w:eastAsia="Arial" w:cs="Arial"/>
          <w:noProof w:val="0"/>
          <w:sz w:val="22"/>
          <w:szCs w:val="22"/>
          <w:lang w:val="en-US"/>
        </w:rPr>
        <w:t xml:space="preserve"> across a whole health economy: cross-sectional analysis of electronic health records’, BMJ Quality &amp; Safety, 27(12), pp. 989–999.</w:t>
      </w:r>
    </w:p>
    <w:p w:rsidR="039DBEE3" w:rsidP="6E5B3B39" w:rsidRDefault="039DBEE3" w14:paraId="5440B084" w14:textId="4A1F1376">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Beauchamp, T.L. and Childress, J.F. (1994) Principles of biomedical ethics. 4th </w:t>
      </w:r>
      <w:r w:rsidRPr="6E5B3B39" w:rsidR="039DBEE3">
        <w:rPr>
          <w:rFonts w:ascii="Arial" w:hAnsi="Arial" w:eastAsia="Arial" w:cs="Arial"/>
          <w:noProof w:val="0"/>
          <w:sz w:val="22"/>
          <w:szCs w:val="22"/>
          <w:lang w:val="en-US"/>
        </w:rPr>
        <w:t>edn</w:t>
      </w:r>
      <w:r w:rsidRPr="6E5B3B39" w:rsidR="039DBEE3">
        <w:rPr>
          <w:rFonts w:ascii="Arial" w:hAnsi="Arial" w:eastAsia="Arial" w:cs="Arial"/>
          <w:noProof w:val="0"/>
          <w:sz w:val="22"/>
          <w:szCs w:val="22"/>
          <w:lang w:val="en-US"/>
        </w:rPr>
        <w:t>. New York: Oxford University Press.</w:t>
      </w:r>
    </w:p>
    <w:p w:rsidR="039DBEE3" w:rsidP="6E5B3B39" w:rsidRDefault="039DBEE3" w14:paraId="62D74D6E" w14:textId="1B83147C">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Care Act 2014. London: The Stationery Office.</w:t>
      </w:r>
    </w:p>
    <w:p w:rsidR="039DBEE3" w:rsidP="6E5B3B39" w:rsidRDefault="039DBEE3" w14:paraId="7EDFA922" w14:textId="76D77EE4">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Coulter, </w:t>
      </w:r>
      <w:r w:rsidRPr="6E5B3B39" w:rsidR="039DBEE3">
        <w:rPr>
          <w:rFonts w:ascii="Arial" w:hAnsi="Arial" w:eastAsia="Arial" w:cs="Arial"/>
          <w:noProof w:val="0"/>
          <w:sz w:val="22"/>
          <w:szCs w:val="22"/>
          <w:lang w:val="en-US"/>
        </w:rPr>
        <w:t>A.</w:t>
      </w:r>
      <w:r w:rsidRPr="6E5B3B39" w:rsidR="039DBEE3">
        <w:rPr>
          <w:rFonts w:ascii="Arial" w:hAnsi="Arial" w:eastAsia="Arial" w:cs="Arial"/>
          <w:noProof w:val="0"/>
          <w:sz w:val="22"/>
          <w:szCs w:val="22"/>
          <w:lang w:val="en-US"/>
        </w:rPr>
        <w:t xml:space="preserve"> and Oldham, J. (2016)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care: what is it and how do we get there?’, Future Hospital Journal, 3(2), pp. 114–116.</w:t>
      </w:r>
    </w:p>
    <w:p w:rsidR="039DBEE3" w:rsidP="6E5B3B39" w:rsidRDefault="039DBEE3" w14:paraId="3AB87F6A" w14:textId="1909455E">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Equality Act 2010. London: The Stationery Office.</w:t>
      </w:r>
    </w:p>
    <w:p w:rsidR="039DBEE3" w:rsidP="6E5B3B39" w:rsidRDefault="039DBEE3" w14:paraId="7F95E53C" w14:textId="1EA9492E">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Forsgren, E., Feldthusen, C., </w:t>
      </w:r>
      <w:r w:rsidRPr="6E5B3B39" w:rsidR="039DBEE3">
        <w:rPr>
          <w:rFonts w:ascii="Arial" w:hAnsi="Arial" w:eastAsia="Arial" w:cs="Arial"/>
          <w:noProof w:val="0"/>
          <w:sz w:val="22"/>
          <w:szCs w:val="22"/>
          <w:lang w:val="en-US"/>
        </w:rPr>
        <w:t>Wallström</w:t>
      </w:r>
      <w:r w:rsidRPr="6E5B3B39" w:rsidR="039DBEE3">
        <w:rPr>
          <w:rFonts w:ascii="Arial" w:hAnsi="Arial" w:eastAsia="Arial" w:cs="Arial"/>
          <w:noProof w:val="0"/>
          <w:sz w:val="22"/>
          <w:szCs w:val="22"/>
          <w:lang w:val="en-US"/>
        </w:rPr>
        <w:t xml:space="preserve">, S., </w:t>
      </w:r>
      <w:r w:rsidRPr="6E5B3B39" w:rsidR="039DBEE3">
        <w:rPr>
          <w:rFonts w:ascii="Arial" w:hAnsi="Arial" w:eastAsia="Arial" w:cs="Arial"/>
          <w:noProof w:val="0"/>
          <w:sz w:val="22"/>
          <w:szCs w:val="22"/>
          <w:lang w:val="en-US"/>
        </w:rPr>
        <w:t>Thunström</w:t>
      </w:r>
      <w:r w:rsidRPr="6E5B3B39" w:rsidR="039DBEE3">
        <w:rPr>
          <w:rFonts w:ascii="Arial" w:hAnsi="Arial" w:eastAsia="Arial" w:cs="Arial"/>
          <w:noProof w:val="0"/>
          <w:sz w:val="22"/>
          <w:szCs w:val="22"/>
          <w:lang w:val="en-US"/>
        </w:rPr>
        <w:t xml:space="preserve">, L., Kullman, L., Sawatzky, R. and </w:t>
      </w:r>
      <w:r w:rsidRPr="6E5B3B39" w:rsidR="039DBEE3">
        <w:rPr>
          <w:rFonts w:ascii="Arial" w:hAnsi="Arial" w:eastAsia="Arial" w:cs="Arial"/>
          <w:noProof w:val="0"/>
          <w:sz w:val="22"/>
          <w:szCs w:val="22"/>
          <w:lang w:val="en-US"/>
        </w:rPr>
        <w:t>Öhlén</w:t>
      </w:r>
      <w:r w:rsidRPr="6E5B3B39" w:rsidR="039DBEE3">
        <w:rPr>
          <w:rFonts w:ascii="Arial" w:hAnsi="Arial" w:eastAsia="Arial" w:cs="Arial"/>
          <w:noProof w:val="0"/>
          <w:sz w:val="22"/>
          <w:szCs w:val="22"/>
          <w:lang w:val="en-US"/>
        </w:rPr>
        <w:t>, J. (2025)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care as an evolving field of research: a scoping review’, Frontiers in Health Services, 5, 1534178.</w:t>
      </w:r>
    </w:p>
    <w:p w:rsidR="039DBEE3" w:rsidP="6E5B3B39" w:rsidRDefault="039DBEE3" w14:paraId="7C375E84" w14:textId="7052DA71">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Gibbs, G. (1988)</w:t>
      </w:r>
      <w:r w:rsidRPr="6E5B3B39" w:rsidR="039DBEE3">
        <w:rPr>
          <w:rFonts w:ascii="Arial" w:hAnsi="Arial" w:eastAsia="Arial" w:cs="Arial"/>
          <w:noProof w:val="0"/>
          <w:sz w:val="22"/>
          <w:szCs w:val="22"/>
          <w:lang w:val="en-US"/>
        </w:rPr>
        <w:t xml:space="preserve"> Learning</w:t>
      </w:r>
      <w:r w:rsidRPr="6E5B3B39" w:rsidR="039DBEE3">
        <w:rPr>
          <w:rFonts w:ascii="Arial" w:hAnsi="Arial" w:eastAsia="Arial" w:cs="Arial"/>
          <w:noProof w:val="0"/>
          <w:sz w:val="22"/>
          <w:szCs w:val="22"/>
          <w:lang w:val="en-US"/>
        </w:rPr>
        <w:t xml:space="preserve"> by doing: a guide to teaching and learning methods. Oxford: Further Education Unit.</w:t>
      </w:r>
    </w:p>
    <w:p w:rsidR="039DBEE3" w:rsidP="6E5B3B39" w:rsidRDefault="039DBEE3" w14:paraId="15F85165" w14:textId="0D0C4DF7">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Glasby, J. and Dickinson, H. (2014) Partnership working in health and social care: what is integrated care and how can we deliver it? 2nd </w:t>
      </w:r>
      <w:r w:rsidRPr="6E5B3B39" w:rsidR="039DBEE3">
        <w:rPr>
          <w:rFonts w:ascii="Arial" w:hAnsi="Arial" w:eastAsia="Arial" w:cs="Arial"/>
          <w:noProof w:val="0"/>
          <w:sz w:val="22"/>
          <w:szCs w:val="22"/>
          <w:lang w:val="en-US"/>
        </w:rPr>
        <w:t>edn</w:t>
      </w:r>
      <w:r w:rsidRPr="6E5B3B39" w:rsidR="039DBEE3">
        <w:rPr>
          <w:rFonts w:ascii="Arial" w:hAnsi="Arial" w:eastAsia="Arial" w:cs="Arial"/>
          <w:noProof w:val="0"/>
          <w:sz w:val="22"/>
          <w:szCs w:val="22"/>
          <w:lang w:val="en-US"/>
        </w:rPr>
        <w:t>. Bristol: Policy Press.</w:t>
      </w:r>
    </w:p>
    <w:p w:rsidR="039DBEE3" w:rsidP="6E5B3B39" w:rsidRDefault="039DBEE3" w14:paraId="51764131" w14:textId="20904A10">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Health and Care Professions Council (2012) Standards of conduct, </w:t>
      </w:r>
      <w:r w:rsidRPr="6E5B3B39" w:rsidR="039DBEE3">
        <w:rPr>
          <w:rFonts w:ascii="Arial" w:hAnsi="Arial" w:eastAsia="Arial" w:cs="Arial"/>
          <w:noProof w:val="0"/>
          <w:sz w:val="22"/>
          <w:szCs w:val="22"/>
          <w:lang w:val="en-US"/>
        </w:rPr>
        <w:t>performance</w:t>
      </w:r>
      <w:r w:rsidRPr="6E5B3B39" w:rsidR="039DBEE3">
        <w:rPr>
          <w:rFonts w:ascii="Arial" w:hAnsi="Arial" w:eastAsia="Arial" w:cs="Arial"/>
          <w:noProof w:val="0"/>
          <w:sz w:val="22"/>
          <w:szCs w:val="22"/>
          <w:lang w:val="en-US"/>
        </w:rPr>
        <w:t xml:space="preserve"> and ethics. London: HCPC.</w:t>
      </w:r>
    </w:p>
    <w:p w:rsidR="039DBEE3" w:rsidP="6E5B3B39" w:rsidRDefault="039DBEE3" w14:paraId="1EB546DC" w14:textId="776AE0CE">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Hibbard, J.H. and Greene, J. (2013) ‘What the evidence shows about patient activation: better health outcomes and care experiences; fewer data on costs’, Health Affairs, 32(2), pp. 207–214.</w:t>
      </w:r>
    </w:p>
    <w:p w:rsidR="039DBEE3" w:rsidP="6E5B3B39" w:rsidRDefault="039DBEE3" w14:paraId="15453F06" w14:textId="244FD311">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Maslow, A.H. (1943) ‘A </w:t>
      </w:r>
      <w:r w:rsidRPr="6E5B3B39" w:rsidR="039DBEE3">
        <w:rPr>
          <w:rFonts w:ascii="Arial" w:hAnsi="Arial" w:eastAsia="Arial" w:cs="Arial"/>
          <w:noProof w:val="0"/>
          <w:sz w:val="22"/>
          <w:szCs w:val="22"/>
          <w:lang w:val="en-US"/>
        </w:rPr>
        <w:t>theory</w:t>
      </w:r>
      <w:r w:rsidRPr="6E5B3B39" w:rsidR="039DBEE3">
        <w:rPr>
          <w:rFonts w:ascii="Arial" w:hAnsi="Arial" w:eastAsia="Arial" w:cs="Arial"/>
          <w:noProof w:val="0"/>
          <w:sz w:val="22"/>
          <w:szCs w:val="22"/>
          <w:lang w:val="en-US"/>
        </w:rPr>
        <w:t xml:space="preserve"> of </w:t>
      </w:r>
      <w:r w:rsidRPr="6E5B3B39" w:rsidR="039DBEE3">
        <w:rPr>
          <w:rFonts w:ascii="Arial" w:hAnsi="Arial" w:eastAsia="Arial" w:cs="Arial"/>
          <w:noProof w:val="0"/>
          <w:sz w:val="22"/>
          <w:szCs w:val="22"/>
          <w:lang w:val="en-US"/>
        </w:rPr>
        <w:t>human motivation</w:t>
      </w:r>
      <w:r w:rsidRPr="6E5B3B39" w:rsidR="039DBEE3">
        <w:rPr>
          <w:rFonts w:ascii="Arial" w:hAnsi="Arial" w:eastAsia="Arial" w:cs="Arial"/>
          <w:noProof w:val="0"/>
          <w:sz w:val="22"/>
          <w:szCs w:val="22"/>
          <w:lang w:val="en-US"/>
        </w:rPr>
        <w:t>’, Psychological Review, 50(4), pp. 370–396.</w:t>
      </w:r>
    </w:p>
    <w:p w:rsidR="039DBEE3" w:rsidP="6E5B3B39" w:rsidRDefault="039DBEE3" w14:paraId="33F87FBC" w14:textId="2F8CB73E">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Mental Capacity Act 2005. London: The Stationery Office.</w:t>
      </w:r>
    </w:p>
    <w:p w:rsidR="039DBEE3" w:rsidP="6E5B3B39" w:rsidRDefault="039DBEE3" w14:paraId="590720F3" w14:textId="2298BB6A">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Marmot, M. (2020)</w:t>
      </w:r>
      <w:r w:rsidRPr="6E5B3B39" w:rsidR="039DBEE3">
        <w:rPr>
          <w:rFonts w:ascii="Arial" w:hAnsi="Arial" w:eastAsia="Arial" w:cs="Arial"/>
          <w:noProof w:val="0"/>
          <w:sz w:val="22"/>
          <w:szCs w:val="22"/>
          <w:lang w:val="en-US"/>
        </w:rPr>
        <w:t xml:space="preserve"> Health</w:t>
      </w:r>
      <w:r w:rsidRPr="6E5B3B39" w:rsidR="039DBEE3">
        <w:rPr>
          <w:rFonts w:ascii="Arial" w:hAnsi="Arial" w:eastAsia="Arial" w:cs="Arial"/>
          <w:noProof w:val="0"/>
          <w:sz w:val="22"/>
          <w:szCs w:val="22"/>
          <w:lang w:val="en-US"/>
        </w:rPr>
        <w:t xml:space="preserve"> equity in England: </w:t>
      </w:r>
      <w:r w:rsidRPr="6E5B3B39" w:rsidR="039DBEE3">
        <w:rPr>
          <w:rFonts w:ascii="Arial" w:hAnsi="Arial" w:eastAsia="Arial" w:cs="Arial"/>
          <w:noProof w:val="0"/>
          <w:sz w:val="22"/>
          <w:szCs w:val="22"/>
          <w:lang w:val="en-US"/>
        </w:rPr>
        <w:t>the</w:t>
      </w:r>
      <w:r w:rsidRPr="6E5B3B39" w:rsidR="039DBEE3">
        <w:rPr>
          <w:rFonts w:ascii="Arial" w:hAnsi="Arial" w:eastAsia="Arial" w:cs="Arial"/>
          <w:noProof w:val="0"/>
          <w:sz w:val="22"/>
          <w:szCs w:val="22"/>
          <w:lang w:val="en-US"/>
        </w:rPr>
        <w:t xml:space="preserve"> Marmot review 10 years on. London: Institute of Health Equity. Available at: </w:t>
      </w:r>
      <w:hyperlink r:id="R08a7bbab2b7a40f9">
        <w:r w:rsidRPr="6E5B3B39" w:rsidR="039DBEE3">
          <w:rPr>
            <w:rStyle w:val="Hyperlink"/>
            <w:rFonts w:ascii="Arial" w:hAnsi="Arial" w:eastAsia="Arial" w:cs="Arial"/>
            <w:noProof w:val="0"/>
            <w:sz w:val="22"/>
            <w:szCs w:val="22"/>
            <w:lang w:val="en-US"/>
          </w:rPr>
          <w:t>https://www.instituteofhealthequity.org/resources-reports/marmot-review-10-years-on/the-marmot-review-10-years-on-full-report.pdf</w:t>
        </w:r>
      </w:hyperlink>
      <w:r w:rsidRPr="6E5B3B39" w:rsidR="50993448">
        <w:rPr>
          <w:rFonts w:ascii="Arial" w:hAnsi="Arial" w:eastAsia="Arial" w:cs="Arial"/>
          <w:noProof w:val="0"/>
          <w:sz w:val="22"/>
          <w:szCs w:val="22"/>
          <w:lang w:val="en-US"/>
        </w:rPr>
        <w:t xml:space="preserve"> </w:t>
      </w:r>
      <w:r w:rsidRPr="6E5B3B39" w:rsidR="039DBEE3">
        <w:rPr>
          <w:rFonts w:ascii="Arial" w:hAnsi="Arial" w:eastAsia="Arial" w:cs="Arial"/>
          <w:noProof w:val="0"/>
          <w:sz w:val="22"/>
          <w:szCs w:val="22"/>
          <w:lang w:val="en-US"/>
        </w:rPr>
        <w:t>(Accessed: 14 February 2026).</w:t>
      </w:r>
    </w:p>
    <w:p w:rsidR="039DBEE3" w:rsidP="6E5B3B39" w:rsidRDefault="039DBEE3" w14:paraId="2A5DDD7E" w14:textId="2F9F2B54">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Naylor, C., Cream, J., </w:t>
      </w:r>
      <w:r w:rsidRPr="6E5B3B39" w:rsidR="039DBEE3">
        <w:rPr>
          <w:rFonts w:ascii="Arial" w:hAnsi="Arial" w:eastAsia="Arial" w:cs="Arial"/>
          <w:noProof w:val="0"/>
          <w:sz w:val="22"/>
          <w:szCs w:val="22"/>
          <w:lang w:val="en-US"/>
        </w:rPr>
        <w:t>Chikwira</w:t>
      </w:r>
      <w:r w:rsidRPr="6E5B3B39" w:rsidR="039DBEE3">
        <w:rPr>
          <w:rFonts w:ascii="Arial" w:hAnsi="Arial" w:eastAsia="Arial" w:cs="Arial"/>
          <w:noProof w:val="0"/>
          <w:sz w:val="22"/>
          <w:szCs w:val="22"/>
          <w:lang w:val="en-US"/>
        </w:rPr>
        <w:t xml:space="preserve">, L. and </w:t>
      </w:r>
      <w:r w:rsidRPr="6E5B3B39" w:rsidR="039DBEE3">
        <w:rPr>
          <w:rFonts w:ascii="Arial" w:hAnsi="Arial" w:eastAsia="Arial" w:cs="Arial"/>
          <w:noProof w:val="0"/>
          <w:sz w:val="22"/>
          <w:szCs w:val="22"/>
          <w:lang w:val="en-US"/>
        </w:rPr>
        <w:t>Gowar</w:t>
      </w:r>
      <w:r w:rsidRPr="6E5B3B39" w:rsidR="039DBEE3">
        <w:rPr>
          <w:rFonts w:ascii="Arial" w:hAnsi="Arial" w:eastAsia="Arial" w:cs="Arial"/>
          <w:noProof w:val="0"/>
          <w:sz w:val="22"/>
          <w:szCs w:val="22"/>
          <w:lang w:val="en-US"/>
        </w:rPr>
        <w:t xml:space="preserve">, C. (2024) </w:t>
      </w:r>
      <w:r w:rsidRPr="6E5B3B39" w:rsidR="039DBEE3">
        <w:rPr>
          <w:rFonts w:ascii="Arial" w:hAnsi="Arial" w:eastAsia="Arial" w:cs="Arial"/>
          <w:noProof w:val="0"/>
          <w:sz w:val="22"/>
          <w:szCs w:val="22"/>
          <w:lang w:val="en-US"/>
        </w:rPr>
        <w:t>Realising</w:t>
      </w:r>
      <w:r w:rsidRPr="6E5B3B39" w:rsidR="039DBEE3">
        <w:rPr>
          <w:rFonts w:ascii="Arial" w:hAnsi="Arial" w:eastAsia="Arial" w:cs="Arial"/>
          <w:noProof w:val="0"/>
          <w:sz w:val="22"/>
          <w:szCs w:val="22"/>
          <w:lang w:val="en-US"/>
        </w:rPr>
        <w:t xml:space="preserve"> the potential of integrated care systems. London: The King’s Fund. Available at: </w:t>
      </w:r>
      <w:hyperlink r:id="R02c0edb773104697">
        <w:r w:rsidRPr="6E5B3B39" w:rsidR="039DBEE3">
          <w:rPr>
            <w:rStyle w:val="Hyperlink"/>
            <w:rFonts w:ascii="Arial" w:hAnsi="Arial" w:eastAsia="Arial" w:cs="Arial"/>
            <w:noProof w:val="0"/>
            <w:sz w:val="22"/>
            <w:szCs w:val="22"/>
            <w:lang w:val="en-US"/>
          </w:rPr>
          <w:t>https://assets.kingsfund.org.uk/f/256914/x/6709372a21/realising_potential_ics_report_2024.pdf</w:t>
        </w:r>
      </w:hyperlink>
      <w:r w:rsidRPr="6E5B3B39" w:rsidR="3BE8F474">
        <w:rPr>
          <w:rFonts w:ascii="Arial" w:hAnsi="Arial" w:eastAsia="Arial" w:cs="Arial"/>
          <w:noProof w:val="0"/>
          <w:sz w:val="22"/>
          <w:szCs w:val="22"/>
          <w:lang w:val="en-US"/>
        </w:rPr>
        <w:t xml:space="preserve"> </w:t>
      </w:r>
      <w:r w:rsidRPr="6E5B3B39" w:rsidR="039DBEE3">
        <w:rPr>
          <w:rFonts w:ascii="Arial" w:hAnsi="Arial" w:eastAsia="Arial" w:cs="Arial"/>
          <w:noProof w:val="0"/>
          <w:sz w:val="22"/>
          <w:szCs w:val="22"/>
          <w:lang w:val="en-US"/>
        </w:rPr>
        <w:t>(Accessed: 9 March 2026).</w:t>
      </w:r>
    </w:p>
    <w:p w:rsidR="039DBEE3" w:rsidP="6E5B3B39" w:rsidRDefault="039DBEE3" w14:paraId="12072DE0" w14:textId="167492CB">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NHS England (2019) The NHS long term plan. Available at: </w:t>
      </w:r>
      <w:hyperlink r:id="R9ff3fe0c3ae04924">
        <w:r w:rsidRPr="6E5B3B39" w:rsidR="039DBEE3">
          <w:rPr>
            <w:rStyle w:val="Hyperlink"/>
            <w:rFonts w:ascii="Arial" w:hAnsi="Arial" w:eastAsia="Arial" w:cs="Arial"/>
            <w:noProof w:val="0"/>
            <w:sz w:val="22"/>
            <w:szCs w:val="22"/>
            <w:lang w:val="en-US"/>
          </w:rPr>
          <w:t>https://www.longtermplan.nhs.uk/wp-content/uploads/2019/01/nhs-long-term-plan-june-2019.pdf</w:t>
        </w:r>
      </w:hyperlink>
      <w:r w:rsidRPr="6E5B3B39" w:rsidR="3673D198">
        <w:rPr>
          <w:rFonts w:ascii="Arial" w:hAnsi="Arial" w:eastAsia="Arial" w:cs="Arial"/>
          <w:noProof w:val="0"/>
          <w:sz w:val="22"/>
          <w:szCs w:val="22"/>
          <w:lang w:val="en-US"/>
        </w:rPr>
        <w:t xml:space="preserve"> </w:t>
      </w:r>
      <w:r w:rsidRPr="6E5B3B39" w:rsidR="039DBEE3">
        <w:rPr>
          <w:rFonts w:ascii="Arial" w:hAnsi="Arial" w:eastAsia="Arial" w:cs="Arial"/>
          <w:noProof w:val="0"/>
          <w:sz w:val="22"/>
          <w:szCs w:val="22"/>
          <w:lang w:val="en-US"/>
        </w:rPr>
        <w:t>(Accessed: 15 February 2026).</w:t>
      </w:r>
    </w:p>
    <w:p w:rsidR="039DBEE3" w:rsidP="6E5B3B39" w:rsidRDefault="039DBEE3" w14:paraId="5946C824" w14:textId="2E6EAB8D">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NHS England (2023) Integrated care systems: guidance. Available at: </w:t>
      </w:r>
      <w:hyperlink r:id="Rc6872e31dd8a41a8">
        <w:r w:rsidRPr="6E5B3B39" w:rsidR="039DBEE3">
          <w:rPr>
            <w:rStyle w:val="Hyperlink"/>
            <w:rFonts w:ascii="Arial" w:hAnsi="Arial" w:eastAsia="Arial" w:cs="Arial"/>
            <w:noProof w:val="0"/>
            <w:sz w:val="22"/>
            <w:szCs w:val="22"/>
            <w:lang w:val="en-US"/>
          </w:rPr>
          <w:t>https://www.england.nhs.uk/publication/integrated-care-systems-guidance/</w:t>
        </w:r>
      </w:hyperlink>
      <w:r w:rsidRPr="6E5B3B39" w:rsidR="039DBEE3">
        <w:rPr>
          <w:rFonts w:ascii="Arial" w:hAnsi="Arial" w:eastAsia="Arial" w:cs="Arial"/>
          <w:noProof w:val="0"/>
          <w:sz w:val="22"/>
          <w:szCs w:val="22"/>
          <w:lang w:val="en-US"/>
        </w:rPr>
        <w:t xml:space="preserve"> (Accessed: 9 March 2026).</w:t>
      </w:r>
    </w:p>
    <w:p w:rsidR="039DBEE3" w:rsidP="6E5B3B39" w:rsidRDefault="039DBEE3" w14:paraId="09079D65" w14:textId="33158B24">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Nkhoma, K.B., Cook, A., Giusti, A., Farrant, L., Petrus, R., Petersen, I., Gwyther, L., </w:t>
      </w:r>
      <w:r w:rsidRPr="6E5B3B39" w:rsidR="039DBEE3">
        <w:rPr>
          <w:rFonts w:ascii="Arial" w:hAnsi="Arial" w:eastAsia="Arial" w:cs="Arial"/>
          <w:noProof w:val="0"/>
          <w:sz w:val="22"/>
          <w:szCs w:val="22"/>
          <w:lang w:val="en-US"/>
        </w:rPr>
        <w:t>Venkatapuram</w:t>
      </w:r>
      <w:r w:rsidRPr="6E5B3B39" w:rsidR="039DBEE3">
        <w:rPr>
          <w:rFonts w:ascii="Arial" w:hAnsi="Arial" w:eastAsia="Arial" w:cs="Arial"/>
          <w:noProof w:val="0"/>
          <w:sz w:val="22"/>
          <w:szCs w:val="22"/>
          <w:lang w:val="en-US"/>
        </w:rPr>
        <w:t>, S. and Harding, R. (2022) ‘A systematic review of impact of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interventions for serious physical illness in terms of outcomes and costs’, BMJ Open, 12(7), e054386.</w:t>
      </w:r>
    </w:p>
    <w:p w:rsidR="039DBEE3" w:rsidP="6E5B3B39" w:rsidRDefault="039DBEE3" w14:paraId="6B473137" w14:textId="12543B86">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Ocloo</w:t>
      </w:r>
      <w:r w:rsidRPr="6E5B3B39" w:rsidR="039DBEE3">
        <w:rPr>
          <w:rFonts w:ascii="Arial" w:hAnsi="Arial" w:eastAsia="Arial" w:cs="Arial"/>
          <w:noProof w:val="0"/>
          <w:sz w:val="22"/>
          <w:szCs w:val="22"/>
          <w:lang w:val="en-US"/>
        </w:rPr>
        <w:t xml:space="preserve">, J., Garfield, S., Franklin, B.D. and Dawson, S. (2021) ‘Exploring the theory, </w:t>
      </w:r>
      <w:r w:rsidRPr="6E5B3B39" w:rsidR="039DBEE3">
        <w:rPr>
          <w:rFonts w:ascii="Arial" w:hAnsi="Arial" w:eastAsia="Arial" w:cs="Arial"/>
          <w:noProof w:val="0"/>
          <w:sz w:val="22"/>
          <w:szCs w:val="22"/>
          <w:lang w:val="en-US"/>
        </w:rPr>
        <w:t>barriers</w:t>
      </w:r>
      <w:r w:rsidRPr="6E5B3B39" w:rsidR="039DBEE3">
        <w:rPr>
          <w:rFonts w:ascii="Arial" w:hAnsi="Arial" w:eastAsia="Arial" w:cs="Arial"/>
          <w:noProof w:val="0"/>
          <w:sz w:val="22"/>
          <w:szCs w:val="22"/>
          <w:lang w:val="en-US"/>
        </w:rPr>
        <w:t xml:space="preserve"> and enablers for patient and public involvement across health, social </w:t>
      </w:r>
      <w:r w:rsidRPr="6E5B3B39" w:rsidR="039DBEE3">
        <w:rPr>
          <w:rFonts w:ascii="Arial" w:hAnsi="Arial" w:eastAsia="Arial" w:cs="Arial"/>
          <w:noProof w:val="0"/>
          <w:sz w:val="22"/>
          <w:szCs w:val="22"/>
          <w:lang w:val="en-US"/>
        </w:rPr>
        <w:t>care</w:t>
      </w:r>
      <w:r w:rsidRPr="6E5B3B39" w:rsidR="039DBEE3">
        <w:rPr>
          <w:rFonts w:ascii="Arial" w:hAnsi="Arial" w:eastAsia="Arial" w:cs="Arial"/>
          <w:noProof w:val="0"/>
          <w:sz w:val="22"/>
          <w:szCs w:val="22"/>
          <w:lang w:val="en-US"/>
        </w:rPr>
        <w:t xml:space="preserve"> and patient safety: a systematic review of reviews’, Health Research </w:t>
      </w:r>
      <w:r w:rsidRPr="6E5B3B39" w:rsidR="039DBEE3">
        <w:rPr>
          <w:rFonts w:ascii="Arial" w:hAnsi="Arial" w:eastAsia="Arial" w:cs="Arial"/>
          <w:noProof w:val="0"/>
          <w:sz w:val="22"/>
          <w:szCs w:val="22"/>
          <w:lang w:val="en-US"/>
        </w:rPr>
        <w:t>Policy</w:t>
      </w:r>
      <w:r w:rsidRPr="6E5B3B39" w:rsidR="039DBEE3">
        <w:rPr>
          <w:rFonts w:ascii="Arial" w:hAnsi="Arial" w:eastAsia="Arial" w:cs="Arial"/>
          <w:noProof w:val="0"/>
          <w:sz w:val="22"/>
          <w:szCs w:val="22"/>
          <w:lang w:val="en-US"/>
        </w:rPr>
        <w:t xml:space="preserve"> and Systems, 19(1), 8.</w:t>
      </w:r>
    </w:p>
    <w:p w:rsidR="039DBEE3" w:rsidP="6E5B3B39" w:rsidRDefault="039DBEE3" w14:paraId="4AFDF447" w14:textId="147DCFBA">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Puhan</w:t>
      </w:r>
      <w:r w:rsidRPr="6E5B3B39" w:rsidR="039DBEE3">
        <w:rPr>
          <w:rFonts w:ascii="Arial" w:hAnsi="Arial" w:eastAsia="Arial" w:cs="Arial"/>
          <w:noProof w:val="0"/>
          <w:sz w:val="22"/>
          <w:szCs w:val="22"/>
          <w:lang w:val="en-US"/>
        </w:rPr>
        <w:t xml:space="preserve">, M.A., Gimeno-Santos, E., Cates, C.J. and </w:t>
      </w:r>
      <w:r w:rsidRPr="6E5B3B39" w:rsidR="039DBEE3">
        <w:rPr>
          <w:rFonts w:ascii="Arial" w:hAnsi="Arial" w:eastAsia="Arial" w:cs="Arial"/>
          <w:noProof w:val="0"/>
          <w:sz w:val="22"/>
          <w:szCs w:val="22"/>
          <w:lang w:val="en-US"/>
        </w:rPr>
        <w:t>Troosters</w:t>
      </w:r>
      <w:r w:rsidRPr="6E5B3B39" w:rsidR="039DBEE3">
        <w:rPr>
          <w:rFonts w:ascii="Arial" w:hAnsi="Arial" w:eastAsia="Arial" w:cs="Arial"/>
          <w:noProof w:val="0"/>
          <w:sz w:val="22"/>
          <w:szCs w:val="22"/>
          <w:lang w:val="en-US"/>
        </w:rPr>
        <w:t>, T. (2016) ‘Pulmonary rehabilitation following exacerbations of chronic obstructive pulmonary disease’, Cochrane Database of Systematic Reviews, 12, CD005305.</w:t>
      </w:r>
    </w:p>
    <w:p w:rsidR="039DBEE3" w:rsidP="6E5B3B39" w:rsidRDefault="039DBEE3" w14:paraId="52AF6BA6" w14:textId="43673F7F">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 xml:space="preserve">Reeves, S., </w:t>
      </w:r>
      <w:r w:rsidRPr="6E5B3B39" w:rsidR="039DBEE3">
        <w:rPr>
          <w:rFonts w:ascii="Arial" w:hAnsi="Arial" w:eastAsia="Arial" w:cs="Arial"/>
          <w:noProof w:val="0"/>
          <w:sz w:val="22"/>
          <w:szCs w:val="22"/>
          <w:lang w:val="en-US"/>
        </w:rPr>
        <w:t>Pelone</w:t>
      </w:r>
      <w:r w:rsidRPr="6E5B3B39" w:rsidR="039DBEE3">
        <w:rPr>
          <w:rFonts w:ascii="Arial" w:hAnsi="Arial" w:eastAsia="Arial" w:cs="Arial"/>
          <w:noProof w:val="0"/>
          <w:sz w:val="22"/>
          <w:szCs w:val="22"/>
          <w:lang w:val="en-US"/>
        </w:rPr>
        <w:t xml:space="preserve">, F., Harrison, R., Goldman, J. and </w:t>
      </w:r>
      <w:r w:rsidRPr="6E5B3B39" w:rsidR="039DBEE3">
        <w:rPr>
          <w:rFonts w:ascii="Arial" w:hAnsi="Arial" w:eastAsia="Arial" w:cs="Arial"/>
          <w:noProof w:val="0"/>
          <w:sz w:val="22"/>
          <w:szCs w:val="22"/>
          <w:lang w:val="en-US"/>
        </w:rPr>
        <w:t>Zwarenstein</w:t>
      </w:r>
      <w:r w:rsidRPr="6E5B3B39" w:rsidR="039DBEE3">
        <w:rPr>
          <w:rFonts w:ascii="Arial" w:hAnsi="Arial" w:eastAsia="Arial" w:cs="Arial"/>
          <w:noProof w:val="0"/>
          <w:sz w:val="22"/>
          <w:szCs w:val="22"/>
          <w:lang w:val="en-US"/>
        </w:rPr>
        <w:t>, M. (2018) ‘Interprofessional collaboration to improve professional practice and healthcare outcomes’, Cochrane Database of Systematic Reviews, 8, CD000072.</w:t>
      </w:r>
    </w:p>
    <w:p w:rsidR="039DBEE3" w:rsidP="6E5B3B39" w:rsidRDefault="039DBEE3" w14:paraId="05B10B1B" w14:textId="3C88464F">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Rochester, C.L., Vogiatzis, I., Holland, A.E. et al. (2015) ‘An official American Thoracic Society/European Respiratory Society policy statement: enhancing implementation, use, and delivery of pulmonary rehabilitation’, American Journal of Respiratory and Critical Care Medicine, 192(11), pp. 1373–1386.</w:t>
      </w:r>
    </w:p>
    <w:p w:rsidR="039DBEE3" w:rsidP="6E5B3B39" w:rsidRDefault="039DBEE3" w14:paraId="5C2798A7" w14:textId="1B705F31">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Santana, M.J., Manalili, K., Jolley, R.J., Zelinsky, S., Quan, H. and Lu, M. (2018) ‘How to practice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care: a conceptual framework’, Health Expectations, 21(2), pp. 429–440.</w:t>
      </w:r>
    </w:p>
    <w:p w:rsidR="039DBEE3" w:rsidP="6E5B3B39" w:rsidRDefault="039DBEE3" w14:paraId="7F202A3C" w14:textId="414BCD80">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Tay, L. and Diener, E. (2011) ‘Needs and subjective well-being around the world’, Journal of Personality and Social Psychology, 101(2), pp. 354–365.</w:t>
      </w:r>
    </w:p>
    <w:p w:rsidR="039DBEE3" w:rsidP="6E5B3B39" w:rsidRDefault="039DBEE3" w14:paraId="6B7BC917" w14:textId="08D3B5C0">
      <w:pPr>
        <w:spacing w:before="240" w:beforeAutospacing="off" w:after="240" w:afterAutospacing="off" w:line="360" w:lineRule="auto"/>
        <w:jc w:val="both"/>
        <w:rPr>
          <w:rFonts w:ascii="Arial" w:hAnsi="Arial" w:eastAsia="Arial" w:cs="Arial"/>
          <w:noProof w:val="0"/>
          <w:sz w:val="22"/>
          <w:szCs w:val="22"/>
          <w:lang w:val="en-US"/>
        </w:rPr>
      </w:pPr>
      <w:r w:rsidRPr="6E5B3B39" w:rsidR="039DBEE3">
        <w:rPr>
          <w:rFonts w:ascii="Arial" w:hAnsi="Arial" w:eastAsia="Arial" w:cs="Arial"/>
          <w:noProof w:val="0"/>
          <w:sz w:val="22"/>
          <w:szCs w:val="22"/>
          <w:lang w:val="en-US"/>
        </w:rPr>
        <w:t>The Health Foundation (2016)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care made simple: what everyone should know about person-</w:t>
      </w:r>
      <w:r w:rsidRPr="6E5B3B39" w:rsidR="039DBEE3">
        <w:rPr>
          <w:rFonts w:ascii="Arial" w:hAnsi="Arial" w:eastAsia="Arial" w:cs="Arial"/>
          <w:noProof w:val="0"/>
          <w:sz w:val="22"/>
          <w:szCs w:val="22"/>
          <w:lang w:val="en-US"/>
        </w:rPr>
        <w:t>centred</w:t>
      </w:r>
      <w:r w:rsidRPr="6E5B3B39" w:rsidR="039DBEE3">
        <w:rPr>
          <w:rFonts w:ascii="Arial" w:hAnsi="Arial" w:eastAsia="Arial" w:cs="Arial"/>
          <w:noProof w:val="0"/>
          <w:sz w:val="22"/>
          <w:szCs w:val="22"/>
          <w:lang w:val="en-US"/>
        </w:rPr>
        <w:t xml:space="preserve"> care. Available at: </w:t>
      </w:r>
      <w:hyperlink r:id="R424cd0a8050e4888">
        <w:r w:rsidRPr="6E5B3B39" w:rsidR="039DBEE3">
          <w:rPr>
            <w:rStyle w:val="Hyperlink"/>
            <w:rFonts w:ascii="Arial" w:hAnsi="Arial" w:eastAsia="Arial" w:cs="Arial"/>
            <w:noProof w:val="0"/>
            <w:sz w:val="22"/>
            <w:szCs w:val="22"/>
            <w:lang w:val="en-US"/>
          </w:rPr>
          <w:t>https://www.health.org.uk/sites/default/files/PersonCentredCareMadeSimple.pdf</w:t>
        </w:r>
      </w:hyperlink>
      <w:r w:rsidRPr="6E5B3B39" w:rsidR="039DBEE3">
        <w:rPr>
          <w:rFonts w:ascii="Arial" w:hAnsi="Arial" w:eastAsia="Arial" w:cs="Arial"/>
          <w:noProof w:val="0"/>
          <w:sz w:val="22"/>
          <w:szCs w:val="22"/>
          <w:lang w:val="en-US"/>
        </w:rPr>
        <w:t xml:space="preserve"> (Accessed: 12 February 2026).</w:t>
      </w:r>
    </w:p>
    <w:p w:rsidR="6E5B3B39" w:rsidP="6E5B3B39" w:rsidRDefault="6E5B3B39" w14:paraId="0EB94A87" w14:textId="5324DC81">
      <w:pPr>
        <w:pStyle w:val="Normal"/>
        <w:spacing w:line="360" w:lineRule="auto"/>
        <w:jc w:val="both"/>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f9939faa1a16409d"/>
      <w:footerReference w:type="default" r:id="Rbf19436a591e49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E5B3B39" w:rsidTr="6E5B3B39" w14:paraId="304D136F">
      <w:trPr>
        <w:trHeight w:val="300"/>
      </w:trPr>
      <w:tc>
        <w:tcPr>
          <w:tcW w:w="3120" w:type="dxa"/>
          <w:tcMar/>
        </w:tcPr>
        <w:p w:rsidR="6E5B3B39" w:rsidP="6E5B3B39" w:rsidRDefault="6E5B3B39" w14:paraId="79AA9B17" w14:textId="242DB925">
          <w:pPr>
            <w:pStyle w:val="Header"/>
            <w:bidi w:val="0"/>
            <w:ind w:left="-115"/>
            <w:jc w:val="left"/>
          </w:pPr>
        </w:p>
      </w:tc>
      <w:tc>
        <w:tcPr>
          <w:tcW w:w="3120" w:type="dxa"/>
          <w:tcMar/>
        </w:tcPr>
        <w:p w:rsidR="6E5B3B39" w:rsidP="6E5B3B39" w:rsidRDefault="6E5B3B39" w14:paraId="3C94C4E2" w14:textId="0FFC828A">
          <w:pPr>
            <w:pStyle w:val="Header"/>
            <w:bidi w:val="0"/>
            <w:jc w:val="center"/>
          </w:pPr>
        </w:p>
      </w:tc>
      <w:tc>
        <w:tcPr>
          <w:tcW w:w="3120" w:type="dxa"/>
          <w:tcMar/>
        </w:tcPr>
        <w:p w:rsidR="6E5B3B39" w:rsidP="6E5B3B39" w:rsidRDefault="6E5B3B39" w14:paraId="1EAFE39A" w14:textId="207CEBE7">
          <w:pPr>
            <w:pStyle w:val="Header"/>
            <w:bidi w:val="0"/>
            <w:ind w:right="-115"/>
            <w:jc w:val="right"/>
          </w:pPr>
          <w:r>
            <w:fldChar w:fldCharType="begin"/>
          </w:r>
          <w:r>
            <w:instrText xml:space="preserve">PAGE</w:instrText>
          </w:r>
          <w:r>
            <w:fldChar w:fldCharType="separate"/>
          </w:r>
          <w:r>
            <w:fldChar w:fldCharType="end"/>
          </w:r>
        </w:p>
      </w:tc>
    </w:tr>
  </w:tbl>
  <w:p w:rsidR="6E5B3B39" w:rsidP="6E5B3B39" w:rsidRDefault="6E5B3B39" w14:paraId="17E448FB" w14:textId="289622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E5B3B39" w:rsidTr="6E5B3B39" w14:paraId="6B95FD7E">
      <w:trPr>
        <w:trHeight w:val="300"/>
      </w:trPr>
      <w:tc>
        <w:tcPr>
          <w:tcW w:w="3120" w:type="dxa"/>
          <w:tcMar/>
        </w:tcPr>
        <w:p w:rsidR="6E5B3B39" w:rsidP="6E5B3B39" w:rsidRDefault="6E5B3B39" w14:paraId="43DF902E" w14:textId="34CFD839">
          <w:pPr>
            <w:pStyle w:val="Header"/>
            <w:bidi w:val="0"/>
            <w:ind w:left="-115"/>
            <w:jc w:val="left"/>
          </w:pPr>
        </w:p>
      </w:tc>
      <w:tc>
        <w:tcPr>
          <w:tcW w:w="3120" w:type="dxa"/>
          <w:tcMar/>
        </w:tcPr>
        <w:p w:rsidR="6E5B3B39" w:rsidP="6E5B3B39" w:rsidRDefault="6E5B3B39" w14:paraId="631698A9" w14:textId="68DF3ED1">
          <w:pPr>
            <w:pStyle w:val="Header"/>
            <w:bidi w:val="0"/>
            <w:jc w:val="center"/>
          </w:pPr>
        </w:p>
      </w:tc>
      <w:tc>
        <w:tcPr>
          <w:tcW w:w="3120" w:type="dxa"/>
          <w:tcMar/>
        </w:tcPr>
        <w:p w:rsidR="6E5B3B39" w:rsidP="6E5B3B39" w:rsidRDefault="6E5B3B39" w14:paraId="20A662D0" w14:textId="3F7D5C20">
          <w:pPr>
            <w:pStyle w:val="Header"/>
            <w:bidi w:val="0"/>
            <w:ind w:right="-115"/>
            <w:jc w:val="right"/>
          </w:pPr>
        </w:p>
      </w:tc>
    </w:tr>
  </w:tbl>
  <w:p w:rsidR="6E5B3B39" w:rsidP="6E5B3B39" w:rsidRDefault="6E5B3B39" w14:paraId="3F16CB3B" w14:textId="128FB78D">
    <w:pPr>
      <w:pStyle w:val="Header"/>
      <w:bidi w:val="0"/>
    </w:pPr>
  </w:p>
</w:hdr>
</file>

<file path=word/numbering.xml><?xml version="1.0" encoding="utf-8"?>
<w:numbering xmlns:w="http://schemas.openxmlformats.org/wordprocessingml/2006/main">
  <w:abstractNum xmlns:w="http://schemas.openxmlformats.org/wordprocessingml/2006/main" w:abstractNumId="4">
    <w:nsid w:val="771197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3d0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50c0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2ad18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0C44A2"/>
    <w:rsid w:val="003D063D"/>
    <w:rsid w:val="004A3187"/>
    <w:rsid w:val="01182A32"/>
    <w:rsid w:val="016022B4"/>
    <w:rsid w:val="01B161E4"/>
    <w:rsid w:val="02515074"/>
    <w:rsid w:val="02940EA4"/>
    <w:rsid w:val="033AEDB5"/>
    <w:rsid w:val="034825E5"/>
    <w:rsid w:val="036205CB"/>
    <w:rsid w:val="0370550D"/>
    <w:rsid w:val="0392A8EB"/>
    <w:rsid w:val="039DBEE3"/>
    <w:rsid w:val="04326FEE"/>
    <w:rsid w:val="04331503"/>
    <w:rsid w:val="045DB8A0"/>
    <w:rsid w:val="04E4E664"/>
    <w:rsid w:val="053924AF"/>
    <w:rsid w:val="0667CBEE"/>
    <w:rsid w:val="067E6563"/>
    <w:rsid w:val="0745F28A"/>
    <w:rsid w:val="07C172E9"/>
    <w:rsid w:val="07E7B4BD"/>
    <w:rsid w:val="07F13148"/>
    <w:rsid w:val="084FF04C"/>
    <w:rsid w:val="08B3DB3D"/>
    <w:rsid w:val="092840B7"/>
    <w:rsid w:val="0940AE6F"/>
    <w:rsid w:val="0965DCA1"/>
    <w:rsid w:val="097C19DB"/>
    <w:rsid w:val="0ADD25B6"/>
    <w:rsid w:val="0B01A074"/>
    <w:rsid w:val="0B48866D"/>
    <w:rsid w:val="0BA696D4"/>
    <w:rsid w:val="0BD5878F"/>
    <w:rsid w:val="0C01038D"/>
    <w:rsid w:val="0C0DD9DA"/>
    <w:rsid w:val="0C37A6E5"/>
    <w:rsid w:val="0D18C7AE"/>
    <w:rsid w:val="0D2C1E5F"/>
    <w:rsid w:val="0D65A5C6"/>
    <w:rsid w:val="0D928990"/>
    <w:rsid w:val="0E184599"/>
    <w:rsid w:val="0E8DEA1E"/>
    <w:rsid w:val="0EAD5BB4"/>
    <w:rsid w:val="0EBB2BE6"/>
    <w:rsid w:val="0EEF6AC4"/>
    <w:rsid w:val="0F215FEF"/>
    <w:rsid w:val="0F4406B8"/>
    <w:rsid w:val="0F6F3845"/>
    <w:rsid w:val="0F83A518"/>
    <w:rsid w:val="0F94B2F7"/>
    <w:rsid w:val="101DEED3"/>
    <w:rsid w:val="1064127A"/>
    <w:rsid w:val="107643F8"/>
    <w:rsid w:val="11A4AFA4"/>
    <w:rsid w:val="11E63821"/>
    <w:rsid w:val="122B413C"/>
    <w:rsid w:val="1282C33C"/>
    <w:rsid w:val="12F2D450"/>
    <w:rsid w:val="12FBA6A5"/>
    <w:rsid w:val="132B1DE9"/>
    <w:rsid w:val="134AFFBA"/>
    <w:rsid w:val="13868AAC"/>
    <w:rsid w:val="139C381F"/>
    <w:rsid w:val="13F93A34"/>
    <w:rsid w:val="1419795E"/>
    <w:rsid w:val="14478A40"/>
    <w:rsid w:val="14D67A74"/>
    <w:rsid w:val="15288FC5"/>
    <w:rsid w:val="152FB2C2"/>
    <w:rsid w:val="16221E8E"/>
    <w:rsid w:val="162E4B3D"/>
    <w:rsid w:val="1631A62C"/>
    <w:rsid w:val="16F08ED3"/>
    <w:rsid w:val="16F550A1"/>
    <w:rsid w:val="17F90196"/>
    <w:rsid w:val="1861E418"/>
    <w:rsid w:val="1862D3A8"/>
    <w:rsid w:val="1880F5AE"/>
    <w:rsid w:val="190B4E02"/>
    <w:rsid w:val="19340057"/>
    <w:rsid w:val="19446DBB"/>
    <w:rsid w:val="19F9941D"/>
    <w:rsid w:val="1AB8701D"/>
    <w:rsid w:val="1AEA52C7"/>
    <w:rsid w:val="1B23435C"/>
    <w:rsid w:val="1B39390D"/>
    <w:rsid w:val="1B6A0469"/>
    <w:rsid w:val="1C80FEBD"/>
    <w:rsid w:val="1CE03D55"/>
    <w:rsid w:val="1CFB7232"/>
    <w:rsid w:val="1D0E0D59"/>
    <w:rsid w:val="1E2758ED"/>
    <w:rsid w:val="1E687040"/>
    <w:rsid w:val="1E955E81"/>
    <w:rsid w:val="1EA412F7"/>
    <w:rsid w:val="1F023737"/>
    <w:rsid w:val="1F46790F"/>
    <w:rsid w:val="1F867630"/>
    <w:rsid w:val="1FB26BFB"/>
    <w:rsid w:val="1FF0F647"/>
    <w:rsid w:val="207BB77F"/>
    <w:rsid w:val="208DE3B5"/>
    <w:rsid w:val="210016C6"/>
    <w:rsid w:val="21A193A3"/>
    <w:rsid w:val="21FA3C1B"/>
    <w:rsid w:val="221AACAD"/>
    <w:rsid w:val="22439E9B"/>
    <w:rsid w:val="22978D40"/>
    <w:rsid w:val="22FB407F"/>
    <w:rsid w:val="237ECEE0"/>
    <w:rsid w:val="2381EF49"/>
    <w:rsid w:val="23BD014B"/>
    <w:rsid w:val="23D37E34"/>
    <w:rsid w:val="23ED63FF"/>
    <w:rsid w:val="23F703EC"/>
    <w:rsid w:val="2433D359"/>
    <w:rsid w:val="245C34D7"/>
    <w:rsid w:val="2530E6D7"/>
    <w:rsid w:val="25A50A3D"/>
    <w:rsid w:val="25D7477F"/>
    <w:rsid w:val="25F37F39"/>
    <w:rsid w:val="26CC01D8"/>
    <w:rsid w:val="284639C5"/>
    <w:rsid w:val="289416F8"/>
    <w:rsid w:val="29E1FE12"/>
    <w:rsid w:val="2A4A8767"/>
    <w:rsid w:val="2AC5BB4C"/>
    <w:rsid w:val="2AC623DB"/>
    <w:rsid w:val="2AFF74B6"/>
    <w:rsid w:val="2B766D3E"/>
    <w:rsid w:val="2B96DA66"/>
    <w:rsid w:val="2BDD8B5C"/>
    <w:rsid w:val="2C35BCA3"/>
    <w:rsid w:val="2C3F37CE"/>
    <w:rsid w:val="2C66E138"/>
    <w:rsid w:val="2CDD5DED"/>
    <w:rsid w:val="2DC99512"/>
    <w:rsid w:val="2E4F05C0"/>
    <w:rsid w:val="2EEB50B0"/>
    <w:rsid w:val="2F40E890"/>
    <w:rsid w:val="300CBBBC"/>
    <w:rsid w:val="3031C155"/>
    <w:rsid w:val="309CCB7B"/>
    <w:rsid w:val="30A8E392"/>
    <w:rsid w:val="31A9E5A1"/>
    <w:rsid w:val="325037C0"/>
    <w:rsid w:val="32B242CE"/>
    <w:rsid w:val="33006301"/>
    <w:rsid w:val="33026065"/>
    <w:rsid w:val="334953C1"/>
    <w:rsid w:val="336C6873"/>
    <w:rsid w:val="338A21F0"/>
    <w:rsid w:val="3497029D"/>
    <w:rsid w:val="34BF8528"/>
    <w:rsid w:val="3673D198"/>
    <w:rsid w:val="3768B272"/>
    <w:rsid w:val="38B15F67"/>
    <w:rsid w:val="3952F1A2"/>
    <w:rsid w:val="39650391"/>
    <w:rsid w:val="39A503BF"/>
    <w:rsid w:val="39F22926"/>
    <w:rsid w:val="3A3DC408"/>
    <w:rsid w:val="3A49A507"/>
    <w:rsid w:val="3A779D5A"/>
    <w:rsid w:val="3A7DFEE2"/>
    <w:rsid w:val="3ABDFCAE"/>
    <w:rsid w:val="3B0BFB90"/>
    <w:rsid w:val="3B87CFCB"/>
    <w:rsid w:val="3BE8F474"/>
    <w:rsid w:val="3BE95695"/>
    <w:rsid w:val="3C03D404"/>
    <w:rsid w:val="3D5C2012"/>
    <w:rsid w:val="3DF61B83"/>
    <w:rsid w:val="3E1B302B"/>
    <w:rsid w:val="3E5A2264"/>
    <w:rsid w:val="3E61B769"/>
    <w:rsid w:val="3E731ADB"/>
    <w:rsid w:val="3F0358DA"/>
    <w:rsid w:val="3F04DC05"/>
    <w:rsid w:val="3F312281"/>
    <w:rsid w:val="3F5AB4AF"/>
    <w:rsid w:val="3F8D8851"/>
    <w:rsid w:val="40329E86"/>
    <w:rsid w:val="40D34122"/>
    <w:rsid w:val="40ECD1BB"/>
    <w:rsid w:val="41B4D27D"/>
    <w:rsid w:val="42018BA3"/>
    <w:rsid w:val="42098FBF"/>
    <w:rsid w:val="4224DB3F"/>
    <w:rsid w:val="42525735"/>
    <w:rsid w:val="428347E1"/>
    <w:rsid w:val="428FBDE8"/>
    <w:rsid w:val="42AD7B51"/>
    <w:rsid w:val="43A539C6"/>
    <w:rsid w:val="43AAFB19"/>
    <w:rsid w:val="43B6971F"/>
    <w:rsid w:val="4434FD09"/>
    <w:rsid w:val="44820C8D"/>
    <w:rsid w:val="45AFE822"/>
    <w:rsid w:val="45E8A639"/>
    <w:rsid w:val="4689A8FF"/>
    <w:rsid w:val="46E9E132"/>
    <w:rsid w:val="4728A980"/>
    <w:rsid w:val="4744CBC5"/>
    <w:rsid w:val="4759F22A"/>
    <w:rsid w:val="48AEA4BB"/>
    <w:rsid w:val="48D69B4C"/>
    <w:rsid w:val="490B5E71"/>
    <w:rsid w:val="4976481A"/>
    <w:rsid w:val="49BC7473"/>
    <w:rsid w:val="49E6907A"/>
    <w:rsid w:val="4A20FC1C"/>
    <w:rsid w:val="4AB679C3"/>
    <w:rsid w:val="4AB81AEF"/>
    <w:rsid w:val="4ADD49E6"/>
    <w:rsid w:val="4B2D1299"/>
    <w:rsid w:val="4BB3C806"/>
    <w:rsid w:val="4BB80AD7"/>
    <w:rsid w:val="4C9B7A5B"/>
    <w:rsid w:val="4CA8778B"/>
    <w:rsid w:val="4CC8DCEC"/>
    <w:rsid w:val="4CE95E60"/>
    <w:rsid w:val="4DA97AE3"/>
    <w:rsid w:val="4FCAD40E"/>
    <w:rsid w:val="5022F1EF"/>
    <w:rsid w:val="50993448"/>
    <w:rsid w:val="5123956A"/>
    <w:rsid w:val="519389A7"/>
    <w:rsid w:val="51C79F3F"/>
    <w:rsid w:val="521C14E2"/>
    <w:rsid w:val="535FC57C"/>
    <w:rsid w:val="5379865B"/>
    <w:rsid w:val="5476FC30"/>
    <w:rsid w:val="547E2856"/>
    <w:rsid w:val="556B078D"/>
    <w:rsid w:val="556FC228"/>
    <w:rsid w:val="55728840"/>
    <w:rsid w:val="55A81D02"/>
    <w:rsid w:val="55B69A94"/>
    <w:rsid w:val="55CB56B9"/>
    <w:rsid w:val="55ED4E1A"/>
    <w:rsid w:val="5628E34C"/>
    <w:rsid w:val="566C2559"/>
    <w:rsid w:val="566EEB34"/>
    <w:rsid w:val="5675A167"/>
    <w:rsid w:val="56AA8EBF"/>
    <w:rsid w:val="56BCEBC5"/>
    <w:rsid w:val="571507E0"/>
    <w:rsid w:val="5753A949"/>
    <w:rsid w:val="57C665F1"/>
    <w:rsid w:val="584C55A5"/>
    <w:rsid w:val="58E76E02"/>
    <w:rsid w:val="590B0368"/>
    <w:rsid w:val="590C44A2"/>
    <w:rsid w:val="593AC76E"/>
    <w:rsid w:val="594B8386"/>
    <w:rsid w:val="595C1DAC"/>
    <w:rsid w:val="59D62A5A"/>
    <w:rsid w:val="5B1201F5"/>
    <w:rsid w:val="5B4771C0"/>
    <w:rsid w:val="5B4AB7DF"/>
    <w:rsid w:val="5BCBEA88"/>
    <w:rsid w:val="5C176CE9"/>
    <w:rsid w:val="5C7356DD"/>
    <w:rsid w:val="5C8A6F9D"/>
    <w:rsid w:val="5CDF65A8"/>
    <w:rsid w:val="5D738E1C"/>
    <w:rsid w:val="5DDC3400"/>
    <w:rsid w:val="5DFA14D3"/>
    <w:rsid w:val="5E6BCA4A"/>
    <w:rsid w:val="5E768A96"/>
    <w:rsid w:val="5ED93C9C"/>
    <w:rsid w:val="5EDBFBF1"/>
    <w:rsid w:val="5F52B506"/>
    <w:rsid w:val="5FD660B3"/>
    <w:rsid w:val="5FF4F155"/>
    <w:rsid w:val="605A0906"/>
    <w:rsid w:val="60BB4763"/>
    <w:rsid w:val="60C73370"/>
    <w:rsid w:val="60F16A84"/>
    <w:rsid w:val="60FCAF98"/>
    <w:rsid w:val="61B4B351"/>
    <w:rsid w:val="620D6FE3"/>
    <w:rsid w:val="6213BD0B"/>
    <w:rsid w:val="62566DD9"/>
    <w:rsid w:val="629CFA0B"/>
    <w:rsid w:val="62A941CF"/>
    <w:rsid w:val="62B75B2A"/>
    <w:rsid w:val="62C1ABA5"/>
    <w:rsid w:val="6320EC46"/>
    <w:rsid w:val="634F7578"/>
    <w:rsid w:val="6386C91B"/>
    <w:rsid w:val="63ABB27C"/>
    <w:rsid w:val="63CD25B5"/>
    <w:rsid w:val="649FEE27"/>
    <w:rsid w:val="64AB5D40"/>
    <w:rsid w:val="64C3A90C"/>
    <w:rsid w:val="64D71D5D"/>
    <w:rsid w:val="656CF3BB"/>
    <w:rsid w:val="665FC182"/>
    <w:rsid w:val="66646393"/>
    <w:rsid w:val="670DDBE5"/>
    <w:rsid w:val="67305E6C"/>
    <w:rsid w:val="6761D605"/>
    <w:rsid w:val="67D7D26E"/>
    <w:rsid w:val="68311AB4"/>
    <w:rsid w:val="687EDEF8"/>
    <w:rsid w:val="68FC3DD4"/>
    <w:rsid w:val="69992D95"/>
    <w:rsid w:val="69B16A22"/>
    <w:rsid w:val="6A2CE000"/>
    <w:rsid w:val="6A7042C3"/>
    <w:rsid w:val="6A9B7F38"/>
    <w:rsid w:val="6B9F36D8"/>
    <w:rsid w:val="6BE1C9ED"/>
    <w:rsid w:val="6C307D33"/>
    <w:rsid w:val="6C6F194C"/>
    <w:rsid w:val="6C721719"/>
    <w:rsid w:val="6C79A8C1"/>
    <w:rsid w:val="6C8E92D1"/>
    <w:rsid w:val="6D25EB85"/>
    <w:rsid w:val="6D5E3B38"/>
    <w:rsid w:val="6D82100A"/>
    <w:rsid w:val="6DA9BDB7"/>
    <w:rsid w:val="6E5B3B39"/>
    <w:rsid w:val="6EE3BD1C"/>
    <w:rsid w:val="6F22BBFE"/>
    <w:rsid w:val="6F790C40"/>
    <w:rsid w:val="6FF5D65E"/>
    <w:rsid w:val="700EA7FF"/>
    <w:rsid w:val="707EEDAC"/>
    <w:rsid w:val="708FEF44"/>
    <w:rsid w:val="70D12791"/>
    <w:rsid w:val="70FB02BB"/>
    <w:rsid w:val="7128531B"/>
    <w:rsid w:val="716DCA72"/>
    <w:rsid w:val="7193D176"/>
    <w:rsid w:val="7195D6CE"/>
    <w:rsid w:val="72000B5E"/>
    <w:rsid w:val="72271AEC"/>
    <w:rsid w:val="725A636D"/>
    <w:rsid w:val="728834FB"/>
    <w:rsid w:val="72B822A8"/>
    <w:rsid w:val="7301E1C6"/>
    <w:rsid w:val="7324EDFE"/>
    <w:rsid w:val="7333427E"/>
    <w:rsid w:val="734E031E"/>
    <w:rsid w:val="7365C28A"/>
    <w:rsid w:val="73663E4E"/>
    <w:rsid w:val="73B1673B"/>
    <w:rsid w:val="73EE82E3"/>
    <w:rsid w:val="7405905F"/>
    <w:rsid w:val="7478F540"/>
    <w:rsid w:val="74DFB75A"/>
    <w:rsid w:val="74F324B6"/>
    <w:rsid w:val="756AEBCA"/>
    <w:rsid w:val="7590F70C"/>
    <w:rsid w:val="763444CC"/>
    <w:rsid w:val="763E2E86"/>
    <w:rsid w:val="764A154D"/>
    <w:rsid w:val="766C923F"/>
    <w:rsid w:val="7697E998"/>
    <w:rsid w:val="772B17E3"/>
    <w:rsid w:val="77520553"/>
    <w:rsid w:val="77551EA7"/>
    <w:rsid w:val="7782AF49"/>
    <w:rsid w:val="77913BC3"/>
    <w:rsid w:val="77A83CC4"/>
    <w:rsid w:val="77EF4F9E"/>
    <w:rsid w:val="7885A6D2"/>
    <w:rsid w:val="78914D20"/>
    <w:rsid w:val="78A2038F"/>
    <w:rsid w:val="78EA2219"/>
    <w:rsid w:val="78F46C26"/>
    <w:rsid w:val="79392789"/>
    <w:rsid w:val="795501C6"/>
    <w:rsid w:val="79B3B9FD"/>
    <w:rsid w:val="79C85FF0"/>
    <w:rsid w:val="79E2FE85"/>
    <w:rsid w:val="7A113D36"/>
    <w:rsid w:val="7A6B868C"/>
    <w:rsid w:val="7AAF3953"/>
    <w:rsid w:val="7AC72357"/>
    <w:rsid w:val="7BF6023C"/>
    <w:rsid w:val="7C2E9D9E"/>
    <w:rsid w:val="7C3E3D63"/>
    <w:rsid w:val="7C997FA6"/>
    <w:rsid w:val="7CC96956"/>
    <w:rsid w:val="7CE221F9"/>
    <w:rsid w:val="7D42FFD5"/>
    <w:rsid w:val="7E1B2AF2"/>
    <w:rsid w:val="7E809953"/>
    <w:rsid w:val="7F55F0DC"/>
    <w:rsid w:val="7F811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C44A2"/>
  <w15:chartTrackingRefBased/>
  <w15:docId w15:val="{19B00541-B197-4EBA-A787-05BFAB564C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E5B3B3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E5B3B3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qFormat/>
    <w:rsid w:val="6E5B3B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E5B3B39"/>
    <w:rPr>
      <w:color w:val="467886"/>
      <w:u w:val="single"/>
    </w:rPr>
  </w:style>
  <w:style w:type="paragraph" w:styleId="TOC1">
    <w:uiPriority w:val="39"/>
    <w:name w:val="toc 1"/>
    <w:basedOn w:val="Normal"/>
    <w:next w:val="Normal"/>
    <w:unhideWhenUsed/>
    <w:rsid w:val="6E5B3B39"/>
    <w:pPr>
      <w:spacing w:after="100"/>
    </w:pPr>
  </w:style>
  <w:style w:type="paragraph" w:styleId="Header">
    <w:uiPriority w:val="99"/>
    <w:name w:val="header"/>
    <w:basedOn w:val="Normal"/>
    <w:unhideWhenUsed/>
    <w:rsid w:val="6E5B3B39"/>
    <w:pPr>
      <w:tabs>
        <w:tab w:val="center" w:leader="none" w:pos="4680"/>
        <w:tab w:val="right" w:leader="none" w:pos="9360"/>
      </w:tabs>
      <w:spacing w:after="0" w:line="240" w:lineRule="auto"/>
    </w:pPr>
  </w:style>
  <w:style w:type="paragraph" w:styleId="Footer">
    <w:uiPriority w:val="99"/>
    <w:name w:val="footer"/>
    <w:basedOn w:val="Normal"/>
    <w:unhideWhenUsed/>
    <w:rsid w:val="6E5B3B39"/>
    <w:pPr>
      <w:tabs>
        <w:tab w:val="center" w:leader="none" w:pos="4680"/>
        <w:tab w:val="right" w:leader="none" w:pos="9360"/>
      </w:tabs>
      <w:spacing w:after="0" w:line="240" w:lineRule="auto"/>
    </w:pPr>
  </w:style>
  <w:style w:type="paragraph" w:styleId="ListParagraph">
    <w:uiPriority w:val="34"/>
    <w:name w:val="List Paragraph"/>
    <w:basedOn w:val="Normal"/>
    <w:qFormat/>
    <w:rsid w:val="6E5B3B3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nstituteofhealthequity.org/resources-reports/marmot-review-10-years-on/the-marmot-review-10-years-on-full-report.pdf" TargetMode="External" Id="R08a7bbab2b7a40f9" /><Relationship Type="http://schemas.openxmlformats.org/officeDocument/2006/relationships/hyperlink" Target="https://assets.kingsfund.org.uk/f/256914/x/6709372a21/realising_potential_ics_report_2024.pdf" TargetMode="External" Id="R02c0edb773104697" /><Relationship Type="http://schemas.openxmlformats.org/officeDocument/2006/relationships/hyperlink" Target="https://www.longtermplan.nhs.uk/wp-content/uploads/2019/01/nhs-long-term-plan-june-2019.pdf" TargetMode="External" Id="R9ff3fe0c3ae04924" /><Relationship Type="http://schemas.openxmlformats.org/officeDocument/2006/relationships/hyperlink" Target="https://www.england.nhs.uk/publication/integrated-care-systems-guidance/" TargetMode="External" Id="Rc6872e31dd8a41a8" /><Relationship Type="http://schemas.openxmlformats.org/officeDocument/2006/relationships/hyperlink" Target="https://www.health.org.uk/sites/default/files/PersonCentredCareMadeSimple.pdf" TargetMode="External" Id="R424cd0a8050e4888" /><Relationship Type="http://schemas.openxmlformats.org/officeDocument/2006/relationships/header" Target="header.xml" Id="Rf9939faa1a16409d" /><Relationship Type="http://schemas.openxmlformats.org/officeDocument/2006/relationships/footer" Target="footer.xml" Id="Rbf19436a591e49cb" /><Relationship Type="http://schemas.openxmlformats.org/officeDocument/2006/relationships/numbering" Target="numbering.xml" Id="Rcdcf3065984d41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2026-02-28T21:01:07.9646217Z</dcterms:created>
  <dcterms:modified xsi:type="dcterms:W3CDTF">2026-03-02T11:50:04.3465582Z</dcterms:modified>
  <dc:creator>Jobz Workz</dc:creator>
  <lastModifiedBy>Naomi Lubanza Kihani (2424519)</lastModifiedBy>
</coreProperties>
</file>