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A40C02" w14:textId="77777777" w:rsidR="00213D05" w:rsidRPr="002C4C6F" w:rsidRDefault="00213D05" w:rsidP="002C4C6F">
      <w:pPr>
        <w:spacing w:before="240" w:line="360" w:lineRule="auto"/>
      </w:pPr>
      <w:bookmarkStart w:id="0" w:name="_ho6faoeh1z0q" w:colFirst="0" w:colLast="0"/>
      <w:bookmarkEnd w:id="0"/>
    </w:p>
    <w:p w14:paraId="776D9F0A" w14:textId="7125754B" w:rsidR="00213D05" w:rsidRPr="002C4C6F" w:rsidRDefault="002C4C6F" w:rsidP="002C4C6F">
      <w:pPr>
        <w:spacing w:before="240" w:line="360" w:lineRule="auto"/>
        <w:jc w:val="center"/>
      </w:pPr>
      <w:bookmarkStart w:id="1" w:name="_6l0mnm33omre" w:colFirst="0" w:colLast="0"/>
      <w:bookmarkEnd w:id="1"/>
      <w:r w:rsidRPr="002C4C6F">
        <w:rPr>
          <w:noProof/>
          <w:lang w:eastAsia="en-US"/>
        </w:rPr>
        <w:drawing>
          <wp:inline distT="0" distB="0" distL="0" distR="0" wp14:anchorId="7FC9AF30" wp14:editId="666E03D9">
            <wp:extent cx="3363419" cy="1404837"/>
            <wp:effectExtent l="0" t="0" r="8890" b="5080"/>
            <wp:docPr id="3" name="Picture 3"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73634" cy="1409104"/>
                    </a:xfrm>
                    <a:prstGeom prst="rect">
                      <a:avLst/>
                    </a:prstGeom>
                    <a:noFill/>
                    <a:ln>
                      <a:noFill/>
                    </a:ln>
                  </pic:spPr>
                </pic:pic>
              </a:graphicData>
            </a:graphic>
          </wp:inline>
        </w:drawing>
      </w:r>
    </w:p>
    <w:p w14:paraId="5829D5F5" w14:textId="77777777" w:rsidR="002C4C6F" w:rsidRPr="002C4C6F" w:rsidRDefault="002C4C6F" w:rsidP="002C4C6F">
      <w:pPr>
        <w:spacing w:before="240" w:after="80" w:line="360" w:lineRule="auto"/>
        <w:jc w:val="center"/>
        <w:rPr>
          <w:rFonts w:eastAsia="Times New Roman"/>
          <w:b/>
          <w:bCs/>
          <w:sz w:val="32"/>
          <w:szCs w:val="24"/>
        </w:rPr>
      </w:pPr>
      <w:bookmarkStart w:id="2" w:name="_1act8240m3ix" w:colFirst="0" w:colLast="0"/>
      <w:bookmarkEnd w:id="2"/>
      <w:r w:rsidRPr="002C4C6F">
        <w:rPr>
          <w:rFonts w:eastAsia="Times New Roman"/>
          <w:b/>
          <w:bCs/>
          <w:sz w:val="32"/>
          <w:szCs w:val="24"/>
        </w:rPr>
        <w:t>Module: Marketing Management</w:t>
      </w:r>
    </w:p>
    <w:p w14:paraId="4F6220EF" w14:textId="77777777" w:rsidR="002C4C6F" w:rsidRPr="002C4C6F" w:rsidRDefault="002C4C6F" w:rsidP="002C4C6F">
      <w:pPr>
        <w:spacing w:before="240" w:after="80" w:line="360" w:lineRule="auto"/>
        <w:jc w:val="center"/>
        <w:rPr>
          <w:b/>
          <w:sz w:val="32"/>
          <w:szCs w:val="24"/>
        </w:rPr>
      </w:pPr>
      <w:r w:rsidRPr="002C4C6F">
        <w:rPr>
          <w:b/>
          <w:sz w:val="32"/>
          <w:szCs w:val="24"/>
        </w:rPr>
        <w:t>Module Code: LCMB7024</w:t>
      </w:r>
    </w:p>
    <w:p w14:paraId="788A421C" w14:textId="77777777" w:rsidR="002C4C6F" w:rsidRPr="002C4C6F" w:rsidRDefault="002C4C6F" w:rsidP="002C4C6F">
      <w:pPr>
        <w:spacing w:before="240" w:after="80" w:line="360" w:lineRule="auto"/>
        <w:jc w:val="center"/>
        <w:rPr>
          <w:b/>
          <w:sz w:val="32"/>
          <w:szCs w:val="24"/>
        </w:rPr>
      </w:pPr>
      <w:r w:rsidRPr="002C4C6F">
        <w:rPr>
          <w:b/>
          <w:sz w:val="32"/>
          <w:szCs w:val="24"/>
        </w:rPr>
        <w:t>Assignment Title: Marketing Environment Analysis</w:t>
      </w:r>
    </w:p>
    <w:p w14:paraId="6BAC55DA" w14:textId="33CA2D77" w:rsidR="002C4C6F" w:rsidRPr="002C4C6F" w:rsidRDefault="002C4C6F" w:rsidP="002C4C6F">
      <w:pPr>
        <w:spacing w:before="240" w:after="80" w:line="360" w:lineRule="auto"/>
        <w:jc w:val="center"/>
        <w:rPr>
          <w:b/>
          <w:sz w:val="32"/>
          <w:szCs w:val="24"/>
        </w:rPr>
      </w:pPr>
      <w:r w:rsidRPr="002C4C6F">
        <w:rPr>
          <w:b/>
          <w:sz w:val="32"/>
          <w:szCs w:val="24"/>
        </w:rPr>
        <w:t>Student Name:</w:t>
      </w:r>
      <w:r w:rsidR="00C416A5">
        <w:rPr>
          <w:b/>
          <w:sz w:val="32"/>
          <w:szCs w:val="24"/>
        </w:rPr>
        <w:t xml:space="preserve"> </w:t>
      </w:r>
      <w:r w:rsidR="00C416A5" w:rsidRPr="00C416A5">
        <w:rPr>
          <w:b/>
          <w:sz w:val="32"/>
          <w:szCs w:val="24"/>
        </w:rPr>
        <w:t>KUNJAN PATEL</w:t>
      </w:r>
    </w:p>
    <w:p w14:paraId="3CFFE6BF" w14:textId="5B5D21C4" w:rsidR="00213D05" w:rsidRPr="002C4C6F" w:rsidRDefault="00C416A5" w:rsidP="00C416A5">
      <w:pPr>
        <w:tabs>
          <w:tab w:val="center" w:pos="4680"/>
        </w:tabs>
        <w:spacing w:before="240" w:after="80" w:line="360" w:lineRule="auto"/>
        <w:rPr>
          <w:sz w:val="24"/>
          <w:szCs w:val="24"/>
        </w:rPr>
      </w:pPr>
      <w:r>
        <w:rPr>
          <w:b/>
          <w:sz w:val="32"/>
          <w:szCs w:val="24"/>
        </w:rPr>
        <w:t xml:space="preserve">                         </w:t>
      </w:r>
      <w:r w:rsidR="002C4C6F" w:rsidRPr="002C4C6F">
        <w:rPr>
          <w:b/>
          <w:sz w:val="32"/>
          <w:szCs w:val="24"/>
        </w:rPr>
        <w:t>Student ID:</w:t>
      </w:r>
      <w:r>
        <w:rPr>
          <w:b/>
          <w:sz w:val="32"/>
          <w:szCs w:val="24"/>
        </w:rPr>
        <w:t xml:space="preserve">  </w:t>
      </w:r>
      <w:r w:rsidRPr="00C416A5">
        <w:rPr>
          <w:b/>
          <w:sz w:val="32"/>
          <w:szCs w:val="24"/>
        </w:rPr>
        <w:t>2540249</w:t>
      </w:r>
      <w:r w:rsidR="00215BD5" w:rsidRPr="002C4C6F">
        <w:rPr>
          <w:sz w:val="24"/>
          <w:szCs w:val="24"/>
        </w:rPr>
        <w:br w:type="page"/>
      </w:r>
      <w:r>
        <w:rPr>
          <w:sz w:val="24"/>
          <w:szCs w:val="24"/>
        </w:rPr>
        <w:lastRenderedPageBreak/>
        <w:tab/>
      </w:r>
    </w:p>
    <w:p w14:paraId="40440368" w14:textId="64BE76D6" w:rsidR="00213D05" w:rsidRPr="002C4C6F" w:rsidRDefault="00C416A5" w:rsidP="002C4C6F">
      <w:pPr>
        <w:spacing w:after="80" w:line="360" w:lineRule="auto"/>
        <w:jc w:val="center"/>
        <w:rPr>
          <w:rFonts w:eastAsia="Times New Roman"/>
          <w:b/>
          <w:bCs/>
          <w:sz w:val="28"/>
          <w:szCs w:val="24"/>
        </w:rPr>
      </w:pPr>
      <w:r>
        <w:rPr>
          <w:rFonts w:eastAsia="Times New Roman"/>
          <w:b/>
          <w:bCs/>
          <w:sz w:val="28"/>
          <w:szCs w:val="24"/>
        </w:rPr>
        <w:t xml:space="preserve">   </w:t>
      </w:r>
      <w:r w:rsidR="00215BD5" w:rsidRPr="002C4C6F">
        <w:rPr>
          <w:rFonts w:eastAsia="Times New Roman"/>
          <w:b/>
          <w:bCs/>
          <w:sz w:val="28"/>
          <w:szCs w:val="24"/>
        </w:rPr>
        <w:t>Table of Contents</w:t>
      </w:r>
    </w:p>
    <w:sdt>
      <w:sdtPr>
        <w:rPr>
          <w:sz w:val="24"/>
          <w:szCs w:val="24"/>
        </w:rPr>
        <w:id w:val="338857285"/>
        <w:docPartObj>
          <w:docPartGallery w:val="Table of Contents"/>
          <w:docPartUnique/>
        </w:docPartObj>
      </w:sdtPr>
      <w:sdtContent>
        <w:p w14:paraId="0E23DB27" w14:textId="032759B7" w:rsidR="002C4C6F" w:rsidRPr="002C4C6F" w:rsidRDefault="00215BD5" w:rsidP="002C4C6F">
          <w:pPr>
            <w:pStyle w:val="TOC1"/>
            <w:tabs>
              <w:tab w:val="right" w:leader="dot" w:pos="9350"/>
            </w:tabs>
            <w:spacing w:after="0" w:line="240" w:lineRule="auto"/>
            <w:jc w:val="both"/>
            <w:rPr>
              <w:noProof/>
              <w:sz w:val="24"/>
              <w:szCs w:val="24"/>
            </w:rPr>
          </w:pPr>
          <w:r w:rsidRPr="002C4C6F">
            <w:rPr>
              <w:sz w:val="24"/>
              <w:szCs w:val="24"/>
            </w:rPr>
            <w:fldChar w:fldCharType="begin"/>
          </w:r>
          <w:r w:rsidRPr="002C4C6F">
            <w:rPr>
              <w:sz w:val="24"/>
              <w:szCs w:val="24"/>
            </w:rPr>
            <w:instrText xml:space="preserve"> TOC \h \u \z \t "Heading 1,1,Heading 2,2,Heading 3,3,Heading 4,4,Heading 5,5,Heading 6,6,"</w:instrText>
          </w:r>
          <w:r w:rsidRPr="002C4C6F">
            <w:rPr>
              <w:sz w:val="24"/>
              <w:szCs w:val="24"/>
            </w:rPr>
            <w:fldChar w:fldCharType="separate"/>
          </w:r>
          <w:hyperlink w:anchor="_Toc235182435" w:history="1">
            <w:r w:rsidR="002C4C6F" w:rsidRPr="002C4C6F">
              <w:rPr>
                <w:rStyle w:val="Hyperlink"/>
                <w:noProof/>
                <w:sz w:val="24"/>
                <w:szCs w:val="24"/>
              </w:rPr>
              <w:t>1. Task 1: Marketing Environment Analysis</w:t>
            </w:r>
            <w:r w:rsidR="002C4C6F" w:rsidRPr="002C4C6F">
              <w:rPr>
                <w:noProof/>
                <w:webHidden/>
                <w:sz w:val="24"/>
                <w:szCs w:val="24"/>
              </w:rPr>
              <w:tab/>
            </w:r>
            <w:r w:rsidR="002C4C6F" w:rsidRPr="002C4C6F">
              <w:rPr>
                <w:noProof/>
                <w:webHidden/>
                <w:sz w:val="24"/>
                <w:szCs w:val="24"/>
              </w:rPr>
              <w:fldChar w:fldCharType="begin"/>
            </w:r>
            <w:r w:rsidR="002C4C6F" w:rsidRPr="002C4C6F">
              <w:rPr>
                <w:noProof/>
                <w:webHidden/>
                <w:sz w:val="24"/>
                <w:szCs w:val="24"/>
              </w:rPr>
              <w:instrText xml:space="preserve"> PAGEREF _Toc235182435 \h </w:instrText>
            </w:r>
            <w:r w:rsidR="002C4C6F" w:rsidRPr="002C4C6F">
              <w:rPr>
                <w:noProof/>
                <w:webHidden/>
                <w:sz w:val="24"/>
                <w:szCs w:val="24"/>
              </w:rPr>
            </w:r>
            <w:r w:rsidR="002C4C6F" w:rsidRPr="002C4C6F">
              <w:rPr>
                <w:noProof/>
                <w:webHidden/>
                <w:sz w:val="24"/>
                <w:szCs w:val="24"/>
              </w:rPr>
              <w:fldChar w:fldCharType="separate"/>
            </w:r>
            <w:r w:rsidR="002C4C6F" w:rsidRPr="002C4C6F">
              <w:rPr>
                <w:noProof/>
                <w:webHidden/>
                <w:sz w:val="24"/>
                <w:szCs w:val="24"/>
              </w:rPr>
              <w:t>3</w:t>
            </w:r>
            <w:r w:rsidR="002C4C6F" w:rsidRPr="002C4C6F">
              <w:rPr>
                <w:noProof/>
                <w:webHidden/>
                <w:sz w:val="24"/>
                <w:szCs w:val="24"/>
              </w:rPr>
              <w:fldChar w:fldCharType="end"/>
            </w:r>
          </w:hyperlink>
        </w:p>
        <w:p w14:paraId="109B1D32" w14:textId="763A07E6" w:rsidR="002C4C6F" w:rsidRPr="002C4C6F" w:rsidRDefault="002C4C6F" w:rsidP="002C4C6F">
          <w:pPr>
            <w:pStyle w:val="TOC2"/>
            <w:tabs>
              <w:tab w:val="right" w:leader="dot" w:pos="9350"/>
            </w:tabs>
            <w:spacing w:after="0" w:line="240" w:lineRule="auto"/>
            <w:jc w:val="both"/>
            <w:rPr>
              <w:noProof/>
              <w:sz w:val="24"/>
              <w:szCs w:val="24"/>
            </w:rPr>
          </w:pPr>
          <w:hyperlink w:anchor="_Toc235182436" w:history="1">
            <w:r w:rsidRPr="002C4C6F">
              <w:rPr>
                <w:rStyle w:val="Hyperlink"/>
                <w:noProof/>
                <w:sz w:val="24"/>
                <w:szCs w:val="24"/>
              </w:rPr>
              <w:t>1.1 Company Selection and Context</w:t>
            </w:r>
            <w:r w:rsidRPr="002C4C6F">
              <w:rPr>
                <w:noProof/>
                <w:webHidden/>
                <w:sz w:val="24"/>
                <w:szCs w:val="24"/>
              </w:rPr>
              <w:tab/>
            </w:r>
            <w:r w:rsidRPr="002C4C6F">
              <w:rPr>
                <w:noProof/>
                <w:webHidden/>
                <w:sz w:val="24"/>
                <w:szCs w:val="24"/>
              </w:rPr>
              <w:fldChar w:fldCharType="begin"/>
            </w:r>
            <w:r w:rsidRPr="002C4C6F">
              <w:rPr>
                <w:noProof/>
                <w:webHidden/>
                <w:sz w:val="24"/>
                <w:szCs w:val="24"/>
              </w:rPr>
              <w:instrText xml:space="preserve"> PAGEREF _Toc235182436 \h </w:instrText>
            </w:r>
            <w:r w:rsidRPr="002C4C6F">
              <w:rPr>
                <w:noProof/>
                <w:webHidden/>
                <w:sz w:val="24"/>
                <w:szCs w:val="24"/>
              </w:rPr>
            </w:r>
            <w:r w:rsidRPr="002C4C6F">
              <w:rPr>
                <w:noProof/>
                <w:webHidden/>
                <w:sz w:val="24"/>
                <w:szCs w:val="24"/>
              </w:rPr>
              <w:fldChar w:fldCharType="separate"/>
            </w:r>
            <w:r w:rsidRPr="002C4C6F">
              <w:rPr>
                <w:noProof/>
                <w:webHidden/>
                <w:sz w:val="24"/>
                <w:szCs w:val="24"/>
              </w:rPr>
              <w:t>3</w:t>
            </w:r>
            <w:r w:rsidRPr="002C4C6F">
              <w:rPr>
                <w:noProof/>
                <w:webHidden/>
                <w:sz w:val="24"/>
                <w:szCs w:val="24"/>
              </w:rPr>
              <w:fldChar w:fldCharType="end"/>
            </w:r>
          </w:hyperlink>
        </w:p>
        <w:p w14:paraId="29BBB938" w14:textId="2707E90D" w:rsidR="002C4C6F" w:rsidRPr="002C4C6F" w:rsidRDefault="002C4C6F" w:rsidP="002C4C6F">
          <w:pPr>
            <w:pStyle w:val="TOC2"/>
            <w:tabs>
              <w:tab w:val="right" w:leader="dot" w:pos="9350"/>
            </w:tabs>
            <w:spacing w:after="0" w:line="240" w:lineRule="auto"/>
            <w:jc w:val="both"/>
            <w:rPr>
              <w:noProof/>
              <w:sz w:val="24"/>
              <w:szCs w:val="24"/>
            </w:rPr>
          </w:pPr>
          <w:hyperlink w:anchor="_Toc235182437" w:history="1">
            <w:r w:rsidRPr="002C4C6F">
              <w:rPr>
                <w:rStyle w:val="Hyperlink"/>
                <w:noProof/>
                <w:sz w:val="24"/>
                <w:szCs w:val="24"/>
              </w:rPr>
              <w:t>1.2 External Marketing Environment Actor 1: The Natural Environment</w:t>
            </w:r>
            <w:r w:rsidRPr="002C4C6F">
              <w:rPr>
                <w:noProof/>
                <w:webHidden/>
                <w:sz w:val="24"/>
                <w:szCs w:val="24"/>
              </w:rPr>
              <w:tab/>
            </w:r>
            <w:r w:rsidRPr="002C4C6F">
              <w:rPr>
                <w:noProof/>
                <w:webHidden/>
                <w:sz w:val="24"/>
                <w:szCs w:val="24"/>
              </w:rPr>
              <w:fldChar w:fldCharType="begin"/>
            </w:r>
            <w:r w:rsidRPr="002C4C6F">
              <w:rPr>
                <w:noProof/>
                <w:webHidden/>
                <w:sz w:val="24"/>
                <w:szCs w:val="24"/>
              </w:rPr>
              <w:instrText xml:space="preserve"> PAGEREF _Toc235182437 \h </w:instrText>
            </w:r>
            <w:r w:rsidRPr="002C4C6F">
              <w:rPr>
                <w:noProof/>
                <w:webHidden/>
                <w:sz w:val="24"/>
                <w:szCs w:val="24"/>
              </w:rPr>
            </w:r>
            <w:r w:rsidRPr="002C4C6F">
              <w:rPr>
                <w:noProof/>
                <w:webHidden/>
                <w:sz w:val="24"/>
                <w:szCs w:val="24"/>
              </w:rPr>
              <w:fldChar w:fldCharType="separate"/>
            </w:r>
            <w:r w:rsidRPr="002C4C6F">
              <w:rPr>
                <w:noProof/>
                <w:webHidden/>
                <w:sz w:val="24"/>
                <w:szCs w:val="24"/>
              </w:rPr>
              <w:t>3</w:t>
            </w:r>
            <w:r w:rsidRPr="002C4C6F">
              <w:rPr>
                <w:noProof/>
                <w:webHidden/>
                <w:sz w:val="24"/>
                <w:szCs w:val="24"/>
              </w:rPr>
              <w:fldChar w:fldCharType="end"/>
            </w:r>
          </w:hyperlink>
        </w:p>
        <w:p w14:paraId="21BD59B6" w14:textId="51D451EF" w:rsidR="002C4C6F" w:rsidRPr="002C4C6F" w:rsidRDefault="002C4C6F" w:rsidP="002C4C6F">
          <w:pPr>
            <w:pStyle w:val="TOC3"/>
            <w:tabs>
              <w:tab w:val="right" w:leader="dot" w:pos="9350"/>
            </w:tabs>
            <w:spacing w:after="0" w:line="240" w:lineRule="auto"/>
            <w:jc w:val="both"/>
            <w:rPr>
              <w:noProof/>
              <w:sz w:val="24"/>
              <w:szCs w:val="24"/>
            </w:rPr>
          </w:pPr>
          <w:hyperlink w:anchor="_Toc235182438" w:history="1">
            <w:r w:rsidRPr="002C4C6F">
              <w:rPr>
                <w:rStyle w:val="Hyperlink"/>
                <w:noProof/>
                <w:sz w:val="24"/>
                <w:szCs w:val="24"/>
              </w:rPr>
              <w:t>1.2.1 Influence of Natural Environmental Pressures on BHP's Low-Carbon Transition</w:t>
            </w:r>
            <w:r w:rsidRPr="002C4C6F">
              <w:rPr>
                <w:noProof/>
                <w:webHidden/>
                <w:sz w:val="24"/>
                <w:szCs w:val="24"/>
              </w:rPr>
              <w:tab/>
            </w:r>
            <w:r w:rsidRPr="002C4C6F">
              <w:rPr>
                <w:noProof/>
                <w:webHidden/>
                <w:sz w:val="24"/>
                <w:szCs w:val="24"/>
              </w:rPr>
              <w:fldChar w:fldCharType="begin"/>
            </w:r>
            <w:r w:rsidRPr="002C4C6F">
              <w:rPr>
                <w:noProof/>
                <w:webHidden/>
                <w:sz w:val="24"/>
                <w:szCs w:val="24"/>
              </w:rPr>
              <w:instrText xml:space="preserve"> PAGEREF _Toc235182438 \h </w:instrText>
            </w:r>
            <w:r w:rsidRPr="002C4C6F">
              <w:rPr>
                <w:noProof/>
                <w:webHidden/>
                <w:sz w:val="24"/>
                <w:szCs w:val="24"/>
              </w:rPr>
            </w:r>
            <w:r w:rsidRPr="002C4C6F">
              <w:rPr>
                <w:noProof/>
                <w:webHidden/>
                <w:sz w:val="24"/>
                <w:szCs w:val="24"/>
              </w:rPr>
              <w:fldChar w:fldCharType="separate"/>
            </w:r>
            <w:r w:rsidRPr="002C4C6F">
              <w:rPr>
                <w:noProof/>
                <w:webHidden/>
                <w:sz w:val="24"/>
                <w:szCs w:val="24"/>
              </w:rPr>
              <w:t>3</w:t>
            </w:r>
            <w:r w:rsidRPr="002C4C6F">
              <w:rPr>
                <w:noProof/>
                <w:webHidden/>
                <w:sz w:val="24"/>
                <w:szCs w:val="24"/>
              </w:rPr>
              <w:fldChar w:fldCharType="end"/>
            </w:r>
          </w:hyperlink>
        </w:p>
        <w:p w14:paraId="78274FB7" w14:textId="4817358F" w:rsidR="002C4C6F" w:rsidRPr="002C4C6F" w:rsidRDefault="002C4C6F" w:rsidP="002C4C6F">
          <w:pPr>
            <w:pStyle w:val="TOC3"/>
            <w:tabs>
              <w:tab w:val="right" w:leader="dot" w:pos="9350"/>
            </w:tabs>
            <w:spacing w:after="0" w:line="240" w:lineRule="auto"/>
            <w:jc w:val="both"/>
            <w:rPr>
              <w:noProof/>
              <w:sz w:val="24"/>
              <w:szCs w:val="24"/>
            </w:rPr>
          </w:pPr>
          <w:hyperlink w:anchor="_Toc235182439" w:history="1">
            <w:r w:rsidRPr="002C4C6F">
              <w:rPr>
                <w:rStyle w:val="Hyperlink"/>
                <w:noProof/>
                <w:sz w:val="24"/>
                <w:szCs w:val="24"/>
              </w:rPr>
              <w:t>1.2.2 Strategic Opportunities and Threats</w:t>
            </w:r>
            <w:r w:rsidRPr="002C4C6F">
              <w:rPr>
                <w:noProof/>
                <w:webHidden/>
                <w:sz w:val="24"/>
                <w:szCs w:val="24"/>
              </w:rPr>
              <w:tab/>
            </w:r>
            <w:r w:rsidRPr="002C4C6F">
              <w:rPr>
                <w:noProof/>
                <w:webHidden/>
                <w:sz w:val="24"/>
                <w:szCs w:val="24"/>
              </w:rPr>
              <w:fldChar w:fldCharType="begin"/>
            </w:r>
            <w:r w:rsidRPr="002C4C6F">
              <w:rPr>
                <w:noProof/>
                <w:webHidden/>
                <w:sz w:val="24"/>
                <w:szCs w:val="24"/>
              </w:rPr>
              <w:instrText xml:space="preserve"> PAGEREF _Toc235182439 \h </w:instrText>
            </w:r>
            <w:r w:rsidRPr="002C4C6F">
              <w:rPr>
                <w:noProof/>
                <w:webHidden/>
                <w:sz w:val="24"/>
                <w:szCs w:val="24"/>
              </w:rPr>
            </w:r>
            <w:r w:rsidRPr="002C4C6F">
              <w:rPr>
                <w:noProof/>
                <w:webHidden/>
                <w:sz w:val="24"/>
                <w:szCs w:val="24"/>
              </w:rPr>
              <w:fldChar w:fldCharType="separate"/>
            </w:r>
            <w:r w:rsidRPr="002C4C6F">
              <w:rPr>
                <w:noProof/>
                <w:webHidden/>
                <w:sz w:val="24"/>
                <w:szCs w:val="24"/>
              </w:rPr>
              <w:t>4</w:t>
            </w:r>
            <w:r w:rsidRPr="002C4C6F">
              <w:rPr>
                <w:noProof/>
                <w:webHidden/>
                <w:sz w:val="24"/>
                <w:szCs w:val="24"/>
              </w:rPr>
              <w:fldChar w:fldCharType="end"/>
            </w:r>
          </w:hyperlink>
        </w:p>
        <w:p w14:paraId="172A0CF4" w14:textId="549049E9" w:rsidR="002C4C6F" w:rsidRPr="002C4C6F" w:rsidRDefault="002C4C6F" w:rsidP="002C4C6F">
          <w:pPr>
            <w:pStyle w:val="TOC2"/>
            <w:tabs>
              <w:tab w:val="right" w:leader="dot" w:pos="9350"/>
            </w:tabs>
            <w:spacing w:after="0" w:line="240" w:lineRule="auto"/>
            <w:jc w:val="both"/>
            <w:rPr>
              <w:noProof/>
              <w:sz w:val="24"/>
              <w:szCs w:val="24"/>
            </w:rPr>
          </w:pPr>
          <w:hyperlink w:anchor="_Toc235182440" w:history="1">
            <w:r w:rsidRPr="002C4C6F">
              <w:rPr>
                <w:rStyle w:val="Hyperlink"/>
                <w:noProof/>
                <w:sz w:val="24"/>
                <w:szCs w:val="24"/>
              </w:rPr>
              <w:t>1.3 External Marketing Environment Actor 2: Political and Regulatory Environment</w:t>
            </w:r>
            <w:r w:rsidRPr="002C4C6F">
              <w:rPr>
                <w:noProof/>
                <w:webHidden/>
                <w:sz w:val="24"/>
                <w:szCs w:val="24"/>
              </w:rPr>
              <w:tab/>
            </w:r>
            <w:r w:rsidRPr="002C4C6F">
              <w:rPr>
                <w:noProof/>
                <w:webHidden/>
                <w:sz w:val="24"/>
                <w:szCs w:val="24"/>
              </w:rPr>
              <w:fldChar w:fldCharType="begin"/>
            </w:r>
            <w:r w:rsidRPr="002C4C6F">
              <w:rPr>
                <w:noProof/>
                <w:webHidden/>
                <w:sz w:val="24"/>
                <w:szCs w:val="24"/>
              </w:rPr>
              <w:instrText xml:space="preserve"> PAGEREF _Toc235182440 \h </w:instrText>
            </w:r>
            <w:r w:rsidRPr="002C4C6F">
              <w:rPr>
                <w:noProof/>
                <w:webHidden/>
                <w:sz w:val="24"/>
                <w:szCs w:val="24"/>
              </w:rPr>
            </w:r>
            <w:r w:rsidRPr="002C4C6F">
              <w:rPr>
                <w:noProof/>
                <w:webHidden/>
                <w:sz w:val="24"/>
                <w:szCs w:val="24"/>
              </w:rPr>
              <w:fldChar w:fldCharType="separate"/>
            </w:r>
            <w:r w:rsidRPr="002C4C6F">
              <w:rPr>
                <w:noProof/>
                <w:webHidden/>
                <w:sz w:val="24"/>
                <w:szCs w:val="24"/>
              </w:rPr>
              <w:t>6</w:t>
            </w:r>
            <w:r w:rsidRPr="002C4C6F">
              <w:rPr>
                <w:noProof/>
                <w:webHidden/>
                <w:sz w:val="24"/>
                <w:szCs w:val="24"/>
              </w:rPr>
              <w:fldChar w:fldCharType="end"/>
            </w:r>
          </w:hyperlink>
        </w:p>
        <w:p w14:paraId="433FAEA7" w14:textId="0FFE0158" w:rsidR="002C4C6F" w:rsidRPr="002C4C6F" w:rsidRDefault="002C4C6F" w:rsidP="002C4C6F">
          <w:pPr>
            <w:pStyle w:val="TOC3"/>
            <w:tabs>
              <w:tab w:val="right" w:leader="dot" w:pos="9350"/>
            </w:tabs>
            <w:spacing w:after="0" w:line="240" w:lineRule="auto"/>
            <w:jc w:val="both"/>
            <w:rPr>
              <w:noProof/>
              <w:sz w:val="24"/>
              <w:szCs w:val="24"/>
            </w:rPr>
          </w:pPr>
          <w:hyperlink w:anchor="_Toc235182441" w:history="1">
            <w:r w:rsidRPr="002C4C6F">
              <w:rPr>
                <w:rStyle w:val="Hyperlink"/>
                <w:noProof/>
                <w:sz w:val="24"/>
                <w:szCs w:val="24"/>
              </w:rPr>
              <w:t>1.3.1 Influence of the Political and Regulatory Environment on BHP's Sustainability Transition</w:t>
            </w:r>
            <w:r w:rsidRPr="002C4C6F">
              <w:rPr>
                <w:noProof/>
                <w:webHidden/>
                <w:sz w:val="24"/>
                <w:szCs w:val="24"/>
              </w:rPr>
              <w:tab/>
            </w:r>
            <w:r w:rsidRPr="002C4C6F">
              <w:rPr>
                <w:noProof/>
                <w:webHidden/>
                <w:sz w:val="24"/>
                <w:szCs w:val="24"/>
              </w:rPr>
              <w:fldChar w:fldCharType="begin"/>
            </w:r>
            <w:r w:rsidRPr="002C4C6F">
              <w:rPr>
                <w:noProof/>
                <w:webHidden/>
                <w:sz w:val="24"/>
                <w:szCs w:val="24"/>
              </w:rPr>
              <w:instrText xml:space="preserve"> PAGEREF _Toc235182441 \h </w:instrText>
            </w:r>
            <w:r w:rsidRPr="002C4C6F">
              <w:rPr>
                <w:noProof/>
                <w:webHidden/>
                <w:sz w:val="24"/>
                <w:szCs w:val="24"/>
              </w:rPr>
            </w:r>
            <w:r w:rsidRPr="002C4C6F">
              <w:rPr>
                <w:noProof/>
                <w:webHidden/>
                <w:sz w:val="24"/>
                <w:szCs w:val="24"/>
              </w:rPr>
              <w:fldChar w:fldCharType="separate"/>
            </w:r>
            <w:r w:rsidRPr="002C4C6F">
              <w:rPr>
                <w:noProof/>
                <w:webHidden/>
                <w:sz w:val="24"/>
                <w:szCs w:val="24"/>
              </w:rPr>
              <w:t>6</w:t>
            </w:r>
            <w:r w:rsidRPr="002C4C6F">
              <w:rPr>
                <w:noProof/>
                <w:webHidden/>
                <w:sz w:val="24"/>
                <w:szCs w:val="24"/>
              </w:rPr>
              <w:fldChar w:fldCharType="end"/>
            </w:r>
          </w:hyperlink>
        </w:p>
        <w:p w14:paraId="7D1C177A" w14:textId="7E6BEE8E" w:rsidR="002C4C6F" w:rsidRPr="002C4C6F" w:rsidRDefault="002C4C6F" w:rsidP="002C4C6F">
          <w:pPr>
            <w:pStyle w:val="TOC3"/>
            <w:tabs>
              <w:tab w:val="right" w:leader="dot" w:pos="9350"/>
            </w:tabs>
            <w:spacing w:after="0" w:line="240" w:lineRule="auto"/>
            <w:jc w:val="both"/>
            <w:rPr>
              <w:noProof/>
              <w:sz w:val="24"/>
              <w:szCs w:val="24"/>
            </w:rPr>
          </w:pPr>
          <w:hyperlink w:anchor="_Toc235182442" w:history="1">
            <w:r w:rsidRPr="002C4C6F">
              <w:rPr>
                <w:rStyle w:val="Hyperlink"/>
                <w:noProof/>
                <w:sz w:val="24"/>
                <w:szCs w:val="24"/>
              </w:rPr>
              <w:t>1.3.2 Strategic Opportunities, Threats and Competitive Implications</w:t>
            </w:r>
            <w:r w:rsidRPr="002C4C6F">
              <w:rPr>
                <w:noProof/>
                <w:webHidden/>
                <w:sz w:val="24"/>
                <w:szCs w:val="24"/>
              </w:rPr>
              <w:tab/>
            </w:r>
            <w:r w:rsidRPr="002C4C6F">
              <w:rPr>
                <w:noProof/>
                <w:webHidden/>
                <w:sz w:val="24"/>
                <w:szCs w:val="24"/>
              </w:rPr>
              <w:fldChar w:fldCharType="begin"/>
            </w:r>
            <w:r w:rsidRPr="002C4C6F">
              <w:rPr>
                <w:noProof/>
                <w:webHidden/>
                <w:sz w:val="24"/>
                <w:szCs w:val="24"/>
              </w:rPr>
              <w:instrText xml:space="preserve"> PAGEREF _Toc235182442 \h </w:instrText>
            </w:r>
            <w:r w:rsidRPr="002C4C6F">
              <w:rPr>
                <w:noProof/>
                <w:webHidden/>
                <w:sz w:val="24"/>
                <w:szCs w:val="24"/>
              </w:rPr>
            </w:r>
            <w:r w:rsidRPr="002C4C6F">
              <w:rPr>
                <w:noProof/>
                <w:webHidden/>
                <w:sz w:val="24"/>
                <w:szCs w:val="24"/>
              </w:rPr>
              <w:fldChar w:fldCharType="separate"/>
            </w:r>
            <w:r w:rsidRPr="002C4C6F">
              <w:rPr>
                <w:noProof/>
                <w:webHidden/>
                <w:sz w:val="24"/>
                <w:szCs w:val="24"/>
              </w:rPr>
              <w:t>6</w:t>
            </w:r>
            <w:r w:rsidRPr="002C4C6F">
              <w:rPr>
                <w:noProof/>
                <w:webHidden/>
                <w:sz w:val="24"/>
                <w:szCs w:val="24"/>
              </w:rPr>
              <w:fldChar w:fldCharType="end"/>
            </w:r>
          </w:hyperlink>
        </w:p>
        <w:p w14:paraId="39BDA938" w14:textId="5666E129" w:rsidR="002C4C6F" w:rsidRPr="002C4C6F" w:rsidRDefault="002C4C6F" w:rsidP="002C4C6F">
          <w:pPr>
            <w:pStyle w:val="TOC1"/>
            <w:tabs>
              <w:tab w:val="right" w:leader="dot" w:pos="9350"/>
            </w:tabs>
            <w:spacing w:after="0" w:line="240" w:lineRule="auto"/>
            <w:jc w:val="both"/>
            <w:rPr>
              <w:noProof/>
              <w:sz w:val="24"/>
              <w:szCs w:val="24"/>
            </w:rPr>
          </w:pPr>
          <w:hyperlink w:anchor="_Toc235182443" w:history="1">
            <w:r w:rsidRPr="002C4C6F">
              <w:rPr>
                <w:rStyle w:val="Hyperlink"/>
                <w:noProof/>
                <w:sz w:val="24"/>
                <w:szCs w:val="24"/>
              </w:rPr>
              <w:t>2. Task 2: Strategic Growth and Competitive Positioning</w:t>
            </w:r>
            <w:r w:rsidRPr="002C4C6F">
              <w:rPr>
                <w:noProof/>
                <w:webHidden/>
                <w:sz w:val="24"/>
                <w:szCs w:val="24"/>
              </w:rPr>
              <w:tab/>
            </w:r>
            <w:r w:rsidRPr="002C4C6F">
              <w:rPr>
                <w:noProof/>
                <w:webHidden/>
                <w:sz w:val="24"/>
                <w:szCs w:val="24"/>
              </w:rPr>
              <w:fldChar w:fldCharType="begin"/>
            </w:r>
            <w:r w:rsidRPr="002C4C6F">
              <w:rPr>
                <w:noProof/>
                <w:webHidden/>
                <w:sz w:val="24"/>
                <w:szCs w:val="24"/>
              </w:rPr>
              <w:instrText xml:space="preserve"> PAGEREF _Toc235182443 \h </w:instrText>
            </w:r>
            <w:r w:rsidRPr="002C4C6F">
              <w:rPr>
                <w:noProof/>
                <w:webHidden/>
                <w:sz w:val="24"/>
                <w:szCs w:val="24"/>
              </w:rPr>
            </w:r>
            <w:r w:rsidRPr="002C4C6F">
              <w:rPr>
                <w:noProof/>
                <w:webHidden/>
                <w:sz w:val="24"/>
                <w:szCs w:val="24"/>
              </w:rPr>
              <w:fldChar w:fldCharType="separate"/>
            </w:r>
            <w:r w:rsidRPr="002C4C6F">
              <w:rPr>
                <w:noProof/>
                <w:webHidden/>
                <w:sz w:val="24"/>
                <w:szCs w:val="24"/>
              </w:rPr>
              <w:t>7</w:t>
            </w:r>
            <w:r w:rsidRPr="002C4C6F">
              <w:rPr>
                <w:noProof/>
                <w:webHidden/>
                <w:sz w:val="24"/>
                <w:szCs w:val="24"/>
              </w:rPr>
              <w:fldChar w:fldCharType="end"/>
            </w:r>
          </w:hyperlink>
        </w:p>
        <w:p w14:paraId="3C119399" w14:textId="1070DF49" w:rsidR="002C4C6F" w:rsidRPr="002C4C6F" w:rsidRDefault="002C4C6F" w:rsidP="002C4C6F">
          <w:pPr>
            <w:pStyle w:val="TOC2"/>
            <w:tabs>
              <w:tab w:val="right" w:leader="dot" w:pos="9350"/>
            </w:tabs>
            <w:spacing w:after="0" w:line="240" w:lineRule="auto"/>
            <w:jc w:val="both"/>
            <w:rPr>
              <w:noProof/>
              <w:sz w:val="24"/>
              <w:szCs w:val="24"/>
            </w:rPr>
          </w:pPr>
          <w:hyperlink w:anchor="_Toc235182444" w:history="1">
            <w:r w:rsidRPr="002C4C6F">
              <w:rPr>
                <w:rStyle w:val="Hyperlink"/>
                <w:noProof/>
                <w:sz w:val="24"/>
                <w:szCs w:val="24"/>
              </w:rPr>
              <w:t>2.1 Strategic Growth Recommendation Using the Ansoff Matrix</w:t>
            </w:r>
            <w:r w:rsidRPr="002C4C6F">
              <w:rPr>
                <w:noProof/>
                <w:webHidden/>
                <w:sz w:val="24"/>
                <w:szCs w:val="24"/>
              </w:rPr>
              <w:tab/>
            </w:r>
            <w:r w:rsidRPr="002C4C6F">
              <w:rPr>
                <w:noProof/>
                <w:webHidden/>
                <w:sz w:val="24"/>
                <w:szCs w:val="24"/>
              </w:rPr>
              <w:fldChar w:fldCharType="begin"/>
            </w:r>
            <w:r w:rsidRPr="002C4C6F">
              <w:rPr>
                <w:noProof/>
                <w:webHidden/>
                <w:sz w:val="24"/>
                <w:szCs w:val="24"/>
              </w:rPr>
              <w:instrText xml:space="preserve"> PAGEREF _Toc235182444 \h </w:instrText>
            </w:r>
            <w:r w:rsidRPr="002C4C6F">
              <w:rPr>
                <w:noProof/>
                <w:webHidden/>
                <w:sz w:val="24"/>
                <w:szCs w:val="24"/>
              </w:rPr>
            </w:r>
            <w:r w:rsidRPr="002C4C6F">
              <w:rPr>
                <w:noProof/>
                <w:webHidden/>
                <w:sz w:val="24"/>
                <w:szCs w:val="24"/>
              </w:rPr>
              <w:fldChar w:fldCharType="separate"/>
            </w:r>
            <w:r w:rsidRPr="002C4C6F">
              <w:rPr>
                <w:noProof/>
                <w:webHidden/>
                <w:sz w:val="24"/>
                <w:szCs w:val="24"/>
              </w:rPr>
              <w:t>7</w:t>
            </w:r>
            <w:r w:rsidRPr="002C4C6F">
              <w:rPr>
                <w:noProof/>
                <w:webHidden/>
                <w:sz w:val="24"/>
                <w:szCs w:val="24"/>
              </w:rPr>
              <w:fldChar w:fldCharType="end"/>
            </w:r>
          </w:hyperlink>
        </w:p>
        <w:p w14:paraId="09582EA6" w14:textId="44FBF05D" w:rsidR="002C4C6F" w:rsidRPr="002C4C6F" w:rsidRDefault="002C4C6F" w:rsidP="002C4C6F">
          <w:pPr>
            <w:pStyle w:val="TOC3"/>
            <w:tabs>
              <w:tab w:val="right" w:leader="dot" w:pos="9350"/>
            </w:tabs>
            <w:spacing w:after="0" w:line="240" w:lineRule="auto"/>
            <w:jc w:val="both"/>
            <w:rPr>
              <w:noProof/>
              <w:sz w:val="24"/>
              <w:szCs w:val="24"/>
            </w:rPr>
          </w:pPr>
          <w:hyperlink w:anchor="_Toc235182445" w:history="1">
            <w:r w:rsidRPr="002C4C6F">
              <w:rPr>
                <w:rStyle w:val="Hyperlink"/>
                <w:noProof/>
                <w:sz w:val="24"/>
                <w:szCs w:val="24"/>
              </w:rPr>
              <w:t>2.1.1 Recommended Strategic Growth Approach: Product Development</w:t>
            </w:r>
            <w:r w:rsidRPr="002C4C6F">
              <w:rPr>
                <w:noProof/>
                <w:webHidden/>
                <w:sz w:val="24"/>
                <w:szCs w:val="24"/>
              </w:rPr>
              <w:tab/>
            </w:r>
            <w:r w:rsidRPr="002C4C6F">
              <w:rPr>
                <w:noProof/>
                <w:webHidden/>
                <w:sz w:val="24"/>
                <w:szCs w:val="24"/>
              </w:rPr>
              <w:fldChar w:fldCharType="begin"/>
            </w:r>
            <w:r w:rsidRPr="002C4C6F">
              <w:rPr>
                <w:noProof/>
                <w:webHidden/>
                <w:sz w:val="24"/>
                <w:szCs w:val="24"/>
              </w:rPr>
              <w:instrText xml:space="preserve"> PAGEREF _Toc235182445 \h </w:instrText>
            </w:r>
            <w:r w:rsidRPr="002C4C6F">
              <w:rPr>
                <w:noProof/>
                <w:webHidden/>
                <w:sz w:val="24"/>
                <w:szCs w:val="24"/>
              </w:rPr>
            </w:r>
            <w:r w:rsidRPr="002C4C6F">
              <w:rPr>
                <w:noProof/>
                <w:webHidden/>
                <w:sz w:val="24"/>
                <w:szCs w:val="24"/>
              </w:rPr>
              <w:fldChar w:fldCharType="separate"/>
            </w:r>
            <w:r w:rsidRPr="002C4C6F">
              <w:rPr>
                <w:noProof/>
                <w:webHidden/>
                <w:sz w:val="24"/>
                <w:szCs w:val="24"/>
              </w:rPr>
              <w:t>7</w:t>
            </w:r>
            <w:r w:rsidRPr="002C4C6F">
              <w:rPr>
                <w:noProof/>
                <w:webHidden/>
                <w:sz w:val="24"/>
                <w:szCs w:val="24"/>
              </w:rPr>
              <w:fldChar w:fldCharType="end"/>
            </w:r>
          </w:hyperlink>
        </w:p>
        <w:p w14:paraId="17025685" w14:textId="59866127" w:rsidR="002C4C6F" w:rsidRPr="002C4C6F" w:rsidRDefault="002C4C6F" w:rsidP="002C4C6F">
          <w:pPr>
            <w:pStyle w:val="TOC3"/>
            <w:tabs>
              <w:tab w:val="right" w:leader="dot" w:pos="9350"/>
            </w:tabs>
            <w:spacing w:after="0" w:line="240" w:lineRule="auto"/>
            <w:jc w:val="both"/>
            <w:rPr>
              <w:noProof/>
              <w:sz w:val="24"/>
              <w:szCs w:val="24"/>
            </w:rPr>
          </w:pPr>
          <w:hyperlink w:anchor="_Toc235182446" w:history="1">
            <w:r w:rsidRPr="002C4C6F">
              <w:rPr>
                <w:rStyle w:val="Hyperlink"/>
                <w:noProof/>
                <w:sz w:val="24"/>
                <w:szCs w:val="24"/>
              </w:rPr>
              <w:t>2.1.2 Strategic Justification and Response to Environmental Pressures</w:t>
            </w:r>
            <w:r w:rsidRPr="002C4C6F">
              <w:rPr>
                <w:noProof/>
                <w:webHidden/>
                <w:sz w:val="24"/>
                <w:szCs w:val="24"/>
              </w:rPr>
              <w:tab/>
            </w:r>
            <w:r w:rsidRPr="002C4C6F">
              <w:rPr>
                <w:noProof/>
                <w:webHidden/>
                <w:sz w:val="24"/>
                <w:szCs w:val="24"/>
              </w:rPr>
              <w:fldChar w:fldCharType="begin"/>
            </w:r>
            <w:r w:rsidRPr="002C4C6F">
              <w:rPr>
                <w:noProof/>
                <w:webHidden/>
                <w:sz w:val="24"/>
                <w:szCs w:val="24"/>
              </w:rPr>
              <w:instrText xml:space="preserve"> PAGEREF _Toc235182446 \h </w:instrText>
            </w:r>
            <w:r w:rsidRPr="002C4C6F">
              <w:rPr>
                <w:noProof/>
                <w:webHidden/>
                <w:sz w:val="24"/>
                <w:szCs w:val="24"/>
              </w:rPr>
            </w:r>
            <w:r w:rsidRPr="002C4C6F">
              <w:rPr>
                <w:noProof/>
                <w:webHidden/>
                <w:sz w:val="24"/>
                <w:szCs w:val="24"/>
              </w:rPr>
              <w:fldChar w:fldCharType="separate"/>
            </w:r>
            <w:r w:rsidRPr="002C4C6F">
              <w:rPr>
                <w:noProof/>
                <w:webHidden/>
                <w:sz w:val="24"/>
                <w:szCs w:val="24"/>
              </w:rPr>
              <w:t>9</w:t>
            </w:r>
            <w:r w:rsidRPr="002C4C6F">
              <w:rPr>
                <w:noProof/>
                <w:webHidden/>
                <w:sz w:val="24"/>
                <w:szCs w:val="24"/>
              </w:rPr>
              <w:fldChar w:fldCharType="end"/>
            </w:r>
          </w:hyperlink>
        </w:p>
        <w:p w14:paraId="4FBDF958" w14:textId="1C5BAC3F" w:rsidR="002C4C6F" w:rsidRPr="002C4C6F" w:rsidRDefault="002C4C6F" w:rsidP="002C4C6F">
          <w:pPr>
            <w:pStyle w:val="TOC2"/>
            <w:tabs>
              <w:tab w:val="right" w:leader="dot" w:pos="9350"/>
            </w:tabs>
            <w:spacing w:after="0" w:line="240" w:lineRule="auto"/>
            <w:jc w:val="both"/>
            <w:rPr>
              <w:noProof/>
              <w:sz w:val="24"/>
              <w:szCs w:val="24"/>
            </w:rPr>
          </w:pPr>
          <w:hyperlink w:anchor="_Toc235182447" w:history="1">
            <w:r w:rsidRPr="002C4C6F">
              <w:rPr>
                <w:rStyle w:val="Hyperlink"/>
                <w:noProof/>
                <w:sz w:val="24"/>
                <w:szCs w:val="24"/>
              </w:rPr>
              <w:t>2.2 Competitive Advantage Through a Lower-Carbon Business Model</w:t>
            </w:r>
            <w:r w:rsidRPr="002C4C6F">
              <w:rPr>
                <w:noProof/>
                <w:webHidden/>
                <w:sz w:val="24"/>
                <w:szCs w:val="24"/>
              </w:rPr>
              <w:tab/>
            </w:r>
            <w:r w:rsidRPr="002C4C6F">
              <w:rPr>
                <w:noProof/>
                <w:webHidden/>
                <w:sz w:val="24"/>
                <w:szCs w:val="24"/>
              </w:rPr>
              <w:fldChar w:fldCharType="begin"/>
            </w:r>
            <w:r w:rsidRPr="002C4C6F">
              <w:rPr>
                <w:noProof/>
                <w:webHidden/>
                <w:sz w:val="24"/>
                <w:szCs w:val="24"/>
              </w:rPr>
              <w:instrText xml:space="preserve"> PAGEREF _Toc235182447 \h </w:instrText>
            </w:r>
            <w:r w:rsidRPr="002C4C6F">
              <w:rPr>
                <w:noProof/>
                <w:webHidden/>
                <w:sz w:val="24"/>
                <w:szCs w:val="24"/>
              </w:rPr>
            </w:r>
            <w:r w:rsidRPr="002C4C6F">
              <w:rPr>
                <w:noProof/>
                <w:webHidden/>
                <w:sz w:val="24"/>
                <w:szCs w:val="24"/>
              </w:rPr>
              <w:fldChar w:fldCharType="separate"/>
            </w:r>
            <w:r w:rsidRPr="002C4C6F">
              <w:rPr>
                <w:noProof/>
                <w:webHidden/>
                <w:sz w:val="24"/>
                <w:szCs w:val="24"/>
              </w:rPr>
              <w:t>10</w:t>
            </w:r>
            <w:r w:rsidRPr="002C4C6F">
              <w:rPr>
                <w:noProof/>
                <w:webHidden/>
                <w:sz w:val="24"/>
                <w:szCs w:val="24"/>
              </w:rPr>
              <w:fldChar w:fldCharType="end"/>
            </w:r>
          </w:hyperlink>
        </w:p>
        <w:p w14:paraId="46137451" w14:textId="0EB3D039" w:rsidR="002C4C6F" w:rsidRPr="002C4C6F" w:rsidRDefault="002C4C6F" w:rsidP="002C4C6F">
          <w:pPr>
            <w:pStyle w:val="TOC3"/>
            <w:tabs>
              <w:tab w:val="right" w:leader="dot" w:pos="9350"/>
            </w:tabs>
            <w:spacing w:after="0" w:line="240" w:lineRule="auto"/>
            <w:jc w:val="both"/>
            <w:rPr>
              <w:noProof/>
              <w:sz w:val="24"/>
              <w:szCs w:val="24"/>
            </w:rPr>
          </w:pPr>
          <w:hyperlink w:anchor="_Toc235182448" w:history="1">
            <w:r w:rsidRPr="002C4C6F">
              <w:rPr>
                <w:rStyle w:val="Hyperlink"/>
                <w:noProof/>
                <w:sz w:val="24"/>
                <w:szCs w:val="24"/>
              </w:rPr>
              <w:t>2.2.1 Achieving Competitive Advantage Through Porter's Generic Strategies</w:t>
            </w:r>
            <w:r w:rsidRPr="002C4C6F">
              <w:rPr>
                <w:noProof/>
                <w:webHidden/>
                <w:sz w:val="24"/>
                <w:szCs w:val="24"/>
              </w:rPr>
              <w:tab/>
            </w:r>
            <w:r w:rsidRPr="002C4C6F">
              <w:rPr>
                <w:noProof/>
                <w:webHidden/>
                <w:sz w:val="24"/>
                <w:szCs w:val="24"/>
              </w:rPr>
              <w:fldChar w:fldCharType="begin"/>
            </w:r>
            <w:r w:rsidRPr="002C4C6F">
              <w:rPr>
                <w:noProof/>
                <w:webHidden/>
                <w:sz w:val="24"/>
                <w:szCs w:val="24"/>
              </w:rPr>
              <w:instrText xml:space="preserve"> PAGEREF _Toc235182448 \h </w:instrText>
            </w:r>
            <w:r w:rsidRPr="002C4C6F">
              <w:rPr>
                <w:noProof/>
                <w:webHidden/>
                <w:sz w:val="24"/>
                <w:szCs w:val="24"/>
              </w:rPr>
            </w:r>
            <w:r w:rsidRPr="002C4C6F">
              <w:rPr>
                <w:noProof/>
                <w:webHidden/>
                <w:sz w:val="24"/>
                <w:szCs w:val="24"/>
              </w:rPr>
              <w:fldChar w:fldCharType="separate"/>
            </w:r>
            <w:r w:rsidRPr="002C4C6F">
              <w:rPr>
                <w:noProof/>
                <w:webHidden/>
                <w:sz w:val="24"/>
                <w:szCs w:val="24"/>
              </w:rPr>
              <w:t>10</w:t>
            </w:r>
            <w:r w:rsidRPr="002C4C6F">
              <w:rPr>
                <w:noProof/>
                <w:webHidden/>
                <w:sz w:val="24"/>
                <w:szCs w:val="24"/>
              </w:rPr>
              <w:fldChar w:fldCharType="end"/>
            </w:r>
          </w:hyperlink>
        </w:p>
        <w:p w14:paraId="73622EF9" w14:textId="77C38FF5" w:rsidR="002C4C6F" w:rsidRPr="002C4C6F" w:rsidRDefault="002C4C6F" w:rsidP="002C4C6F">
          <w:pPr>
            <w:pStyle w:val="TOC3"/>
            <w:tabs>
              <w:tab w:val="right" w:leader="dot" w:pos="9350"/>
            </w:tabs>
            <w:spacing w:after="0" w:line="240" w:lineRule="auto"/>
            <w:jc w:val="both"/>
            <w:rPr>
              <w:noProof/>
              <w:sz w:val="24"/>
              <w:szCs w:val="24"/>
            </w:rPr>
          </w:pPr>
          <w:hyperlink w:anchor="_Toc235182449" w:history="1">
            <w:r w:rsidRPr="002C4C6F">
              <w:rPr>
                <w:rStyle w:val="Hyperlink"/>
                <w:noProof/>
                <w:sz w:val="24"/>
                <w:szCs w:val="24"/>
              </w:rPr>
              <w:t>2.2.2 Sustaining Competitive Advantage</w:t>
            </w:r>
            <w:r w:rsidRPr="002C4C6F">
              <w:rPr>
                <w:noProof/>
                <w:webHidden/>
                <w:sz w:val="24"/>
                <w:szCs w:val="24"/>
              </w:rPr>
              <w:tab/>
            </w:r>
            <w:r w:rsidRPr="002C4C6F">
              <w:rPr>
                <w:noProof/>
                <w:webHidden/>
                <w:sz w:val="24"/>
                <w:szCs w:val="24"/>
              </w:rPr>
              <w:fldChar w:fldCharType="begin"/>
            </w:r>
            <w:r w:rsidRPr="002C4C6F">
              <w:rPr>
                <w:noProof/>
                <w:webHidden/>
                <w:sz w:val="24"/>
                <w:szCs w:val="24"/>
              </w:rPr>
              <w:instrText xml:space="preserve"> PAGEREF _Toc235182449 \h </w:instrText>
            </w:r>
            <w:r w:rsidRPr="002C4C6F">
              <w:rPr>
                <w:noProof/>
                <w:webHidden/>
                <w:sz w:val="24"/>
                <w:szCs w:val="24"/>
              </w:rPr>
            </w:r>
            <w:r w:rsidRPr="002C4C6F">
              <w:rPr>
                <w:noProof/>
                <w:webHidden/>
                <w:sz w:val="24"/>
                <w:szCs w:val="24"/>
              </w:rPr>
              <w:fldChar w:fldCharType="separate"/>
            </w:r>
            <w:r w:rsidRPr="002C4C6F">
              <w:rPr>
                <w:noProof/>
                <w:webHidden/>
                <w:sz w:val="24"/>
                <w:szCs w:val="24"/>
              </w:rPr>
              <w:t>10</w:t>
            </w:r>
            <w:r w:rsidRPr="002C4C6F">
              <w:rPr>
                <w:noProof/>
                <w:webHidden/>
                <w:sz w:val="24"/>
                <w:szCs w:val="24"/>
              </w:rPr>
              <w:fldChar w:fldCharType="end"/>
            </w:r>
          </w:hyperlink>
        </w:p>
        <w:p w14:paraId="18B107B6" w14:textId="1BE2509B" w:rsidR="002C4C6F" w:rsidRPr="002C4C6F" w:rsidRDefault="002C4C6F" w:rsidP="002C4C6F">
          <w:pPr>
            <w:pStyle w:val="TOC1"/>
            <w:tabs>
              <w:tab w:val="right" w:leader="dot" w:pos="9350"/>
            </w:tabs>
            <w:spacing w:after="0" w:line="240" w:lineRule="auto"/>
            <w:jc w:val="both"/>
            <w:rPr>
              <w:noProof/>
              <w:sz w:val="24"/>
              <w:szCs w:val="24"/>
            </w:rPr>
          </w:pPr>
          <w:hyperlink w:anchor="_Toc235182450" w:history="1">
            <w:r w:rsidRPr="002C4C6F">
              <w:rPr>
                <w:rStyle w:val="Hyperlink"/>
                <w:noProof/>
                <w:sz w:val="24"/>
                <w:szCs w:val="24"/>
              </w:rPr>
              <w:t>3. Task 3: Critical Reflection on AI Usage</w:t>
            </w:r>
            <w:r w:rsidRPr="002C4C6F">
              <w:rPr>
                <w:noProof/>
                <w:webHidden/>
                <w:sz w:val="24"/>
                <w:szCs w:val="24"/>
              </w:rPr>
              <w:tab/>
            </w:r>
            <w:r w:rsidRPr="002C4C6F">
              <w:rPr>
                <w:noProof/>
                <w:webHidden/>
                <w:sz w:val="24"/>
                <w:szCs w:val="24"/>
              </w:rPr>
              <w:fldChar w:fldCharType="begin"/>
            </w:r>
            <w:r w:rsidRPr="002C4C6F">
              <w:rPr>
                <w:noProof/>
                <w:webHidden/>
                <w:sz w:val="24"/>
                <w:szCs w:val="24"/>
              </w:rPr>
              <w:instrText xml:space="preserve"> PAGEREF _Toc235182450 \h </w:instrText>
            </w:r>
            <w:r w:rsidRPr="002C4C6F">
              <w:rPr>
                <w:noProof/>
                <w:webHidden/>
                <w:sz w:val="24"/>
                <w:szCs w:val="24"/>
              </w:rPr>
            </w:r>
            <w:r w:rsidRPr="002C4C6F">
              <w:rPr>
                <w:noProof/>
                <w:webHidden/>
                <w:sz w:val="24"/>
                <w:szCs w:val="24"/>
              </w:rPr>
              <w:fldChar w:fldCharType="separate"/>
            </w:r>
            <w:r w:rsidRPr="002C4C6F">
              <w:rPr>
                <w:noProof/>
                <w:webHidden/>
                <w:sz w:val="24"/>
                <w:szCs w:val="24"/>
              </w:rPr>
              <w:t>11</w:t>
            </w:r>
            <w:r w:rsidRPr="002C4C6F">
              <w:rPr>
                <w:noProof/>
                <w:webHidden/>
                <w:sz w:val="24"/>
                <w:szCs w:val="24"/>
              </w:rPr>
              <w:fldChar w:fldCharType="end"/>
            </w:r>
          </w:hyperlink>
        </w:p>
        <w:p w14:paraId="5A819154" w14:textId="581681AA" w:rsidR="002C4C6F" w:rsidRPr="002C4C6F" w:rsidRDefault="002C4C6F" w:rsidP="002C4C6F">
          <w:pPr>
            <w:pStyle w:val="TOC2"/>
            <w:tabs>
              <w:tab w:val="right" w:leader="dot" w:pos="9350"/>
            </w:tabs>
            <w:spacing w:after="0" w:line="240" w:lineRule="auto"/>
            <w:jc w:val="both"/>
            <w:rPr>
              <w:noProof/>
              <w:sz w:val="24"/>
              <w:szCs w:val="24"/>
            </w:rPr>
          </w:pPr>
          <w:hyperlink w:anchor="_Toc235182451" w:history="1">
            <w:r w:rsidRPr="002C4C6F">
              <w:rPr>
                <w:rStyle w:val="Hyperlink"/>
                <w:noProof/>
                <w:sz w:val="24"/>
                <w:szCs w:val="24"/>
              </w:rPr>
              <w:t>3.1 Tool Disclosure</w:t>
            </w:r>
            <w:r w:rsidRPr="002C4C6F">
              <w:rPr>
                <w:noProof/>
                <w:webHidden/>
                <w:sz w:val="24"/>
                <w:szCs w:val="24"/>
              </w:rPr>
              <w:tab/>
            </w:r>
            <w:r w:rsidRPr="002C4C6F">
              <w:rPr>
                <w:noProof/>
                <w:webHidden/>
                <w:sz w:val="24"/>
                <w:szCs w:val="24"/>
              </w:rPr>
              <w:fldChar w:fldCharType="begin"/>
            </w:r>
            <w:r w:rsidRPr="002C4C6F">
              <w:rPr>
                <w:noProof/>
                <w:webHidden/>
                <w:sz w:val="24"/>
                <w:szCs w:val="24"/>
              </w:rPr>
              <w:instrText xml:space="preserve"> PAGEREF _Toc235182451 \h </w:instrText>
            </w:r>
            <w:r w:rsidRPr="002C4C6F">
              <w:rPr>
                <w:noProof/>
                <w:webHidden/>
                <w:sz w:val="24"/>
                <w:szCs w:val="24"/>
              </w:rPr>
            </w:r>
            <w:r w:rsidRPr="002C4C6F">
              <w:rPr>
                <w:noProof/>
                <w:webHidden/>
                <w:sz w:val="24"/>
                <w:szCs w:val="24"/>
              </w:rPr>
              <w:fldChar w:fldCharType="separate"/>
            </w:r>
            <w:r w:rsidRPr="002C4C6F">
              <w:rPr>
                <w:noProof/>
                <w:webHidden/>
                <w:sz w:val="24"/>
                <w:szCs w:val="24"/>
              </w:rPr>
              <w:t>11</w:t>
            </w:r>
            <w:r w:rsidRPr="002C4C6F">
              <w:rPr>
                <w:noProof/>
                <w:webHidden/>
                <w:sz w:val="24"/>
                <w:szCs w:val="24"/>
              </w:rPr>
              <w:fldChar w:fldCharType="end"/>
            </w:r>
          </w:hyperlink>
        </w:p>
        <w:p w14:paraId="37B136E8" w14:textId="46A2358F" w:rsidR="002C4C6F" w:rsidRPr="002C4C6F" w:rsidRDefault="002C4C6F" w:rsidP="002C4C6F">
          <w:pPr>
            <w:pStyle w:val="TOC2"/>
            <w:tabs>
              <w:tab w:val="right" w:leader="dot" w:pos="9350"/>
            </w:tabs>
            <w:spacing w:after="0" w:line="240" w:lineRule="auto"/>
            <w:jc w:val="both"/>
            <w:rPr>
              <w:noProof/>
              <w:sz w:val="24"/>
              <w:szCs w:val="24"/>
            </w:rPr>
          </w:pPr>
          <w:hyperlink w:anchor="_Toc235182452" w:history="1">
            <w:r w:rsidRPr="002C4C6F">
              <w:rPr>
                <w:rStyle w:val="Hyperlink"/>
                <w:noProof/>
                <w:sz w:val="24"/>
                <w:szCs w:val="24"/>
              </w:rPr>
              <w:t>3.2 Critical Evaluation of AI Output</w:t>
            </w:r>
            <w:r w:rsidRPr="002C4C6F">
              <w:rPr>
                <w:noProof/>
                <w:webHidden/>
                <w:sz w:val="24"/>
                <w:szCs w:val="24"/>
              </w:rPr>
              <w:tab/>
            </w:r>
            <w:r w:rsidRPr="002C4C6F">
              <w:rPr>
                <w:noProof/>
                <w:webHidden/>
                <w:sz w:val="24"/>
                <w:szCs w:val="24"/>
              </w:rPr>
              <w:fldChar w:fldCharType="begin"/>
            </w:r>
            <w:r w:rsidRPr="002C4C6F">
              <w:rPr>
                <w:noProof/>
                <w:webHidden/>
                <w:sz w:val="24"/>
                <w:szCs w:val="24"/>
              </w:rPr>
              <w:instrText xml:space="preserve"> PAGEREF _Toc235182452 \h </w:instrText>
            </w:r>
            <w:r w:rsidRPr="002C4C6F">
              <w:rPr>
                <w:noProof/>
                <w:webHidden/>
                <w:sz w:val="24"/>
                <w:szCs w:val="24"/>
              </w:rPr>
            </w:r>
            <w:r w:rsidRPr="002C4C6F">
              <w:rPr>
                <w:noProof/>
                <w:webHidden/>
                <w:sz w:val="24"/>
                <w:szCs w:val="24"/>
              </w:rPr>
              <w:fldChar w:fldCharType="separate"/>
            </w:r>
            <w:r w:rsidRPr="002C4C6F">
              <w:rPr>
                <w:noProof/>
                <w:webHidden/>
                <w:sz w:val="24"/>
                <w:szCs w:val="24"/>
              </w:rPr>
              <w:t>12</w:t>
            </w:r>
            <w:r w:rsidRPr="002C4C6F">
              <w:rPr>
                <w:noProof/>
                <w:webHidden/>
                <w:sz w:val="24"/>
                <w:szCs w:val="24"/>
              </w:rPr>
              <w:fldChar w:fldCharType="end"/>
            </w:r>
          </w:hyperlink>
        </w:p>
        <w:p w14:paraId="249431A2" w14:textId="77FA5D9B" w:rsidR="002C4C6F" w:rsidRPr="002C4C6F" w:rsidRDefault="002C4C6F" w:rsidP="002C4C6F">
          <w:pPr>
            <w:pStyle w:val="TOC2"/>
            <w:tabs>
              <w:tab w:val="right" w:leader="dot" w:pos="9350"/>
            </w:tabs>
            <w:spacing w:after="0" w:line="240" w:lineRule="auto"/>
            <w:jc w:val="both"/>
            <w:rPr>
              <w:noProof/>
              <w:sz w:val="24"/>
              <w:szCs w:val="24"/>
            </w:rPr>
          </w:pPr>
          <w:hyperlink w:anchor="_Toc235182453" w:history="1">
            <w:r w:rsidRPr="002C4C6F">
              <w:rPr>
                <w:rStyle w:val="Hyperlink"/>
                <w:noProof/>
                <w:sz w:val="24"/>
                <w:szCs w:val="24"/>
              </w:rPr>
              <w:t>3.3 Contribution Analysis</w:t>
            </w:r>
            <w:r w:rsidRPr="002C4C6F">
              <w:rPr>
                <w:noProof/>
                <w:webHidden/>
                <w:sz w:val="24"/>
                <w:szCs w:val="24"/>
              </w:rPr>
              <w:tab/>
            </w:r>
            <w:r w:rsidRPr="002C4C6F">
              <w:rPr>
                <w:noProof/>
                <w:webHidden/>
                <w:sz w:val="24"/>
                <w:szCs w:val="24"/>
              </w:rPr>
              <w:fldChar w:fldCharType="begin"/>
            </w:r>
            <w:r w:rsidRPr="002C4C6F">
              <w:rPr>
                <w:noProof/>
                <w:webHidden/>
                <w:sz w:val="24"/>
                <w:szCs w:val="24"/>
              </w:rPr>
              <w:instrText xml:space="preserve"> PAGEREF _Toc235182453 \h </w:instrText>
            </w:r>
            <w:r w:rsidRPr="002C4C6F">
              <w:rPr>
                <w:noProof/>
                <w:webHidden/>
                <w:sz w:val="24"/>
                <w:szCs w:val="24"/>
              </w:rPr>
            </w:r>
            <w:r w:rsidRPr="002C4C6F">
              <w:rPr>
                <w:noProof/>
                <w:webHidden/>
                <w:sz w:val="24"/>
                <w:szCs w:val="24"/>
              </w:rPr>
              <w:fldChar w:fldCharType="separate"/>
            </w:r>
            <w:r w:rsidRPr="002C4C6F">
              <w:rPr>
                <w:noProof/>
                <w:webHidden/>
                <w:sz w:val="24"/>
                <w:szCs w:val="24"/>
              </w:rPr>
              <w:t>12</w:t>
            </w:r>
            <w:r w:rsidRPr="002C4C6F">
              <w:rPr>
                <w:noProof/>
                <w:webHidden/>
                <w:sz w:val="24"/>
                <w:szCs w:val="24"/>
              </w:rPr>
              <w:fldChar w:fldCharType="end"/>
            </w:r>
          </w:hyperlink>
        </w:p>
        <w:p w14:paraId="6440D50A" w14:textId="464DB764" w:rsidR="002C4C6F" w:rsidRPr="002C4C6F" w:rsidRDefault="002C4C6F" w:rsidP="002C4C6F">
          <w:pPr>
            <w:pStyle w:val="TOC2"/>
            <w:tabs>
              <w:tab w:val="right" w:leader="dot" w:pos="9350"/>
            </w:tabs>
            <w:spacing w:after="0" w:line="240" w:lineRule="auto"/>
            <w:jc w:val="both"/>
            <w:rPr>
              <w:noProof/>
              <w:sz w:val="24"/>
              <w:szCs w:val="24"/>
            </w:rPr>
          </w:pPr>
          <w:hyperlink w:anchor="_Toc235182454" w:history="1">
            <w:r w:rsidRPr="002C4C6F">
              <w:rPr>
                <w:rStyle w:val="Hyperlink"/>
                <w:noProof/>
                <w:sz w:val="24"/>
                <w:szCs w:val="24"/>
              </w:rPr>
              <w:t>3.4 Ethical and Professional Reflection</w:t>
            </w:r>
            <w:r w:rsidRPr="002C4C6F">
              <w:rPr>
                <w:noProof/>
                <w:webHidden/>
                <w:sz w:val="24"/>
                <w:szCs w:val="24"/>
              </w:rPr>
              <w:tab/>
            </w:r>
            <w:r w:rsidRPr="002C4C6F">
              <w:rPr>
                <w:noProof/>
                <w:webHidden/>
                <w:sz w:val="24"/>
                <w:szCs w:val="24"/>
              </w:rPr>
              <w:fldChar w:fldCharType="begin"/>
            </w:r>
            <w:r w:rsidRPr="002C4C6F">
              <w:rPr>
                <w:noProof/>
                <w:webHidden/>
                <w:sz w:val="24"/>
                <w:szCs w:val="24"/>
              </w:rPr>
              <w:instrText xml:space="preserve"> PAGEREF _Toc235182454 \h </w:instrText>
            </w:r>
            <w:r w:rsidRPr="002C4C6F">
              <w:rPr>
                <w:noProof/>
                <w:webHidden/>
                <w:sz w:val="24"/>
                <w:szCs w:val="24"/>
              </w:rPr>
            </w:r>
            <w:r w:rsidRPr="002C4C6F">
              <w:rPr>
                <w:noProof/>
                <w:webHidden/>
                <w:sz w:val="24"/>
                <w:szCs w:val="24"/>
              </w:rPr>
              <w:fldChar w:fldCharType="separate"/>
            </w:r>
            <w:r w:rsidRPr="002C4C6F">
              <w:rPr>
                <w:noProof/>
                <w:webHidden/>
                <w:sz w:val="24"/>
                <w:szCs w:val="24"/>
              </w:rPr>
              <w:t>12</w:t>
            </w:r>
            <w:r w:rsidRPr="002C4C6F">
              <w:rPr>
                <w:noProof/>
                <w:webHidden/>
                <w:sz w:val="24"/>
                <w:szCs w:val="24"/>
              </w:rPr>
              <w:fldChar w:fldCharType="end"/>
            </w:r>
          </w:hyperlink>
        </w:p>
        <w:p w14:paraId="2639BB86" w14:textId="20984184" w:rsidR="002C4C6F" w:rsidRPr="002C4C6F" w:rsidRDefault="002C4C6F" w:rsidP="002C4C6F">
          <w:pPr>
            <w:pStyle w:val="TOC1"/>
            <w:tabs>
              <w:tab w:val="right" w:leader="dot" w:pos="9350"/>
            </w:tabs>
            <w:spacing w:after="0" w:line="240" w:lineRule="auto"/>
            <w:jc w:val="both"/>
            <w:rPr>
              <w:noProof/>
              <w:sz w:val="24"/>
              <w:szCs w:val="24"/>
            </w:rPr>
          </w:pPr>
          <w:hyperlink w:anchor="_Toc235182455" w:history="1">
            <w:r w:rsidRPr="002C4C6F">
              <w:rPr>
                <w:rStyle w:val="Hyperlink"/>
                <w:noProof/>
                <w:sz w:val="24"/>
                <w:szCs w:val="24"/>
              </w:rPr>
              <w:t>References</w:t>
            </w:r>
            <w:r w:rsidRPr="002C4C6F">
              <w:rPr>
                <w:noProof/>
                <w:webHidden/>
                <w:sz w:val="24"/>
                <w:szCs w:val="24"/>
              </w:rPr>
              <w:tab/>
            </w:r>
            <w:r w:rsidRPr="002C4C6F">
              <w:rPr>
                <w:noProof/>
                <w:webHidden/>
                <w:sz w:val="24"/>
                <w:szCs w:val="24"/>
              </w:rPr>
              <w:fldChar w:fldCharType="begin"/>
            </w:r>
            <w:r w:rsidRPr="002C4C6F">
              <w:rPr>
                <w:noProof/>
                <w:webHidden/>
                <w:sz w:val="24"/>
                <w:szCs w:val="24"/>
              </w:rPr>
              <w:instrText xml:space="preserve"> PAGEREF _Toc235182455 \h </w:instrText>
            </w:r>
            <w:r w:rsidRPr="002C4C6F">
              <w:rPr>
                <w:noProof/>
                <w:webHidden/>
                <w:sz w:val="24"/>
                <w:szCs w:val="24"/>
              </w:rPr>
            </w:r>
            <w:r w:rsidRPr="002C4C6F">
              <w:rPr>
                <w:noProof/>
                <w:webHidden/>
                <w:sz w:val="24"/>
                <w:szCs w:val="24"/>
              </w:rPr>
              <w:fldChar w:fldCharType="separate"/>
            </w:r>
            <w:r w:rsidRPr="002C4C6F">
              <w:rPr>
                <w:noProof/>
                <w:webHidden/>
                <w:sz w:val="24"/>
                <w:szCs w:val="24"/>
              </w:rPr>
              <w:t>14</w:t>
            </w:r>
            <w:r w:rsidRPr="002C4C6F">
              <w:rPr>
                <w:noProof/>
                <w:webHidden/>
                <w:sz w:val="24"/>
                <w:szCs w:val="24"/>
              </w:rPr>
              <w:fldChar w:fldCharType="end"/>
            </w:r>
          </w:hyperlink>
        </w:p>
        <w:p w14:paraId="47399BF8" w14:textId="69020918" w:rsidR="00213D05" w:rsidRPr="002C4C6F" w:rsidRDefault="00215BD5" w:rsidP="002C4C6F">
          <w:pPr>
            <w:widowControl w:val="0"/>
            <w:tabs>
              <w:tab w:val="right" w:leader="dot" w:pos="12000"/>
            </w:tabs>
            <w:spacing w:before="240" w:line="240" w:lineRule="auto"/>
            <w:jc w:val="both"/>
            <w:rPr>
              <w:rFonts w:eastAsia="Times New Roman"/>
              <w:color w:val="000000"/>
              <w:sz w:val="24"/>
              <w:szCs w:val="24"/>
            </w:rPr>
          </w:pPr>
          <w:r w:rsidRPr="002C4C6F">
            <w:rPr>
              <w:sz w:val="24"/>
              <w:szCs w:val="24"/>
            </w:rPr>
            <w:fldChar w:fldCharType="end"/>
          </w:r>
        </w:p>
      </w:sdtContent>
    </w:sdt>
    <w:p w14:paraId="08214A52" w14:textId="77777777" w:rsidR="00213D05" w:rsidRPr="002C4C6F" w:rsidRDefault="00213D05" w:rsidP="002C4C6F">
      <w:pPr>
        <w:spacing w:before="240" w:line="360" w:lineRule="auto"/>
        <w:rPr>
          <w:rFonts w:eastAsia="Times New Roman"/>
          <w:sz w:val="24"/>
          <w:szCs w:val="24"/>
        </w:rPr>
      </w:pPr>
    </w:p>
    <w:p w14:paraId="111FA585" w14:textId="77777777" w:rsidR="002C4C6F" w:rsidRPr="002C4C6F" w:rsidRDefault="002C4C6F">
      <w:pPr>
        <w:rPr>
          <w:b/>
          <w:bCs/>
          <w:sz w:val="28"/>
        </w:rPr>
      </w:pPr>
      <w:bookmarkStart w:id="3" w:name="_9bgsokobnben" w:colFirst="0" w:colLast="0"/>
      <w:bookmarkStart w:id="4" w:name="_hs2jtwxzcu20" w:colFirst="0" w:colLast="0"/>
      <w:bookmarkEnd w:id="3"/>
      <w:bookmarkEnd w:id="4"/>
      <w:r w:rsidRPr="002C4C6F">
        <w:br w:type="page"/>
      </w:r>
    </w:p>
    <w:p w14:paraId="1B538AF4" w14:textId="6A6072C3" w:rsidR="00213D05" w:rsidRPr="002C4C6F" w:rsidRDefault="00215BD5" w:rsidP="002C4C6F">
      <w:pPr>
        <w:pStyle w:val="Heading1"/>
      </w:pPr>
      <w:bookmarkStart w:id="5" w:name="_Toc235182435"/>
      <w:r w:rsidRPr="002C4C6F">
        <w:lastRenderedPageBreak/>
        <w:t>1. Task 1: Marketing Environment Analysis</w:t>
      </w:r>
      <w:bookmarkEnd w:id="5"/>
    </w:p>
    <w:p w14:paraId="6F067BC5" w14:textId="77777777" w:rsidR="00213D05" w:rsidRPr="002C4C6F" w:rsidRDefault="00215BD5" w:rsidP="002C4C6F">
      <w:pPr>
        <w:pStyle w:val="Heading2"/>
      </w:pPr>
      <w:bookmarkStart w:id="6" w:name="_Toc235182436"/>
      <w:r w:rsidRPr="002C4C6F">
        <w:t>1.1 Company Selection and Context</w:t>
      </w:r>
      <w:bookmarkEnd w:id="6"/>
      <w:r w:rsidRPr="002C4C6F">
        <w:t xml:space="preserve"> </w:t>
      </w:r>
    </w:p>
    <w:p w14:paraId="66C71931" w14:textId="77777777" w:rsidR="00213D05" w:rsidRPr="002C4C6F" w:rsidRDefault="00215BD5" w:rsidP="002C4C6F">
      <w:pPr>
        <w:spacing w:before="240" w:after="240" w:line="360" w:lineRule="auto"/>
        <w:jc w:val="both"/>
        <w:rPr>
          <w:rFonts w:eastAsia="Times New Roman"/>
          <w:sz w:val="24"/>
          <w:szCs w:val="24"/>
        </w:rPr>
      </w:pPr>
      <w:r w:rsidRPr="002C4C6F">
        <w:rPr>
          <w:rFonts w:eastAsia="Times New Roman"/>
          <w:sz w:val="24"/>
          <w:szCs w:val="24"/>
        </w:rPr>
        <w:t xml:space="preserve">BHP is a global mining company, which is one of the largest diversified companies and a global leader in the production of iron ore, copper, nickel, potash and metallurgical coal. The company has over 90 sites and is headquartered in Melbourne, Australia, where it provides essential minerals that serve infrastructural requirements, renewable energy and electric vehicle technologies. The FY2025 Annual Report states that BHP earned US$53.7 billion, produced a record copper amount of about 2.0 million tonnes, and contributed to the global economy to the tune of US $ 46.8 billion, which reaffirms its leadership in the global metals and mining sector (BHP, 2025). With the world transitioning to a low-carbon economy at a faster pace, BHP has incorporated sustainability as part of its strategic business approach by investing in future-oriented commodities via investing in renewable energy and electrification of operations. The company also noted a 5% decrease in Scope 1 and Scope 2 greenhouse gas emissions against FY2024 and aims to reduce by at least 30 % of the emissions as of FY2020 by FY2030, enhancing its position as a responsible supplier of critical minerals (BHP, 2025). The strategies enable BHP to be more competitive as a responsible supplier of the basic minerals that are helping the world to shift towards energy.  </w:t>
      </w:r>
    </w:p>
    <w:p w14:paraId="7F1E6AE7" w14:textId="77777777" w:rsidR="00213D05" w:rsidRPr="002C4C6F" w:rsidRDefault="00215BD5" w:rsidP="002C4C6F">
      <w:pPr>
        <w:pStyle w:val="Heading2"/>
      </w:pPr>
      <w:bookmarkStart w:id="7" w:name="_Toc235182437"/>
      <w:r w:rsidRPr="002C4C6F">
        <w:t>1.2 External Marketing Environment Actor 1: The Natural Environment</w:t>
      </w:r>
      <w:bookmarkEnd w:id="7"/>
      <w:r w:rsidRPr="002C4C6F">
        <w:t xml:space="preserve"> </w:t>
      </w:r>
    </w:p>
    <w:p w14:paraId="4CF814A8" w14:textId="77777777" w:rsidR="00213D05" w:rsidRPr="002C4C6F" w:rsidRDefault="00215BD5" w:rsidP="002C4C6F">
      <w:pPr>
        <w:pStyle w:val="Heading3"/>
      </w:pPr>
      <w:bookmarkStart w:id="8" w:name="_Toc235182438"/>
      <w:r w:rsidRPr="002C4C6F">
        <w:t>1.2.1 Influence of Natural Environmental Pressures on BHP's Low-Carbon Transition</w:t>
      </w:r>
      <w:bookmarkEnd w:id="8"/>
    </w:p>
    <w:p w14:paraId="643D4ADE" w14:textId="6147C08E" w:rsidR="00213D05" w:rsidRPr="002C4C6F" w:rsidRDefault="00215BD5" w:rsidP="002C4C6F">
      <w:pPr>
        <w:spacing w:before="240" w:after="240" w:line="360" w:lineRule="auto"/>
        <w:jc w:val="both"/>
        <w:rPr>
          <w:rFonts w:eastAsia="Times New Roman"/>
          <w:sz w:val="24"/>
          <w:szCs w:val="24"/>
        </w:rPr>
      </w:pPr>
      <w:r w:rsidRPr="002C4C6F">
        <w:rPr>
          <w:rFonts w:eastAsia="Times New Roman"/>
          <w:sz w:val="24"/>
          <w:szCs w:val="24"/>
        </w:rPr>
        <w:t xml:space="preserve">The strongest external marketing environment actor that will impact on the shift towards lower-carbon products in BHP is the natural environment. The threat of climate change, scarcity of resources, carbon regulation and biodiversity degradation have changed sustainability as a regulatory need to a competitive differentiation source. Paletta (2025) argues that organisations with environmentally intensive sectors have to maintain their sustainability approaches and business models constantly adjusted to the changing ecological situation and stakeholder requirements, as the ecological state responds to </w:t>
      </w:r>
      <w:r w:rsidRPr="002C4C6F">
        <w:rPr>
          <w:rFonts w:eastAsia="Times New Roman"/>
          <w:sz w:val="24"/>
          <w:szCs w:val="24"/>
        </w:rPr>
        <w:lastRenderedPageBreak/>
        <w:t>changing environmental factors. In the case of BHP, such environmental pressures affect the operational decisions, positioning of the corporation, customer value propositions and long-term brand credibility. The pressure on mining companies to decrease greenhouse gas emissions throughout their value chains has risen due to climate change (Qarahasanlou</w:t>
      </w:r>
      <w:r w:rsidRPr="002C4C6F">
        <w:rPr>
          <w:rFonts w:eastAsia="Times New Roman"/>
          <w:i/>
          <w:iCs/>
          <w:sz w:val="24"/>
          <w:szCs w:val="24"/>
        </w:rPr>
        <w:t xml:space="preserve"> et al.</w:t>
      </w:r>
      <w:r w:rsidRPr="002C4C6F">
        <w:rPr>
          <w:rFonts w:eastAsia="Times New Roman"/>
          <w:sz w:val="24"/>
          <w:szCs w:val="24"/>
        </w:rPr>
        <w:t xml:space="preserve"> 2024). At the same time, ore grades have dropped, and water supplies have been reduced, biodiversity reduced and, more stringent carbon policy has made production more expensive and hastened the shift to lower-carbon production. BHP in turn has focussed on copper, nickel and potash and has also decreased operational carbon intensity. The firm has also tied its sustainability reporting with the Taskforce on Nature-related Financial Disclosures (TNFD), which enhances the transparency of the environment and positioning itself in the market as a responsible provider of crucial minerals (BHP, 2021</w:t>
      </w:r>
      <w:r w:rsidR="00424C00" w:rsidRPr="002C4C6F">
        <w:rPr>
          <w:rFonts w:eastAsia="Times New Roman"/>
          <w:sz w:val="24"/>
          <w:szCs w:val="24"/>
        </w:rPr>
        <w:t>). Environmental</w:t>
      </w:r>
      <w:r w:rsidRPr="002C4C6F">
        <w:rPr>
          <w:rFonts w:eastAsia="Times New Roman"/>
          <w:sz w:val="24"/>
          <w:szCs w:val="24"/>
        </w:rPr>
        <w:t xml:space="preserve"> pressures thus enhance BHP sustainability leadership and competitiveness in the long run. </w:t>
      </w:r>
    </w:p>
    <w:p w14:paraId="1E6E1EB0" w14:textId="77777777" w:rsidR="00213D05" w:rsidRPr="002C4C6F" w:rsidRDefault="00215BD5" w:rsidP="002C4C6F">
      <w:pPr>
        <w:pStyle w:val="Heading3"/>
      </w:pPr>
      <w:bookmarkStart w:id="9" w:name="_Toc235182439"/>
      <w:r w:rsidRPr="002C4C6F">
        <w:t>1.2.2 Strategic Opportunities and Threats</w:t>
      </w:r>
      <w:bookmarkEnd w:id="9"/>
    </w:p>
    <w:p w14:paraId="019BF8F8" w14:textId="77777777" w:rsidR="00213D05" w:rsidRPr="002C4C6F" w:rsidRDefault="00215BD5" w:rsidP="002C4C6F">
      <w:pPr>
        <w:spacing w:before="240" w:after="40" w:line="360" w:lineRule="auto"/>
        <w:jc w:val="both"/>
        <w:rPr>
          <w:rFonts w:eastAsia="Times New Roman"/>
          <w:b/>
          <w:bCs/>
          <w:sz w:val="24"/>
          <w:szCs w:val="24"/>
        </w:rPr>
      </w:pPr>
      <w:r w:rsidRPr="002C4C6F">
        <w:rPr>
          <w:rFonts w:eastAsia="Times New Roman"/>
          <w:b/>
          <w:bCs/>
          <w:sz w:val="24"/>
          <w:szCs w:val="24"/>
        </w:rPr>
        <w:t>Market Opportunities</w:t>
      </w:r>
    </w:p>
    <w:p w14:paraId="57AAE9F4" w14:textId="77777777" w:rsidR="00213D05" w:rsidRPr="002C4C6F" w:rsidRDefault="00215BD5" w:rsidP="002C4C6F">
      <w:pPr>
        <w:spacing w:before="240" w:after="240" w:line="360" w:lineRule="auto"/>
        <w:jc w:val="both"/>
        <w:rPr>
          <w:rFonts w:eastAsia="Times New Roman"/>
          <w:sz w:val="24"/>
          <w:szCs w:val="24"/>
        </w:rPr>
      </w:pPr>
      <w:r w:rsidRPr="002C4C6F">
        <w:rPr>
          <w:rFonts w:eastAsia="Times New Roman"/>
          <w:sz w:val="24"/>
          <w:szCs w:val="24"/>
        </w:rPr>
        <w:t>The marketing strategy of BHP comprises major opportunities which are created by natural environmental pressures. According to the International Energy Agency (2024) the world will require copper produced by clean energy technologies nearly twice as much in the period between 2023 and 2035 in the Stated Policies Scenario (IEA, 2024). It generates huge market opportunities to mining firms that have the capability of providing responsibly produced minerals. The trend will also help BHP to enhance its competitive positioning through the sale of lower-carbon mineral products to decarbonising manufacturers trying to decarbonise their supply chains.</w:t>
      </w:r>
    </w:p>
    <w:p w14:paraId="52DE27C2" w14:textId="77777777" w:rsidR="00213D05" w:rsidRPr="002C4C6F" w:rsidRDefault="00213D05" w:rsidP="002C4C6F">
      <w:pPr>
        <w:spacing w:before="240" w:after="240" w:line="360" w:lineRule="auto"/>
        <w:jc w:val="both"/>
        <w:rPr>
          <w:rFonts w:eastAsia="Times New Roman"/>
          <w:sz w:val="24"/>
          <w:szCs w:val="24"/>
        </w:rPr>
      </w:pPr>
    </w:p>
    <w:p w14:paraId="2FA814EB" w14:textId="77777777" w:rsidR="00213D05" w:rsidRPr="002C4C6F" w:rsidRDefault="00213D05" w:rsidP="002C4C6F">
      <w:pPr>
        <w:spacing w:before="240" w:after="240" w:line="360" w:lineRule="auto"/>
        <w:jc w:val="both"/>
        <w:rPr>
          <w:rFonts w:eastAsia="Times New Roman"/>
          <w:sz w:val="24"/>
          <w:szCs w:val="24"/>
        </w:rPr>
      </w:pPr>
    </w:p>
    <w:p w14:paraId="5E37543C" w14:textId="77777777" w:rsidR="00213D05" w:rsidRPr="002C4C6F" w:rsidRDefault="00215BD5" w:rsidP="002C4C6F">
      <w:pPr>
        <w:spacing w:before="240" w:after="240" w:line="360" w:lineRule="auto"/>
        <w:jc w:val="center"/>
        <w:rPr>
          <w:rFonts w:eastAsia="Times New Roman"/>
          <w:sz w:val="24"/>
          <w:szCs w:val="24"/>
        </w:rPr>
      </w:pPr>
      <w:r w:rsidRPr="002C4C6F">
        <w:rPr>
          <w:rFonts w:eastAsia="Times New Roman"/>
          <w:noProof/>
          <w:sz w:val="24"/>
          <w:szCs w:val="24"/>
          <w:lang w:eastAsia="en-US"/>
        </w:rPr>
        <w:lastRenderedPageBreak/>
        <w:drawing>
          <wp:inline distT="114300" distB="114300" distL="114300" distR="114300" wp14:anchorId="48414B46" wp14:editId="247FCBA5">
            <wp:extent cx="5026499" cy="3231250"/>
            <wp:effectExtent l="0" t="0" r="3175" b="762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t="11911" r="7853"/>
                    <a:stretch>
                      <a:fillRect/>
                    </a:stretch>
                  </pic:blipFill>
                  <pic:spPr>
                    <a:xfrm>
                      <a:off x="0" y="0"/>
                      <a:ext cx="5029410" cy="3233121"/>
                    </a:xfrm>
                    <a:prstGeom prst="rect">
                      <a:avLst/>
                    </a:prstGeom>
                    <a:ln/>
                  </pic:spPr>
                </pic:pic>
              </a:graphicData>
            </a:graphic>
          </wp:inline>
        </w:drawing>
      </w:r>
    </w:p>
    <w:p w14:paraId="0BA76BF9" w14:textId="7453E005" w:rsidR="00213D05" w:rsidRPr="002C4C6F" w:rsidRDefault="002C4C6F" w:rsidP="002C4C6F">
      <w:pPr>
        <w:spacing w:before="240" w:after="240" w:line="360" w:lineRule="auto"/>
        <w:jc w:val="center"/>
        <w:rPr>
          <w:rFonts w:eastAsia="Times New Roman"/>
          <w:b/>
          <w:bCs/>
          <w:sz w:val="24"/>
          <w:szCs w:val="24"/>
        </w:rPr>
      </w:pPr>
      <w:r>
        <w:rPr>
          <w:rFonts w:eastAsia="Times New Roman"/>
          <w:b/>
          <w:bCs/>
          <w:sz w:val="24"/>
          <w:szCs w:val="24"/>
        </w:rPr>
        <w:t xml:space="preserve">Figure </w:t>
      </w:r>
      <w:r w:rsidR="00215BD5" w:rsidRPr="002C4C6F">
        <w:rPr>
          <w:rFonts w:eastAsia="Times New Roman"/>
          <w:b/>
          <w:bCs/>
          <w:sz w:val="24"/>
          <w:szCs w:val="24"/>
        </w:rPr>
        <w:t xml:space="preserve">1: Projected LNG liquefaction capacity and utilisation under the Stated Policies Scenario for 2023 and 2030. </w:t>
      </w:r>
    </w:p>
    <w:p w14:paraId="30E5F1B2" w14:textId="37B4DF92" w:rsidR="00213D05" w:rsidRPr="002C4C6F" w:rsidRDefault="00215BD5" w:rsidP="002C4C6F">
      <w:pPr>
        <w:spacing w:before="240" w:after="240" w:line="360" w:lineRule="auto"/>
        <w:jc w:val="center"/>
        <w:rPr>
          <w:rFonts w:eastAsia="Times New Roman"/>
          <w:sz w:val="24"/>
          <w:szCs w:val="24"/>
        </w:rPr>
      </w:pPr>
      <w:r w:rsidRPr="002C4C6F">
        <w:rPr>
          <w:rFonts w:eastAsia="Times New Roman"/>
          <w:sz w:val="24"/>
          <w:szCs w:val="24"/>
        </w:rPr>
        <w:t>(Source:</w:t>
      </w:r>
      <w:r w:rsidR="002C4C6F">
        <w:rPr>
          <w:rFonts w:eastAsia="Times New Roman"/>
          <w:sz w:val="24"/>
          <w:szCs w:val="24"/>
        </w:rPr>
        <w:t xml:space="preserve"> </w:t>
      </w:r>
      <w:r w:rsidRPr="002C4C6F">
        <w:rPr>
          <w:rFonts w:eastAsia="Times New Roman"/>
          <w:sz w:val="24"/>
          <w:szCs w:val="24"/>
        </w:rPr>
        <w:t>IEA, 2024)</w:t>
      </w:r>
    </w:p>
    <w:p w14:paraId="00760306" w14:textId="77777777" w:rsidR="00213D05" w:rsidRPr="002C4C6F" w:rsidRDefault="00215BD5" w:rsidP="002C4C6F">
      <w:pPr>
        <w:spacing w:before="240" w:after="40" w:line="360" w:lineRule="auto"/>
        <w:jc w:val="both"/>
        <w:rPr>
          <w:rFonts w:eastAsia="Times New Roman"/>
          <w:b/>
          <w:bCs/>
          <w:sz w:val="24"/>
          <w:szCs w:val="24"/>
        </w:rPr>
      </w:pPr>
      <w:r w:rsidRPr="002C4C6F">
        <w:rPr>
          <w:rFonts w:eastAsia="Times New Roman"/>
          <w:b/>
          <w:bCs/>
          <w:sz w:val="24"/>
          <w:szCs w:val="24"/>
        </w:rPr>
        <w:t>Strategic Threats</w:t>
      </w:r>
    </w:p>
    <w:p w14:paraId="4A5EA9FD" w14:textId="4DAB17EC" w:rsidR="00213D05" w:rsidRPr="002C4C6F" w:rsidRDefault="00215BD5" w:rsidP="002C4C6F">
      <w:pPr>
        <w:spacing w:before="240" w:after="240" w:line="360" w:lineRule="auto"/>
        <w:jc w:val="both"/>
        <w:rPr>
          <w:rFonts w:eastAsia="Times New Roman"/>
          <w:sz w:val="24"/>
          <w:szCs w:val="24"/>
        </w:rPr>
      </w:pPr>
      <w:r w:rsidRPr="002C4C6F">
        <w:rPr>
          <w:rFonts w:eastAsia="Times New Roman"/>
          <w:sz w:val="24"/>
          <w:szCs w:val="24"/>
        </w:rPr>
        <w:t xml:space="preserve">BHP is also facing significant operational and reputational risks due to environmental </w:t>
      </w:r>
      <w:r w:rsidR="002C4C6F" w:rsidRPr="002C4C6F">
        <w:rPr>
          <w:rFonts w:eastAsia="Times New Roman"/>
          <w:sz w:val="24"/>
          <w:szCs w:val="24"/>
        </w:rPr>
        <w:t>pressures. The</w:t>
      </w:r>
      <w:r w:rsidRPr="002C4C6F">
        <w:rPr>
          <w:rFonts w:eastAsia="Times New Roman"/>
          <w:sz w:val="24"/>
          <w:szCs w:val="24"/>
        </w:rPr>
        <w:t xml:space="preserve"> mining sector accounts for approximately 4–7 % of global GHG emissions and the increasing expectations of regulators and stakeholders to lower emissions highlight the need to do so (Delevingne </w:t>
      </w:r>
      <w:r w:rsidRPr="002C4C6F">
        <w:rPr>
          <w:rFonts w:eastAsia="Times New Roman"/>
          <w:i/>
          <w:iCs/>
          <w:sz w:val="24"/>
          <w:szCs w:val="24"/>
        </w:rPr>
        <w:t>et al.</w:t>
      </w:r>
      <w:r w:rsidRPr="002C4C6F">
        <w:rPr>
          <w:rFonts w:eastAsia="Times New Roman"/>
          <w:sz w:val="24"/>
          <w:szCs w:val="24"/>
        </w:rPr>
        <w:t xml:space="preserve"> 2020). Unpredictable weather, water stress and biodiversity loss can affect production, slow project approvals and increase compliance costs to affect profitability and customer relations.</w:t>
      </w:r>
    </w:p>
    <w:p w14:paraId="2CAC1A37" w14:textId="77777777" w:rsidR="00213D05" w:rsidRPr="002C4C6F" w:rsidRDefault="00215BD5" w:rsidP="002C4C6F">
      <w:pPr>
        <w:spacing w:before="240" w:after="40" w:line="360" w:lineRule="auto"/>
        <w:jc w:val="both"/>
        <w:rPr>
          <w:rFonts w:eastAsia="Times New Roman"/>
          <w:b/>
          <w:bCs/>
          <w:sz w:val="24"/>
          <w:szCs w:val="24"/>
        </w:rPr>
      </w:pPr>
      <w:r w:rsidRPr="002C4C6F">
        <w:rPr>
          <w:rFonts w:eastAsia="Times New Roman"/>
          <w:b/>
          <w:bCs/>
          <w:sz w:val="24"/>
          <w:szCs w:val="24"/>
        </w:rPr>
        <w:t>Strategic Implications for BHP</w:t>
      </w:r>
    </w:p>
    <w:p w14:paraId="617683F9" w14:textId="77777777" w:rsidR="00213D05" w:rsidRPr="002C4C6F" w:rsidRDefault="00215BD5" w:rsidP="002C4C6F">
      <w:pPr>
        <w:spacing w:before="240" w:after="240" w:line="360" w:lineRule="auto"/>
        <w:jc w:val="both"/>
        <w:rPr>
          <w:rFonts w:eastAsia="Times New Roman"/>
          <w:sz w:val="24"/>
          <w:szCs w:val="24"/>
        </w:rPr>
      </w:pPr>
      <w:r w:rsidRPr="002C4C6F">
        <w:rPr>
          <w:rFonts w:eastAsia="Times New Roman"/>
          <w:sz w:val="24"/>
          <w:szCs w:val="24"/>
        </w:rPr>
        <w:t xml:space="preserve">BHP has made a strategic move to enhance the environmental legitimacy and promote stakeholder trust by ensuring that at least 30 % of the land and freshwater areas under its stewardship are subjected to conservation, restoration or regenerative practices by 2030 (BHP, 2021). As a result, the natural environment does not only act as a limiting </w:t>
      </w:r>
      <w:r w:rsidRPr="002C4C6F">
        <w:rPr>
          <w:rFonts w:eastAsia="Times New Roman"/>
          <w:sz w:val="24"/>
          <w:szCs w:val="24"/>
        </w:rPr>
        <w:lastRenderedPageBreak/>
        <w:t xml:space="preserve">factor but also as a driver of innovation, thus helping BHP to improve its corporate image as well as stand out in an increasingly sustainable-oriented global mining environment. </w:t>
      </w:r>
    </w:p>
    <w:p w14:paraId="1AB1D90D" w14:textId="77777777" w:rsidR="00213D05" w:rsidRPr="002C4C6F" w:rsidRDefault="00215BD5" w:rsidP="002C4C6F">
      <w:pPr>
        <w:pStyle w:val="Heading2"/>
      </w:pPr>
      <w:bookmarkStart w:id="10" w:name="_Toc235182440"/>
      <w:r w:rsidRPr="002C4C6F">
        <w:t>1.3 External Marketing Environment Actor 2: Political and Regulatory Environment</w:t>
      </w:r>
      <w:bookmarkEnd w:id="10"/>
      <w:r w:rsidRPr="002C4C6F">
        <w:t xml:space="preserve"> </w:t>
      </w:r>
    </w:p>
    <w:p w14:paraId="47FF8CE3" w14:textId="72D98E79" w:rsidR="00213D05" w:rsidRPr="002C4C6F" w:rsidRDefault="00215BD5" w:rsidP="002C4C6F">
      <w:pPr>
        <w:pStyle w:val="Heading3"/>
      </w:pPr>
      <w:bookmarkStart w:id="11" w:name="_Toc235182441"/>
      <w:r w:rsidRPr="002C4C6F">
        <w:t>1.3.1 Influence of the Political and Regulatory Environment on BHP's Sustainability Transition</w:t>
      </w:r>
      <w:bookmarkEnd w:id="11"/>
    </w:p>
    <w:p w14:paraId="31CCB25D" w14:textId="267B2ADA" w:rsidR="00213D05" w:rsidRPr="002C4C6F" w:rsidRDefault="00215BD5" w:rsidP="002C4C6F">
      <w:pPr>
        <w:spacing w:before="240" w:after="240" w:line="360" w:lineRule="auto"/>
        <w:jc w:val="both"/>
        <w:rPr>
          <w:rFonts w:eastAsia="Times New Roman"/>
          <w:sz w:val="24"/>
          <w:szCs w:val="24"/>
        </w:rPr>
      </w:pPr>
      <w:r w:rsidRPr="002C4C6F">
        <w:rPr>
          <w:rFonts w:eastAsia="Times New Roman"/>
          <w:sz w:val="24"/>
          <w:szCs w:val="24"/>
        </w:rPr>
        <w:t xml:space="preserve">The second external marketing environment actor has been chosen as the political and regulatory environment due to the growing role of government policies in making investment decisions, the market access and sustainability standards in the global mining industry. In the case of BHP, regulatory intervention is especially important since adherence to changing environmental laws has a direct impact on its shift to less-carbon products and competitiveness in the global market (BHP, 2024). Regulatory programs, such as carbon pricing, mandatory disclosures on climate-related issues, critical minerals policies and environmental permitting policies, are more and more impacting corporate competitiveness and market positioning. According to the estimates of the International Energy Agency (2024), in 2023, the investment in critical mineral mining increased to around US $ 80 billion, a </w:t>
      </w:r>
      <w:r w:rsidR="00424C00" w:rsidRPr="002C4C6F">
        <w:rPr>
          <w:rFonts w:eastAsia="Times New Roman"/>
          <w:sz w:val="24"/>
          <w:szCs w:val="24"/>
        </w:rPr>
        <w:t>10 %-point</w:t>
      </w:r>
      <w:r w:rsidRPr="002C4C6F">
        <w:rPr>
          <w:rFonts w:eastAsia="Times New Roman"/>
          <w:sz w:val="24"/>
          <w:szCs w:val="24"/>
        </w:rPr>
        <w:t xml:space="preserve"> rise over 2022 (CIBC, 2024). It is indicative of an increasing governmental support of resilient and sustainable mineral supply chains where BHP is enhanced to build on its portfolio of copper, nickel and potash and sustain its image as a responsible provider of essential minerals.</w:t>
      </w:r>
    </w:p>
    <w:p w14:paraId="14E361B8" w14:textId="77777777" w:rsidR="00213D05" w:rsidRPr="002C4C6F" w:rsidRDefault="00215BD5" w:rsidP="002C4C6F">
      <w:pPr>
        <w:pStyle w:val="Heading3"/>
      </w:pPr>
      <w:bookmarkStart w:id="12" w:name="_Toc235182442"/>
      <w:r w:rsidRPr="002C4C6F">
        <w:t>1.3.2 Strategic Opportunities, Threats and Competitive Implications</w:t>
      </w:r>
      <w:bookmarkEnd w:id="12"/>
    </w:p>
    <w:p w14:paraId="722891B4" w14:textId="77777777" w:rsidR="00213D05" w:rsidRPr="002C4C6F" w:rsidRDefault="00215BD5" w:rsidP="002C4C6F">
      <w:pPr>
        <w:spacing w:before="240" w:after="40" w:line="360" w:lineRule="auto"/>
        <w:jc w:val="both"/>
        <w:rPr>
          <w:rFonts w:eastAsia="Times New Roman"/>
          <w:b/>
          <w:bCs/>
          <w:sz w:val="24"/>
          <w:szCs w:val="24"/>
        </w:rPr>
      </w:pPr>
      <w:r w:rsidRPr="002C4C6F">
        <w:rPr>
          <w:rFonts w:eastAsia="Times New Roman"/>
          <w:b/>
          <w:bCs/>
          <w:sz w:val="24"/>
          <w:szCs w:val="24"/>
        </w:rPr>
        <w:t>Strategic Opportunities</w:t>
      </w:r>
    </w:p>
    <w:p w14:paraId="196A99A2" w14:textId="77777777" w:rsidR="00213D05" w:rsidRPr="002C4C6F" w:rsidRDefault="00215BD5" w:rsidP="002C4C6F">
      <w:pPr>
        <w:spacing w:before="240" w:after="240" w:line="360" w:lineRule="auto"/>
        <w:jc w:val="both"/>
        <w:rPr>
          <w:rFonts w:eastAsia="Times New Roman"/>
          <w:sz w:val="24"/>
          <w:szCs w:val="24"/>
        </w:rPr>
      </w:pPr>
      <w:r w:rsidRPr="002C4C6F">
        <w:rPr>
          <w:rFonts w:eastAsia="Times New Roman"/>
          <w:sz w:val="24"/>
          <w:szCs w:val="24"/>
        </w:rPr>
        <w:t xml:space="preserve">The changing regulatory environment offers some big strategic prospects to BHP. The incentives provided by the government on the use of low-carbon technologies and responsible mining are creating a demand on certified sustainable raw materials that provide the company with an opportunity to improve customer trust, investor confidence, and differentiate among corporate brands in the global business-to-business markets (Ekins </w:t>
      </w:r>
      <w:r w:rsidRPr="002C4C6F">
        <w:rPr>
          <w:rFonts w:eastAsia="Times New Roman"/>
          <w:i/>
          <w:iCs/>
          <w:sz w:val="24"/>
          <w:szCs w:val="24"/>
        </w:rPr>
        <w:t>et al</w:t>
      </w:r>
      <w:r w:rsidRPr="002C4C6F">
        <w:rPr>
          <w:rFonts w:eastAsia="Times New Roman"/>
          <w:sz w:val="24"/>
          <w:szCs w:val="24"/>
        </w:rPr>
        <w:t xml:space="preserve">. 2026). </w:t>
      </w:r>
    </w:p>
    <w:p w14:paraId="29949D6A" w14:textId="77777777" w:rsidR="00213D05" w:rsidRPr="002C4C6F" w:rsidRDefault="00215BD5" w:rsidP="002C4C6F">
      <w:pPr>
        <w:spacing w:before="240" w:after="40" w:line="360" w:lineRule="auto"/>
        <w:jc w:val="both"/>
        <w:rPr>
          <w:rFonts w:eastAsia="Times New Roman"/>
          <w:b/>
          <w:bCs/>
          <w:sz w:val="24"/>
          <w:szCs w:val="24"/>
        </w:rPr>
      </w:pPr>
      <w:r w:rsidRPr="002C4C6F">
        <w:rPr>
          <w:rFonts w:eastAsia="Times New Roman"/>
          <w:b/>
          <w:bCs/>
          <w:sz w:val="24"/>
          <w:szCs w:val="24"/>
        </w:rPr>
        <w:lastRenderedPageBreak/>
        <w:t>Strategic Threats</w:t>
      </w:r>
    </w:p>
    <w:p w14:paraId="4567C2E0" w14:textId="77777777" w:rsidR="00213D05" w:rsidRPr="002C4C6F" w:rsidRDefault="00215BD5" w:rsidP="002C4C6F">
      <w:pPr>
        <w:spacing w:before="240" w:after="240" w:line="360" w:lineRule="auto"/>
        <w:jc w:val="both"/>
        <w:rPr>
          <w:rFonts w:eastAsia="Times New Roman"/>
          <w:sz w:val="24"/>
          <w:szCs w:val="24"/>
        </w:rPr>
      </w:pPr>
      <w:r w:rsidRPr="002C4C6F">
        <w:rPr>
          <w:rFonts w:eastAsia="Times New Roman"/>
          <w:sz w:val="24"/>
          <w:szCs w:val="24"/>
        </w:rPr>
        <w:t xml:space="preserve">On the other hand, regulatory uncertainty is an important threat. The difference in carbon policies, more onerous environmental approvals and a changing level of reporting raises compliance costs and the complexity of operations. Environmental permits delays or mining law amendments can interfere with the production, decrease the level of investment security and diminish the responsiveness to competition (Manalo, 2026). Loss of customer contracts and access to the market might also be threatened by failure to comply with more demanding sustainability standards. </w:t>
      </w:r>
    </w:p>
    <w:p w14:paraId="38ABDD46" w14:textId="77777777" w:rsidR="00213D05" w:rsidRPr="002C4C6F" w:rsidRDefault="00215BD5" w:rsidP="002C4C6F">
      <w:pPr>
        <w:spacing w:before="240" w:after="40" w:line="360" w:lineRule="auto"/>
        <w:jc w:val="both"/>
        <w:rPr>
          <w:rFonts w:eastAsia="Times New Roman"/>
          <w:b/>
          <w:bCs/>
          <w:sz w:val="24"/>
          <w:szCs w:val="24"/>
        </w:rPr>
      </w:pPr>
      <w:r w:rsidRPr="002C4C6F">
        <w:rPr>
          <w:rFonts w:eastAsia="Times New Roman"/>
          <w:b/>
          <w:bCs/>
          <w:sz w:val="24"/>
          <w:szCs w:val="24"/>
        </w:rPr>
        <w:t>Critical Evaluation of Competitive Implications</w:t>
      </w:r>
    </w:p>
    <w:p w14:paraId="34548E5D" w14:textId="77777777" w:rsidR="00213D05" w:rsidRPr="002C4C6F" w:rsidRDefault="00215BD5" w:rsidP="002C4C6F">
      <w:pPr>
        <w:spacing w:before="240" w:after="240" w:line="360" w:lineRule="auto"/>
        <w:jc w:val="both"/>
        <w:rPr>
          <w:rFonts w:eastAsia="Times New Roman"/>
          <w:sz w:val="24"/>
          <w:szCs w:val="24"/>
        </w:rPr>
      </w:pPr>
      <w:r w:rsidRPr="002C4C6F">
        <w:rPr>
          <w:rFonts w:eastAsia="Times New Roman"/>
          <w:sz w:val="24"/>
          <w:szCs w:val="24"/>
        </w:rPr>
        <w:t xml:space="preserve">The regulatory environment has strategic implications, which go beyond being in compliance with the law and are having a greater impact on competitive positioning. In marketing perspective, regulatory compliance has become a marketing capability that enhances the value proposition and corporate image of BHP and also enables the company to build more positive relationships with the environmentally sensitive industrial customers. Nonetheless, adherence to regulations by itself would not result in a long-term competitive advantage since the environmental standards are becoming a standard in the industry. Therefore, BHP needs to actively incorporate sustainability in its marketing, product development and communication with its stakeholders to stand out among its competitors and be able to remain competitive long-term in the industry as a global mining company. </w:t>
      </w:r>
    </w:p>
    <w:p w14:paraId="2AE647A6" w14:textId="77777777" w:rsidR="00213D05" w:rsidRPr="002C4C6F" w:rsidRDefault="00215BD5" w:rsidP="002C4C6F">
      <w:pPr>
        <w:pStyle w:val="Heading1"/>
      </w:pPr>
      <w:bookmarkStart w:id="13" w:name="_Toc235182443"/>
      <w:r w:rsidRPr="002C4C6F">
        <w:t>2. Task 2: Strategic Growth and Competitive Positioning</w:t>
      </w:r>
      <w:bookmarkEnd w:id="13"/>
    </w:p>
    <w:p w14:paraId="5F57782E" w14:textId="77777777" w:rsidR="00213D05" w:rsidRPr="002C4C6F" w:rsidRDefault="00215BD5" w:rsidP="002C4C6F">
      <w:pPr>
        <w:pStyle w:val="Heading2"/>
      </w:pPr>
      <w:bookmarkStart w:id="14" w:name="_Toc235182444"/>
      <w:r w:rsidRPr="002C4C6F">
        <w:t>2.1 Strategic Growth Recommendation Using the Ansoff Matrix</w:t>
      </w:r>
      <w:bookmarkEnd w:id="14"/>
    </w:p>
    <w:p w14:paraId="39AA647D" w14:textId="77777777" w:rsidR="00213D05" w:rsidRPr="002C4C6F" w:rsidRDefault="00215BD5" w:rsidP="002C4C6F">
      <w:pPr>
        <w:pStyle w:val="Heading3"/>
      </w:pPr>
      <w:bookmarkStart w:id="15" w:name="_Toc235182445"/>
      <w:r w:rsidRPr="002C4C6F">
        <w:t>2.1.1 Recommended Strategic Growth Approach: Product Development</w:t>
      </w:r>
      <w:bookmarkEnd w:id="15"/>
    </w:p>
    <w:p w14:paraId="58DDD8D7" w14:textId="77777777" w:rsidR="00213D05" w:rsidRPr="002C4C6F" w:rsidRDefault="00215BD5" w:rsidP="002C4C6F">
      <w:pPr>
        <w:spacing w:before="240" w:after="240" w:line="360" w:lineRule="auto"/>
        <w:jc w:val="both"/>
        <w:rPr>
          <w:rFonts w:eastAsia="Times New Roman"/>
          <w:sz w:val="24"/>
          <w:szCs w:val="24"/>
        </w:rPr>
      </w:pPr>
      <w:r w:rsidRPr="002C4C6F">
        <w:rPr>
          <w:rFonts w:eastAsia="Times New Roman"/>
          <w:sz w:val="24"/>
          <w:szCs w:val="24"/>
        </w:rPr>
        <w:t xml:space="preserve">Based on the environmental analysis undertaken in Task 1, Product Development is the best strategic growth option to help BHP shift to a lower-carbon business model. The product development according to the Matrix of Ansoff is aimed at the introduction of new products or considerably improved products into the already existing markets, which will </w:t>
      </w:r>
      <w:r w:rsidRPr="002C4C6F">
        <w:rPr>
          <w:rFonts w:eastAsia="Times New Roman"/>
          <w:sz w:val="24"/>
          <w:szCs w:val="24"/>
        </w:rPr>
        <w:lastRenderedPageBreak/>
        <w:t>contribute to the sustainable growth and competitive advantage (Maris and Clarissia, 2019). This tactic will be consistent with the BHP existing relationships with the steel producers, renewable energy providers and electric vehicle (EV) supply chains and allow the company to improve the environmental performance of its current mineral portfolio as opposed to going to new markets.</w:t>
      </w:r>
    </w:p>
    <w:p w14:paraId="51D48A3E" w14:textId="4C0BA1EA" w:rsidR="00213D05" w:rsidRPr="002C4C6F" w:rsidRDefault="00215BD5" w:rsidP="002C4C6F">
      <w:pPr>
        <w:spacing w:before="240" w:after="240" w:line="360" w:lineRule="auto"/>
        <w:jc w:val="both"/>
        <w:rPr>
          <w:rFonts w:eastAsia="Times New Roman"/>
          <w:sz w:val="24"/>
          <w:szCs w:val="24"/>
        </w:rPr>
      </w:pPr>
      <w:r w:rsidRPr="002C4C6F">
        <w:rPr>
          <w:rFonts w:eastAsia="Times New Roman"/>
          <w:sz w:val="24"/>
          <w:szCs w:val="24"/>
        </w:rPr>
        <w:t xml:space="preserve">The Product Development has a better strategic fit compared to other Ansoff quadrants. Penetration of the market would mainly boost the sale of existing products of BHP without adequately addressing the increased demand of the lower-carbon minerals. Market Development would entail penetrating different geographical or customer markets but would not directly deal with the environmental and regulatory pressures that have been identified in Task 1. This would demand massive investment in whole new industries and a rise in strategic </w:t>
      </w:r>
      <w:r w:rsidR="002C4C6F" w:rsidRPr="002C4C6F">
        <w:rPr>
          <w:rFonts w:eastAsia="Times New Roman"/>
          <w:sz w:val="24"/>
          <w:szCs w:val="24"/>
        </w:rPr>
        <w:t>uncertainty (</w:t>
      </w:r>
      <w:r w:rsidRPr="002C4C6F">
        <w:rPr>
          <w:rFonts w:eastAsia="Times New Roman"/>
          <w:sz w:val="24"/>
          <w:szCs w:val="24"/>
        </w:rPr>
        <w:t xml:space="preserve">Buzhymska </w:t>
      </w:r>
      <w:r w:rsidRPr="002C4C6F">
        <w:rPr>
          <w:rFonts w:eastAsia="Times New Roman"/>
          <w:i/>
          <w:iCs/>
          <w:sz w:val="24"/>
          <w:szCs w:val="24"/>
        </w:rPr>
        <w:t>et al.</w:t>
      </w:r>
      <w:r w:rsidRPr="002C4C6F">
        <w:rPr>
          <w:rFonts w:eastAsia="Times New Roman"/>
          <w:sz w:val="24"/>
          <w:szCs w:val="24"/>
        </w:rPr>
        <w:t xml:space="preserve"> 2024). Product Development on the other hand allows BHP to build on the mining expertise it already has, customer relationships and global supply chain whilst enhancing the sustainability qualities of already demanded products by industrial customers. </w:t>
      </w:r>
    </w:p>
    <w:p w14:paraId="61C85A11" w14:textId="77777777" w:rsidR="00213D05" w:rsidRPr="002C4C6F" w:rsidRDefault="00215BD5" w:rsidP="002C4C6F">
      <w:pPr>
        <w:spacing w:before="240" w:after="240" w:line="360" w:lineRule="auto"/>
        <w:jc w:val="center"/>
        <w:rPr>
          <w:rFonts w:eastAsia="Times New Roman"/>
          <w:sz w:val="24"/>
          <w:szCs w:val="24"/>
        </w:rPr>
      </w:pPr>
      <w:r w:rsidRPr="002C4C6F">
        <w:rPr>
          <w:rFonts w:eastAsia="Times New Roman"/>
          <w:noProof/>
          <w:sz w:val="24"/>
          <w:szCs w:val="24"/>
          <w:lang w:eastAsia="en-US"/>
        </w:rPr>
        <w:drawing>
          <wp:inline distT="114300" distB="114300" distL="114300" distR="114300" wp14:anchorId="4EB42003" wp14:editId="6F3CFC5D">
            <wp:extent cx="5943600" cy="3441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441700"/>
                    </a:xfrm>
                    <a:prstGeom prst="rect">
                      <a:avLst/>
                    </a:prstGeom>
                    <a:ln/>
                  </pic:spPr>
                </pic:pic>
              </a:graphicData>
            </a:graphic>
          </wp:inline>
        </w:drawing>
      </w:r>
    </w:p>
    <w:p w14:paraId="5E342D71" w14:textId="03D9142F" w:rsidR="00213D05" w:rsidRPr="002C4C6F" w:rsidRDefault="002C4C6F" w:rsidP="002C4C6F">
      <w:pPr>
        <w:spacing w:before="240" w:after="240" w:line="360" w:lineRule="auto"/>
        <w:jc w:val="center"/>
        <w:rPr>
          <w:rFonts w:eastAsia="Times New Roman"/>
          <w:b/>
          <w:bCs/>
          <w:sz w:val="24"/>
          <w:szCs w:val="24"/>
        </w:rPr>
      </w:pPr>
      <w:r>
        <w:rPr>
          <w:rFonts w:eastAsia="Times New Roman"/>
          <w:b/>
          <w:bCs/>
          <w:sz w:val="24"/>
          <w:szCs w:val="24"/>
        </w:rPr>
        <w:t xml:space="preserve">Figure </w:t>
      </w:r>
      <w:r w:rsidR="00215BD5" w:rsidRPr="002C4C6F">
        <w:rPr>
          <w:rFonts w:eastAsia="Times New Roman"/>
          <w:b/>
          <w:bCs/>
          <w:sz w:val="24"/>
          <w:szCs w:val="24"/>
        </w:rPr>
        <w:t>2: Ansoff Matrix</w:t>
      </w:r>
    </w:p>
    <w:p w14:paraId="12C03E24" w14:textId="5E27ABE9" w:rsidR="00213D05" w:rsidRPr="002C4C6F" w:rsidRDefault="00215BD5" w:rsidP="002C4C6F">
      <w:pPr>
        <w:spacing w:before="240" w:after="240" w:line="360" w:lineRule="auto"/>
        <w:jc w:val="center"/>
        <w:rPr>
          <w:rFonts w:eastAsia="Times New Roman"/>
          <w:sz w:val="24"/>
          <w:szCs w:val="24"/>
        </w:rPr>
      </w:pPr>
      <w:r w:rsidRPr="002C4C6F">
        <w:rPr>
          <w:rFonts w:eastAsia="Times New Roman"/>
          <w:sz w:val="24"/>
          <w:szCs w:val="24"/>
        </w:rPr>
        <w:lastRenderedPageBreak/>
        <w:t>(Source:</w:t>
      </w:r>
      <w:r w:rsidR="00424C00" w:rsidRPr="002C4C6F">
        <w:rPr>
          <w:rFonts w:eastAsia="Times New Roman"/>
          <w:sz w:val="24"/>
          <w:szCs w:val="24"/>
        </w:rPr>
        <w:t xml:space="preserve"> </w:t>
      </w:r>
      <w:r w:rsidRPr="002C4C6F">
        <w:rPr>
          <w:rFonts w:eastAsia="Times New Roman"/>
          <w:sz w:val="24"/>
          <w:szCs w:val="24"/>
        </w:rPr>
        <w:t>Peterdy, 2025)</w:t>
      </w:r>
    </w:p>
    <w:p w14:paraId="741CA8BE" w14:textId="77777777" w:rsidR="00213D05" w:rsidRPr="002C4C6F" w:rsidRDefault="00215BD5" w:rsidP="002C4C6F">
      <w:pPr>
        <w:pStyle w:val="Heading3"/>
      </w:pPr>
      <w:bookmarkStart w:id="16" w:name="_Toc235182446"/>
      <w:r w:rsidRPr="002C4C6F">
        <w:t>2.1.2 Strategic Justification and Response to Environmental Pressures</w:t>
      </w:r>
      <w:bookmarkEnd w:id="16"/>
    </w:p>
    <w:p w14:paraId="0A826DAC" w14:textId="77777777" w:rsidR="00213D05" w:rsidRPr="002C4C6F" w:rsidRDefault="00215BD5" w:rsidP="002C4C6F">
      <w:pPr>
        <w:spacing w:before="240" w:after="240" w:line="360" w:lineRule="auto"/>
        <w:jc w:val="both"/>
        <w:rPr>
          <w:rFonts w:eastAsia="Times New Roman"/>
          <w:sz w:val="24"/>
          <w:szCs w:val="24"/>
        </w:rPr>
      </w:pPr>
      <w:r w:rsidRPr="002C4C6F">
        <w:rPr>
          <w:rFonts w:eastAsia="Times New Roman"/>
          <w:sz w:val="24"/>
          <w:szCs w:val="24"/>
        </w:rPr>
        <w:t>The Product Development plan is a direct response to the natural environmental and political-regulatory pressure that was established in Task 1. Growing climate change issues, resource depletion, price of carbon, biodiversity anticipation and more stringent environmental laws have radically reformed purchasing priorities on the industrial markets (Burgess and Barbier, 2025). This has made customers increasingly demand responsible sourced minerals that have a lesser carbon footprint, suppliers like BHP have to compete based on the environmental performance to the operational efficiency and the quality of the product. To act promptly, BHP can go the extra mile to create certified lower-carbon copper, nickel and potash products through increased mining using renewable energy, operational electrification and clear carbon reporting across its production lines. These programs add value to the environmental sustainability of the current products delivered to current clients, especially the manufacturers of electric cars, battery systems and renewable energy systems (Pouresmaieli</w:t>
      </w:r>
      <w:r w:rsidRPr="002C4C6F">
        <w:rPr>
          <w:rFonts w:eastAsia="Times New Roman"/>
          <w:i/>
          <w:iCs/>
          <w:sz w:val="24"/>
          <w:szCs w:val="24"/>
        </w:rPr>
        <w:t xml:space="preserve"> et al.</w:t>
      </w:r>
      <w:r w:rsidRPr="002C4C6F">
        <w:rPr>
          <w:rFonts w:eastAsia="Times New Roman"/>
          <w:sz w:val="24"/>
          <w:szCs w:val="24"/>
        </w:rPr>
        <w:t xml:space="preserve"> 2023). In terms of marketing, this approach enhances the value proposition of BHP as it allows the customers to help cut Scope 3 emissions in their respective supply chains and enhances its corporate image as a responsible provider of essential minerals.</w:t>
      </w:r>
    </w:p>
    <w:p w14:paraId="48B621A5" w14:textId="77777777" w:rsidR="00213D05" w:rsidRPr="002C4C6F" w:rsidRDefault="00215BD5" w:rsidP="002C4C6F">
      <w:pPr>
        <w:spacing w:before="240" w:after="240" w:line="360" w:lineRule="auto"/>
        <w:jc w:val="both"/>
        <w:rPr>
          <w:rFonts w:eastAsia="Times New Roman"/>
          <w:sz w:val="24"/>
          <w:szCs w:val="24"/>
        </w:rPr>
      </w:pPr>
      <w:r w:rsidRPr="002C4C6F">
        <w:rPr>
          <w:rFonts w:eastAsia="Times New Roman"/>
          <w:sz w:val="24"/>
          <w:szCs w:val="24"/>
        </w:rPr>
        <w:t xml:space="preserve">Even though Product Development will entail high investment in technological development, operational metamorphosis and sustainability certification, the investments would perhaps have long term strategic payoffs (Kotler </w:t>
      </w:r>
      <w:r w:rsidRPr="002C4C6F">
        <w:rPr>
          <w:rFonts w:eastAsia="Times New Roman"/>
          <w:i/>
          <w:iCs/>
          <w:sz w:val="24"/>
          <w:szCs w:val="24"/>
        </w:rPr>
        <w:t>et al.</w:t>
      </w:r>
      <w:r w:rsidRPr="002C4C6F">
        <w:rPr>
          <w:rFonts w:eastAsia="Times New Roman"/>
          <w:sz w:val="24"/>
          <w:szCs w:val="24"/>
        </w:rPr>
        <w:t xml:space="preserve"> 2024). By being proactive in terms of changing environmental demands and regulatory needs, BHP will be able to increase its level of customer loyalty, build brand credibility and stand out among its competitors in the global mining sector. Thus, Product Development is the most suitable Ansoff strategy since it helps BHP to move towards lower-carbon operations, strengthens its competitive position and ensures long-term growth in the current global markets. </w:t>
      </w:r>
    </w:p>
    <w:p w14:paraId="0E359FB2" w14:textId="77777777" w:rsidR="00213D05" w:rsidRPr="002C4C6F" w:rsidRDefault="00215BD5" w:rsidP="002C4C6F">
      <w:pPr>
        <w:pStyle w:val="Heading2"/>
      </w:pPr>
      <w:bookmarkStart w:id="17" w:name="_Toc235182447"/>
      <w:r w:rsidRPr="002C4C6F">
        <w:lastRenderedPageBreak/>
        <w:t>2.2 Competitive Advantage Through a Lower-Carbon Business Model</w:t>
      </w:r>
      <w:bookmarkEnd w:id="17"/>
    </w:p>
    <w:p w14:paraId="3A3C2098" w14:textId="77777777" w:rsidR="00213D05" w:rsidRPr="002C4C6F" w:rsidRDefault="00215BD5" w:rsidP="002C4C6F">
      <w:pPr>
        <w:pStyle w:val="Heading3"/>
      </w:pPr>
      <w:bookmarkStart w:id="18" w:name="_Toc235182448"/>
      <w:r w:rsidRPr="002C4C6F">
        <w:t>2.2.1 Achieving Competitive Advantage Through Porter's Generic Strategies</w:t>
      </w:r>
      <w:bookmarkEnd w:id="18"/>
    </w:p>
    <w:p w14:paraId="2FBB3226" w14:textId="77777777" w:rsidR="00213D05" w:rsidRPr="002C4C6F" w:rsidRDefault="00215BD5" w:rsidP="002C4C6F">
      <w:pPr>
        <w:spacing w:before="240" w:after="240" w:line="360" w:lineRule="auto"/>
        <w:jc w:val="both"/>
        <w:rPr>
          <w:rFonts w:eastAsia="Times New Roman"/>
          <w:sz w:val="24"/>
          <w:szCs w:val="24"/>
        </w:rPr>
      </w:pPr>
      <w:r w:rsidRPr="002C4C6F">
        <w:rPr>
          <w:rFonts w:eastAsia="Times New Roman"/>
          <w:sz w:val="24"/>
          <w:szCs w:val="24"/>
        </w:rPr>
        <w:t>According to Porter's Generic Strategies, organisations may attain sustainable competitive advantage based on cost leadership, differentiation or focus, depending on their ability to develop an excellent customer value compared to their competitors (Ali and Anwar, 2021). In the global mining sector, Differentiation Strategy is the best strategy that would suit BHP since green performance has emerged as a more significant buying factor among industrial clients. Even though cost leadership will continue to play a crucial role in the commodity markets, it is not expected to be a sustainable competitive advantage since the production technologies and operational efficiencies can be reproduced among the competitors (Jerab and Mabrouk, 2023). Rather, the shift towards lower-carbon production will allow BHP to generate more customer value by providing responsibly produced critical minerals that can help customers achieve decarbonisation.</w:t>
      </w:r>
    </w:p>
    <w:p w14:paraId="3B7FA7DC" w14:textId="5E2CE8AA" w:rsidR="00213D05" w:rsidRPr="002C4C6F" w:rsidRDefault="00215BD5" w:rsidP="002C4C6F">
      <w:pPr>
        <w:spacing w:before="240" w:after="240" w:line="360" w:lineRule="auto"/>
        <w:jc w:val="both"/>
        <w:rPr>
          <w:rFonts w:eastAsia="Times New Roman"/>
          <w:b/>
          <w:bCs/>
          <w:sz w:val="24"/>
          <w:szCs w:val="24"/>
        </w:rPr>
      </w:pPr>
      <w:r w:rsidRPr="002C4C6F">
        <w:rPr>
          <w:rFonts w:eastAsia="Times New Roman"/>
          <w:sz w:val="24"/>
          <w:szCs w:val="24"/>
        </w:rPr>
        <w:t>This plan is a direct reaction to the environmental and regulatory pressures listed in Task 1. The shift in purchasing behaviour in business-to-business markets is driven by climate change, carbon pricing, the expectations of biodiversity and the mandatory sustainability disclosures which have led to buying decisions now being based on environmental performance in addition to the cost and reliability of suppliers. As a result, certified lower-carbon copper, nickel and potash products position BHP as a strategic sustainability partner and not just a commodity supplier both in the eyes of its customers and in its competitive positioning (BHP, 2026</w:t>
      </w:r>
      <w:r w:rsidR="002C4C6F" w:rsidRPr="002C4C6F">
        <w:rPr>
          <w:rFonts w:eastAsia="Times New Roman"/>
          <w:sz w:val="24"/>
          <w:szCs w:val="24"/>
        </w:rPr>
        <w:t>). This</w:t>
      </w:r>
      <w:r w:rsidRPr="002C4C6F">
        <w:rPr>
          <w:rFonts w:eastAsia="Times New Roman"/>
          <w:sz w:val="24"/>
          <w:szCs w:val="24"/>
        </w:rPr>
        <w:t xml:space="preserve"> is a marketing perspective change to the traditional price-based competition to value-based marketing where proven environmental performance is considered a brand equity source and helps to achieve long-term customer loyalty. </w:t>
      </w:r>
    </w:p>
    <w:p w14:paraId="2B576469" w14:textId="77777777" w:rsidR="00213D05" w:rsidRPr="002C4C6F" w:rsidRDefault="00215BD5" w:rsidP="002C4C6F">
      <w:pPr>
        <w:pStyle w:val="Heading3"/>
      </w:pPr>
      <w:bookmarkStart w:id="19" w:name="_Toc235182449"/>
      <w:r w:rsidRPr="002C4C6F">
        <w:t>2.2.2 Sustaining Competitive Advantage</w:t>
      </w:r>
      <w:bookmarkEnd w:id="19"/>
    </w:p>
    <w:p w14:paraId="52B3E08B" w14:textId="77777777" w:rsidR="00213D05" w:rsidRPr="002C4C6F" w:rsidRDefault="00215BD5" w:rsidP="002C4C6F">
      <w:pPr>
        <w:spacing w:before="240" w:after="240" w:line="360" w:lineRule="auto"/>
        <w:jc w:val="both"/>
        <w:rPr>
          <w:rFonts w:eastAsia="Times New Roman"/>
          <w:sz w:val="24"/>
          <w:szCs w:val="24"/>
        </w:rPr>
      </w:pPr>
      <w:r w:rsidRPr="002C4C6F">
        <w:rPr>
          <w:rFonts w:eastAsia="Times New Roman"/>
          <w:sz w:val="24"/>
          <w:szCs w:val="24"/>
        </w:rPr>
        <w:t xml:space="preserve">Although differentiation enhances the competitive advantage of BHP, it is a very difficult strategy to maintain. Switching to lower-carbon mining will demand significant investment in renewable energy integration, mine electrification, digital monitoring technologies and </w:t>
      </w:r>
      <w:r w:rsidRPr="002C4C6F">
        <w:rPr>
          <w:rFonts w:eastAsia="Times New Roman"/>
          <w:sz w:val="24"/>
          <w:szCs w:val="24"/>
        </w:rPr>
        <w:lastRenderedPageBreak/>
        <w:t>sustainability assurance systems, which will raise short-term capital expenditure and complexity of operations. Nevertheless, postponement of such investments may put BHP at a higher risk in the long-term, such as having less access to the market, losing investor confidence and losing industrial customers who can aim to lower Scope 3 emissions throughout their supply chains (Knaus and Morton, 2026). Thus, the expenses of decarbonisation are to be considered as a strategic investment and not as a working cost.</w:t>
      </w:r>
    </w:p>
    <w:p w14:paraId="59BA0A83" w14:textId="2AF4C20F" w:rsidR="00213D05" w:rsidRPr="002C4C6F" w:rsidRDefault="00215BD5" w:rsidP="002C4C6F">
      <w:pPr>
        <w:spacing w:before="240" w:after="240" w:line="360" w:lineRule="auto"/>
        <w:jc w:val="both"/>
        <w:rPr>
          <w:rFonts w:eastAsia="Times New Roman"/>
          <w:b/>
          <w:bCs/>
          <w:sz w:val="24"/>
          <w:szCs w:val="24"/>
        </w:rPr>
      </w:pPr>
      <w:r w:rsidRPr="002C4C6F">
        <w:rPr>
          <w:sz w:val="24"/>
          <w:szCs w:val="24"/>
          <w:highlight w:val="white"/>
        </w:rPr>
        <w:t xml:space="preserve">Yet, Sustainability practices should be adopted to assist managing externalities associated with </w:t>
      </w:r>
      <w:r w:rsidR="00424C00" w:rsidRPr="002C4C6F">
        <w:rPr>
          <w:sz w:val="24"/>
          <w:szCs w:val="24"/>
          <w:highlight w:val="white"/>
        </w:rPr>
        <w:t>mining.</w:t>
      </w:r>
      <w:r w:rsidR="00424C00" w:rsidRPr="002C4C6F">
        <w:rPr>
          <w:sz w:val="24"/>
          <w:szCs w:val="24"/>
        </w:rPr>
        <w:t xml:space="preserve"> These</w:t>
      </w:r>
      <w:r w:rsidRPr="002C4C6F">
        <w:rPr>
          <w:sz w:val="24"/>
          <w:szCs w:val="24"/>
        </w:rPr>
        <w:t xml:space="preserve"> requirements must be followed by suppliers.</w:t>
      </w:r>
      <w:r w:rsidRPr="002C4C6F">
        <w:rPr>
          <w:sz w:val="24"/>
          <w:szCs w:val="24"/>
          <w:highlight w:val="white"/>
        </w:rPr>
        <w:t xml:space="preserve"> The Olympic Dam Grade Lead Suitability and Responsiveness supplier framework (CIMIC, 2025) refers to assessing and improving sustainable procurement practices regarding environmental </w:t>
      </w:r>
      <w:r w:rsidR="00424C00" w:rsidRPr="002C4C6F">
        <w:rPr>
          <w:sz w:val="24"/>
          <w:szCs w:val="24"/>
          <w:highlight w:val="white"/>
        </w:rPr>
        <w:t>performance. These</w:t>
      </w:r>
      <w:r w:rsidRPr="002C4C6F">
        <w:rPr>
          <w:sz w:val="24"/>
          <w:szCs w:val="24"/>
          <w:highlight w:val="white"/>
        </w:rPr>
        <w:t xml:space="preserve"> practices are mentioned further in the tendering process.</w:t>
      </w:r>
      <w:r w:rsidRPr="002C4C6F">
        <w:rPr>
          <w:rFonts w:eastAsia="Times New Roman"/>
          <w:sz w:val="24"/>
          <w:szCs w:val="24"/>
        </w:rPr>
        <w:t xml:space="preserve"> This implies that BHP must incorporate lower carbon product development with transparent carbon reporting, inexorable technological development and customer-centric sustainability solutions to ensure that it maintains sustainable competitive advantage and ascertains its long-term market stance.</w:t>
      </w:r>
      <w:r w:rsidRPr="002C4C6F">
        <w:rPr>
          <w:rFonts w:eastAsia="Times New Roman"/>
          <w:b/>
          <w:bCs/>
          <w:sz w:val="24"/>
          <w:szCs w:val="24"/>
        </w:rPr>
        <w:t xml:space="preserve"> </w:t>
      </w:r>
    </w:p>
    <w:p w14:paraId="51323182" w14:textId="77777777" w:rsidR="00213D05" w:rsidRPr="002C4C6F" w:rsidRDefault="00215BD5" w:rsidP="002C4C6F">
      <w:pPr>
        <w:pStyle w:val="Heading1"/>
      </w:pPr>
      <w:bookmarkStart w:id="20" w:name="_Toc235182450"/>
      <w:r w:rsidRPr="002C4C6F">
        <w:t>3. Task 3: Critical Reflection on AI Usage</w:t>
      </w:r>
      <w:bookmarkEnd w:id="20"/>
      <w:r w:rsidRPr="002C4C6F">
        <w:t xml:space="preserve"> </w:t>
      </w:r>
    </w:p>
    <w:p w14:paraId="0DA233FA" w14:textId="77777777" w:rsidR="00213D05" w:rsidRPr="002C4C6F" w:rsidRDefault="00215BD5" w:rsidP="002C4C6F">
      <w:pPr>
        <w:pStyle w:val="Heading2"/>
      </w:pPr>
      <w:bookmarkStart w:id="21" w:name="_Toc235182451"/>
      <w:r w:rsidRPr="002C4C6F">
        <w:t>3.1 Tool Disclosure</w:t>
      </w:r>
      <w:bookmarkEnd w:id="21"/>
    </w:p>
    <w:p w14:paraId="22B0B8F1" w14:textId="77777777" w:rsidR="00213D05" w:rsidRPr="002C4C6F" w:rsidRDefault="00215BD5" w:rsidP="002C4C6F">
      <w:pPr>
        <w:spacing w:before="240" w:after="240" w:line="360" w:lineRule="auto"/>
        <w:jc w:val="both"/>
        <w:rPr>
          <w:rFonts w:eastAsia="Times New Roman"/>
          <w:sz w:val="24"/>
          <w:szCs w:val="24"/>
        </w:rPr>
      </w:pPr>
      <w:r w:rsidRPr="002C4C6F">
        <w:rPr>
          <w:rFonts w:eastAsia="Times New Roman"/>
          <w:sz w:val="24"/>
          <w:szCs w:val="24"/>
        </w:rPr>
        <w:t>Generative Artificial Intelligence (AI) was used only within the scope permitted by the assessment guidelines. This report was independently carried out using academic journals, company reports and industry publications. The role of AI was implemented as an additional research assistance tool to help compare the information, clarify notions and verify the relevance of chosen sources in the course of the research. Moreover, the final report was proofread with the usage of AI that detected grammatical and spelling mistakes, sentence structures and provided recommendations regarding the way language could be more understandable and scholarly. The report structure, critical analysis, theoretical application, and final written text were created independently based on the assessment requirements, which do not allow using AI to structure or write text on assignment.</w:t>
      </w:r>
    </w:p>
    <w:p w14:paraId="70B3B516" w14:textId="77777777" w:rsidR="00213D05" w:rsidRPr="002C4C6F" w:rsidRDefault="00215BD5" w:rsidP="002C4C6F">
      <w:pPr>
        <w:pStyle w:val="Heading2"/>
      </w:pPr>
      <w:bookmarkStart w:id="22" w:name="_Toc235182452"/>
      <w:r w:rsidRPr="002C4C6F">
        <w:lastRenderedPageBreak/>
        <w:t>3.2 Critical Evaluation of AI Output</w:t>
      </w:r>
      <w:bookmarkEnd w:id="22"/>
    </w:p>
    <w:p w14:paraId="39370E65" w14:textId="545221DD" w:rsidR="00213D05" w:rsidRPr="002C4C6F" w:rsidRDefault="00215BD5" w:rsidP="002C4C6F">
      <w:pPr>
        <w:spacing w:before="240" w:after="240" w:line="360" w:lineRule="auto"/>
        <w:jc w:val="both"/>
        <w:rPr>
          <w:rFonts w:eastAsia="Times New Roman"/>
          <w:sz w:val="24"/>
          <w:szCs w:val="24"/>
        </w:rPr>
      </w:pPr>
      <w:r w:rsidRPr="002C4C6F">
        <w:rPr>
          <w:rFonts w:eastAsia="Times New Roman"/>
          <w:sz w:val="24"/>
          <w:szCs w:val="24"/>
        </w:rPr>
        <w:t xml:space="preserve">Despite the research process being supported with the help of AI, all the AI-assisted information was critically </w:t>
      </w:r>
      <w:r w:rsidR="00424C00" w:rsidRPr="002C4C6F">
        <w:rPr>
          <w:rFonts w:eastAsia="Times New Roman"/>
          <w:sz w:val="24"/>
          <w:szCs w:val="24"/>
        </w:rPr>
        <w:t>analysed</w:t>
      </w:r>
      <w:r w:rsidRPr="002C4C6F">
        <w:rPr>
          <w:rFonts w:eastAsia="Times New Roman"/>
          <w:sz w:val="24"/>
          <w:szCs w:val="24"/>
        </w:rPr>
        <w:t xml:space="preserve"> before being taken into consideration to be included in the report. To ensure that the AI outputs are reliable, I used cross-docking of the results with peer-reviewed journal articles, official annual and sustainability reports of BHP, and other credible industry sources, such as International Energy Agency (IEA) reports. Special emphasis was placed on the verification of statistical information, date of publication, specifics of a company and theoretical principles. In cases where AI-generated information had no evidence, had inconsistencies or disagreed with academic sources, I dismissed or revised it with plausible sources. This verification method also guaranteed the report to be evidence-based, scholarly sound, and in line with the higher education research standards. </w:t>
      </w:r>
    </w:p>
    <w:p w14:paraId="103006D8" w14:textId="77777777" w:rsidR="00213D05" w:rsidRPr="002C4C6F" w:rsidRDefault="00215BD5" w:rsidP="002C4C6F">
      <w:pPr>
        <w:pStyle w:val="Heading2"/>
      </w:pPr>
      <w:bookmarkStart w:id="23" w:name="_Toc235182453"/>
      <w:r w:rsidRPr="002C4C6F">
        <w:t>3.3 Contribution Analysis</w:t>
      </w:r>
      <w:bookmarkEnd w:id="23"/>
    </w:p>
    <w:p w14:paraId="1D835141" w14:textId="77777777" w:rsidR="00213D05" w:rsidRPr="002C4C6F" w:rsidRDefault="00215BD5" w:rsidP="002C4C6F">
      <w:pPr>
        <w:spacing w:before="240" w:after="240" w:line="360" w:lineRule="auto"/>
        <w:jc w:val="both"/>
        <w:rPr>
          <w:rFonts w:eastAsia="Times New Roman"/>
          <w:sz w:val="24"/>
          <w:szCs w:val="24"/>
        </w:rPr>
      </w:pPr>
      <w:r w:rsidRPr="002C4C6F">
        <w:rPr>
          <w:rFonts w:eastAsia="Times New Roman"/>
          <w:sz w:val="24"/>
          <w:szCs w:val="24"/>
        </w:rPr>
        <w:t xml:space="preserve">The choice of the marketing theories and frameworks, evidence analysis, and formulation of critical arguments discussed in this report were independently made and developed by me. My critical thinking and interpretation of the literature were the basis on which I evaluated the marketing environment of BHP and applied the Ansoff Matrix and Porters Generic Strategies and made my conclusions. I did not rely on AI to create and organize the report. Rather, AI was solely utilized to facilitate the research process through comparison of information, clarifying concepts, verifying the relevance of the chosen sources and proofreading the final draft to ensure grammatical correctness and lack of language ambiguity. All my scholarly choices, such as the choice of the source, critical analysis, evidence synthesis, and the ultimate articulation of thoughts, were made on my own. Thus, the report represents rather personal analysis and scholarly opinion with AI being a rather narrowly focused supporting instrument. </w:t>
      </w:r>
    </w:p>
    <w:p w14:paraId="51D0FAB6" w14:textId="77777777" w:rsidR="00213D05" w:rsidRPr="002C4C6F" w:rsidRDefault="00215BD5" w:rsidP="002C4C6F">
      <w:pPr>
        <w:pStyle w:val="Heading2"/>
      </w:pPr>
      <w:bookmarkStart w:id="24" w:name="_Toc235182454"/>
      <w:r w:rsidRPr="002C4C6F">
        <w:t>3.4 Ethical and Professional Reflection</w:t>
      </w:r>
      <w:bookmarkEnd w:id="24"/>
    </w:p>
    <w:p w14:paraId="592EF8A0" w14:textId="4FD56871" w:rsidR="00213D05" w:rsidRPr="002C4C6F" w:rsidRDefault="00215BD5" w:rsidP="002C4C6F">
      <w:pPr>
        <w:spacing w:before="240" w:after="240" w:line="360" w:lineRule="auto"/>
        <w:jc w:val="both"/>
        <w:rPr>
          <w:rFonts w:eastAsia="Times New Roman"/>
          <w:sz w:val="24"/>
          <w:szCs w:val="24"/>
        </w:rPr>
      </w:pPr>
      <w:r w:rsidRPr="002C4C6F">
        <w:rPr>
          <w:rFonts w:eastAsia="Times New Roman"/>
          <w:sz w:val="24"/>
          <w:szCs w:val="24"/>
        </w:rPr>
        <w:t xml:space="preserve">In marketing analysis, AI offers tremendous possibilities in terms of efficiency, faster access to data and productivity. Nevertheless, I understand that overreliance on AI can </w:t>
      </w:r>
      <w:r w:rsidRPr="002C4C6F">
        <w:rPr>
          <w:rFonts w:eastAsia="Times New Roman"/>
          <w:sz w:val="24"/>
          <w:szCs w:val="24"/>
        </w:rPr>
        <w:lastRenderedPageBreak/>
        <w:t>decrease the ability to think and make independent decisions and lead to the adoption of erroneous, biased or obsolete facts in decisions. Thus, I considered AI to be a decision-support tool but not to substitute professional judgement. In order to maintain academ</w:t>
      </w:r>
      <w:r w:rsidR="00424C00" w:rsidRPr="002C4C6F">
        <w:rPr>
          <w:rFonts w:eastAsia="Times New Roman"/>
          <w:sz w:val="24"/>
          <w:szCs w:val="24"/>
        </w:rPr>
        <w:t>ic integrity,</w:t>
      </w:r>
      <w:r w:rsidRPr="002C4C6F">
        <w:rPr>
          <w:rFonts w:eastAsia="Times New Roman"/>
          <w:sz w:val="24"/>
          <w:szCs w:val="24"/>
        </w:rPr>
        <w:t xml:space="preserve"> I was open regarding the usage of AI and my work was my analysis. I also realize that AI outputs should be verified by marketing professionals, it should be evaluated whether it is risky or biased, keep information confidential and applied ethically. </w:t>
      </w:r>
    </w:p>
    <w:p w14:paraId="5EF067AC" w14:textId="77777777" w:rsidR="002C4C6F" w:rsidRDefault="002C4C6F">
      <w:pPr>
        <w:rPr>
          <w:b/>
          <w:bCs/>
          <w:sz w:val="28"/>
        </w:rPr>
      </w:pPr>
      <w:r>
        <w:br w:type="page"/>
      </w:r>
    </w:p>
    <w:p w14:paraId="4F963F95" w14:textId="0ABBBA8D" w:rsidR="00213D05" w:rsidRPr="002C4C6F" w:rsidRDefault="00215BD5" w:rsidP="002C4C6F">
      <w:pPr>
        <w:pStyle w:val="Heading1"/>
      </w:pPr>
      <w:bookmarkStart w:id="25" w:name="_Toc235182455"/>
      <w:r w:rsidRPr="002C4C6F">
        <w:lastRenderedPageBreak/>
        <w:t>References</w:t>
      </w:r>
      <w:bookmarkEnd w:id="25"/>
    </w:p>
    <w:p w14:paraId="05270CAD" w14:textId="77777777" w:rsidR="002C4C6F" w:rsidRPr="002C4C6F" w:rsidRDefault="002C4C6F" w:rsidP="002C4C6F">
      <w:pPr>
        <w:spacing w:before="240" w:after="240" w:line="360" w:lineRule="auto"/>
        <w:jc w:val="both"/>
        <w:rPr>
          <w:rFonts w:eastAsia="Times New Roman"/>
          <w:color w:val="1155CC"/>
          <w:sz w:val="24"/>
          <w:szCs w:val="24"/>
          <w:u w:val="single"/>
        </w:rPr>
      </w:pPr>
      <w:r w:rsidRPr="002C4C6F">
        <w:rPr>
          <w:rFonts w:eastAsia="Times New Roman"/>
          <w:sz w:val="24"/>
          <w:szCs w:val="24"/>
        </w:rPr>
        <w:t xml:space="preserve">Ali, B. and Anwar, K. (2021) ‘Porter’s generic competitive strategies and its influence on competitive advantage’, </w:t>
      </w:r>
      <w:r w:rsidRPr="002C4C6F">
        <w:rPr>
          <w:rFonts w:eastAsia="Times New Roman"/>
          <w:i/>
          <w:iCs/>
          <w:sz w:val="24"/>
          <w:szCs w:val="24"/>
        </w:rPr>
        <w:t>International Journal of Advanced Engineering, Management and Science</w:t>
      </w:r>
      <w:r w:rsidRPr="002C4C6F">
        <w:rPr>
          <w:rFonts w:eastAsia="Times New Roman"/>
          <w:sz w:val="24"/>
          <w:szCs w:val="24"/>
        </w:rPr>
        <w:t>. Available at:</w:t>
      </w:r>
      <w:hyperlink r:id="rId9">
        <w:r w:rsidRPr="002C4C6F">
          <w:rPr>
            <w:rFonts w:eastAsia="Times New Roman"/>
            <w:sz w:val="24"/>
            <w:szCs w:val="24"/>
          </w:rPr>
          <w:t xml:space="preserve"> </w:t>
        </w:r>
      </w:hyperlink>
      <w:hyperlink r:id="rId10">
        <w:r w:rsidRPr="002C4C6F">
          <w:rPr>
            <w:rFonts w:eastAsia="Times New Roman"/>
            <w:color w:val="1155CC"/>
            <w:sz w:val="24"/>
            <w:szCs w:val="24"/>
            <w:u w:val="single"/>
          </w:rPr>
          <w:t>https://www.researchgate.net/publication/352181915_Porter</w:t>
        </w:r>
      </w:hyperlink>
    </w:p>
    <w:p w14:paraId="461E0AB6" w14:textId="77777777" w:rsidR="002C4C6F" w:rsidRPr="002C4C6F" w:rsidRDefault="002C4C6F" w:rsidP="002C4C6F">
      <w:pPr>
        <w:spacing w:before="240" w:after="240" w:line="360" w:lineRule="auto"/>
        <w:jc w:val="both"/>
        <w:rPr>
          <w:rFonts w:eastAsia="Times New Roman"/>
          <w:color w:val="1155CC"/>
          <w:sz w:val="24"/>
          <w:szCs w:val="24"/>
          <w:u w:val="single"/>
        </w:rPr>
      </w:pPr>
      <w:r w:rsidRPr="002C4C6F">
        <w:rPr>
          <w:rFonts w:eastAsia="Times New Roman"/>
          <w:sz w:val="24"/>
          <w:szCs w:val="24"/>
        </w:rPr>
        <w:t xml:space="preserve">BHP (2021) </w:t>
      </w:r>
      <w:r w:rsidRPr="002C4C6F">
        <w:rPr>
          <w:rFonts w:eastAsia="Times New Roman"/>
          <w:i/>
          <w:iCs/>
          <w:sz w:val="24"/>
          <w:szCs w:val="24"/>
        </w:rPr>
        <w:t>Environment</w:t>
      </w:r>
      <w:r w:rsidRPr="002C4C6F">
        <w:rPr>
          <w:rFonts w:eastAsia="Times New Roman"/>
          <w:sz w:val="24"/>
          <w:szCs w:val="24"/>
        </w:rPr>
        <w:t>. Available at:</w:t>
      </w:r>
      <w:hyperlink r:id="rId11">
        <w:r w:rsidRPr="002C4C6F">
          <w:rPr>
            <w:rFonts w:eastAsia="Times New Roman"/>
            <w:sz w:val="24"/>
            <w:szCs w:val="24"/>
          </w:rPr>
          <w:t xml:space="preserve"> </w:t>
        </w:r>
      </w:hyperlink>
      <w:hyperlink r:id="rId12">
        <w:r w:rsidRPr="002C4C6F">
          <w:rPr>
            <w:rFonts w:eastAsia="Times New Roman"/>
            <w:color w:val="1155CC"/>
            <w:sz w:val="24"/>
            <w:szCs w:val="24"/>
            <w:u w:val="single"/>
          </w:rPr>
          <w:t>https://www.bhp.com/sustainability/environment</w:t>
        </w:r>
      </w:hyperlink>
    </w:p>
    <w:p w14:paraId="098DB4FF" w14:textId="77777777" w:rsidR="002C4C6F" w:rsidRPr="002C4C6F" w:rsidRDefault="002C4C6F" w:rsidP="002C4C6F">
      <w:pPr>
        <w:spacing w:before="240" w:after="240" w:line="360" w:lineRule="auto"/>
        <w:jc w:val="both"/>
        <w:rPr>
          <w:rFonts w:eastAsia="Times New Roman"/>
          <w:color w:val="1155CC"/>
          <w:sz w:val="24"/>
          <w:szCs w:val="24"/>
          <w:u w:val="single"/>
        </w:rPr>
      </w:pPr>
      <w:r w:rsidRPr="002C4C6F">
        <w:rPr>
          <w:rFonts w:eastAsia="Times New Roman"/>
          <w:sz w:val="24"/>
          <w:szCs w:val="24"/>
        </w:rPr>
        <w:t xml:space="preserve">BHP (2024) </w:t>
      </w:r>
      <w:r w:rsidRPr="002C4C6F">
        <w:rPr>
          <w:rFonts w:eastAsia="Times New Roman"/>
          <w:i/>
          <w:iCs/>
          <w:sz w:val="24"/>
          <w:szCs w:val="24"/>
        </w:rPr>
        <w:t>Climate change</w:t>
      </w:r>
      <w:r w:rsidRPr="002C4C6F">
        <w:rPr>
          <w:rFonts w:eastAsia="Times New Roman"/>
          <w:sz w:val="24"/>
          <w:szCs w:val="24"/>
        </w:rPr>
        <w:t>. Available at:</w:t>
      </w:r>
      <w:hyperlink r:id="rId13">
        <w:r w:rsidRPr="002C4C6F">
          <w:rPr>
            <w:rFonts w:eastAsia="Times New Roman"/>
            <w:sz w:val="24"/>
            <w:szCs w:val="24"/>
          </w:rPr>
          <w:t xml:space="preserve"> </w:t>
        </w:r>
      </w:hyperlink>
      <w:hyperlink r:id="rId14">
        <w:r w:rsidRPr="002C4C6F">
          <w:rPr>
            <w:rFonts w:eastAsia="Times New Roman"/>
            <w:color w:val="1155CC"/>
            <w:sz w:val="24"/>
            <w:szCs w:val="24"/>
            <w:u w:val="single"/>
          </w:rPr>
          <w:t>https://www.bhp.com/sustainability/climate-change</w:t>
        </w:r>
      </w:hyperlink>
    </w:p>
    <w:p w14:paraId="1C655C0D" w14:textId="77777777" w:rsidR="002C4C6F" w:rsidRPr="002C4C6F" w:rsidRDefault="002C4C6F" w:rsidP="002C4C6F">
      <w:pPr>
        <w:spacing w:before="240" w:after="240" w:line="360" w:lineRule="auto"/>
        <w:jc w:val="both"/>
        <w:rPr>
          <w:rFonts w:eastAsia="Times New Roman"/>
          <w:color w:val="1155CC"/>
          <w:sz w:val="24"/>
          <w:szCs w:val="24"/>
          <w:u w:val="single"/>
        </w:rPr>
      </w:pPr>
      <w:r w:rsidRPr="002C4C6F">
        <w:rPr>
          <w:rFonts w:eastAsia="Times New Roman"/>
          <w:sz w:val="24"/>
          <w:szCs w:val="24"/>
        </w:rPr>
        <w:t xml:space="preserve">BHP (2025) </w:t>
      </w:r>
      <w:r w:rsidRPr="002C4C6F">
        <w:rPr>
          <w:rFonts w:eastAsia="Times New Roman"/>
          <w:i/>
          <w:iCs/>
          <w:sz w:val="24"/>
          <w:szCs w:val="24"/>
        </w:rPr>
        <w:t>Annual Report 2025</w:t>
      </w:r>
      <w:r w:rsidRPr="002C4C6F">
        <w:rPr>
          <w:rFonts w:eastAsia="Times New Roman"/>
          <w:sz w:val="24"/>
          <w:szCs w:val="24"/>
        </w:rPr>
        <w:t>. Available at:</w:t>
      </w:r>
      <w:hyperlink r:id="rId15">
        <w:r w:rsidRPr="002C4C6F">
          <w:rPr>
            <w:rFonts w:eastAsia="Times New Roman"/>
            <w:sz w:val="24"/>
            <w:szCs w:val="24"/>
          </w:rPr>
          <w:t xml:space="preserve"> </w:t>
        </w:r>
      </w:hyperlink>
      <w:hyperlink r:id="rId16">
        <w:r w:rsidRPr="002C4C6F">
          <w:rPr>
            <w:rFonts w:eastAsia="Times New Roman"/>
            <w:color w:val="1155CC"/>
            <w:sz w:val="24"/>
            <w:szCs w:val="24"/>
            <w:u w:val="single"/>
          </w:rPr>
          <w:t>https://www.bhp.com/investor-hub/reports-and-presentations/annual-report</w:t>
        </w:r>
      </w:hyperlink>
    </w:p>
    <w:p w14:paraId="77892826" w14:textId="77777777" w:rsidR="002C4C6F" w:rsidRPr="002C4C6F" w:rsidRDefault="002C4C6F" w:rsidP="002C4C6F">
      <w:pPr>
        <w:spacing w:before="240" w:after="240" w:line="360" w:lineRule="auto"/>
        <w:jc w:val="both"/>
        <w:rPr>
          <w:rFonts w:eastAsia="Times New Roman"/>
          <w:color w:val="1155CC"/>
          <w:sz w:val="24"/>
          <w:szCs w:val="24"/>
          <w:u w:val="single"/>
        </w:rPr>
      </w:pPr>
      <w:r w:rsidRPr="002C4C6F">
        <w:rPr>
          <w:rFonts w:eastAsia="Times New Roman"/>
          <w:sz w:val="24"/>
          <w:szCs w:val="24"/>
        </w:rPr>
        <w:t xml:space="preserve">BHP (2026) </w:t>
      </w:r>
      <w:r w:rsidRPr="002C4C6F">
        <w:rPr>
          <w:rFonts w:eastAsia="Times New Roman"/>
          <w:i/>
          <w:iCs/>
          <w:sz w:val="24"/>
          <w:szCs w:val="24"/>
        </w:rPr>
        <w:t>BHP’s economic and commodity outlook</w:t>
      </w:r>
      <w:r w:rsidRPr="002C4C6F">
        <w:rPr>
          <w:rFonts w:eastAsia="Times New Roman"/>
          <w:sz w:val="24"/>
          <w:szCs w:val="24"/>
        </w:rPr>
        <w:t>. Available at:</w:t>
      </w:r>
      <w:hyperlink r:id="rId17">
        <w:r w:rsidRPr="002C4C6F">
          <w:rPr>
            <w:rFonts w:eastAsia="Times New Roman"/>
            <w:sz w:val="24"/>
            <w:szCs w:val="24"/>
          </w:rPr>
          <w:t xml:space="preserve"> </w:t>
        </w:r>
      </w:hyperlink>
      <w:hyperlink r:id="rId18">
        <w:r w:rsidRPr="002C4C6F">
          <w:rPr>
            <w:rFonts w:eastAsia="Times New Roman"/>
            <w:color w:val="1155CC"/>
            <w:sz w:val="24"/>
            <w:szCs w:val="24"/>
            <w:u w:val="single"/>
          </w:rPr>
          <w:t>https://www.bhp.com/investor-hub/reports-and-presentations/economic-and-commodity-outlook/2022/02/bhps-economic-and-commodity-outlook</w:t>
        </w:r>
      </w:hyperlink>
    </w:p>
    <w:p w14:paraId="63D63A4E" w14:textId="77777777" w:rsidR="002C4C6F" w:rsidRPr="002C4C6F" w:rsidRDefault="002C4C6F" w:rsidP="002C4C6F">
      <w:pPr>
        <w:spacing w:before="240" w:after="240" w:line="360" w:lineRule="auto"/>
        <w:jc w:val="both"/>
        <w:rPr>
          <w:rFonts w:eastAsia="Times New Roman"/>
          <w:color w:val="1155CC"/>
          <w:sz w:val="24"/>
          <w:szCs w:val="24"/>
          <w:u w:val="single"/>
        </w:rPr>
      </w:pPr>
      <w:r w:rsidRPr="002C4C6F">
        <w:rPr>
          <w:rFonts w:eastAsia="Times New Roman"/>
          <w:sz w:val="24"/>
          <w:szCs w:val="24"/>
        </w:rPr>
        <w:t>Burgess, J.C. and Barbier, E.B. (2025) ‘Trends and challenges in environmental markets for sustainable economic development’. Available at:</w:t>
      </w:r>
      <w:hyperlink r:id="rId19">
        <w:r w:rsidRPr="002C4C6F">
          <w:rPr>
            <w:rFonts w:eastAsia="Times New Roman"/>
            <w:sz w:val="24"/>
            <w:szCs w:val="24"/>
          </w:rPr>
          <w:t xml:space="preserve"> </w:t>
        </w:r>
      </w:hyperlink>
      <w:hyperlink r:id="rId20">
        <w:r w:rsidRPr="002C4C6F">
          <w:rPr>
            <w:rFonts w:eastAsia="Times New Roman"/>
            <w:color w:val="1155CC"/>
            <w:sz w:val="24"/>
            <w:szCs w:val="24"/>
            <w:u w:val="single"/>
          </w:rPr>
          <w:t>https://www.researchgate.net/publication/400361660_Trends_and_Challenges_in_Environmental_Markets_for_Sustainable_Economic_Development</w:t>
        </w:r>
      </w:hyperlink>
    </w:p>
    <w:p w14:paraId="2C87AFF5" w14:textId="77777777" w:rsidR="002C4C6F" w:rsidRPr="002C4C6F" w:rsidRDefault="002C4C6F" w:rsidP="002C4C6F">
      <w:pPr>
        <w:spacing w:before="240" w:after="240" w:line="360" w:lineRule="auto"/>
        <w:jc w:val="both"/>
        <w:rPr>
          <w:rFonts w:eastAsia="Times New Roman"/>
          <w:sz w:val="24"/>
          <w:szCs w:val="24"/>
        </w:rPr>
      </w:pPr>
      <w:r w:rsidRPr="002C4C6F">
        <w:rPr>
          <w:rFonts w:eastAsia="Times New Roman"/>
          <w:sz w:val="24"/>
          <w:szCs w:val="24"/>
        </w:rPr>
        <w:t xml:space="preserve">Buzhymska, K., Tsaruk, I., Biriuchenko, S., Pashchenko, O. and Svitlyshyn, I. (2024) ‘Impact of diversification on strategic business management’, </w:t>
      </w:r>
      <w:r w:rsidRPr="002C4C6F">
        <w:rPr>
          <w:rFonts w:eastAsia="Times New Roman"/>
          <w:i/>
          <w:iCs/>
          <w:sz w:val="24"/>
          <w:szCs w:val="24"/>
        </w:rPr>
        <w:t>Scientific Bulletin of Mukachevo State University Series “Economics”</w:t>
      </w:r>
      <w:r w:rsidRPr="002C4C6F">
        <w:rPr>
          <w:rFonts w:eastAsia="Times New Roman"/>
          <w:sz w:val="24"/>
          <w:szCs w:val="24"/>
        </w:rPr>
        <w:t xml:space="preserve">, </w:t>
      </w:r>
      <w:r w:rsidRPr="002C4C6F">
        <w:rPr>
          <w:rFonts w:eastAsia="Times New Roman"/>
          <w:b/>
          <w:bCs/>
          <w:sz w:val="24"/>
          <w:szCs w:val="24"/>
        </w:rPr>
        <w:t>11</w:t>
      </w:r>
      <w:r w:rsidRPr="002C4C6F">
        <w:rPr>
          <w:rFonts w:eastAsia="Times New Roman"/>
          <w:sz w:val="24"/>
          <w:szCs w:val="24"/>
        </w:rPr>
        <w:t>(3), pp. 34–46. doi:10.52566/msu-econ3.2024.34.</w:t>
      </w:r>
    </w:p>
    <w:p w14:paraId="6C7619E0" w14:textId="77777777" w:rsidR="002C4C6F" w:rsidRPr="002C4C6F" w:rsidRDefault="002C4C6F" w:rsidP="002C4C6F">
      <w:pPr>
        <w:spacing w:before="240" w:after="240" w:line="360" w:lineRule="auto"/>
        <w:jc w:val="both"/>
        <w:rPr>
          <w:rFonts w:eastAsia="Times New Roman"/>
          <w:color w:val="1155CC"/>
          <w:sz w:val="24"/>
          <w:szCs w:val="24"/>
          <w:u w:val="single"/>
        </w:rPr>
      </w:pPr>
      <w:r w:rsidRPr="002C4C6F">
        <w:rPr>
          <w:rFonts w:eastAsia="Times New Roman"/>
          <w:sz w:val="24"/>
          <w:szCs w:val="24"/>
        </w:rPr>
        <w:t xml:space="preserve">CIBC (2024) </w:t>
      </w:r>
      <w:r w:rsidRPr="002C4C6F">
        <w:rPr>
          <w:rFonts w:eastAsia="Times New Roman"/>
          <w:i/>
          <w:iCs/>
          <w:sz w:val="24"/>
          <w:szCs w:val="24"/>
        </w:rPr>
        <w:t>Sustainability Newsletter – June 2024</w:t>
      </w:r>
      <w:r w:rsidRPr="002C4C6F">
        <w:rPr>
          <w:rFonts w:eastAsia="Times New Roman"/>
          <w:sz w:val="24"/>
          <w:szCs w:val="24"/>
        </w:rPr>
        <w:t>. Available at:</w:t>
      </w:r>
      <w:hyperlink r:id="rId21">
        <w:r w:rsidRPr="002C4C6F">
          <w:rPr>
            <w:rFonts w:eastAsia="Times New Roman"/>
            <w:sz w:val="24"/>
            <w:szCs w:val="24"/>
          </w:rPr>
          <w:t xml:space="preserve"> </w:t>
        </w:r>
      </w:hyperlink>
      <w:hyperlink r:id="rId22">
        <w:r w:rsidRPr="002C4C6F">
          <w:rPr>
            <w:rFonts w:eastAsia="Times New Roman"/>
            <w:color w:val="1155CC"/>
            <w:sz w:val="24"/>
            <w:szCs w:val="24"/>
            <w:u w:val="single"/>
          </w:rPr>
          <w:t>https://cibccm.com/en/insights/articles/sustainability-newsletter-edition-47/</w:t>
        </w:r>
      </w:hyperlink>
    </w:p>
    <w:p w14:paraId="09CB9858" w14:textId="77777777" w:rsidR="002C4C6F" w:rsidRPr="002C4C6F" w:rsidRDefault="002C4C6F" w:rsidP="002C4C6F">
      <w:pPr>
        <w:spacing w:before="240" w:after="240" w:line="360" w:lineRule="auto"/>
        <w:jc w:val="both"/>
        <w:rPr>
          <w:rFonts w:eastAsia="Times New Roman"/>
          <w:color w:val="1155CC"/>
          <w:sz w:val="24"/>
          <w:szCs w:val="24"/>
          <w:u w:val="single"/>
        </w:rPr>
      </w:pPr>
      <w:r w:rsidRPr="002C4C6F">
        <w:rPr>
          <w:rFonts w:eastAsia="Times New Roman"/>
          <w:sz w:val="24"/>
          <w:szCs w:val="24"/>
        </w:rPr>
        <w:t xml:space="preserve">Delevingne, L., Glazener, W., Grégoir, L. and Henderson, K. (2020) </w:t>
      </w:r>
      <w:r w:rsidRPr="002C4C6F">
        <w:rPr>
          <w:rFonts w:eastAsia="Times New Roman"/>
          <w:i/>
          <w:iCs/>
          <w:sz w:val="24"/>
          <w:szCs w:val="24"/>
        </w:rPr>
        <w:t>Climate risk and decarbonization: What every mining CEO needs to know</w:t>
      </w:r>
      <w:r w:rsidRPr="002C4C6F">
        <w:rPr>
          <w:rFonts w:eastAsia="Times New Roman"/>
          <w:sz w:val="24"/>
          <w:szCs w:val="24"/>
        </w:rPr>
        <w:t>. Available at:</w:t>
      </w:r>
      <w:hyperlink r:id="rId23">
        <w:r w:rsidRPr="002C4C6F">
          <w:rPr>
            <w:rFonts w:eastAsia="Times New Roman"/>
            <w:sz w:val="24"/>
            <w:szCs w:val="24"/>
          </w:rPr>
          <w:t xml:space="preserve"> </w:t>
        </w:r>
      </w:hyperlink>
      <w:hyperlink r:id="rId24">
        <w:r w:rsidRPr="002C4C6F">
          <w:rPr>
            <w:rFonts w:eastAsia="Times New Roman"/>
            <w:color w:val="1155CC"/>
            <w:sz w:val="24"/>
            <w:szCs w:val="24"/>
            <w:u w:val="single"/>
          </w:rPr>
          <w:t>https://www.mckinsey.com/capabilities/sustainability/our-insights/climate-risk-and-decarbonization-what-every-mining-ceo-needs-to-know</w:t>
        </w:r>
      </w:hyperlink>
    </w:p>
    <w:p w14:paraId="62A02615" w14:textId="77777777" w:rsidR="002C4C6F" w:rsidRPr="002C4C6F" w:rsidRDefault="002C4C6F" w:rsidP="002C4C6F">
      <w:pPr>
        <w:spacing w:before="240" w:after="240" w:line="360" w:lineRule="auto"/>
        <w:jc w:val="both"/>
        <w:rPr>
          <w:rFonts w:eastAsia="Times New Roman"/>
          <w:sz w:val="24"/>
          <w:szCs w:val="24"/>
        </w:rPr>
      </w:pPr>
      <w:r w:rsidRPr="002C4C6F">
        <w:rPr>
          <w:rFonts w:eastAsia="Times New Roman"/>
          <w:sz w:val="24"/>
          <w:szCs w:val="24"/>
        </w:rPr>
        <w:lastRenderedPageBreak/>
        <w:t xml:space="preserve">Ekins, P., Christmann, P., Ciftci, M.M., Larosa, F. and Verrier, B. (2026) ‘Financing the responsible supply of energy transition minerals’, </w:t>
      </w:r>
      <w:r w:rsidRPr="002C4C6F">
        <w:rPr>
          <w:rFonts w:eastAsia="Times New Roman"/>
          <w:i/>
          <w:iCs/>
          <w:sz w:val="24"/>
          <w:szCs w:val="24"/>
        </w:rPr>
        <w:t>Mineral Economics</w:t>
      </w:r>
      <w:r w:rsidRPr="002C4C6F">
        <w:rPr>
          <w:rFonts w:eastAsia="Times New Roman"/>
          <w:sz w:val="24"/>
          <w:szCs w:val="24"/>
        </w:rPr>
        <w:t xml:space="preserve">, </w:t>
      </w:r>
      <w:r w:rsidRPr="002C4C6F">
        <w:rPr>
          <w:rFonts w:eastAsia="Times New Roman"/>
          <w:b/>
          <w:bCs/>
          <w:sz w:val="24"/>
          <w:szCs w:val="24"/>
        </w:rPr>
        <w:t>39</w:t>
      </w:r>
      <w:r w:rsidRPr="002C4C6F">
        <w:rPr>
          <w:rFonts w:eastAsia="Times New Roman"/>
          <w:sz w:val="24"/>
          <w:szCs w:val="24"/>
        </w:rPr>
        <w:t>(2), pp. 743–761. doi:10.1007/s13563-026-00637-8.</w:t>
      </w:r>
    </w:p>
    <w:p w14:paraId="34E1E3B9" w14:textId="77777777" w:rsidR="002C4C6F" w:rsidRPr="002C4C6F" w:rsidRDefault="002C4C6F" w:rsidP="002C4C6F">
      <w:pPr>
        <w:spacing w:before="240" w:after="240" w:line="360" w:lineRule="auto"/>
        <w:jc w:val="both"/>
        <w:rPr>
          <w:rFonts w:eastAsia="Times New Roman"/>
          <w:color w:val="1155CC"/>
          <w:sz w:val="24"/>
          <w:szCs w:val="24"/>
          <w:u w:val="single"/>
        </w:rPr>
      </w:pPr>
      <w:r w:rsidRPr="002C4C6F">
        <w:rPr>
          <w:rFonts w:eastAsia="Times New Roman"/>
          <w:sz w:val="24"/>
          <w:szCs w:val="24"/>
        </w:rPr>
        <w:t xml:space="preserve">International Energy Agency (IEA) (2024) </w:t>
      </w:r>
      <w:r w:rsidRPr="002C4C6F">
        <w:rPr>
          <w:rFonts w:eastAsia="Times New Roman"/>
          <w:i/>
          <w:iCs/>
          <w:sz w:val="24"/>
          <w:szCs w:val="24"/>
        </w:rPr>
        <w:t>World Energy Outlook 2024: Executive Summary</w:t>
      </w:r>
      <w:r w:rsidRPr="002C4C6F">
        <w:rPr>
          <w:rFonts w:eastAsia="Times New Roman"/>
          <w:sz w:val="24"/>
          <w:szCs w:val="24"/>
        </w:rPr>
        <w:t>. Available at:</w:t>
      </w:r>
      <w:hyperlink r:id="rId25">
        <w:r w:rsidRPr="002C4C6F">
          <w:rPr>
            <w:rFonts w:eastAsia="Times New Roman"/>
            <w:sz w:val="24"/>
            <w:szCs w:val="24"/>
          </w:rPr>
          <w:t xml:space="preserve"> </w:t>
        </w:r>
      </w:hyperlink>
      <w:hyperlink r:id="rId26">
        <w:r w:rsidRPr="002C4C6F">
          <w:rPr>
            <w:rFonts w:eastAsia="Times New Roman"/>
            <w:color w:val="1155CC"/>
            <w:sz w:val="24"/>
            <w:szCs w:val="24"/>
            <w:u w:val="single"/>
          </w:rPr>
          <w:t>https://www.iea.org/reports/world-energy-outlook-2024/executive-summary</w:t>
        </w:r>
      </w:hyperlink>
    </w:p>
    <w:p w14:paraId="58E9FFDB" w14:textId="77777777" w:rsidR="002C4C6F" w:rsidRPr="002C4C6F" w:rsidRDefault="002C4C6F" w:rsidP="002C4C6F">
      <w:pPr>
        <w:spacing w:before="240" w:after="240" w:line="360" w:lineRule="auto"/>
        <w:jc w:val="both"/>
        <w:rPr>
          <w:rFonts w:eastAsia="Times New Roman"/>
          <w:color w:val="1155CC"/>
          <w:sz w:val="24"/>
          <w:szCs w:val="24"/>
          <w:u w:val="single"/>
        </w:rPr>
      </w:pPr>
      <w:r w:rsidRPr="002C4C6F">
        <w:rPr>
          <w:rFonts w:eastAsia="Times New Roman"/>
          <w:sz w:val="24"/>
          <w:szCs w:val="24"/>
        </w:rPr>
        <w:t>Jerab, D.A. and Mabrouk, T. (2023) ‘Achieving competitive advantage through cost leadership strategy: Strategies for sustainable success’. Available at:</w:t>
      </w:r>
      <w:hyperlink r:id="rId27">
        <w:r w:rsidRPr="002C4C6F">
          <w:rPr>
            <w:rFonts w:eastAsia="Times New Roman"/>
            <w:sz w:val="24"/>
            <w:szCs w:val="24"/>
          </w:rPr>
          <w:t xml:space="preserve"> </w:t>
        </w:r>
      </w:hyperlink>
      <w:hyperlink r:id="rId28">
        <w:r w:rsidRPr="002C4C6F">
          <w:rPr>
            <w:rFonts w:eastAsia="Times New Roman"/>
            <w:color w:val="1155CC"/>
            <w:sz w:val="24"/>
            <w:szCs w:val="24"/>
            <w:u w:val="single"/>
          </w:rPr>
          <w:t>https://www.researchgate.net/publication/374000449_Achieving_Competitive_Advantage_through_Cost_Leadership_Strategy_Strategies_for_Sustainable_Success</w:t>
        </w:r>
      </w:hyperlink>
    </w:p>
    <w:p w14:paraId="2409519F" w14:textId="77777777" w:rsidR="002C4C6F" w:rsidRPr="002C4C6F" w:rsidRDefault="002C4C6F" w:rsidP="002C4C6F">
      <w:pPr>
        <w:spacing w:before="240" w:after="240" w:line="360" w:lineRule="auto"/>
        <w:jc w:val="both"/>
        <w:rPr>
          <w:rFonts w:eastAsia="Times New Roman"/>
          <w:color w:val="1155CC"/>
          <w:sz w:val="24"/>
          <w:szCs w:val="24"/>
          <w:u w:val="single"/>
        </w:rPr>
      </w:pPr>
      <w:r w:rsidRPr="002C4C6F">
        <w:rPr>
          <w:rFonts w:eastAsia="Times New Roman"/>
          <w:sz w:val="24"/>
          <w:szCs w:val="24"/>
        </w:rPr>
        <w:t xml:space="preserve">Knaus, C. and Morton, A. (2026) ‘BHP admits to stalled emissions reductions as WA premier says miners have “moral obligation” to decarbonise’, </w:t>
      </w:r>
      <w:r w:rsidRPr="002C4C6F">
        <w:rPr>
          <w:rFonts w:eastAsia="Times New Roman"/>
          <w:i/>
          <w:iCs/>
          <w:sz w:val="24"/>
          <w:szCs w:val="24"/>
        </w:rPr>
        <w:t>The Guardian</w:t>
      </w:r>
      <w:r w:rsidRPr="002C4C6F">
        <w:rPr>
          <w:rFonts w:eastAsia="Times New Roman"/>
          <w:sz w:val="24"/>
          <w:szCs w:val="24"/>
        </w:rPr>
        <w:t>. Available at:</w:t>
      </w:r>
      <w:hyperlink r:id="rId29">
        <w:r w:rsidRPr="002C4C6F">
          <w:rPr>
            <w:rFonts w:eastAsia="Times New Roman"/>
            <w:sz w:val="24"/>
            <w:szCs w:val="24"/>
          </w:rPr>
          <w:t xml:space="preserve"> </w:t>
        </w:r>
      </w:hyperlink>
      <w:hyperlink r:id="rId30">
        <w:r w:rsidRPr="002C4C6F">
          <w:rPr>
            <w:rFonts w:eastAsia="Times New Roman"/>
            <w:color w:val="1155CC"/>
            <w:sz w:val="24"/>
            <w:szCs w:val="24"/>
            <w:u w:val="single"/>
          </w:rPr>
          <w:t>https://www.theguardian.com/world/2026/may/27/bhp-files-stalled-emissions-reductions-mining-company-moral-obligation-decarbonise</w:t>
        </w:r>
      </w:hyperlink>
    </w:p>
    <w:p w14:paraId="148D0B2B" w14:textId="77777777" w:rsidR="002C4C6F" w:rsidRPr="002C4C6F" w:rsidRDefault="002C4C6F" w:rsidP="002C4C6F">
      <w:pPr>
        <w:spacing w:before="240" w:after="240" w:line="360" w:lineRule="auto"/>
        <w:jc w:val="both"/>
        <w:rPr>
          <w:rFonts w:eastAsia="Times New Roman"/>
          <w:sz w:val="24"/>
          <w:szCs w:val="24"/>
        </w:rPr>
      </w:pPr>
      <w:r w:rsidRPr="002C4C6F">
        <w:rPr>
          <w:rFonts w:eastAsia="Times New Roman"/>
          <w:sz w:val="24"/>
          <w:szCs w:val="24"/>
        </w:rPr>
        <w:t xml:space="preserve">Kotler, P., Armstrong, G., Harris, L.C. and He, H. (2024) </w:t>
      </w:r>
      <w:r w:rsidRPr="002C4C6F">
        <w:rPr>
          <w:rFonts w:eastAsia="Times New Roman"/>
          <w:i/>
          <w:iCs/>
          <w:sz w:val="24"/>
          <w:szCs w:val="24"/>
        </w:rPr>
        <w:t>Principles of Marketing</w:t>
      </w:r>
      <w:r w:rsidRPr="002C4C6F">
        <w:rPr>
          <w:rFonts w:eastAsia="Times New Roman"/>
          <w:sz w:val="24"/>
          <w:szCs w:val="24"/>
        </w:rPr>
        <w:t>. 19th edn. Harlow: Pearson.</w:t>
      </w:r>
    </w:p>
    <w:p w14:paraId="01F23243" w14:textId="77777777" w:rsidR="002C4C6F" w:rsidRPr="002C4C6F" w:rsidRDefault="002C4C6F" w:rsidP="002C4C6F">
      <w:pPr>
        <w:spacing w:before="240" w:after="240" w:line="360" w:lineRule="auto"/>
        <w:jc w:val="both"/>
        <w:rPr>
          <w:rFonts w:eastAsia="Times New Roman"/>
          <w:color w:val="1155CC"/>
          <w:sz w:val="24"/>
          <w:szCs w:val="24"/>
          <w:u w:val="single"/>
        </w:rPr>
      </w:pPr>
      <w:r w:rsidRPr="002C4C6F">
        <w:rPr>
          <w:rFonts w:eastAsia="Times New Roman"/>
          <w:sz w:val="24"/>
          <w:szCs w:val="24"/>
        </w:rPr>
        <w:t xml:space="preserve">Manalo, P. (2026) </w:t>
      </w:r>
      <w:r w:rsidRPr="002C4C6F">
        <w:rPr>
          <w:rFonts w:eastAsia="Times New Roman"/>
          <w:i/>
          <w:iCs/>
          <w:sz w:val="24"/>
          <w:szCs w:val="24"/>
        </w:rPr>
        <w:t>Mine permitting delays stretch timelines to 30 years</w:t>
      </w:r>
      <w:r w:rsidRPr="002C4C6F">
        <w:rPr>
          <w:rFonts w:eastAsia="Times New Roman"/>
          <w:sz w:val="24"/>
          <w:szCs w:val="24"/>
        </w:rPr>
        <w:t>. Available at:</w:t>
      </w:r>
      <w:hyperlink r:id="rId31">
        <w:r w:rsidRPr="002C4C6F">
          <w:rPr>
            <w:rFonts w:eastAsia="Times New Roman"/>
            <w:sz w:val="24"/>
            <w:szCs w:val="24"/>
          </w:rPr>
          <w:t xml:space="preserve"> </w:t>
        </w:r>
      </w:hyperlink>
      <w:hyperlink r:id="rId32">
        <w:r w:rsidRPr="002C4C6F">
          <w:rPr>
            <w:rFonts w:eastAsia="Times New Roman"/>
            <w:color w:val="1155CC"/>
            <w:sz w:val="24"/>
            <w:szCs w:val="24"/>
            <w:u w:val="single"/>
          </w:rPr>
          <w:t>https://www.spglobal.com/market-intelligence/en/news-insights/research/2026/07/mine-permitting-delays-discovery-to-production-timeline</w:t>
        </w:r>
      </w:hyperlink>
    </w:p>
    <w:p w14:paraId="437EEC50" w14:textId="77777777" w:rsidR="002C4C6F" w:rsidRPr="002C4C6F" w:rsidRDefault="002C4C6F" w:rsidP="002C4C6F">
      <w:pPr>
        <w:spacing w:before="240" w:after="240" w:line="360" w:lineRule="auto"/>
        <w:jc w:val="both"/>
        <w:rPr>
          <w:rFonts w:eastAsia="Times New Roman"/>
          <w:color w:val="1155CC"/>
          <w:sz w:val="24"/>
          <w:szCs w:val="24"/>
          <w:u w:val="single"/>
        </w:rPr>
      </w:pPr>
      <w:r w:rsidRPr="002C4C6F">
        <w:rPr>
          <w:rFonts w:eastAsia="Times New Roman"/>
          <w:sz w:val="24"/>
          <w:szCs w:val="24"/>
        </w:rPr>
        <w:t xml:space="preserve">Maris, S. and Clarissia, S. (2019) ‘A study on Ansoff Matrix technique: As a growth strategy and an adaptive learning technique adopted in the leading brand of products’, </w:t>
      </w:r>
      <w:r w:rsidRPr="002C4C6F">
        <w:rPr>
          <w:rFonts w:eastAsia="Times New Roman"/>
          <w:i/>
          <w:iCs/>
          <w:sz w:val="24"/>
          <w:szCs w:val="24"/>
        </w:rPr>
        <w:t>JAC: A Journal of Composition Theory</w:t>
      </w:r>
      <w:r w:rsidRPr="002C4C6F">
        <w:rPr>
          <w:rFonts w:eastAsia="Times New Roman"/>
          <w:sz w:val="24"/>
          <w:szCs w:val="24"/>
        </w:rPr>
        <w:t xml:space="preserve">, </w:t>
      </w:r>
      <w:r w:rsidRPr="002C4C6F">
        <w:rPr>
          <w:rFonts w:eastAsia="Times New Roman"/>
          <w:b/>
          <w:bCs/>
          <w:sz w:val="24"/>
          <w:szCs w:val="24"/>
        </w:rPr>
        <w:t>12</w:t>
      </w:r>
      <w:r w:rsidRPr="002C4C6F">
        <w:rPr>
          <w:rFonts w:eastAsia="Times New Roman"/>
          <w:sz w:val="24"/>
          <w:szCs w:val="24"/>
        </w:rPr>
        <w:t>(9), pp. 1494–1506. Available at:</w:t>
      </w:r>
      <w:hyperlink r:id="rId33">
        <w:r w:rsidRPr="002C4C6F">
          <w:rPr>
            <w:rFonts w:eastAsia="Times New Roman"/>
            <w:sz w:val="24"/>
            <w:szCs w:val="24"/>
          </w:rPr>
          <w:t xml:space="preserve"> </w:t>
        </w:r>
      </w:hyperlink>
      <w:hyperlink r:id="rId34">
        <w:r w:rsidRPr="002C4C6F">
          <w:rPr>
            <w:rFonts w:eastAsia="Times New Roman"/>
            <w:color w:val="1155CC"/>
            <w:sz w:val="24"/>
            <w:szCs w:val="24"/>
            <w:u w:val="single"/>
          </w:rPr>
          <w:t>https://www.researchgate.net/publication/388495862_A_STUDY_ON_ANSOFF_MATRIX_TECHNIQUE_AS_A_GROWTH_STRATEGY_AND_AN_ADAPTIVE_LEARNING_TECHNIQUE_ADOPTED_IN_THE_LEADING_BRAND_OF_PRODUCTS</w:t>
        </w:r>
      </w:hyperlink>
    </w:p>
    <w:p w14:paraId="773C86D6" w14:textId="77777777" w:rsidR="002C4C6F" w:rsidRPr="002C4C6F" w:rsidRDefault="002C4C6F" w:rsidP="002C4C6F">
      <w:pPr>
        <w:spacing w:before="240" w:after="240" w:line="360" w:lineRule="auto"/>
        <w:jc w:val="both"/>
        <w:rPr>
          <w:rFonts w:eastAsia="Times New Roman"/>
          <w:sz w:val="24"/>
          <w:szCs w:val="24"/>
        </w:rPr>
      </w:pPr>
      <w:r w:rsidRPr="002C4C6F">
        <w:rPr>
          <w:rFonts w:eastAsia="Times New Roman"/>
          <w:sz w:val="24"/>
          <w:szCs w:val="24"/>
        </w:rPr>
        <w:lastRenderedPageBreak/>
        <w:t xml:space="preserve">Paletta, A. (2025) ‘The interplay of eco-innovation and stakeholder engagement: Driving sustainability-oriented business practices’, </w:t>
      </w:r>
      <w:r w:rsidRPr="002C4C6F">
        <w:rPr>
          <w:rFonts w:eastAsia="Times New Roman"/>
          <w:i/>
          <w:iCs/>
          <w:sz w:val="24"/>
          <w:szCs w:val="24"/>
        </w:rPr>
        <w:t>Journal of Environmental Management</w:t>
      </w:r>
      <w:r w:rsidRPr="002C4C6F">
        <w:rPr>
          <w:rFonts w:eastAsia="Times New Roman"/>
          <w:sz w:val="24"/>
          <w:szCs w:val="24"/>
        </w:rPr>
        <w:t xml:space="preserve">, </w:t>
      </w:r>
      <w:r w:rsidRPr="002C4C6F">
        <w:rPr>
          <w:rFonts w:eastAsia="Times New Roman"/>
          <w:b/>
          <w:bCs/>
          <w:sz w:val="24"/>
          <w:szCs w:val="24"/>
        </w:rPr>
        <w:t>396</w:t>
      </w:r>
      <w:r w:rsidRPr="002C4C6F">
        <w:rPr>
          <w:rFonts w:eastAsia="Times New Roman"/>
          <w:sz w:val="24"/>
          <w:szCs w:val="24"/>
        </w:rPr>
        <w:t xml:space="preserve">, article 128194. </w:t>
      </w:r>
      <w:proofErr w:type="gramStart"/>
      <w:r w:rsidRPr="002C4C6F">
        <w:rPr>
          <w:rFonts w:eastAsia="Times New Roman"/>
          <w:sz w:val="24"/>
          <w:szCs w:val="24"/>
        </w:rPr>
        <w:t>doi:10.1016/j.jenvman</w:t>
      </w:r>
      <w:proofErr w:type="gramEnd"/>
      <w:r w:rsidRPr="002C4C6F">
        <w:rPr>
          <w:rFonts w:eastAsia="Times New Roman"/>
          <w:sz w:val="24"/>
          <w:szCs w:val="24"/>
        </w:rPr>
        <w:t>.2025.128194.</w:t>
      </w:r>
    </w:p>
    <w:p w14:paraId="680DC56A" w14:textId="77777777" w:rsidR="002C4C6F" w:rsidRPr="002C4C6F" w:rsidRDefault="002C4C6F" w:rsidP="002C4C6F">
      <w:pPr>
        <w:spacing w:before="240" w:after="240" w:line="360" w:lineRule="auto"/>
        <w:jc w:val="both"/>
        <w:rPr>
          <w:rFonts w:eastAsia="Times New Roman"/>
          <w:color w:val="1155CC"/>
          <w:sz w:val="24"/>
          <w:szCs w:val="24"/>
          <w:u w:val="single"/>
        </w:rPr>
      </w:pPr>
      <w:r w:rsidRPr="002C4C6F">
        <w:rPr>
          <w:rFonts w:eastAsia="Times New Roman"/>
          <w:sz w:val="24"/>
          <w:szCs w:val="24"/>
        </w:rPr>
        <w:t xml:space="preserve">Peterdy, K. (2025) </w:t>
      </w:r>
      <w:r w:rsidRPr="002C4C6F">
        <w:rPr>
          <w:rFonts w:eastAsia="Times New Roman"/>
          <w:i/>
          <w:iCs/>
          <w:sz w:val="24"/>
          <w:szCs w:val="24"/>
        </w:rPr>
        <w:t>Ansoff Matrix</w:t>
      </w:r>
      <w:r w:rsidRPr="002C4C6F">
        <w:rPr>
          <w:rFonts w:eastAsia="Times New Roman"/>
          <w:sz w:val="24"/>
          <w:szCs w:val="24"/>
        </w:rPr>
        <w:t>. Available at:</w:t>
      </w:r>
      <w:hyperlink r:id="rId35">
        <w:r w:rsidRPr="002C4C6F">
          <w:rPr>
            <w:rFonts w:eastAsia="Times New Roman"/>
            <w:sz w:val="24"/>
            <w:szCs w:val="24"/>
          </w:rPr>
          <w:t xml:space="preserve"> </w:t>
        </w:r>
      </w:hyperlink>
      <w:hyperlink r:id="rId36">
        <w:r w:rsidRPr="002C4C6F">
          <w:rPr>
            <w:rFonts w:eastAsia="Times New Roman"/>
            <w:color w:val="1155CC"/>
            <w:sz w:val="24"/>
            <w:szCs w:val="24"/>
            <w:u w:val="single"/>
          </w:rPr>
          <w:t>https://corporatefinanceinstitute.com/resources/management/ansoff-matrix/</w:t>
        </w:r>
      </w:hyperlink>
    </w:p>
    <w:p w14:paraId="735B4F24" w14:textId="77777777" w:rsidR="002C4C6F" w:rsidRPr="002C4C6F" w:rsidRDefault="002C4C6F" w:rsidP="002C4C6F">
      <w:pPr>
        <w:spacing w:before="240" w:after="240" w:line="360" w:lineRule="auto"/>
        <w:jc w:val="both"/>
        <w:rPr>
          <w:rFonts w:eastAsia="Times New Roman"/>
          <w:sz w:val="24"/>
          <w:szCs w:val="24"/>
        </w:rPr>
      </w:pPr>
      <w:r w:rsidRPr="002C4C6F">
        <w:rPr>
          <w:rFonts w:eastAsia="Times New Roman"/>
          <w:sz w:val="24"/>
          <w:szCs w:val="24"/>
        </w:rPr>
        <w:t xml:space="preserve">Pouresmaieli, M., Ataei, M., Nouri Qarahasanlou, A. and Barabadi, A. (2023) ‘Integration of renewable energy and sustainable development with strategic planning in the mining industry’, </w:t>
      </w:r>
      <w:r w:rsidRPr="002C4C6F">
        <w:rPr>
          <w:rFonts w:eastAsia="Times New Roman"/>
          <w:i/>
          <w:iCs/>
          <w:sz w:val="24"/>
          <w:szCs w:val="24"/>
        </w:rPr>
        <w:t>Results in Engineering</w:t>
      </w:r>
      <w:r w:rsidRPr="002C4C6F">
        <w:rPr>
          <w:rFonts w:eastAsia="Times New Roman"/>
          <w:sz w:val="24"/>
          <w:szCs w:val="24"/>
        </w:rPr>
        <w:t xml:space="preserve">, </w:t>
      </w:r>
      <w:r w:rsidRPr="002C4C6F">
        <w:rPr>
          <w:rFonts w:eastAsia="Times New Roman"/>
          <w:b/>
          <w:bCs/>
          <w:sz w:val="24"/>
          <w:szCs w:val="24"/>
        </w:rPr>
        <w:t>20</w:t>
      </w:r>
      <w:r w:rsidRPr="002C4C6F">
        <w:rPr>
          <w:rFonts w:eastAsia="Times New Roman"/>
          <w:sz w:val="24"/>
          <w:szCs w:val="24"/>
        </w:rPr>
        <w:t xml:space="preserve">, article 101412. </w:t>
      </w:r>
      <w:proofErr w:type="gramStart"/>
      <w:r w:rsidRPr="002C4C6F">
        <w:rPr>
          <w:rFonts w:eastAsia="Times New Roman"/>
          <w:sz w:val="24"/>
          <w:szCs w:val="24"/>
        </w:rPr>
        <w:t>doi:10.1016/j.rineng</w:t>
      </w:r>
      <w:proofErr w:type="gramEnd"/>
      <w:r w:rsidRPr="002C4C6F">
        <w:rPr>
          <w:rFonts w:eastAsia="Times New Roman"/>
          <w:sz w:val="24"/>
          <w:szCs w:val="24"/>
        </w:rPr>
        <w:t>.2023.101412.</w:t>
      </w:r>
    </w:p>
    <w:p w14:paraId="10F81DE7" w14:textId="77777777" w:rsidR="002C4C6F" w:rsidRPr="002C4C6F" w:rsidRDefault="002C4C6F" w:rsidP="002C4C6F">
      <w:pPr>
        <w:spacing w:before="240" w:after="240" w:line="360" w:lineRule="auto"/>
        <w:jc w:val="both"/>
        <w:rPr>
          <w:rFonts w:eastAsia="Times New Roman"/>
          <w:sz w:val="24"/>
          <w:szCs w:val="24"/>
        </w:rPr>
      </w:pPr>
      <w:r w:rsidRPr="002C4C6F">
        <w:rPr>
          <w:rFonts w:eastAsia="Times New Roman"/>
          <w:sz w:val="24"/>
          <w:szCs w:val="24"/>
        </w:rPr>
        <w:t xml:space="preserve">Qarahasanlou, A.N., Garmabaki, A.H.S., Kasraei, A. and Barabady, J. (2024) ‘Climate change impacts on mining value chain: A systematic literature review’, </w:t>
      </w:r>
      <w:r w:rsidRPr="002C4C6F">
        <w:rPr>
          <w:rFonts w:eastAsia="Times New Roman"/>
          <w:i/>
          <w:iCs/>
          <w:sz w:val="24"/>
          <w:szCs w:val="24"/>
        </w:rPr>
        <w:t>Lecture Notes in Mechanical Engineering</w:t>
      </w:r>
      <w:r w:rsidRPr="002C4C6F">
        <w:rPr>
          <w:rFonts w:eastAsia="Times New Roman"/>
          <w:sz w:val="24"/>
          <w:szCs w:val="24"/>
        </w:rPr>
        <w:t>, pp. 115–128. doi:10.1007/978-3-031-39619-9_9.</w:t>
      </w:r>
    </w:p>
    <w:p w14:paraId="199FEA48" w14:textId="77777777" w:rsidR="002C4C6F" w:rsidRPr="002C4C6F" w:rsidRDefault="002C4C6F" w:rsidP="002C4C6F">
      <w:pPr>
        <w:spacing w:before="240" w:after="240" w:line="360" w:lineRule="auto"/>
        <w:jc w:val="both"/>
        <w:rPr>
          <w:rFonts w:eastAsia="Times New Roman"/>
          <w:color w:val="1155CC"/>
          <w:sz w:val="24"/>
          <w:szCs w:val="24"/>
          <w:u w:val="single"/>
        </w:rPr>
      </w:pPr>
      <w:r w:rsidRPr="002C4C6F">
        <w:rPr>
          <w:rFonts w:eastAsia="Times New Roman"/>
          <w:sz w:val="24"/>
          <w:szCs w:val="24"/>
        </w:rPr>
        <w:t xml:space="preserve">Rio Tinto (2025) </w:t>
      </w:r>
      <w:r w:rsidRPr="002C4C6F">
        <w:rPr>
          <w:rFonts w:eastAsia="Times New Roman"/>
          <w:i/>
          <w:iCs/>
          <w:sz w:val="24"/>
          <w:szCs w:val="24"/>
        </w:rPr>
        <w:t>Climate reporting</w:t>
      </w:r>
      <w:r w:rsidRPr="002C4C6F">
        <w:rPr>
          <w:rFonts w:eastAsia="Times New Roman"/>
          <w:sz w:val="24"/>
          <w:szCs w:val="24"/>
        </w:rPr>
        <w:t>. Available at:</w:t>
      </w:r>
      <w:hyperlink r:id="rId37">
        <w:r w:rsidRPr="002C4C6F">
          <w:rPr>
            <w:rFonts w:eastAsia="Times New Roman"/>
            <w:sz w:val="24"/>
            <w:szCs w:val="24"/>
          </w:rPr>
          <w:t xml:space="preserve"> </w:t>
        </w:r>
      </w:hyperlink>
      <w:hyperlink r:id="rId38">
        <w:r w:rsidRPr="002C4C6F">
          <w:rPr>
            <w:rFonts w:eastAsia="Times New Roman"/>
            <w:color w:val="1155CC"/>
            <w:sz w:val="24"/>
            <w:szCs w:val="24"/>
            <w:u w:val="single"/>
          </w:rPr>
          <w:t>https://www.riotinto.com/en/invest/reports/climate-reporting</w:t>
        </w:r>
      </w:hyperlink>
    </w:p>
    <w:sectPr w:rsidR="002C4C6F" w:rsidRPr="002C4C6F" w:rsidSect="002C4C6F">
      <w:footerReference w:type="default" r:id="rId3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0A3A28" w14:textId="77777777" w:rsidR="003737B6" w:rsidRPr="00424C00" w:rsidRDefault="003737B6">
      <w:pPr>
        <w:spacing w:line="240" w:lineRule="auto"/>
      </w:pPr>
      <w:r w:rsidRPr="00424C00">
        <w:separator/>
      </w:r>
    </w:p>
  </w:endnote>
  <w:endnote w:type="continuationSeparator" w:id="0">
    <w:p w14:paraId="570627EC" w14:textId="77777777" w:rsidR="003737B6" w:rsidRPr="00424C00" w:rsidRDefault="003737B6">
      <w:pPr>
        <w:spacing w:line="240" w:lineRule="auto"/>
      </w:pPr>
      <w:r w:rsidRPr="00424C0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6BAD8DC-B52F-40AB-8F6D-87246F3CF6F2}"/>
  </w:font>
  <w:font w:name="Cambria">
    <w:panose1 w:val="02040503050406030204"/>
    <w:charset w:val="00"/>
    <w:family w:val="roman"/>
    <w:pitch w:val="variable"/>
    <w:sig w:usb0="E00006FF" w:usb1="420024FF" w:usb2="02000000" w:usb3="00000000" w:csb0="0000019F" w:csb1="00000000"/>
    <w:embedRegular r:id="rId2" w:fontKey="{BF80C65B-4386-4D48-B03D-7B910BDE81E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2801B8" w14:textId="3B83C781" w:rsidR="00213D05" w:rsidRPr="002C4C6F" w:rsidRDefault="00215BD5">
    <w:pPr>
      <w:jc w:val="right"/>
      <w:rPr>
        <w:rFonts w:eastAsia="Times New Roman"/>
        <w:sz w:val="20"/>
        <w:szCs w:val="24"/>
      </w:rPr>
    </w:pPr>
    <w:r w:rsidRPr="002C4C6F">
      <w:rPr>
        <w:rFonts w:eastAsia="Times New Roman"/>
        <w:sz w:val="20"/>
        <w:szCs w:val="24"/>
      </w:rPr>
      <w:fldChar w:fldCharType="begin"/>
    </w:r>
    <w:r w:rsidRPr="002C4C6F">
      <w:rPr>
        <w:rFonts w:eastAsia="Times New Roman"/>
        <w:sz w:val="20"/>
        <w:szCs w:val="24"/>
      </w:rPr>
      <w:instrText>PAGE</w:instrText>
    </w:r>
    <w:r w:rsidRPr="002C4C6F">
      <w:rPr>
        <w:rFonts w:eastAsia="Times New Roman"/>
        <w:sz w:val="20"/>
        <w:szCs w:val="24"/>
      </w:rPr>
      <w:fldChar w:fldCharType="separate"/>
    </w:r>
    <w:r w:rsidR="002C4C6F">
      <w:rPr>
        <w:rFonts w:eastAsia="Times New Roman"/>
        <w:noProof/>
        <w:sz w:val="20"/>
        <w:szCs w:val="24"/>
      </w:rPr>
      <w:t>6</w:t>
    </w:r>
    <w:r w:rsidRPr="002C4C6F">
      <w:rPr>
        <w:rFonts w:eastAsia="Times New Roman"/>
        <w:sz w:val="20"/>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E09C84" w14:textId="77777777" w:rsidR="003737B6" w:rsidRPr="00424C00" w:rsidRDefault="003737B6">
      <w:pPr>
        <w:spacing w:line="240" w:lineRule="auto"/>
      </w:pPr>
      <w:r w:rsidRPr="00424C00">
        <w:separator/>
      </w:r>
    </w:p>
  </w:footnote>
  <w:footnote w:type="continuationSeparator" w:id="0">
    <w:p w14:paraId="3918C38F" w14:textId="77777777" w:rsidR="003737B6" w:rsidRPr="00424C00" w:rsidRDefault="003737B6">
      <w:pPr>
        <w:spacing w:line="240" w:lineRule="auto"/>
      </w:pPr>
      <w:r w:rsidRPr="00424C00">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3D05"/>
    <w:rsid w:val="001B73CA"/>
    <w:rsid w:val="00213D05"/>
    <w:rsid w:val="00215BD5"/>
    <w:rsid w:val="002A04B8"/>
    <w:rsid w:val="002C4C6F"/>
    <w:rsid w:val="003737B6"/>
    <w:rsid w:val="00424C00"/>
    <w:rsid w:val="00C416A5"/>
    <w:rsid w:val="00E351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A273D"/>
  <w15:docId w15:val="{A38559D9-4D00-4D72-A126-E60B71DC9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2C4C6F"/>
    <w:pPr>
      <w:keepNext/>
      <w:keepLines/>
      <w:spacing w:before="120" w:after="120" w:line="360" w:lineRule="auto"/>
      <w:jc w:val="both"/>
      <w:outlineLvl w:val="0"/>
    </w:pPr>
    <w:rPr>
      <w:b/>
      <w:bCs/>
      <w:sz w:val="28"/>
    </w:rPr>
  </w:style>
  <w:style w:type="paragraph" w:styleId="Heading2">
    <w:name w:val="heading 2"/>
    <w:basedOn w:val="Normal"/>
    <w:next w:val="Normal"/>
    <w:uiPriority w:val="9"/>
    <w:unhideWhenUsed/>
    <w:qFormat/>
    <w:rsid w:val="002C4C6F"/>
    <w:pPr>
      <w:keepNext/>
      <w:keepLines/>
      <w:spacing w:before="120" w:after="120" w:line="360" w:lineRule="auto"/>
      <w:jc w:val="both"/>
      <w:outlineLvl w:val="1"/>
    </w:pPr>
    <w:rPr>
      <w:b/>
      <w:bCs/>
      <w:iCs/>
      <w:sz w:val="26"/>
      <w:szCs w:val="26"/>
    </w:rPr>
  </w:style>
  <w:style w:type="paragraph" w:styleId="Heading3">
    <w:name w:val="heading 3"/>
    <w:basedOn w:val="Normal"/>
    <w:next w:val="Normal"/>
    <w:uiPriority w:val="9"/>
    <w:unhideWhenUsed/>
    <w:qFormat/>
    <w:rsid w:val="002C4C6F"/>
    <w:pPr>
      <w:keepNext/>
      <w:keepLines/>
      <w:spacing w:before="120" w:after="120" w:line="360" w:lineRule="auto"/>
      <w:jc w:val="both"/>
      <w:outlineLvl w:val="2"/>
    </w:pPr>
    <w:rPr>
      <w:rFonts w:eastAsia="Times New Roman" w:cs="Times New Roman"/>
      <w:b/>
      <w:b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C4C6F"/>
    <w:pPr>
      <w:tabs>
        <w:tab w:val="center" w:pos="4680"/>
        <w:tab w:val="right" w:pos="9360"/>
      </w:tabs>
      <w:spacing w:line="240" w:lineRule="auto"/>
    </w:pPr>
  </w:style>
  <w:style w:type="character" w:customStyle="1" w:styleId="HeaderChar">
    <w:name w:val="Header Char"/>
    <w:basedOn w:val="DefaultParagraphFont"/>
    <w:link w:val="Header"/>
    <w:uiPriority w:val="99"/>
    <w:rsid w:val="002C4C6F"/>
    <w:rPr>
      <w:lang w:val="en-GB"/>
    </w:rPr>
  </w:style>
  <w:style w:type="paragraph" w:styleId="Footer">
    <w:name w:val="footer"/>
    <w:basedOn w:val="Normal"/>
    <w:link w:val="FooterChar"/>
    <w:uiPriority w:val="99"/>
    <w:unhideWhenUsed/>
    <w:rsid w:val="002C4C6F"/>
    <w:pPr>
      <w:tabs>
        <w:tab w:val="center" w:pos="4680"/>
        <w:tab w:val="right" w:pos="9360"/>
      </w:tabs>
      <w:spacing w:line="240" w:lineRule="auto"/>
    </w:pPr>
  </w:style>
  <w:style w:type="character" w:customStyle="1" w:styleId="FooterChar">
    <w:name w:val="Footer Char"/>
    <w:basedOn w:val="DefaultParagraphFont"/>
    <w:link w:val="Footer"/>
    <w:uiPriority w:val="99"/>
    <w:rsid w:val="002C4C6F"/>
    <w:rPr>
      <w:lang w:val="en-GB"/>
    </w:rPr>
  </w:style>
  <w:style w:type="paragraph" w:styleId="TOC1">
    <w:name w:val="toc 1"/>
    <w:basedOn w:val="Normal"/>
    <w:next w:val="Normal"/>
    <w:autoRedefine/>
    <w:uiPriority w:val="39"/>
    <w:unhideWhenUsed/>
    <w:rsid w:val="002C4C6F"/>
    <w:pPr>
      <w:spacing w:after="100"/>
    </w:pPr>
  </w:style>
  <w:style w:type="paragraph" w:styleId="TOC2">
    <w:name w:val="toc 2"/>
    <w:basedOn w:val="Normal"/>
    <w:next w:val="Normal"/>
    <w:autoRedefine/>
    <w:uiPriority w:val="39"/>
    <w:unhideWhenUsed/>
    <w:rsid w:val="002C4C6F"/>
    <w:pPr>
      <w:spacing w:after="100"/>
      <w:ind w:left="220"/>
    </w:pPr>
  </w:style>
  <w:style w:type="paragraph" w:styleId="TOC3">
    <w:name w:val="toc 3"/>
    <w:basedOn w:val="Normal"/>
    <w:next w:val="Normal"/>
    <w:autoRedefine/>
    <w:uiPriority w:val="39"/>
    <w:unhideWhenUsed/>
    <w:rsid w:val="002C4C6F"/>
    <w:pPr>
      <w:spacing w:after="100"/>
      <w:ind w:left="440"/>
    </w:pPr>
  </w:style>
  <w:style w:type="character" w:styleId="Hyperlink">
    <w:name w:val="Hyperlink"/>
    <w:basedOn w:val="DefaultParagraphFont"/>
    <w:uiPriority w:val="99"/>
    <w:unhideWhenUsed/>
    <w:rsid w:val="002C4C6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bhp.com/sustainability/climate-change" TargetMode="External"/><Relationship Id="rId18" Type="http://schemas.openxmlformats.org/officeDocument/2006/relationships/hyperlink" Target="https://www.bhp.com/investor-hub/reports-and-presentations/economic-and-commodity-outlook/2022/02/bhps-economic-and-commodity-outlook" TargetMode="External"/><Relationship Id="rId26" Type="http://schemas.openxmlformats.org/officeDocument/2006/relationships/hyperlink" Target="https://www.iea.org/reports/world-energy-outlook-2024/executive-summary" TargetMode="External"/><Relationship Id="rId39" Type="http://schemas.openxmlformats.org/officeDocument/2006/relationships/footer" Target="footer1.xml"/><Relationship Id="rId21" Type="http://schemas.openxmlformats.org/officeDocument/2006/relationships/hyperlink" Target="https://cibccm.com/en/insights/articles/sustainability-newsletter-edition-47/" TargetMode="External"/><Relationship Id="rId34" Type="http://schemas.openxmlformats.org/officeDocument/2006/relationships/hyperlink" Target="https://www.researchgate.net/publication/388495862_A_STUDY_ON_ANSOFF_MATRIX_TECHNIQUE_AS_A_GROWTH_STRATEGY_AND_AN_ADAPTIVE_LEARNING_TECHNIQUE_ADOPTED_IN_THE_LEADING_BRAND_OF_PRODUCTS" TargetMode="Externa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www.bhp.com/investor-hub/reports-and-presentations/annual-report" TargetMode="External"/><Relationship Id="rId20" Type="http://schemas.openxmlformats.org/officeDocument/2006/relationships/hyperlink" Target="https://www.researchgate.net/publication/400361660_Trends_and_Challenges_in_Environmental_Markets_for_Sustainable_Economic_Development" TargetMode="External"/><Relationship Id="rId29" Type="http://schemas.openxmlformats.org/officeDocument/2006/relationships/hyperlink" Target="https://www.theguardian.com/world/2026/may/27/bhp-files-stalled-emissions-reductions-mining-company-moral-obligation-decarbonise"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hp.com/sustainability/environment" TargetMode="External"/><Relationship Id="rId24" Type="http://schemas.openxmlformats.org/officeDocument/2006/relationships/hyperlink" Target="https://www.mckinsey.com/capabilities/sustainability/our-insights/climate-risk-and-decarbonization-what-every-mining-ceo-needs-to-know" TargetMode="External"/><Relationship Id="rId32" Type="http://schemas.openxmlformats.org/officeDocument/2006/relationships/hyperlink" Target="https://www.spglobal.com/market-intelligence/en/news-insights/research/2026/07/mine-permitting-delays-discovery-to-production-timeline" TargetMode="External"/><Relationship Id="rId37" Type="http://schemas.openxmlformats.org/officeDocument/2006/relationships/hyperlink" Target="https://www.riotinto.com/en/invest/reports/climate-reporting" TargetMode="Externa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bhp.com/investor-hub/reports-and-presentations/annual-report" TargetMode="External"/><Relationship Id="rId23" Type="http://schemas.openxmlformats.org/officeDocument/2006/relationships/hyperlink" Target="https://www.mckinsey.com/capabilities/sustainability/our-insights/climate-risk-and-decarbonization-what-every-mining-ceo-needs-to-know" TargetMode="External"/><Relationship Id="rId28" Type="http://schemas.openxmlformats.org/officeDocument/2006/relationships/hyperlink" Target="https://www.researchgate.net/publication/374000449_Achieving_Competitive_Advantage_through_Cost_Leadership_Strategy_Strategies_for_Sustainable_Success" TargetMode="External"/><Relationship Id="rId36" Type="http://schemas.openxmlformats.org/officeDocument/2006/relationships/hyperlink" Target="https://corporatefinanceinstitute.com/resources/management/ansoff-matrix/" TargetMode="External"/><Relationship Id="rId10" Type="http://schemas.openxmlformats.org/officeDocument/2006/relationships/hyperlink" Target="https://www.researchgate.net/publication/352181915_Porter" TargetMode="External"/><Relationship Id="rId19" Type="http://schemas.openxmlformats.org/officeDocument/2006/relationships/hyperlink" Target="https://www.researchgate.net/publication/400361660_Trends_and_Challenges_in_Environmental_Markets_for_Sustainable_Economic_Development" TargetMode="External"/><Relationship Id="rId31" Type="http://schemas.openxmlformats.org/officeDocument/2006/relationships/hyperlink" Target="https://www.spglobal.com/market-intelligence/en/news-insights/research/2026/07/mine-permitting-delays-discovery-to-production-timeline" TargetMode="External"/><Relationship Id="rId4" Type="http://schemas.openxmlformats.org/officeDocument/2006/relationships/footnotes" Target="footnotes.xml"/><Relationship Id="rId9" Type="http://schemas.openxmlformats.org/officeDocument/2006/relationships/hyperlink" Target="https://www.researchgate.net/publication/352181915_Porter" TargetMode="External"/><Relationship Id="rId14" Type="http://schemas.openxmlformats.org/officeDocument/2006/relationships/hyperlink" Target="https://www.bhp.com/sustainability/climate-change" TargetMode="External"/><Relationship Id="rId22" Type="http://schemas.openxmlformats.org/officeDocument/2006/relationships/hyperlink" Target="https://cibccm.com/en/insights/articles/sustainability-newsletter-edition-47/" TargetMode="External"/><Relationship Id="rId27" Type="http://schemas.openxmlformats.org/officeDocument/2006/relationships/hyperlink" Target="https://www.researchgate.net/publication/374000449_Achieving_Competitive_Advantage_through_Cost_Leadership_Strategy_Strategies_for_Sustainable_Success" TargetMode="External"/><Relationship Id="rId30" Type="http://schemas.openxmlformats.org/officeDocument/2006/relationships/hyperlink" Target="https://www.theguardian.com/world/2026/may/27/bhp-files-stalled-emissions-reductions-mining-company-moral-obligation-decarbonise" TargetMode="External"/><Relationship Id="rId35" Type="http://schemas.openxmlformats.org/officeDocument/2006/relationships/hyperlink" Target="https://corporatefinanceinstitute.com/resources/management/ansoff-matrix/" TargetMode="External"/><Relationship Id="rId8" Type="http://schemas.openxmlformats.org/officeDocument/2006/relationships/image" Target="media/image3.png"/><Relationship Id="rId3" Type="http://schemas.openxmlformats.org/officeDocument/2006/relationships/webSettings" Target="webSettings.xml"/><Relationship Id="rId12" Type="http://schemas.openxmlformats.org/officeDocument/2006/relationships/hyperlink" Target="https://www.bhp.com/sustainability/environment" TargetMode="External"/><Relationship Id="rId17" Type="http://schemas.openxmlformats.org/officeDocument/2006/relationships/hyperlink" Target="https://www.bhp.com/investor-hub/reports-and-presentations/economic-and-commodity-outlook/2022/02/bhps-economic-and-commodity-outlook" TargetMode="External"/><Relationship Id="rId25" Type="http://schemas.openxmlformats.org/officeDocument/2006/relationships/hyperlink" Target="https://www.iea.org/reports/world-energy-outlook-2024/executive-summary" TargetMode="External"/><Relationship Id="rId33" Type="http://schemas.openxmlformats.org/officeDocument/2006/relationships/hyperlink" Target="https://www.researchgate.net/publication/388495862_A_STUDY_ON_ANSOFF_MATRIX_TECHNIQUE_AS_A_GROWTH_STRATEGY_AND_AN_ADAPTIVE_LEARNING_TECHNIQUE_ADOPTED_IN_THE_LEADING_BRAND_OF_PRODUCTS" TargetMode="External"/><Relationship Id="rId38" Type="http://schemas.openxmlformats.org/officeDocument/2006/relationships/hyperlink" Target="https://www.riotinto.com/en/invest/reports/climate-reporting"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16</Pages>
  <Words>4541</Words>
  <Characters>25884</Characters>
  <Application>Microsoft Office Word</Application>
  <DocSecurity>0</DocSecurity>
  <Lines>215</Lines>
  <Paragraphs>60</Paragraphs>
  <ScaleCrop>false</ScaleCrop>
  <Company/>
  <LinksUpToDate>false</LinksUpToDate>
  <CharactersWithSpaces>30365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CHANDAN KUMAR</cp:lastModifiedBy>
  <cp:revision>4</cp:revision>
  <dcterms:created xsi:type="dcterms:W3CDTF">2026-07-16T10:02:00Z</dcterms:created>
  <dcterms:modified xsi:type="dcterms:W3CDTF">2026-07-18T11:23:00Z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2d2f2873-0142-4d97-a293-f54e85d04445</vt:lpwstr>
  </property>
</Properties>
</file>