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DC2F5" w14:textId="77777777" w:rsidR="00042FD6" w:rsidRDefault="00042FD6" w:rsidP="002D20AA">
      <w:pPr>
        <w:spacing w:before="100" w:beforeAutospacing="1" w:after="100" w:afterAutospacing="1" w:line="240" w:lineRule="auto"/>
        <w:rPr>
          <w:rFonts w:ascii="Arial" w:eastAsia="Times New Roman" w:hAnsi="Arial" w:cs="Arial"/>
          <w:b/>
          <w:bCs/>
          <w:color w:val="BF4E14" w:themeColor="accent2" w:themeShade="BF"/>
          <w:kern w:val="36"/>
          <w:sz w:val="22"/>
          <w:szCs w:val="22"/>
          <w14:ligatures w14:val="none"/>
        </w:rPr>
      </w:pPr>
    </w:p>
    <w:p w14:paraId="090548F2" w14:textId="70357FE9" w:rsidR="00042FD6" w:rsidRDefault="002D20AA" w:rsidP="00BF486E">
      <w:pPr>
        <w:spacing w:before="100" w:beforeAutospacing="1" w:after="100" w:afterAutospacing="1" w:line="240" w:lineRule="auto"/>
        <w:jc w:val="center"/>
        <w:rPr>
          <w:rFonts w:ascii="Arial" w:hAnsi="Arial" w:cs="Arial"/>
          <w:b/>
          <w:bCs/>
          <w:color w:val="BF4E14" w:themeColor="accent2" w:themeShade="BF"/>
          <w:kern w:val="0"/>
          <w:sz w:val="22"/>
          <w:szCs w:val="22"/>
          <w14:ligatures w14:val="none"/>
        </w:rPr>
      </w:pPr>
      <w:r w:rsidRPr="00F07D6B">
        <w:rPr>
          <w:rFonts w:ascii="Arial" w:hAnsi="Arial" w:cs="Arial"/>
          <w:b/>
          <w:bCs/>
          <w:kern w:val="0"/>
          <w:sz w:val="22"/>
          <w:szCs w:val="22"/>
          <w14:ligatures w14:val="none"/>
        </w:rPr>
        <w:t xml:space="preserve">Student Name: </w:t>
      </w:r>
      <w:r w:rsidR="00740089" w:rsidRPr="00042FD6">
        <w:rPr>
          <w:rFonts w:ascii="Arial" w:hAnsi="Arial" w:cs="Arial"/>
          <w:b/>
          <w:bCs/>
          <w:color w:val="BF4E14" w:themeColor="accent2" w:themeShade="BF"/>
          <w:kern w:val="0"/>
          <w:sz w:val="22"/>
          <w:szCs w:val="22"/>
          <w14:ligatures w14:val="none"/>
        </w:rPr>
        <w:t>Reema Hussain</w:t>
      </w:r>
    </w:p>
    <w:p w14:paraId="7131F9B8" w14:textId="1F4C712F" w:rsidR="00682F31" w:rsidRPr="00BF486E" w:rsidRDefault="00682F31" w:rsidP="00BF486E">
      <w:pPr>
        <w:spacing w:before="100" w:beforeAutospacing="1" w:after="100" w:afterAutospacing="1" w:line="240" w:lineRule="auto"/>
        <w:jc w:val="center"/>
        <w:rPr>
          <w:rFonts w:ascii="Arial" w:hAnsi="Arial" w:cs="Arial"/>
          <w:b/>
          <w:bCs/>
          <w:color w:val="BF4E14" w:themeColor="accent2" w:themeShade="BF"/>
          <w:kern w:val="0"/>
          <w:sz w:val="22"/>
          <w:szCs w:val="22"/>
          <w14:ligatures w14:val="none"/>
        </w:rPr>
      </w:pPr>
      <w:r>
        <w:rPr>
          <w:rFonts w:ascii="Arial" w:hAnsi="Arial" w:cs="Arial"/>
          <w:b/>
          <w:bCs/>
          <w:kern w:val="0"/>
          <w:sz w:val="22"/>
          <w:szCs w:val="22"/>
          <w14:ligatures w14:val="none"/>
        </w:rPr>
        <w:t>Student Nu</w:t>
      </w:r>
      <w:r w:rsidR="00BF486E">
        <w:rPr>
          <w:rFonts w:ascii="Arial" w:hAnsi="Arial" w:cs="Arial"/>
          <w:b/>
          <w:bCs/>
          <w:kern w:val="0"/>
          <w:sz w:val="22"/>
          <w:szCs w:val="22"/>
          <w14:ligatures w14:val="none"/>
        </w:rPr>
        <w:t xml:space="preserve">mber: </w:t>
      </w:r>
      <w:r w:rsidR="00BF486E">
        <w:rPr>
          <w:rFonts w:ascii="Arial" w:hAnsi="Arial" w:cs="Arial"/>
          <w:b/>
          <w:bCs/>
          <w:color w:val="BF4E14" w:themeColor="accent2" w:themeShade="BF"/>
          <w:kern w:val="0"/>
          <w:sz w:val="22"/>
          <w:szCs w:val="22"/>
          <w14:ligatures w14:val="none"/>
        </w:rPr>
        <w:t>2127235</w:t>
      </w:r>
    </w:p>
    <w:p w14:paraId="1EE2A647" w14:textId="4C43FC6D" w:rsidR="002D20AA" w:rsidRDefault="002D20AA" w:rsidP="00BF486E">
      <w:pPr>
        <w:spacing w:before="100" w:beforeAutospacing="1" w:after="100" w:afterAutospacing="1" w:line="240" w:lineRule="auto"/>
        <w:jc w:val="center"/>
        <w:rPr>
          <w:rFonts w:ascii="Arial" w:hAnsi="Arial" w:cs="Arial"/>
          <w:b/>
          <w:color w:val="BF4E14" w:themeColor="accent2" w:themeShade="BF"/>
          <w:kern w:val="0"/>
          <w:sz w:val="22"/>
          <w:szCs w:val="22"/>
          <w14:ligatures w14:val="none"/>
        </w:rPr>
      </w:pPr>
      <w:r w:rsidRPr="00F07D6B">
        <w:rPr>
          <w:rFonts w:ascii="Arial" w:hAnsi="Arial" w:cs="Arial"/>
          <w:b/>
          <w:kern w:val="0"/>
          <w:sz w:val="22"/>
          <w:szCs w:val="22"/>
          <w14:ligatures w14:val="none"/>
        </w:rPr>
        <w:t>Module</w:t>
      </w:r>
      <w:r w:rsidR="0072510F">
        <w:rPr>
          <w:rFonts w:ascii="Arial" w:hAnsi="Arial" w:cs="Arial"/>
          <w:b/>
          <w:kern w:val="0"/>
          <w:sz w:val="22"/>
          <w:szCs w:val="22"/>
          <w14:ligatures w14:val="none"/>
        </w:rPr>
        <w:t xml:space="preserve"> Code</w:t>
      </w:r>
      <w:r w:rsidRPr="00F07D6B">
        <w:rPr>
          <w:rFonts w:ascii="Arial" w:hAnsi="Arial" w:cs="Arial"/>
          <w:b/>
          <w:bCs/>
          <w:kern w:val="0"/>
          <w:sz w:val="22"/>
          <w:szCs w:val="22"/>
          <w14:ligatures w14:val="none"/>
        </w:rPr>
        <w:t xml:space="preserve">: </w:t>
      </w:r>
      <w:r w:rsidR="00042FD6" w:rsidRPr="00042FD6">
        <w:rPr>
          <w:rFonts w:ascii="Arial" w:hAnsi="Arial" w:cs="Arial"/>
          <w:b/>
          <w:bCs/>
          <w:color w:val="BF4E14" w:themeColor="accent2" w:themeShade="BF"/>
          <w:kern w:val="0"/>
          <w:sz w:val="22"/>
          <w:szCs w:val="22"/>
          <w14:ligatures w14:val="none"/>
        </w:rPr>
        <w:t>BMHP6030</w:t>
      </w:r>
    </w:p>
    <w:p w14:paraId="5A20CB58" w14:textId="30FF3161" w:rsidR="00682F31" w:rsidRPr="00682F31" w:rsidRDefault="00BF486E" w:rsidP="00BF486E">
      <w:pPr>
        <w:spacing w:before="100" w:beforeAutospacing="1" w:after="100" w:afterAutospacing="1" w:line="240" w:lineRule="auto"/>
        <w:jc w:val="center"/>
        <w:rPr>
          <w:rFonts w:ascii="Arial" w:hAnsi="Arial" w:cs="Arial"/>
          <w:b/>
          <w:bCs/>
          <w:kern w:val="0"/>
          <w:sz w:val="22"/>
          <w:szCs w:val="22"/>
          <w14:ligatures w14:val="none"/>
        </w:rPr>
      </w:pPr>
      <w:r w:rsidRPr="00682F31">
        <w:rPr>
          <w:rFonts w:ascii="Arial" w:hAnsi="Arial" w:cs="Arial"/>
          <w:b/>
          <w:bCs/>
          <w:kern w:val="0"/>
          <w:sz w:val="22"/>
          <w:szCs w:val="22"/>
          <w14:ligatures w14:val="none"/>
        </w:rPr>
        <w:t>Module</w:t>
      </w:r>
      <w:r w:rsidR="00682F31" w:rsidRPr="00682F31">
        <w:rPr>
          <w:rFonts w:ascii="Arial" w:hAnsi="Arial" w:cs="Arial"/>
          <w:b/>
          <w:bCs/>
          <w:kern w:val="0"/>
          <w:sz w:val="22"/>
          <w:szCs w:val="22"/>
          <w14:ligatures w14:val="none"/>
        </w:rPr>
        <w:t>:</w:t>
      </w:r>
      <w:r w:rsidR="00682F31">
        <w:rPr>
          <w:rFonts w:ascii="Arial" w:hAnsi="Arial" w:cs="Arial"/>
          <w:b/>
          <w:bCs/>
          <w:kern w:val="0"/>
          <w:sz w:val="22"/>
          <w:szCs w:val="22"/>
          <w14:ligatures w14:val="none"/>
        </w:rPr>
        <w:t xml:space="preserve"> </w:t>
      </w:r>
      <w:r w:rsidR="00682F31" w:rsidRPr="0072510F">
        <w:rPr>
          <w:rFonts w:ascii="Arial" w:eastAsia="Times New Roman" w:hAnsi="Arial" w:cs="Arial"/>
          <w:b/>
          <w:bCs/>
          <w:color w:val="BF4E14" w:themeColor="accent2" w:themeShade="BF"/>
          <w:kern w:val="36"/>
          <w:sz w:val="22"/>
          <w:szCs w:val="22"/>
          <w14:ligatures w14:val="none"/>
        </w:rPr>
        <w:t>Health, Wellbeing and Sustainable Development</w:t>
      </w:r>
    </w:p>
    <w:p w14:paraId="074F750F" w14:textId="77777777" w:rsidR="00682F31" w:rsidRPr="00F07D6B" w:rsidRDefault="00192BD9" w:rsidP="00BF486E">
      <w:pPr>
        <w:spacing w:before="100" w:beforeAutospacing="1" w:after="100" w:afterAutospacing="1" w:line="240" w:lineRule="auto"/>
        <w:jc w:val="center"/>
        <w:outlineLvl w:val="0"/>
        <w:rPr>
          <w:rFonts w:ascii="Arial" w:eastAsia="Times New Roman" w:hAnsi="Arial" w:cs="Arial"/>
          <w:b/>
          <w:bCs/>
          <w:kern w:val="36"/>
          <w:sz w:val="22"/>
          <w:szCs w:val="22"/>
          <w14:ligatures w14:val="none"/>
        </w:rPr>
      </w:pPr>
      <w:r w:rsidRPr="00682F31">
        <w:rPr>
          <w:rFonts w:ascii="Arial" w:hAnsi="Arial" w:cs="Arial"/>
          <w:b/>
          <w:bCs/>
          <w:kern w:val="0"/>
          <w:sz w:val="22"/>
          <w:szCs w:val="22"/>
          <w14:ligatures w14:val="none"/>
        </w:rPr>
        <w:t>Report Title</w:t>
      </w:r>
      <w:r w:rsidR="00682F31" w:rsidRPr="00682F31">
        <w:rPr>
          <w:rFonts w:ascii="Arial" w:hAnsi="Arial" w:cs="Arial"/>
          <w:b/>
          <w:bCs/>
          <w:kern w:val="0"/>
          <w:sz w:val="22"/>
          <w:szCs w:val="22"/>
          <w14:ligatures w14:val="none"/>
        </w:rPr>
        <w:t>:</w:t>
      </w:r>
      <w:r w:rsidR="00682F31">
        <w:rPr>
          <w:rFonts w:ascii="Arial" w:hAnsi="Arial" w:cs="Arial"/>
          <w:b/>
          <w:bCs/>
          <w:kern w:val="0"/>
          <w:sz w:val="22"/>
          <w:szCs w:val="22"/>
          <w14:ligatures w14:val="none"/>
        </w:rPr>
        <w:t xml:space="preserve"> </w:t>
      </w:r>
      <w:r w:rsidR="00682F31" w:rsidRPr="00682F31">
        <w:rPr>
          <w:rFonts w:ascii="Arial" w:eastAsia="Times New Roman" w:hAnsi="Arial" w:cs="Arial"/>
          <w:b/>
          <w:bCs/>
          <w:color w:val="BF4E14" w:themeColor="accent2" w:themeShade="BF"/>
          <w:kern w:val="36"/>
          <w:sz w:val="22"/>
          <w:szCs w:val="22"/>
          <w14:ligatures w14:val="none"/>
        </w:rPr>
        <w:t>A Critical Examination of SDG 3 and SDG 13 Policies and Initiatives</w:t>
      </w:r>
    </w:p>
    <w:p w14:paraId="6B3961D6" w14:textId="0E4A66AA" w:rsidR="00192BD9" w:rsidRPr="00682F31" w:rsidRDefault="00192BD9" w:rsidP="002D20AA">
      <w:pPr>
        <w:spacing w:before="100" w:beforeAutospacing="1" w:after="100" w:afterAutospacing="1" w:line="240" w:lineRule="auto"/>
        <w:rPr>
          <w:rFonts w:ascii="Arial" w:hAnsi="Arial" w:cs="Arial"/>
          <w:b/>
          <w:bCs/>
          <w:kern w:val="0"/>
          <w:sz w:val="22"/>
          <w:szCs w:val="22"/>
          <w14:ligatures w14:val="none"/>
        </w:rPr>
      </w:pPr>
    </w:p>
    <w:p w14:paraId="28C11614" w14:textId="30BF64A8" w:rsidR="002D20AA" w:rsidRDefault="002D20AA" w:rsidP="002D20AA">
      <w:pPr>
        <w:spacing w:after="0" w:line="240" w:lineRule="auto"/>
        <w:rPr>
          <w:rFonts w:ascii="Arial" w:eastAsia="Times New Roman" w:hAnsi="Arial" w:cs="Arial"/>
          <w:kern w:val="0"/>
          <w:sz w:val="22"/>
          <w:szCs w:val="22"/>
          <w14:ligatures w14:val="none"/>
        </w:rPr>
      </w:pPr>
    </w:p>
    <w:p w14:paraId="4BC55124" w14:textId="77777777" w:rsidR="001E0724" w:rsidRDefault="001E0724" w:rsidP="002D20AA">
      <w:pPr>
        <w:spacing w:after="0" w:line="240" w:lineRule="auto"/>
        <w:rPr>
          <w:rFonts w:ascii="Arial" w:eastAsia="Times New Roman" w:hAnsi="Arial" w:cs="Arial"/>
          <w:kern w:val="0"/>
          <w:sz w:val="22"/>
          <w:szCs w:val="22"/>
          <w14:ligatures w14:val="none"/>
        </w:rPr>
      </w:pPr>
    </w:p>
    <w:p w14:paraId="59453EFA" w14:textId="77777777" w:rsidR="001E0724" w:rsidRDefault="001E0724" w:rsidP="002D20AA">
      <w:pPr>
        <w:spacing w:after="0" w:line="240" w:lineRule="auto"/>
        <w:rPr>
          <w:rFonts w:ascii="Arial" w:eastAsia="Times New Roman" w:hAnsi="Arial" w:cs="Arial"/>
          <w:kern w:val="0"/>
          <w:sz w:val="22"/>
          <w:szCs w:val="22"/>
          <w14:ligatures w14:val="none"/>
        </w:rPr>
      </w:pPr>
    </w:p>
    <w:p w14:paraId="6FD7DBE1" w14:textId="77777777" w:rsidR="001E0724" w:rsidRDefault="001E0724" w:rsidP="002D20AA">
      <w:pPr>
        <w:spacing w:after="0" w:line="240" w:lineRule="auto"/>
        <w:rPr>
          <w:rFonts w:ascii="Arial" w:eastAsia="Times New Roman" w:hAnsi="Arial" w:cs="Arial"/>
          <w:kern w:val="0"/>
          <w:sz w:val="22"/>
          <w:szCs w:val="22"/>
          <w14:ligatures w14:val="none"/>
        </w:rPr>
      </w:pPr>
    </w:p>
    <w:p w14:paraId="79446256" w14:textId="77777777" w:rsidR="001E0724" w:rsidRDefault="001E0724" w:rsidP="002D20AA">
      <w:pPr>
        <w:spacing w:after="0" w:line="240" w:lineRule="auto"/>
        <w:rPr>
          <w:rFonts w:ascii="Arial" w:eastAsia="Times New Roman" w:hAnsi="Arial" w:cs="Arial"/>
          <w:kern w:val="0"/>
          <w:sz w:val="22"/>
          <w:szCs w:val="22"/>
          <w14:ligatures w14:val="none"/>
        </w:rPr>
      </w:pPr>
    </w:p>
    <w:p w14:paraId="1B36FC44" w14:textId="77777777" w:rsidR="001E0724" w:rsidRDefault="001E0724" w:rsidP="002D20AA">
      <w:pPr>
        <w:spacing w:after="0" w:line="240" w:lineRule="auto"/>
        <w:rPr>
          <w:rFonts w:ascii="Arial" w:eastAsia="Times New Roman" w:hAnsi="Arial" w:cs="Arial"/>
          <w:kern w:val="0"/>
          <w:sz w:val="22"/>
          <w:szCs w:val="22"/>
          <w14:ligatures w14:val="none"/>
        </w:rPr>
      </w:pPr>
    </w:p>
    <w:p w14:paraId="546B6FC0" w14:textId="77777777" w:rsidR="001E0724" w:rsidRDefault="001E0724" w:rsidP="002D20AA">
      <w:pPr>
        <w:spacing w:after="0" w:line="240" w:lineRule="auto"/>
        <w:rPr>
          <w:rFonts w:ascii="Arial" w:eastAsia="Times New Roman" w:hAnsi="Arial" w:cs="Arial"/>
          <w:kern w:val="0"/>
          <w:sz w:val="22"/>
          <w:szCs w:val="22"/>
          <w14:ligatures w14:val="none"/>
        </w:rPr>
      </w:pPr>
    </w:p>
    <w:p w14:paraId="12402FFC" w14:textId="77777777" w:rsidR="001E0724" w:rsidRDefault="001E0724" w:rsidP="002D20AA">
      <w:pPr>
        <w:spacing w:after="0" w:line="240" w:lineRule="auto"/>
        <w:rPr>
          <w:rFonts w:ascii="Arial" w:eastAsia="Times New Roman" w:hAnsi="Arial" w:cs="Arial"/>
          <w:kern w:val="0"/>
          <w:sz w:val="22"/>
          <w:szCs w:val="22"/>
          <w14:ligatures w14:val="none"/>
        </w:rPr>
      </w:pPr>
    </w:p>
    <w:p w14:paraId="45695438" w14:textId="77777777" w:rsidR="001E0724" w:rsidRDefault="001E0724" w:rsidP="002D20AA">
      <w:pPr>
        <w:spacing w:after="0" w:line="240" w:lineRule="auto"/>
        <w:rPr>
          <w:rFonts w:ascii="Arial" w:eastAsia="Times New Roman" w:hAnsi="Arial" w:cs="Arial"/>
          <w:kern w:val="0"/>
          <w:sz w:val="22"/>
          <w:szCs w:val="22"/>
          <w14:ligatures w14:val="none"/>
        </w:rPr>
      </w:pPr>
    </w:p>
    <w:p w14:paraId="005FFAEF" w14:textId="77777777" w:rsidR="001E0724" w:rsidRDefault="001E0724" w:rsidP="002D20AA">
      <w:pPr>
        <w:spacing w:after="0" w:line="240" w:lineRule="auto"/>
        <w:rPr>
          <w:rFonts w:ascii="Arial" w:eastAsia="Times New Roman" w:hAnsi="Arial" w:cs="Arial"/>
          <w:kern w:val="0"/>
          <w:sz w:val="22"/>
          <w:szCs w:val="22"/>
          <w14:ligatures w14:val="none"/>
        </w:rPr>
      </w:pPr>
    </w:p>
    <w:p w14:paraId="5E9C1E5B" w14:textId="77777777" w:rsidR="001E0724" w:rsidRDefault="001E0724" w:rsidP="002D20AA">
      <w:pPr>
        <w:spacing w:after="0" w:line="240" w:lineRule="auto"/>
        <w:rPr>
          <w:rFonts w:ascii="Arial" w:eastAsia="Times New Roman" w:hAnsi="Arial" w:cs="Arial"/>
          <w:kern w:val="0"/>
          <w:sz w:val="22"/>
          <w:szCs w:val="22"/>
          <w14:ligatures w14:val="none"/>
        </w:rPr>
      </w:pPr>
    </w:p>
    <w:p w14:paraId="52F4F4ED" w14:textId="77777777" w:rsidR="001E0724" w:rsidRDefault="001E0724" w:rsidP="002D20AA">
      <w:pPr>
        <w:spacing w:after="0" w:line="240" w:lineRule="auto"/>
        <w:rPr>
          <w:rFonts w:ascii="Arial" w:eastAsia="Times New Roman" w:hAnsi="Arial" w:cs="Arial"/>
          <w:kern w:val="0"/>
          <w:sz w:val="22"/>
          <w:szCs w:val="22"/>
          <w14:ligatures w14:val="none"/>
        </w:rPr>
      </w:pPr>
    </w:p>
    <w:p w14:paraId="331602AF" w14:textId="77777777" w:rsidR="001E0724" w:rsidRDefault="001E0724" w:rsidP="002D20AA">
      <w:pPr>
        <w:spacing w:after="0" w:line="240" w:lineRule="auto"/>
        <w:rPr>
          <w:rFonts w:ascii="Arial" w:eastAsia="Times New Roman" w:hAnsi="Arial" w:cs="Arial"/>
          <w:kern w:val="0"/>
          <w:sz w:val="22"/>
          <w:szCs w:val="22"/>
          <w14:ligatures w14:val="none"/>
        </w:rPr>
      </w:pPr>
    </w:p>
    <w:p w14:paraId="1D8EFC71" w14:textId="77777777" w:rsidR="001E0724" w:rsidRDefault="001E0724" w:rsidP="002D20AA">
      <w:pPr>
        <w:spacing w:after="0" w:line="240" w:lineRule="auto"/>
        <w:rPr>
          <w:rFonts w:ascii="Arial" w:eastAsia="Times New Roman" w:hAnsi="Arial" w:cs="Arial"/>
          <w:kern w:val="0"/>
          <w:sz w:val="22"/>
          <w:szCs w:val="22"/>
          <w14:ligatures w14:val="none"/>
        </w:rPr>
      </w:pPr>
    </w:p>
    <w:p w14:paraId="281216BF" w14:textId="77777777" w:rsidR="001E0724" w:rsidRDefault="001E0724" w:rsidP="002D20AA">
      <w:pPr>
        <w:spacing w:after="0" w:line="240" w:lineRule="auto"/>
        <w:rPr>
          <w:rFonts w:ascii="Arial" w:eastAsia="Times New Roman" w:hAnsi="Arial" w:cs="Arial"/>
          <w:kern w:val="0"/>
          <w:sz w:val="22"/>
          <w:szCs w:val="22"/>
          <w14:ligatures w14:val="none"/>
        </w:rPr>
      </w:pPr>
    </w:p>
    <w:p w14:paraId="587A212D" w14:textId="77777777" w:rsidR="001E0724" w:rsidRDefault="001E0724" w:rsidP="002D20AA">
      <w:pPr>
        <w:spacing w:after="0" w:line="240" w:lineRule="auto"/>
        <w:rPr>
          <w:rFonts w:ascii="Arial" w:eastAsia="Times New Roman" w:hAnsi="Arial" w:cs="Arial"/>
          <w:kern w:val="0"/>
          <w:sz w:val="22"/>
          <w:szCs w:val="22"/>
          <w14:ligatures w14:val="none"/>
        </w:rPr>
      </w:pPr>
    </w:p>
    <w:p w14:paraId="1D70082D" w14:textId="77777777" w:rsidR="001E0724" w:rsidRDefault="001E0724" w:rsidP="002D20AA">
      <w:pPr>
        <w:spacing w:after="0" w:line="240" w:lineRule="auto"/>
        <w:rPr>
          <w:rFonts w:ascii="Arial" w:eastAsia="Times New Roman" w:hAnsi="Arial" w:cs="Arial"/>
          <w:kern w:val="0"/>
          <w:sz w:val="22"/>
          <w:szCs w:val="22"/>
          <w14:ligatures w14:val="none"/>
        </w:rPr>
      </w:pPr>
    </w:p>
    <w:p w14:paraId="23645156" w14:textId="77777777" w:rsidR="001E0724" w:rsidRDefault="001E0724" w:rsidP="002D20AA">
      <w:pPr>
        <w:spacing w:after="0" w:line="240" w:lineRule="auto"/>
        <w:rPr>
          <w:rFonts w:ascii="Arial" w:eastAsia="Times New Roman" w:hAnsi="Arial" w:cs="Arial"/>
          <w:kern w:val="0"/>
          <w:sz w:val="22"/>
          <w:szCs w:val="22"/>
          <w14:ligatures w14:val="none"/>
        </w:rPr>
      </w:pPr>
    </w:p>
    <w:p w14:paraId="0CE8C63D" w14:textId="77777777" w:rsidR="001E0724" w:rsidRDefault="001E0724" w:rsidP="002D20AA">
      <w:pPr>
        <w:spacing w:after="0" w:line="240" w:lineRule="auto"/>
        <w:rPr>
          <w:rFonts w:ascii="Arial" w:eastAsia="Times New Roman" w:hAnsi="Arial" w:cs="Arial"/>
          <w:kern w:val="0"/>
          <w:sz w:val="22"/>
          <w:szCs w:val="22"/>
          <w14:ligatures w14:val="none"/>
        </w:rPr>
      </w:pPr>
    </w:p>
    <w:p w14:paraId="656321BB" w14:textId="77777777" w:rsidR="001E0724" w:rsidRDefault="001E0724" w:rsidP="002D20AA">
      <w:pPr>
        <w:spacing w:after="0" w:line="240" w:lineRule="auto"/>
        <w:rPr>
          <w:rFonts w:ascii="Arial" w:eastAsia="Times New Roman" w:hAnsi="Arial" w:cs="Arial"/>
          <w:kern w:val="0"/>
          <w:sz w:val="22"/>
          <w:szCs w:val="22"/>
          <w14:ligatures w14:val="none"/>
        </w:rPr>
      </w:pPr>
    </w:p>
    <w:p w14:paraId="77FB33CD" w14:textId="77777777" w:rsidR="001E0724" w:rsidRDefault="001E0724" w:rsidP="002D20AA">
      <w:pPr>
        <w:spacing w:after="0" w:line="240" w:lineRule="auto"/>
        <w:rPr>
          <w:rFonts w:ascii="Arial" w:eastAsia="Times New Roman" w:hAnsi="Arial" w:cs="Arial"/>
          <w:kern w:val="0"/>
          <w:sz w:val="22"/>
          <w:szCs w:val="22"/>
          <w14:ligatures w14:val="none"/>
        </w:rPr>
      </w:pPr>
    </w:p>
    <w:p w14:paraId="29358FE5" w14:textId="77777777" w:rsidR="001E0724" w:rsidRDefault="001E0724" w:rsidP="002D20AA">
      <w:pPr>
        <w:spacing w:after="0" w:line="240" w:lineRule="auto"/>
        <w:rPr>
          <w:rFonts w:ascii="Arial" w:eastAsia="Times New Roman" w:hAnsi="Arial" w:cs="Arial"/>
          <w:kern w:val="0"/>
          <w:sz w:val="22"/>
          <w:szCs w:val="22"/>
          <w14:ligatures w14:val="none"/>
        </w:rPr>
      </w:pPr>
    </w:p>
    <w:p w14:paraId="1010C327" w14:textId="77777777" w:rsidR="001E0724" w:rsidRDefault="001E0724" w:rsidP="002D20AA">
      <w:pPr>
        <w:spacing w:after="0" w:line="240" w:lineRule="auto"/>
        <w:rPr>
          <w:rFonts w:ascii="Arial" w:eastAsia="Times New Roman" w:hAnsi="Arial" w:cs="Arial"/>
          <w:kern w:val="0"/>
          <w:sz w:val="22"/>
          <w:szCs w:val="22"/>
          <w14:ligatures w14:val="none"/>
        </w:rPr>
      </w:pPr>
    </w:p>
    <w:p w14:paraId="2DEE8B3B" w14:textId="77777777" w:rsidR="001E0724" w:rsidRDefault="001E0724" w:rsidP="002D20AA">
      <w:pPr>
        <w:spacing w:after="0" w:line="240" w:lineRule="auto"/>
        <w:rPr>
          <w:rFonts w:ascii="Arial" w:eastAsia="Times New Roman" w:hAnsi="Arial" w:cs="Arial"/>
          <w:kern w:val="0"/>
          <w:sz w:val="22"/>
          <w:szCs w:val="22"/>
          <w14:ligatures w14:val="none"/>
        </w:rPr>
      </w:pPr>
    </w:p>
    <w:p w14:paraId="0C9BB9EF" w14:textId="77777777" w:rsidR="001E0724" w:rsidRDefault="001E0724" w:rsidP="002D20AA">
      <w:pPr>
        <w:spacing w:after="0" w:line="240" w:lineRule="auto"/>
        <w:rPr>
          <w:rFonts w:ascii="Arial" w:eastAsia="Times New Roman" w:hAnsi="Arial" w:cs="Arial"/>
          <w:kern w:val="0"/>
          <w:sz w:val="22"/>
          <w:szCs w:val="22"/>
          <w14:ligatures w14:val="none"/>
        </w:rPr>
      </w:pPr>
    </w:p>
    <w:p w14:paraId="12636515" w14:textId="77777777" w:rsidR="001E0724" w:rsidRDefault="001E0724" w:rsidP="002D20AA">
      <w:pPr>
        <w:spacing w:after="0" w:line="240" w:lineRule="auto"/>
        <w:rPr>
          <w:rFonts w:ascii="Arial" w:eastAsia="Times New Roman" w:hAnsi="Arial" w:cs="Arial"/>
          <w:kern w:val="0"/>
          <w:sz w:val="22"/>
          <w:szCs w:val="22"/>
          <w14:ligatures w14:val="none"/>
        </w:rPr>
      </w:pPr>
    </w:p>
    <w:p w14:paraId="766A8210" w14:textId="77777777" w:rsidR="001E0724" w:rsidRDefault="001E0724" w:rsidP="002D20AA">
      <w:pPr>
        <w:spacing w:after="0" w:line="240" w:lineRule="auto"/>
        <w:rPr>
          <w:rFonts w:ascii="Arial" w:eastAsia="Times New Roman" w:hAnsi="Arial" w:cs="Arial"/>
          <w:kern w:val="0"/>
          <w:sz w:val="22"/>
          <w:szCs w:val="22"/>
          <w14:ligatures w14:val="none"/>
        </w:rPr>
      </w:pPr>
    </w:p>
    <w:p w14:paraId="532CC225" w14:textId="77777777" w:rsidR="001E0724" w:rsidRDefault="001E0724" w:rsidP="002D20AA">
      <w:pPr>
        <w:spacing w:after="0" w:line="240" w:lineRule="auto"/>
        <w:rPr>
          <w:rFonts w:ascii="Arial" w:eastAsia="Times New Roman" w:hAnsi="Arial" w:cs="Arial"/>
          <w:kern w:val="0"/>
          <w:sz w:val="22"/>
          <w:szCs w:val="22"/>
          <w14:ligatures w14:val="none"/>
        </w:rPr>
      </w:pPr>
    </w:p>
    <w:p w14:paraId="46E2B3A2" w14:textId="77777777" w:rsidR="001E0724" w:rsidRDefault="001E0724" w:rsidP="002D20AA">
      <w:pPr>
        <w:spacing w:after="0" w:line="240" w:lineRule="auto"/>
        <w:rPr>
          <w:rFonts w:ascii="Arial" w:eastAsia="Times New Roman" w:hAnsi="Arial" w:cs="Arial"/>
          <w:kern w:val="0"/>
          <w:sz w:val="22"/>
          <w:szCs w:val="22"/>
          <w14:ligatures w14:val="none"/>
        </w:rPr>
      </w:pPr>
    </w:p>
    <w:p w14:paraId="0E2A7BBC" w14:textId="77777777" w:rsidR="001E0724" w:rsidRDefault="001E0724" w:rsidP="002D20AA">
      <w:pPr>
        <w:spacing w:after="0" w:line="240" w:lineRule="auto"/>
        <w:rPr>
          <w:rFonts w:ascii="Arial" w:eastAsia="Times New Roman" w:hAnsi="Arial" w:cs="Arial"/>
          <w:kern w:val="0"/>
          <w:sz w:val="22"/>
          <w:szCs w:val="22"/>
          <w14:ligatures w14:val="none"/>
        </w:rPr>
      </w:pPr>
    </w:p>
    <w:p w14:paraId="4B1EEC6A" w14:textId="77777777" w:rsidR="001E0724" w:rsidRDefault="001E0724" w:rsidP="002D20AA">
      <w:pPr>
        <w:spacing w:after="0" w:line="240" w:lineRule="auto"/>
        <w:rPr>
          <w:rFonts w:ascii="Arial" w:eastAsia="Times New Roman" w:hAnsi="Arial" w:cs="Arial"/>
          <w:kern w:val="0"/>
          <w:sz w:val="22"/>
          <w:szCs w:val="22"/>
          <w14:ligatures w14:val="none"/>
        </w:rPr>
      </w:pPr>
    </w:p>
    <w:p w14:paraId="1D6E4F11" w14:textId="77777777" w:rsidR="001E0724" w:rsidRDefault="001E0724" w:rsidP="002D20AA">
      <w:pPr>
        <w:spacing w:after="0" w:line="240" w:lineRule="auto"/>
        <w:rPr>
          <w:rFonts w:ascii="Arial" w:eastAsia="Times New Roman" w:hAnsi="Arial" w:cs="Arial"/>
          <w:kern w:val="0"/>
          <w:sz w:val="22"/>
          <w:szCs w:val="22"/>
          <w14:ligatures w14:val="none"/>
        </w:rPr>
      </w:pPr>
    </w:p>
    <w:p w14:paraId="2F8007C6" w14:textId="77777777" w:rsidR="001E0724" w:rsidRDefault="001E0724" w:rsidP="002D20AA">
      <w:pPr>
        <w:spacing w:after="0" w:line="240" w:lineRule="auto"/>
        <w:rPr>
          <w:rFonts w:ascii="Arial" w:eastAsia="Times New Roman" w:hAnsi="Arial" w:cs="Arial"/>
          <w:kern w:val="0"/>
          <w:sz w:val="22"/>
          <w:szCs w:val="22"/>
          <w14:ligatures w14:val="none"/>
        </w:rPr>
      </w:pPr>
    </w:p>
    <w:p w14:paraId="502B4858" w14:textId="77777777" w:rsidR="001E0724" w:rsidRDefault="001E0724" w:rsidP="002D20AA">
      <w:pPr>
        <w:spacing w:after="0" w:line="240" w:lineRule="auto"/>
        <w:rPr>
          <w:rFonts w:ascii="Arial" w:eastAsia="Times New Roman" w:hAnsi="Arial" w:cs="Arial"/>
          <w:kern w:val="0"/>
          <w:sz w:val="22"/>
          <w:szCs w:val="22"/>
          <w14:ligatures w14:val="none"/>
        </w:rPr>
      </w:pPr>
    </w:p>
    <w:p w14:paraId="71E94389" w14:textId="77777777" w:rsidR="001E0724" w:rsidRDefault="001E0724" w:rsidP="002D20AA">
      <w:pPr>
        <w:spacing w:after="0" w:line="240" w:lineRule="auto"/>
        <w:rPr>
          <w:rFonts w:ascii="Arial" w:eastAsia="Times New Roman" w:hAnsi="Arial" w:cs="Arial"/>
          <w:kern w:val="0"/>
          <w:sz w:val="22"/>
          <w:szCs w:val="22"/>
          <w14:ligatures w14:val="none"/>
        </w:rPr>
      </w:pPr>
    </w:p>
    <w:p w14:paraId="14CA3F6A" w14:textId="77777777" w:rsidR="001E0724" w:rsidRDefault="001E0724" w:rsidP="002D20AA">
      <w:pPr>
        <w:spacing w:after="0" w:line="240" w:lineRule="auto"/>
        <w:rPr>
          <w:rFonts w:ascii="Arial" w:eastAsia="Times New Roman" w:hAnsi="Arial" w:cs="Arial"/>
          <w:kern w:val="0"/>
          <w:sz w:val="22"/>
          <w:szCs w:val="22"/>
          <w14:ligatures w14:val="none"/>
        </w:rPr>
      </w:pPr>
    </w:p>
    <w:p w14:paraId="563AD624" w14:textId="77777777" w:rsidR="001E0724" w:rsidRDefault="001E0724" w:rsidP="002D20AA">
      <w:pPr>
        <w:spacing w:after="0" w:line="240" w:lineRule="auto"/>
        <w:rPr>
          <w:rFonts w:ascii="Arial" w:eastAsia="Times New Roman" w:hAnsi="Arial" w:cs="Arial"/>
          <w:kern w:val="0"/>
          <w:sz w:val="22"/>
          <w:szCs w:val="22"/>
          <w14:ligatures w14:val="none"/>
        </w:rPr>
      </w:pPr>
    </w:p>
    <w:p w14:paraId="7681DA87" w14:textId="77777777" w:rsidR="001E0724" w:rsidRDefault="001E0724" w:rsidP="002D20AA">
      <w:pPr>
        <w:spacing w:after="0" w:line="240" w:lineRule="auto"/>
        <w:rPr>
          <w:rFonts w:ascii="Arial" w:eastAsia="Times New Roman" w:hAnsi="Arial" w:cs="Arial"/>
          <w:kern w:val="0"/>
          <w:sz w:val="22"/>
          <w:szCs w:val="22"/>
          <w14:ligatures w14:val="none"/>
        </w:rPr>
      </w:pPr>
    </w:p>
    <w:p w14:paraId="749FFDE7" w14:textId="77777777" w:rsidR="001E0724" w:rsidRDefault="001E0724" w:rsidP="002D20AA">
      <w:pPr>
        <w:spacing w:after="0" w:line="240" w:lineRule="auto"/>
        <w:rPr>
          <w:rFonts w:ascii="Arial" w:eastAsia="Times New Roman" w:hAnsi="Arial" w:cs="Arial"/>
          <w:kern w:val="0"/>
          <w:sz w:val="22"/>
          <w:szCs w:val="22"/>
          <w14:ligatures w14:val="none"/>
        </w:rPr>
      </w:pPr>
    </w:p>
    <w:p w14:paraId="0040F61D" w14:textId="77777777" w:rsidR="001E0724" w:rsidRDefault="001E0724" w:rsidP="002D20AA">
      <w:pPr>
        <w:spacing w:after="0" w:line="240" w:lineRule="auto"/>
        <w:rPr>
          <w:rFonts w:ascii="Arial" w:eastAsia="Times New Roman" w:hAnsi="Arial" w:cs="Arial"/>
          <w:kern w:val="0"/>
          <w:sz w:val="22"/>
          <w:szCs w:val="22"/>
          <w14:ligatures w14:val="none"/>
        </w:rPr>
      </w:pPr>
    </w:p>
    <w:p w14:paraId="385A9AA3" w14:textId="77777777" w:rsidR="001E0724" w:rsidRPr="00F36609" w:rsidRDefault="001E0724" w:rsidP="002D20AA">
      <w:pPr>
        <w:spacing w:after="0" w:line="240" w:lineRule="auto"/>
        <w:rPr>
          <w:rFonts w:ascii="Arial" w:eastAsia="Times New Roman" w:hAnsi="Arial" w:cs="Arial"/>
          <w:kern w:val="0"/>
          <w:sz w:val="22"/>
          <w:szCs w:val="22"/>
          <w14:ligatures w14:val="none"/>
        </w:rPr>
      </w:pPr>
    </w:p>
    <w:p w14:paraId="3EAAB1F5" w14:textId="0F233A98" w:rsidR="002D20AA" w:rsidRPr="001E0724" w:rsidRDefault="002D20AA" w:rsidP="001E0724">
      <w:pPr>
        <w:spacing w:before="100" w:beforeAutospacing="1" w:after="100" w:afterAutospacing="1" w:line="240" w:lineRule="auto"/>
        <w:outlineLvl w:val="1"/>
        <w:rPr>
          <w:rFonts w:ascii="Arial" w:hAnsi="Arial" w:cs="Arial"/>
          <w:b/>
          <w:kern w:val="0"/>
          <w:sz w:val="22"/>
          <w:szCs w:val="22"/>
          <w14:ligatures w14:val="none"/>
        </w:rPr>
      </w:pPr>
      <w:r w:rsidRPr="00F36609">
        <w:rPr>
          <w:rFonts w:ascii="Arial" w:eastAsia="Times New Roman" w:hAnsi="Arial" w:cs="Arial"/>
          <w:b/>
          <w:bCs/>
          <w:kern w:val="0"/>
          <w:sz w:val="22"/>
          <w:szCs w:val="22"/>
          <w14:ligatures w14:val="none"/>
        </w:rPr>
        <w:t xml:space="preserve">Introduction </w:t>
      </w:r>
    </w:p>
    <w:p w14:paraId="201DCF2F" w14:textId="7D83DF6F" w:rsidR="002D20AA" w:rsidRPr="00F36609" w:rsidRDefault="002D20AA" w:rsidP="002D20AA">
      <w:p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 xml:space="preserve">The United Nations Sustainable Development Goals (SDGs), adopted in 2015, provide a universal framework to address global challenges including poverty, inequality, health, and environmental sustainability </w:t>
      </w:r>
      <w:r w:rsidRPr="001E0724">
        <w:rPr>
          <w:rFonts w:ascii="Arial" w:hAnsi="Arial" w:cs="Arial"/>
          <w:b/>
          <w:color w:val="BF4E14" w:themeColor="accent2" w:themeShade="BF"/>
          <w:kern w:val="0"/>
          <w:sz w:val="22"/>
          <w:szCs w:val="22"/>
          <w14:ligatures w14:val="none"/>
        </w:rPr>
        <w:t xml:space="preserve">(United Nations, 2023). </w:t>
      </w:r>
      <w:r w:rsidRPr="00F36609">
        <w:rPr>
          <w:rFonts w:ascii="Arial" w:hAnsi="Arial" w:cs="Arial"/>
          <w:kern w:val="0"/>
          <w:sz w:val="22"/>
          <w:szCs w:val="22"/>
          <w14:ligatures w14:val="none"/>
        </w:rPr>
        <w:t xml:space="preserve">Central to this framework is SDG 3: Good Health and Wellbeing, which aims to ensure healthy lives and promote wellbeing for all at all ages. Health is not merely the absence of disease; it encompasses physical, mental, and social wellbeing. Achieving SDG 3 underpins economic stability, social equity, and sustainable development globally </w:t>
      </w:r>
      <w:r w:rsidRPr="001E0724">
        <w:rPr>
          <w:rFonts w:ascii="Arial" w:hAnsi="Arial" w:cs="Arial"/>
          <w:b/>
          <w:color w:val="BF4E14" w:themeColor="accent2" w:themeShade="BF"/>
          <w:kern w:val="0"/>
          <w:sz w:val="22"/>
          <w:szCs w:val="22"/>
          <w14:ligatures w14:val="none"/>
        </w:rPr>
        <w:t>(World Health Organization [WHO], 2023a).</w:t>
      </w:r>
    </w:p>
    <w:p w14:paraId="0DDB706F" w14:textId="2EE3A9AB" w:rsidR="002D20AA" w:rsidRPr="001E0724" w:rsidRDefault="002D20AA" w:rsidP="002D20AA">
      <w:pPr>
        <w:spacing w:before="100" w:beforeAutospacing="1" w:after="100" w:afterAutospacing="1" w:line="240" w:lineRule="auto"/>
        <w:rPr>
          <w:rFonts w:ascii="Arial" w:hAnsi="Arial" w:cs="Arial"/>
          <w:b/>
          <w:color w:val="BF4E14" w:themeColor="accent2" w:themeShade="BF"/>
          <w:kern w:val="0"/>
          <w:sz w:val="22"/>
          <w:szCs w:val="22"/>
          <w14:ligatures w14:val="none"/>
        </w:rPr>
      </w:pPr>
      <w:r w:rsidRPr="00F36609">
        <w:rPr>
          <w:rFonts w:ascii="Arial" w:hAnsi="Arial" w:cs="Arial"/>
          <w:kern w:val="0"/>
          <w:sz w:val="22"/>
          <w:szCs w:val="22"/>
          <w14:ligatures w14:val="none"/>
        </w:rPr>
        <w:t xml:space="preserve">However, health outcomes </w:t>
      </w:r>
      <w:bookmarkStart w:id="0" w:name="_Int_McbOeJxi"/>
      <w:r w:rsidRPr="00F36609">
        <w:rPr>
          <w:rFonts w:ascii="Arial" w:hAnsi="Arial" w:cs="Arial"/>
          <w:kern w:val="0"/>
          <w:sz w:val="22"/>
          <w:szCs w:val="22"/>
          <w14:ligatures w14:val="none"/>
        </w:rPr>
        <w:t>are increasingly influenced</w:t>
      </w:r>
      <w:bookmarkEnd w:id="0"/>
      <w:r w:rsidRPr="00F36609">
        <w:rPr>
          <w:rFonts w:ascii="Arial" w:hAnsi="Arial" w:cs="Arial"/>
          <w:kern w:val="0"/>
          <w:sz w:val="22"/>
          <w:szCs w:val="22"/>
          <w14:ligatures w14:val="none"/>
        </w:rPr>
        <w:t xml:space="preserve"> by environmental and societal factors, making the integration of SDG 13: Climate Action essential. Climate change impacts human health through extreme weather events, air pollution, rising temperatures, and the spread of vector-borne diseases </w:t>
      </w:r>
      <w:r w:rsidRPr="001E0724">
        <w:rPr>
          <w:rFonts w:ascii="Arial" w:hAnsi="Arial" w:cs="Arial"/>
          <w:b/>
          <w:color w:val="BF4E14" w:themeColor="accent2" w:themeShade="BF"/>
          <w:kern w:val="0"/>
          <w:sz w:val="22"/>
          <w:szCs w:val="22"/>
          <w14:ligatures w14:val="none"/>
        </w:rPr>
        <w:t>(WHO, 2023b).</w:t>
      </w:r>
      <w:r w:rsidRPr="001E0724">
        <w:rPr>
          <w:rFonts w:ascii="Arial" w:hAnsi="Arial" w:cs="Arial"/>
          <w:color w:val="BF4E14" w:themeColor="accent2" w:themeShade="BF"/>
          <w:kern w:val="0"/>
          <w:sz w:val="22"/>
          <w:szCs w:val="22"/>
          <w14:ligatures w14:val="none"/>
        </w:rPr>
        <w:t xml:space="preserve"> </w:t>
      </w:r>
      <w:r w:rsidRPr="00F36609">
        <w:rPr>
          <w:rFonts w:ascii="Arial" w:hAnsi="Arial" w:cs="Arial"/>
          <w:kern w:val="0"/>
          <w:sz w:val="22"/>
          <w:szCs w:val="22"/>
          <w14:ligatures w14:val="none"/>
        </w:rPr>
        <w:t xml:space="preserve">Moreover, climate-related policies can offer co-benefits for public health, such as improved air quality, active transport, and resilient healthcare systems </w:t>
      </w:r>
      <w:r w:rsidRPr="001E0724">
        <w:rPr>
          <w:rFonts w:ascii="Arial" w:hAnsi="Arial" w:cs="Arial"/>
          <w:b/>
          <w:color w:val="BF4E14" w:themeColor="accent2" w:themeShade="BF"/>
          <w:kern w:val="0"/>
          <w:sz w:val="22"/>
          <w:szCs w:val="22"/>
          <w14:ligatures w14:val="none"/>
        </w:rPr>
        <w:t>(The Lancet Countdown, 2023).</w:t>
      </w:r>
    </w:p>
    <w:p w14:paraId="36751B75" w14:textId="77777777" w:rsidR="002D20AA" w:rsidRPr="00F36609" w:rsidRDefault="002D20AA" w:rsidP="002D20AA">
      <w:p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 xml:space="preserve">This report critically examines policies and initiatives related to SDG 3 and SDG 13 at global, national (England), and local (London) levels. Section 1 evaluates SDG 3, analysing international frameworks, NHS policies, and London-specific interventions. Section 2 explores SDG 13, focusing on global climate-health policies, UK national strategies, and local climate action initiatives in London. The report concludes with an assessment of the interlinkages between the two SDGs, </w:t>
      </w:r>
      <w:bookmarkStart w:id="1" w:name="_Int_VfGAamBm"/>
      <w:r w:rsidRPr="00F36609">
        <w:rPr>
          <w:rFonts w:ascii="Arial" w:hAnsi="Arial" w:cs="Arial"/>
          <w:kern w:val="0"/>
          <w:sz w:val="22"/>
          <w:szCs w:val="22"/>
          <w14:ligatures w14:val="none"/>
        </w:rPr>
        <w:t>identifying</w:t>
      </w:r>
      <w:bookmarkEnd w:id="1"/>
      <w:r w:rsidRPr="00F36609">
        <w:rPr>
          <w:rFonts w:ascii="Arial" w:hAnsi="Arial" w:cs="Arial"/>
          <w:kern w:val="0"/>
          <w:sz w:val="22"/>
          <w:szCs w:val="22"/>
          <w14:ligatures w14:val="none"/>
        </w:rPr>
        <w:t xml:space="preserve"> gaps and offering recommendations to enhance health, wellbeing, and sustainability outcomes.</w:t>
      </w:r>
    </w:p>
    <w:p w14:paraId="45AB15C5" w14:textId="6EF0C136" w:rsidR="002D20AA" w:rsidRDefault="002D20AA" w:rsidP="002D20AA">
      <w:pPr>
        <w:spacing w:after="0" w:line="240" w:lineRule="auto"/>
        <w:rPr>
          <w:rFonts w:ascii="Arial" w:eastAsia="Times New Roman" w:hAnsi="Arial" w:cs="Arial"/>
          <w:kern w:val="0"/>
          <w:sz w:val="22"/>
          <w:szCs w:val="22"/>
          <w14:ligatures w14:val="none"/>
        </w:rPr>
      </w:pPr>
    </w:p>
    <w:p w14:paraId="729ACB73" w14:textId="77777777" w:rsidR="006A1C17" w:rsidRPr="00F36609" w:rsidRDefault="006A1C17" w:rsidP="002D20AA">
      <w:pPr>
        <w:spacing w:after="0" w:line="240" w:lineRule="auto"/>
        <w:rPr>
          <w:rFonts w:ascii="Arial" w:eastAsia="Times New Roman" w:hAnsi="Arial" w:cs="Arial"/>
          <w:kern w:val="0"/>
          <w:sz w:val="22"/>
          <w:szCs w:val="22"/>
          <w14:ligatures w14:val="none"/>
        </w:rPr>
      </w:pPr>
    </w:p>
    <w:p w14:paraId="4F6EFE3B" w14:textId="69E70380" w:rsidR="002D20AA" w:rsidRPr="00F36609" w:rsidRDefault="002D20AA" w:rsidP="002D20AA">
      <w:pPr>
        <w:spacing w:before="100" w:beforeAutospacing="1" w:after="100" w:afterAutospacing="1" w:line="240" w:lineRule="auto"/>
        <w:outlineLvl w:val="1"/>
        <w:rPr>
          <w:rFonts w:ascii="Arial" w:hAnsi="Arial" w:cs="Arial"/>
          <w:b/>
          <w:bCs/>
          <w:kern w:val="0"/>
          <w:sz w:val="22"/>
          <w:szCs w:val="22"/>
          <w14:ligatures w14:val="none"/>
        </w:rPr>
      </w:pPr>
      <w:r w:rsidRPr="00F36609">
        <w:rPr>
          <w:rFonts w:ascii="Arial" w:eastAsia="Times New Roman" w:hAnsi="Arial" w:cs="Arial"/>
          <w:b/>
          <w:bCs/>
          <w:kern w:val="0"/>
          <w:sz w:val="22"/>
          <w:szCs w:val="22"/>
          <w14:ligatures w14:val="none"/>
        </w:rPr>
        <w:t xml:space="preserve">SDG 3 – Good Health and Wellbeing </w:t>
      </w:r>
    </w:p>
    <w:p w14:paraId="71BC67C0" w14:textId="063B202C" w:rsidR="002D20AA" w:rsidRPr="001E0724" w:rsidRDefault="002D20AA" w:rsidP="001E0724">
      <w:pPr>
        <w:spacing w:before="100" w:beforeAutospacing="1" w:after="100" w:afterAutospacing="1" w:line="240" w:lineRule="auto"/>
        <w:outlineLvl w:val="2"/>
        <w:rPr>
          <w:rFonts w:ascii="Arial" w:eastAsia="Times New Roman" w:hAnsi="Arial" w:cs="Arial"/>
          <w:b/>
          <w:kern w:val="0"/>
          <w:sz w:val="22"/>
          <w:szCs w:val="22"/>
          <w14:ligatures w14:val="none"/>
        </w:rPr>
      </w:pPr>
      <w:r w:rsidRPr="00F36609">
        <w:rPr>
          <w:rFonts w:ascii="Arial" w:eastAsia="Times New Roman" w:hAnsi="Arial" w:cs="Arial"/>
          <w:b/>
          <w:bCs/>
          <w:kern w:val="0"/>
          <w:sz w:val="22"/>
          <w:szCs w:val="22"/>
          <w14:ligatures w14:val="none"/>
        </w:rPr>
        <w:t>Overview of SDG 3</w:t>
      </w:r>
    </w:p>
    <w:p w14:paraId="668900F1" w14:textId="3BD3426C" w:rsidR="002D20AA" w:rsidRPr="00F36609" w:rsidRDefault="002D20AA" w:rsidP="002D20AA">
      <w:p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 xml:space="preserve">SDG 3 encompasses targets to reduce maternal mortality, end preventable child deaths, combat communicable and non-communicable diseases (NCDs), promote mental health, and achieve universal health coverage (UHC) </w:t>
      </w:r>
      <w:r w:rsidRPr="001E0724">
        <w:rPr>
          <w:rFonts w:ascii="Arial" w:hAnsi="Arial" w:cs="Arial"/>
          <w:b/>
          <w:color w:val="BF4E14" w:themeColor="accent2" w:themeShade="BF"/>
          <w:kern w:val="0"/>
          <w:sz w:val="22"/>
          <w:szCs w:val="22"/>
          <w14:ligatures w14:val="none"/>
        </w:rPr>
        <w:t>(United Nations, 2023).</w:t>
      </w:r>
      <w:r w:rsidRPr="001E0724">
        <w:rPr>
          <w:rFonts w:ascii="Arial" w:hAnsi="Arial" w:cs="Arial"/>
          <w:color w:val="BF4E14" w:themeColor="accent2" w:themeShade="BF"/>
          <w:kern w:val="0"/>
          <w:sz w:val="22"/>
          <w:szCs w:val="22"/>
          <w14:ligatures w14:val="none"/>
        </w:rPr>
        <w:t xml:space="preserve"> </w:t>
      </w:r>
      <w:r w:rsidRPr="00F36609">
        <w:rPr>
          <w:rFonts w:ascii="Arial" w:hAnsi="Arial" w:cs="Arial"/>
          <w:kern w:val="0"/>
          <w:sz w:val="22"/>
          <w:szCs w:val="22"/>
          <w14:ligatures w14:val="none"/>
        </w:rPr>
        <w:t xml:space="preserve">Health is a fundamental determinant of human development, and </w:t>
      </w:r>
      <w:bookmarkStart w:id="2" w:name="_Int_kbax6y5m"/>
      <w:r w:rsidRPr="00F36609">
        <w:rPr>
          <w:rFonts w:ascii="Arial" w:hAnsi="Arial" w:cs="Arial"/>
          <w:kern w:val="0"/>
          <w:sz w:val="22"/>
          <w:szCs w:val="22"/>
          <w14:ligatures w14:val="none"/>
        </w:rPr>
        <w:t>equitable</w:t>
      </w:r>
      <w:bookmarkEnd w:id="2"/>
      <w:r w:rsidRPr="00F36609">
        <w:rPr>
          <w:rFonts w:ascii="Arial" w:hAnsi="Arial" w:cs="Arial"/>
          <w:kern w:val="0"/>
          <w:sz w:val="22"/>
          <w:szCs w:val="22"/>
          <w14:ligatures w14:val="none"/>
        </w:rPr>
        <w:t xml:space="preserve"> access to healthcare is central to achieving sustainable societies (Marmot et al., 2020). The Social Determinants of Health Model underscores that health outcomes </w:t>
      </w:r>
      <w:bookmarkStart w:id="3" w:name="_Int_bDgs7mC8"/>
      <w:r w:rsidRPr="00F36609">
        <w:rPr>
          <w:rFonts w:ascii="Arial" w:hAnsi="Arial" w:cs="Arial"/>
          <w:kern w:val="0"/>
          <w:sz w:val="22"/>
          <w:szCs w:val="22"/>
          <w14:ligatures w14:val="none"/>
        </w:rPr>
        <w:t>are shaped</w:t>
      </w:r>
      <w:bookmarkEnd w:id="3"/>
      <w:r w:rsidRPr="00F36609">
        <w:rPr>
          <w:rFonts w:ascii="Arial" w:hAnsi="Arial" w:cs="Arial"/>
          <w:kern w:val="0"/>
          <w:sz w:val="22"/>
          <w:szCs w:val="22"/>
          <w14:ligatures w14:val="none"/>
        </w:rPr>
        <w:t xml:space="preserve"> by economic, social, environmental, and cultural factors, emphasizing the need for multi-sectoral interventions </w:t>
      </w:r>
      <w:r w:rsidRPr="001E0724">
        <w:rPr>
          <w:rFonts w:ascii="Arial" w:hAnsi="Arial" w:cs="Arial"/>
          <w:b/>
          <w:color w:val="BF4E14" w:themeColor="accent2" w:themeShade="BF"/>
          <w:kern w:val="0"/>
          <w:sz w:val="22"/>
          <w:szCs w:val="22"/>
          <w14:ligatures w14:val="none"/>
        </w:rPr>
        <w:t>(Dahlgren &amp; Whitehead, 1991).</w:t>
      </w:r>
    </w:p>
    <w:p w14:paraId="07B6CA64" w14:textId="0F3CA4F7" w:rsidR="006A1C17" w:rsidRDefault="002D20AA" w:rsidP="00CD460F">
      <w:pPr>
        <w:spacing w:after="0" w:line="240" w:lineRule="auto"/>
        <w:rPr>
          <w:rFonts w:ascii=".AppleSystemUIFont" w:hAnsi=".AppleSystemUIFont" w:cs="Times New Roman"/>
          <w:kern w:val="0"/>
          <w:sz w:val="29"/>
          <w:szCs w:val="29"/>
          <w14:ligatures w14:val="none"/>
        </w:rPr>
      </w:pPr>
      <w:r w:rsidRPr="00CD460F">
        <w:rPr>
          <w:rFonts w:ascii="Arial" w:hAnsi="Arial" w:cs="Arial"/>
          <w:kern w:val="0"/>
          <w:sz w:val="22"/>
          <w:szCs w:val="22"/>
          <w14:ligatures w14:val="none"/>
        </w:rPr>
        <w:t xml:space="preserve">Global health challenges include disparities in access to healthcare, the rising burden of NCDs, and health inequities </w:t>
      </w:r>
      <w:r w:rsidR="00D73F5A" w:rsidRPr="00CD460F">
        <w:rPr>
          <w:rFonts w:ascii="Arial" w:hAnsi="Arial" w:cs="Arial"/>
          <w:kern w:val="0"/>
          <w:sz w:val="22"/>
          <w:szCs w:val="22"/>
          <w14:ligatures w14:val="none"/>
        </w:rPr>
        <w:t>worsened</w:t>
      </w:r>
      <w:r w:rsidRPr="00CD460F">
        <w:rPr>
          <w:rFonts w:ascii="Arial" w:hAnsi="Arial" w:cs="Arial"/>
          <w:kern w:val="0"/>
          <w:sz w:val="22"/>
          <w:szCs w:val="22"/>
          <w14:ligatures w14:val="none"/>
        </w:rPr>
        <w:t xml:space="preserve"> by pandemics. In 2021, approximately 4.5 billion people lacked access to essential health services, highlighting ongoing challenges to UHC</w:t>
      </w:r>
      <w:r w:rsidR="00CD460F" w:rsidRPr="00CD460F">
        <w:rPr>
          <w:rFonts w:ascii="Arial" w:hAnsi="Arial" w:cs="Arial"/>
          <w:kern w:val="0"/>
          <w:sz w:val="22"/>
          <w:szCs w:val="22"/>
          <w14:ligatures w14:val="none"/>
        </w:rPr>
        <w:t>. T</w:t>
      </w:r>
      <w:r w:rsidR="00D73F5A" w:rsidRPr="00CD460F">
        <w:rPr>
          <w:rFonts w:ascii="Arial" w:hAnsi="Arial" w:cs="Arial"/>
          <w:kern w:val="0"/>
          <w:sz w:val="22"/>
          <w:szCs w:val="22"/>
          <w14:ligatures w14:val="none"/>
        </w:rPr>
        <w:t xml:space="preserve">he COVID-19 pandemic exposed and intensified health inequalities, disproportionately affecting marginalised communities and low-income populations. The growing prevalence of NCDs, such as diabetes, cardiovascular disease, and cancer, which accounted for 74% of global deaths in 2019, further strains health systems. Addressing these challenges requires not only improving healthcare infrastructure but also tackling social, economic, and environmental determinants to ensure </w:t>
      </w:r>
      <w:bookmarkStart w:id="4" w:name="_Int_mSb8nEZ9"/>
      <w:r w:rsidR="00D73F5A" w:rsidRPr="00CD460F">
        <w:rPr>
          <w:rFonts w:ascii="Arial" w:hAnsi="Arial" w:cs="Arial"/>
          <w:kern w:val="0"/>
          <w:sz w:val="22"/>
          <w:szCs w:val="22"/>
          <w14:ligatures w14:val="none"/>
        </w:rPr>
        <w:t>equitable</w:t>
      </w:r>
      <w:bookmarkEnd w:id="4"/>
      <w:r w:rsidR="00D73F5A" w:rsidRPr="00CD460F">
        <w:rPr>
          <w:rFonts w:ascii="Arial" w:hAnsi="Arial" w:cs="Arial"/>
          <w:kern w:val="0"/>
          <w:sz w:val="22"/>
          <w:szCs w:val="22"/>
          <w14:ligatures w14:val="none"/>
        </w:rPr>
        <w:t xml:space="preserve"> health outcomes worldwide</w:t>
      </w:r>
      <w:r w:rsidR="00D73F5A" w:rsidRPr="00D73F5A">
        <w:rPr>
          <w:rFonts w:ascii="UICTFontTextStyleBody" w:hAnsi="UICTFontTextStyleBody" w:cs="Times New Roman"/>
          <w:kern w:val="0"/>
          <w:sz w:val="29"/>
          <w:szCs w:val="29"/>
          <w14:ligatures w14:val="none"/>
        </w:rPr>
        <w:t>.</w:t>
      </w:r>
      <w:r w:rsidRPr="00F36609">
        <w:rPr>
          <w:rFonts w:ascii="Arial" w:hAnsi="Arial" w:cs="Arial"/>
          <w:kern w:val="0"/>
          <w:sz w:val="22"/>
          <w:szCs w:val="22"/>
          <w14:ligatures w14:val="none"/>
        </w:rPr>
        <w:t xml:space="preserve"> </w:t>
      </w:r>
      <w:r w:rsidRPr="001E0724">
        <w:rPr>
          <w:rFonts w:ascii="Arial" w:hAnsi="Arial" w:cs="Arial"/>
          <w:b/>
          <w:color w:val="BF4E14" w:themeColor="accent2" w:themeShade="BF"/>
          <w:kern w:val="0"/>
          <w:sz w:val="22"/>
          <w:szCs w:val="22"/>
          <w14:ligatures w14:val="none"/>
        </w:rPr>
        <w:t>(WHO, 2023a).</w:t>
      </w:r>
    </w:p>
    <w:p w14:paraId="733E9619" w14:textId="77777777" w:rsidR="00CD460F" w:rsidRPr="00CD460F" w:rsidRDefault="00CD460F" w:rsidP="00CD460F">
      <w:pPr>
        <w:spacing w:after="0" w:line="240" w:lineRule="auto"/>
        <w:rPr>
          <w:rFonts w:ascii=".AppleSystemUIFont" w:hAnsi=".AppleSystemUIFont" w:cs="Times New Roman"/>
          <w:kern w:val="0"/>
          <w:sz w:val="29"/>
          <w:szCs w:val="29"/>
          <w14:ligatures w14:val="none"/>
        </w:rPr>
      </w:pPr>
    </w:p>
    <w:p w14:paraId="192837F3" w14:textId="0AA54DD0" w:rsidR="002D20AA" w:rsidRPr="001E0724" w:rsidRDefault="002D20AA" w:rsidP="001E0724">
      <w:pPr>
        <w:spacing w:before="100" w:beforeAutospacing="1" w:after="100" w:afterAutospacing="1" w:line="240" w:lineRule="auto"/>
        <w:outlineLvl w:val="2"/>
        <w:rPr>
          <w:rFonts w:ascii="Arial" w:eastAsia="Times New Roman" w:hAnsi="Arial" w:cs="Arial"/>
          <w:b/>
          <w:kern w:val="0"/>
          <w:sz w:val="22"/>
          <w:szCs w:val="22"/>
          <w14:ligatures w14:val="none"/>
        </w:rPr>
      </w:pPr>
      <w:r w:rsidRPr="00F36609">
        <w:rPr>
          <w:rFonts w:ascii="Arial" w:eastAsia="Times New Roman" w:hAnsi="Arial" w:cs="Arial"/>
          <w:b/>
          <w:bCs/>
          <w:kern w:val="0"/>
          <w:sz w:val="22"/>
          <w:szCs w:val="22"/>
          <w14:ligatures w14:val="none"/>
        </w:rPr>
        <w:t>Global Policies and Initiatives</w:t>
      </w:r>
    </w:p>
    <w:p w14:paraId="40E21142" w14:textId="38A1BE3C" w:rsidR="002D20AA" w:rsidRPr="00F36609" w:rsidRDefault="002D20AA" w:rsidP="002D20AA">
      <w:p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 xml:space="preserve">The World Health Organization (WHO) leads global initiatives to promote UHC, immunisation, and mental health interventions </w:t>
      </w:r>
      <w:r w:rsidRPr="001E0724">
        <w:rPr>
          <w:rFonts w:ascii="Arial" w:hAnsi="Arial" w:cs="Arial"/>
          <w:b/>
          <w:color w:val="BF4E14" w:themeColor="accent2" w:themeShade="BF"/>
          <w:kern w:val="0"/>
          <w:sz w:val="22"/>
          <w:szCs w:val="22"/>
          <w14:ligatures w14:val="none"/>
        </w:rPr>
        <w:t>(WHO, 2023a)</w:t>
      </w:r>
      <w:r w:rsidRPr="00F36609">
        <w:rPr>
          <w:rFonts w:ascii="Arial" w:hAnsi="Arial" w:cs="Arial"/>
          <w:kern w:val="0"/>
          <w:sz w:val="22"/>
          <w:szCs w:val="22"/>
          <w14:ligatures w14:val="none"/>
        </w:rPr>
        <w:t xml:space="preserve">. Programs such as the Global Vaccine Alliance (GAVI) aim to reduce preventable infectious diseases in low-income countries. Additionally, the WHO’s Mental Health Action Plan 2013–2030 emphasises integrating mental health services into primary care globally </w:t>
      </w:r>
      <w:r w:rsidRPr="001E0724">
        <w:rPr>
          <w:rFonts w:ascii="Arial" w:hAnsi="Arial" w:cs="Arial"/>
          <w:b/>
          <w:color w:val="BF4E14" w:themeColor="accent2" w:themeShade="BF"/>
          <w:kern w:val="0"/>
          <w:sz w:val="22"/>
          <w:szCs w:val="22"/>
          <w14:ligatures w14:val="none"/>
        </w:rPr>
        <w:t>(WHO, 2023c).</w:t>
      </w:r>
    </w:p>
    <w:p w14:paraId="537BD9CA" w14:textId="408C88FE" w:rsidR="006A1C17" w:rsidRPr="00F36609" w:rsidRDefault="002D20AA" w:rsidP="002D20AA">
      <w:p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 xml:space="preserve">While these initiatives have improved health outcomes, progress </w:t>
      </w:r>
      <w:bookmarkStart w:id="5" w:name="_Int_bhE5vPVB"/>
      <w:r w:rsidRPr="00F36609">
        <w:rPr>
          <w:rFonts w:ascii="Arial" w:hAnsi="Arial" w:cs="Arial"/>
          <w:kern w:val="0"/>
          <w:sz w:val="22"/>
          <w:szCs w:val="22"/>
          <w14:ligatures w14:val="none"/>
        </w:rPr>
        <w:t>remains</w:t>
      </w:r>
      <w:bookmarkEnd w:id="5"/>
      <w:r w:rsidRPr="00F36609">
        <w:rPr>
          <w:rFonts w:ascii="Arial" w:hAnsi="Arial" w:cs="Arial"/>
          <w:kern w:val="0"/>
          <w:sz w:val="22"/>
          <w:szCs w:val="22"/>
          <w14:ligatures w14:val="none"/>
        </w:rPr>
        <w:t xml:space="preserve"> uneven. Low-income countries face barriers including insufficient infrastructure, workforce shortages, and inequitable funding </w:t>
      </w:r>
      <w:r w:rsidRPr="001E0724">
        <w:rPr>
          <w:rFonts w:ascii="Arial" w:hAnsi="Arial" w:cs="Arial"/>
          <w:b/>
          <w:color w:val="BF4E14" w:themeColor="accent2" w:themeShade="BF"/>
          <w:kern w:val="0"/>
          <w:sz w:val="22"/>
          <w:szCs w:val="22"/>
          <w14:ligatures w14:val="none"/>
        </w:rPr>
        <w:t>(World Bank, 2022).</w:t>
      </w:r>
      <w:r w:rsidRPr="001E0724">
        <w:rPr>
          <w:rFonts w:ascii="Arial" w:hAnsi="Arial" w:cs="Arial"/>
          <w:color w:val="BF4E14" w:themeColor="accent2" w:themeShade="BF"/>
          <w:kern w:val="0"/>
          <w:sz w:val="22"/>
          <w:szCs w:val="22"/>
          <w14:ligatures w14:val="none"/>
        </w:rPr>
        <w:t xml:space="preserve"> </w:t>
      </w:r>
      <w:r w:rsidRPr="00F36609">
        <w:rPr>
          <w:rFonts w:ascii="Arial" w:hAnsi="Arial" w:cs="Arial"/>
          <w:kern w:val="0"/>
          <w:sz w:val="22"/>
          <w:szCs w:val="22"/>
          <w14:ligatures w14:val="none"/>
        </w:rPr>
        <w:t>The Dahlgren &amp; Whitehead framework highlights that global policies must also address social determinants, including poverty, education, and housing, to sustainably improve health.</w:t>
      </w:r>
    </w:p>
    <w:p w14:paraId="63A29D2D" w14:textId="23C25A46" w:rsidR="002D20AA" w:rsidRPr="00F36609" w:rsidRDefault="002D20AA" w:rsidP="002D20AA">
      <w:pPr>
        <w:spacing w:before="100" w:beforeAutospacing="1" w:after="100" w:afterAutospacing="1" w:line="240" w:lineRule="auto"/>
        <w:outlineLvl w:val="2"/>
        <w:rPr>
          <w:rFonts w:ascii="Arial" w:eastAsia="Times New Roman" w:hAnsi="Arial" w:cs="Arial"/>
          <w:b/>
          <w:bCs/>
          <w:kern w:val="0"/>
          <w:sz w:val="22"/>
          <w:szCs w:val="22"/>
          <w14:ligatures w14:val="none"/>
        </w:rPr>
      </w:pPr>
      <w:r w:rsidRPr="00F36609">
        <w:rPr>
          <w:rFonts w:ascii="Arial" w:eastAsia="Times New Roman" w:hAnsi="Arial" w:cs="Arial"/>
          <w:b/>
          <w:bCs/>
          <w:kern w:val="0"/>
          <w:sz w:val="22"/>
          <w:szCs w:val="22"/>
          <w14:ligatures w14:val="none"/>
        </w:rPr>
        <w:t xml:space="preserve"> National Policies and Initiatives (England)</w:t>
      </w:r>
    </w:p>
    <w:p w14:paraId="297D688C" w14:textId="417B9919" w:rsidR="002D20AA" w:rsidRPr="00F36609" w:rsidRDefault="002D20AA" w:rsidP="002D20AA">
      <w:p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 xml:space="preserve">In England, the NHS Long Term Plan (2019–2029) sets out priorities to improve prevention, mental health services, and digital health access </w:t>
      </w:r>
      <w:r w:rsidRPr="001E0724">
        <w:rPr>
          <w:rFonts w:ascii="Arial" w:hAnsi="Arial" w:cs="Arial"/>
          <w:b/>
          <w:color w:val="BF4E14" w:themeColor="accent2" w:themeShade="BF"/>
          <w:kern w:val="0"/>
          <w:sz w:val="22"/>
          <w:szCs w:val="22"/>
          <w14:ligatures w14:val="none"/>
        </w:rPr>
        <w:t>(NHS England, 2019).</w:t>
      </w:r>
      <w:r w:rsidRPr="001E0724">
        <w:rPr>
          <w:rFonts w:ascii="Arial" w:hAnsi="Arial" w:cs="Arial"/>
          <w:color w:val="BF4E14" w:themeColor="accent2" w:themeShade="BF"/>
          <w:kern w:val="0"/>
          <w:sz w:val="22"/>
          <w:szCs w:val="22"/>
          <w14:ligatures w14:val="none"/>
        </w:rPr>
        <w:t xml:space="preserve"> </w:t>
      </w:r>
      <w:r w:rsidRPr="00F36609">
        <w:rPr>
          <w:rFonts w:ascii="Arial" w:hAnsi="Arial" w:cs="Arial"/>
          <w:kern w:val="0"/>
          <w:sz w:val="22"/>
          <w:szCs w:val="22"/>
          <w14:ligatures w14:val="none"/>
        </w:rPr>
        <w:t xml:space="preserve">The Health and Care Act 2022 introduced integrated care systems (ICSs), designed to coordinate health and social care services regionally </w:t>
      </w:r>
      <w:r w:rsidRPr="001E0724">
        <w:rPr>
          <w:rFonts w:ascii="Arial" w:hAnsi="Arial" w:cs="Arial"/>
          <w:b/>
          <w:color w:val="BF4E14" w:themeColor="accent2" w:themeShade="BF"/>
          <w:kern w:val="0"/>
          <w:sz w:val="22"/>
          <w:szCs w:val="22"/>
          <w14:ligatures w14:val="none"/>
        </w:rPr>
        <w:t>(Legislation.gov.uk, 2022).</w:t>
      </w:r>
    </w:p>
    <w:p w14:paraId="2F93B80F" w14:textId="72E3EF04" w:rsidR="00626F79" w:rsidRPr="00F36609" w:rsidRDefault="002D20AA" w:rsidP="00CD460F">
      <w:pPr>
        <w:pStyle w:val="p1"/>
        <w:rPr>
          <w:rFonts w:ascii="Arial" w:hAnsi="Arial" w:cs="Arial"/>
          <w:sz w:val="22"/>
          <w:szCs w:val="22"/>
        </w:rPr>
      </w:pPr>
      <w:r w:rsidRPr="00F36609">
        <w:rPr>
          <w:rFonts w:ascii="Arial" w:hAnsi="Arial" w:cs="Arial"/>
          <w:sz w:val="22"/>
          <w:szCs w:val="22"/>
        </w:rPr>
        <w:t xml:space="preserve">National initiatives such as Public Health England’s Healthy Lives, Healthy People framework focus on reducing inequalities, preventing disease, and promoting wellbeing. The NHS Digital Strategy leverages data for targeted interventions and patient-centred care. However, challenges persist, including workforce shortages, long waiting lists, and regional disparities in service access </w:t>
      </w:r>
      <w:r w:rsidRPr="001E0724">
        <w:rPr>
          <w:rFonts w:ascii="Arial" w:hAnsi="Arial" w:cs="Arial"/>
          <w:b/>
          <w:color w:val="BF4E14" w:themeColor="accent2" w:themeShade="BF"/>
          <w:sz w:val="22"/>
          <w:szCs w:val="22"/>
        </w:rPr>
        <w:t>(The King’s Fund, 2022).</w:t>
      </w:r>
      <w:r w:rsidRPr="001E0724">
        <w:rPr>
          <w:rFonts w:ascii="Arial" w:hAnsi="Arial" w:cs="Arial"/>
          <w:color w:val="BF4E14" w:themeColor="accent2" w:themeShade="BF"/>
          <w:sz w:val="22"/>
          <w:szCs w:val="22"/>
        </w:rPr>
        <w:t xml:space="preserve"> </w:t>
      </w:r>
      <w:r w:rsidRPr="00F36609">
        <w:rPr>
          <w:rFonts w:ascii="Arial" w:hAnsi="Arial" w:cs="Arial"/>
          <w:sz w:val="22"/>
          <w:szCs w:val="22"/>
        </w:rPr>
        <w:t xml:space="preserve">Applying the Health Equity Framework </w:t>
      </w:r>
      <w:bookmarkStart w:id="6" w:name="_Int_q9kIlgy9"/>
      <w:r w:rsidRPr="00F36609">
        <w:rPr>
          <w:rFonts w:ascii="Arial" w:hAnsi="Arial" w:cs="Arial"/>
          <w:sz w:val="22"/>
          <w:szCs w:val="22"/>
        </w:rPr>
        <w:t>demonstrates</w:t>
      </w:r>
      <w:bookmarkEnd w:id="6"/>
      <w:r w:rsidRPr="00F36609">
        <w:rPr>
          <w:rFonts w:ascii="Arial" w:hAnsi="Arial" w:cs="Arial"/>
          <w:sz w:val="22"/>
          <w:szCs w:val="22"/>
        </w:rPr>
        <w:t xml:space="preserve"> that health inequalities are persistent, particularly among socioeconomically disadvantaged populations, despite national policy efforts</w:t>
      </w:r>
      <w:r w:rsidRPr="00CD460F">
        <w:rPr>
          <w:rFonts w:ascii="Arial" w:hAnsi="Arial" w:cs="Arial"/>
          <w:sz w:val="22"/>
          <w:szCs w:val="22"/>
        </w:rPr>
        <w:t>.</w:t>
      </w:r>
      <w:r w:rsidR="00652779" w:rsidRPr="00CD460F">
        <w:rPr>
          <w:rFonts w:ascii="Arial" w:hAnsi="Arial" w:cs="Arial"/>
          <w:sz w:val="22"/>
          <w:szCs w:val="22"/>
        </w:rPr>
        <w:t xml:space="preserve"> </w:t>
      </w:r>
      <w:r w:rsidR="00D7505D" w:rsidRPr="00CD460F">
        <w:rPr>
          <w:rFonts w:ascii="Arial" w:hAnsi="Arial" w:cs="Arial"/>
          <w:sz w:val="22"/>
          <w:szCs w:val="22"/>
        </w:rPr>
        <w:t xml:space="preserve">For example, obesity prevalence varies significantly across regions, with higher rates in the North and among low-income groups. Mental health services continue to experience high demand, with one in four adults experiencing a mental health condition annually. Additionally, an ageing population increases pressure on healthcare resources, highlighting the need for preventative care, community support, and targeted interventions to ensure </w:t>
      </w:r>
      <w:bookmarkStart w:id="7" w:name="_Int_nyVibHhg"/>
      <w:r w:rsidR="00D7505D" w:rsidRPr="00CD460F">
        <w:rPr>
          <w:rFonts w:ascii="Arial" w:hAnsi="Arial" w:cs="Arial"/>
          <w:sz w:val="22"/>
          <w:szCs w:val="22"/>
        </w:rPr>
        <w:t>equitable</w:t>
      </w:r>
      <w:bookmarkEnd w:id="7"/>
      <w:r w:rsidR="00D7505D" w:rsidRPr="00CD460F">
        <w:rPr>
          <w:rFonts w:ascii="Arial" w:hAnsi="Arial" w:cs="Arial"/>
          <w:sz w:val="22"/>
          <w:szCs w:val="22"/>
        </w:rPr>
        <w:t xml:space="preserve"> outcomes for all.</w:t>
      </w:r>
    </w:p>
    <w:p w14:paraId="24F8885A" w14:textId="618587D8" w:rsidR="002D20AA" w:rsidRPr="001E0724" w:rsidRDefault="002D20AA" w:rsidP="001E0724">
      <w:pPr>
        <w:spacing w:before="100" w:beforeAutospacing="1" w:after="100" w:afterAutospacing="1" w:line="240" w:lineRule="auto"/>
        <w:outlineLvl w:val="2"/>
        <w:rPr>
          <w:rFonts w:ascii="Arial" w:eastAsia="Times New Roman" w:hAnsi="Arial" w:cs="Arial"/>
          <w:b/>
          <w:kern w:val="0"/>
          <w:sz w:val="22"/>
          <w:szCs w:val="22"/>
          <w14:ligatures w14:val="none"/>
        </w:rPr>
      </w:pPr>
      <w:r w:rsidRPr="00F36609">
        <w:rPr>
          <w:rFonts w:ascii="Arial" w:eastAsia="Times New Roman" w:hAnsi="Arial" w:cs="Arial"/>
          <w:b/>
          <w:bCs/>
          <w:kern w:val="0"/>
          <w:sz w:val="22"/>
          <w:szCs w:val="22"/>
          <w14:ligatures w14:val="none"/>
        </w:rPr>
        <w:t>Local Level Initiatives (London)</w:t>
      </w:r>
    </w:p>
    <w:p w14:paraId="5521808C" w14:textId="3F0C48C2" w:rsidR="002D20AA" w:rsidRPr="00F36609" w:rsidRDefault="002D20AA" w:rsidP="002D20AA">
      <w:p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 xml:space="preserve">At the local level, London’s Health and Wellbeing Strategy targets chronic disease prevention, mental health support, and community-based interventions </w:t>
      </w:r>
      <w:r w:rsidRPr="001E0724">
        <w:rPr>
          <w:rFonts w:ascii="Arial" w:hAnsi="Arial" w:cs="Arial"/>
          <w:b/>
          <w:color w:val="BF4E14" w:themeColor="accent2" w:themeShade="BF"/>
          <w:kern w:val="0"/>
          <w:sz w:val="22"/>
          <w:szCs w:val="22"/>
          <w14:ligatures w14:val="none"/>
        </w:rPr>
        <w:t xml:space="preserve">(Greater London Authority, 2022). </w:t>
      </w:r>
      <w:r w:rsidRPr="00F36609">
        <w:rPr>
          <w:rFonts w:ascii="Arial" w:hAnsi="Arial" w:cs="Arial"/>
          <w:kern w:val="0"/>
          <w:sz w:val="22"/>
          <w:szCs w:val="22"/>
          <w14:ligatures w14:val="none"/>
        </w:rPr>
        <w:t>Initiatives include social prescribing, where healthcare providers link patients to community resources, and Active London, promoting physical activity through urban planning and green spaces.</w:t>
      </w:r>
    </w:p>
    <w:p w14:paraId="7B561761" w14:textId="77777777" w:rsidR="008A1E25" w:rsidRPr="00CD460F" w:rsidRDefault="002D20AA">
      <w:pPr>
        <w:pStyle w:val="p1"/>
        <w:rPr>
          <w:rFonts w:ascii="Arial" w:hAnsi="Arial" w:cs="Arial"/>
          <w:sz w:val="22"/>
          <w:szCs w:val="22"/>
        </w:rPr>
      </w:pPr>
      <w:r w:rsidRPr="00F36609">
        <w:rPr>
          <w:rFonts w:ascii="Arial" w:hAnsi="Arial" w:cs="Arial"/>
          <w:sz w:val="22"/>
          <w:szCs w:val="22"/>
        </w:rPr>
        <w:t xml:space="preserve">Local implementation reflects the ecological model of health, recognising that individual behaviour </w:t>
      </w:r>
      <w:bookmarkStart w:id="8" w:name="_Int_pvXDy6eN"/>
      <w:r w:rsidRPr="00F36609">
        <w:rPr>
          <w:rFonts w:ascii="Arial" w:hAnsi="Arial" w:cs="Arial"/>
          <w:sz w:val="22"/>
          <w:szCs w:val="22"/>
        </w:rPr>
        <w:t>is influenced</w:t>
      </w:r>
      <w:bookmarkEnd w:id="8"/>
      <w:r w:rsidRPr="00F36609">
        <w:rPr>
          <w:rFonts w:ascii="Arial" w:hAnsi="Arial" w:cs="Arial"/>
          <w:sz w:val="22"/>
          <w:szCs w:val="22"/>
        </w:rPr>
        <w:t xml:space="preserve"> by social networks, community environments, and policy contexts </w:t>
      </w:r>
      <w:r w:rsidRPr="001E0724">
        <w:rPr>
          <w:rFonts w:ascii="Arial" w:hAnsi="Arial" w:cs="Arial"/>
          <w:b/>
          <w:color w:val="BF4E14" w:themeColor="accent2" w:themeShade="BF"/>
          <w:sz w:val="22"/>
          <w:szCs w:val="22"/>
        </w:rPr>
        <w:t>(Bronfenbrenner, 1979).</w:t>
      </w:r>
      <w:r w:rsidRPr="001E0724">
        <w:rPr>
          <w:rFonts w:ascii="Arial" w:hAnsi="Arial" w:cs="Arial"/>
          <w:color w:val="BF4E14" w:themeColor="accent2" w:themeShade="BF"/>
          <w:sz w:val="22"/>
          <w:szCs w:val="22"/>
        </w:rPr>
        <w:t xml:space="preserve"> </w:t>
      </w:r>
      <w:r w:rsidRPr="00F36609">
        <w:rPr>
          <w:rFonts w:ascii="Arial" w:hAnsi="Arial" w:cs="Arial"/>
          <w:sz w:val="22"/>
          <w:szCs w:val="22"/>
        </w:rPr>
        <w:t>Strengths include community engagement and targeted interventions; weaknesses include variable funding, inconsistent evaluation metrics, and difficulties scaling initiatives across diverse boroughs.</w:t>
      </w:r>
      <w:r w:rsidR="00DA1F88">
        <w:rPr>
          <w:rFonts w:ascii="Arial" w:hAnsi="Arial" w:cs="Arial"/>
          <w:sz w:val="22"/>
          <w:szCs w:val="22"/>
        </w:rPr>
        <w:t xml:space="preserve"> </w:t>
      </w:r>
      <w:r w:rsidR="008A1E25" w:rsidRPr="00CD460F">
        <w:rPr>
          <w:rFonts w:ascii="Arial" w:hAnsi="Arial" w:cs="Arial"/>
          <w:sz w:val="22"/>
          <w:szCs w:val="22"/>
        </w:rPr>
        <w:t>For example, boroughs such as Hackney and Camden have piloted mental health hubs and youth wellness programmes, showing promising improvements in community wellbeing. Additionally, initiatives promoting cycling and walking have contributed to reductions in local air pollution and increased physical activity, although uptake varies between boroughs. Monitoring and evaluation remain limited, making it challenging to assess long-term impacts across the city.</w:t>
      </w:r>
    </w:p>
    <w:p w14:paraId="014D676F" w14:textId="30CBE065" w:rsidR="002D20AA" w:rsidRPr="00F36609" w:rsidRDefault="002D20AA" w:rsidP="002D20AA">
      <w:pPr>
        <w:spacing w:before="100" w:beforeAutospacing="1" w:after="100" w:afterAutospacing="1" w:line="240" w:lineRule="auto"/>
        <w:rPr>
          <w:rFonts w:ascii="Arial" w:hAnsi="Arial" w:cs="Arial"/>
          <w:kern w:val="0"/>
          <w:sz w:val="22"/>
          <w:szCs w:val="22"/>
          <w14:ligatures w14:val="none"/>
        </w:rPr>
      </w:pPr>
    </w:p>
    <w:p w14:paraId="54649D15" w14:textId="1D6BC992" w:rsidR="002D20AA" w:rsidRPr="00F36609" w:rsidRDefault="002D20AA" w:rsidP="002D20AA">
      <w:pPr>
        <w:spacing w:before="100" w:beforeAutospacing="1" w:after="100" w:afterAutospacing="1" w:line="240" w:lineRule="auto"/>
        <w:outlineLvl w:val="2"/>
        <w:rPr>
          <w:rFonts w:ascii="Arial" w:eastAsia="Times New Roman" w:hAnsi="Arial" w:cs="Arial"/>
          <w:b/>
          <w:bCs/>
          <w:kern w:val="0"/>
          <w:sz w:val="22"/>
          <w:szCs w:val="22"/>
          <w14:ligatures w14:val="none"/>
        </w:rPr>
      </w:pPr>
      <w:r w:rsidRPr="00F36609">
        <w:rPr>
          <w:rFonts w:ascii="Arial" w:eastAsia="Times New Roman" w:hAnsi="Arial" w:cs="Arial"/>
          <w:b/>
          <w:bCs/>
          <w:kern w:val="0"/>
          <w:sz w:val="22"/>
          <w:szCs w:val="22"/>
          <w14:ligatures w14:val="none"/>
        </w:rPr>
        <w:t>Critical Evaluation</w:t>
      </w:r>
    </w:p>
    <w:p w14:paraId="2F23C7E9" w14:textId="5F54AA46" w:rsidR="00A76C58" w:rsidRPr="00CD460F" w:rsidRDefault="002D20AA" w:rsidP="00CD460F">
      <w:p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 xml:space="preserve">Globally, SDG 3 initiatives have achieved measurable progress in vaccination coverage and maternal-child health, yet inequities </w:t>
      </w:r>
      <w:bookmarkStart w:id="9" w:name="_Int_0eABj3Ho"/>
      <w:r w:rsidRPr="00F36609">
        <w:rPr>
          <w:rFonts w:ascii="Arial" w:hAnsi="Arial" w:cs="Arial"/>
          <w:kern w:val="0"/>
          <w:sz w:val="22"/>
          <w:szCs w:val="22"/>
          <w14:ligatures w14:val="none"/>
        </w:rPr>
        <w:t>remain</w:t>
      </w:r>
      <w:bookmarkEnd w:id="9"/>
      <w:r w:rsidRPr="00F36609">
        <w:rPr>
          <w:rFonts w:ascii="Arial" w:hAnsi="Arial" w:cs="Arial"/>
          <w:kern w:val="0"/>
          <w:sz w:val="22"/>
          <w:szCs w:val="22"/>
          <w14:ligatures w14:val="none"/>
        </w:rPr>
        <w:t xml:space="preserve">. Nationally, England </w:t>
      </w:r>
      <w:bookmarkStart w:id="10" w:name="_Int_cDUbYtEq"/>
      <w:r w:rsidRPr="00F36609">
        <w:rPr>
          <w:rFonts w:ascii="Arial" w:hAnsi="Arial" w:cs="Arial"/>
          <w:kern w:val="0"/>
          <w:sz w:val="22"/>
          <w:szCs w:val="22"/>
          <w14:ligatures w14:val="none"/>
        </w:rPr>
        <w:t>demonstrates</w:t>
      </w:r>
      <w:bookmarkEnd w:id="10"/>
      <w:r w:rsidRPr="00F36609">
        <w:rPr>
          <w:rFonts w:ascii="Arial" w:hAnsi="Arial" w:cs="Arial"/>
          <w:kern w:val="0"/>
          <w:sz w:val="22"/>
          <w:szCs w:val="22"/>
          <w14:ligatures w14:val="none"/>
        </w:rPr>
        <w:t xml:space="preserve"> robust policy frameworks, yet structural issues, workforce limitations, and social determinants hinder </w:t>
      </w:r>
      <w:r w:rsidR="00AE1776" w:rsidRPr="00F36609">
        <w:rPr>
          <w:rFonts w:ascii="Arial" w:hAnsi="Arial" w:cs="Arial"/>
          <w:kern w:val="0"/>
          <w:sz w:val="22"/>
          <w:szCs w:val="22"/>
          <w14:ligatures w14:val="none"/>
        </w:rPr>
        <w:t>fair</w:t>
      </w:r>
      <w:r w:rsidRPr="00F36609">
        <w:rPr>
          <w:rFonts w:ascii="Arial" w:hAnsi="Arial" w:cs="Arial"/>
          <w:kern w:val="0"/>
          <w:sz w:val="22"/>
          <w:szCs w:val="22"/>
          <w14:ligatures w14:val="none"/>
        </w:rPr>
        <w:t xml:space="preserve"> outcomes. Locally, London exemplifies innovative, community-led interventions but faces resource constraints. Applying theoretical frameworks highlights the interplay between social determinants, policy design, and implementation effectiveness.</w:t>
      </w:r>
    </w:p>
    <w:p w14:paraId="69D9B069" w14:textId="3C8AAD36" w:rsidR="002D20AA" w:rsidRPr="00F36609" w:rsidRDefault="002D20AA" w:rsidP="002D20AA">
      <w:pPr>
        <w:spacing w:before="100" w:beforeAutospacing="1" w:after="100" w:afterAutospacing="1" w:line="240" w:lineRule="auto"/>
        <w:outlineLvl w:val="2"/>
        <w:rPr>
          <w:rFonts w:ascii="Arial" w:eastAsia="Times New Roman" w:hAnsi="Arial" w:cs="Arial"/>
          <w:b/>
          <w:bCs/>
          <w:kern w:val="0"/>
          <w:sz w:val="22"/>
          <w:szCs w:val="22"/>
          <w14:ligatures w14:val="none"/>
        </w:rPr>
      </w:pPr>
      <w:r w:rsidRPr="00F36609">
        <w:rPr>
          <w:rFonts w:ascii="Arial" w:eastAsia="Times New Roman" w:hAnsi="Arial" w:cs="Arial"/>
          <w:b/>
          <w:bCs/>
          <w:kern w:val="0"/>
          <w:sz w:val="22"/>
          <w:szCs w:val="22"/>
          <w14:ligatures w14:val="none"/>
        </w:rPr>
        <w:t>Recommendations</w:t>
      </w:r>
    </w:p>
    <w:p w14:paraId="5F51957E" w14:textId="77777777" w:rsidR="002D20AA" w:rsidRPr="00F36609" w:rsidRDefault="002D20AA" w:rsidP="002D20AA">
      <w:pPr>
        <w:numPr>
          <w:ilvl w:val="0"/>
          <w:numId w:val="1"/>
        </w:num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Global: Strengthen health system capacity in low-income countries; integrate social determinants into policy frameworks; enhance global financing for UHC.</w:t>
      </w:r>
    </w:p>
    <w:p w14:paraId="57E0EB72" w14:textId="77777777" w:rsidR="002D20AA" w:rsidRPr="00F36609" w:rsidRDefault="002D20AA" w:rsidP="002D20AA">
      <w:pPr>
        <w:numPr>
          <w:ilvl w:val="0"/>
          <w:numId w:val="1"/>
        </w:num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National (England): Prioritise prevention and mental health funding; address regional health inequalities; integrate data-driven evaluation to guide resource allocation.</w:t>
      </w:r>
    </w:p>
    <w:p w14:paraId="6AB56B19" w14:textId="77777777" w:rsidR="002D20AA" w:rsidRPr="00F36609" w:rsidRDefault="002D20AA" w:rsidP="002D20AA">
      <w:pPr>
        <w:numPr>
          <w:ilvl w:val="0"/>
          <w:numId w:val="1"/>
        </w:num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Local (London): Expand community-based programmes; improve monitoring and evaluation of interventions; enhance cross-sector collaboration linking health, housing, and urban planning.</w:t>
      </w:r>
    </w:p>
    <w:p w14:paraId="26A09404" w14:textId="77777777" w:rsidR="00F07D6B" w:rsidRDefault="00F07D6B" w:rsidP="002D20AA">
      <w:pPr>
        <w:spacing w:before="100" w:beforeAutospacing="1" w:after="100" w:afterAutospacing="1" w:line="240" w:lineRule="auto"/>
        <w:outlineLvl w:val="1"/>
        <w:rPr>
          <w:rFonts w:ascii="Arial" w:eastAsia="Times New Roman" w:hAnsi="Arial" w:cs="Arial"/>
          <w:b/>
          <w:kern w:val="0"/>
          <w:sz w:val="22"/>
          <w:szCs w:val="22"/>
          <w14:ligatures w14:val="none"/>
        </w:rPr>
      </w:pPr>
    </w:p>
    <w:p w14:paraId="78593AD0" w14:textId="2D83715C" w:rsidR="002D20AA" w:rsidRPr="00F36609" w:rsidRDefault="002D20AA" w:rsidP="002D20AA">
      <w:pPr>
        <w:spacing w:before="100" w:beforeAutospacing="1" w:after="100" w:afterAutospacing="1" w:line="240" w:lineRule="auto"/>
        <w:outlineLvl w:val="1"/>
        <w:rPr>
          <w:rFonts w:ascii="Arial" w:hAnsi="Arial" w:cs="Arial"/>
          <w:b/>
          <w:bCs/>
          <w:kern w:val="0"/>
          <w:sz w:val="22"/>
          <w:szCs w:val="22"/>
          <w14:ligatures w14:val="none"/>
        </w:rPr>
      </w:pPr>
      <w:r w:rsidRPr="00F36609">
        <w:rPr>
          <w:rFonts w:ascii="Arial" w:eastAsia="Times New Roman" w:hAnsi="Arial" w:cs="Arial"/>
          <w:b/>
          <w:bCs/>
          <w:kern w:val="0"/>
          <w:sz w:val="22"/>
          <w:szCs w:val="22"/>
          <w14:ligatures w14:val="none"/>
        </w:rPr>
        <w:t xml:space="preserve">Section 2: SDG 13 – Climate Action </w:t>
      </w:r>
    </w:p>
    <w:p w14:paraId="5FA8A207" w14:textId="489A6221" w:rsidR="002D20AA" w:rsidRPr="00A76C58" w:rsidRDefault="002D20AA" w:rsidP="00A76C58">
      <w:pPr>
        <w:spacing w:before="100" w:beforeAutospacing="1" w:after="100" w:afterAutospacing="1" w:line="240" w:lineRule="auto"/>
        <w:outlineLvl w:val="2"/>
        <w:rPr>
          <w:rFonts w:ascii="Arial" w:eastAsia="Times New Roman" w:hAnsi="Arial" w:cs="Arial"/>
          <w:b/>
          <w:kern w:val="0"/>
          <w:sz w:val="22"/>
          <w:szCs w:val="22"/>
          <w14:ligatures w14:val="none"/>
        </w:rPr>
      </w:pPr>
      <w:r w:rsidRPr="00F36609">
        <w:rPr>
          <w:rFonts w:ascii="Arial" w:eastAsia="Times New Roman" w:hAnsi="Arial" w:cs="Arial"/>
          <w:b/>
          <w:bCs/>
          <w:kern w:val="0"/>
          <w:sz w:val="22"/>
          <w:szCs w:val="22"/>
          <w14:ligatures w14:val="none"/>
        </w:rPr>
        <w:t>Overview of SDG 13</w:t>
      </w:r>
    </w:p>
    <w:p w14:paraId="7D550755" w14:textId="25BCD136" w:rsidR="002D20AA" w:rsidRPr="00CD460F" w:rsidRDefault="002D20AA" w:rsidP="00CD460F">
      <w:pPr>
        <w:pStyle w:val="p1"/>
        <w:rPr>
          <w:rFonts w:ascii="Arial" w:hAnsi="Arial" w:cs="Arial"/>
          <w:sz w:val="22"/>
          <w:szCs w:val="22"/>
        </w:rPr>
      </w:pPr>
      <w:r w:rsidRPr="00F36609">
        <w:rPr>
          <w:rFonts w:ascii="Arial" w:hAnsi="Arial" w:cs="Arial"/>
          <w:sz w:val="22"/>
          <w:szCs w:val="22"/>
        </w:rPr>
        <w:t xml:space="preserve">SDG 13 calls for urgent action to combat climate change and its impacts. Climate change poses significant health risks, including heat-related morbidity, increased respiratory diseases from air pollution, mental health impacts, and altered patterns of vector-borne illnesses </w:t>
      </w:r>
      <w:r w:rsidRPr="00A76C58">
        <w:rPr>
          <w:rFonts w:ascii="Arial" w:hAnsi="Arial" w:cs="Arial"/>
          <w:b/>
          <w:color w:val="BF4E14" w:themeColor="accent2" w:themeShade="BF"/>
          <w:sz w:val="22"/>
          <w:szCs w:val="22"/>
        </w:rPr>
        <w:t>(WHO, 2023b).</w:t>
      </w:r>
      <w:r w:rsidRPr="00A76C58">
        <w:rPr>
          <w:rFonts w:ascii="Arial" w:hAnsi="Arial" w:cs="Arial"/>
          <w:color w:val="BF4E14" w:themeColor="accent2" w:themeShade="BF"/>
          <w:sz w:val="22"/>
          <w:szCs w:val="22"/>
        </w:rPr>
        <w:t xml:space="preserve"> </w:t>
      </w:r>
      <w:r w:rsidRPr="00F36609">
        <w:rPr>
          <w:rFonts w:ascii="Arial" w:hAnsi="Arial" w:cs="Arial"/>
          <w:sz w:val="22"/>
          <w:szCs w:val="22"/>
        </w:rPr>
        <w:t xml:space="preserve">The Planetary Health framework recognises the interdependence of human health and environmental systems, emphasising the need for sustainable policies that simultaneously protect populations and ecosystems </w:t>
      </w:r>
      <w:r w:rsidRPr="00A76C58">
        <w:rPr>
          <w:rFonts w:ascii="Arial" w:hAnsi="Arial" w:cs="Arial"/>
          <w:b/>
          <w:color w:val="BF4E14" w:themeColor="accent2" w:themeShade="BF"/>
          <w:sz w:val="22"/>
          <w:szCs w:val="22"/>
        </w:rPr>
        <w:t>(Whitmee et al., 2015).</w:t>
      </w:r>
      <w:r w:rsidR="00ED0ADF">
        <w:rPr>
          <w:rFonts w:ascii="Arial" w:hAnsi="Arial" w:cs="Arial"/>
          <w:b/>
          <w:color w:val="BF4E14" w:themeColor="accent2" w:themeShade="BF"/>
          <w:sz w:val="22"/>
          <w:szCs w:val="22"/>
        </w:rPr>
        <w:t xml:space="preserve"> </w:t>
      </w:r>
      <w:r w:rsidR="00ED0ADF" w:rsidRPr="00CD460F">
        <w:rPr>
          <w:rFonts w:ascii="Arial" w:hAnsi="Arial" w:cs="Arial"/>
          <w:sz w:val="22"/>
          <w:szCs w:val="22"/>
        </w:rPr>
        <w:t xml:space="preserve">Furthermore, climate change worsens existing health inequalities, with vulnerable populations such as the elderly, children, and low-income communities disproportionately affected. Urban areas like London face increased risks due to heat islands, poor air quality, and higher population density. For example, heatwaves in London have </w:t>
      </w:r>
      <w:bookmarkStart w:id="11" w:name="_Int_tqdLCskn"/>
      <w:r w:rsidR="00ED0ADF" w:rsidRPr="00CD460F">
        <w:rPr>
          <w:rFonts w:ascii="Arial" w:hAnsi="Arial" w:cs="Arial"/>
          <w:sz w:val="22"/>
          <w:szCs w:val="22"/>
        </w:rPr>
        <w:t>been linked</w:t>
      </w:r>
      <w:bookmarkEnd w:id="11"/>
      <w:r w:rsidR="00ED0ADF" w:rsidRPr="00CD460F">
        <w:rPr>
          <w:rFonts w:ascii="Arial" w:hAnsi="Arial" w:cs="Arial"/>
          <w:sz w:val="22"/>
          <w:szCs w:val="22"/>
        </w:rPr>
        <w:t xml:space="preserve"> to spikes in hospital admissions and mortality, while air pollution contributes to chronic respiratory conditions, including asthma and COPD. Climate-induced disruptions to food and water systems can also increase malnutrition and waterborne diseases. Integrating climate and health policies is therefore essential to protect public health and enhance resilience against future environmental shocks.</w:t>
      </w:r>
    </w:p>
    <w:p w14:paraId="2B9BE86E" w14:textId="1C4477E2" w:rsidR="002D20AA" w:rsidRPr="00A76C58" w:rsidRDefault="002D20AA" w:rsidP="00A76C58">
      <w:pPr>
        <w:spacing w:before="100" w:beforeAutospacing="1" w:after="100" w:afterAutospacing="1" w:line="240" w:lineRule="auto"/>
        <w:outlineLvl w:val="2"/>
        <w:rPr>
          <w:rFonts w:ascii="Arial" w:eastAsia="Times New Roman" w:hAnsi="Arial" w:cs="Arial"/>
          <w:b/>
          <w:kern w:val="0"/>
          <w:sz w:val="22"/>
          <w:szCs w:val="22"/>
          <w14:ligatures w14:val="none"/>
        </w:rPr>
      </w:pPr>
      <w:r w:rsidRPr="00F36609">
        <w:rPr>
          <w:rFonts w:ascii="Arial" w:eastAsia="Times New Roman" w:hAnsi="Arial" w:cs="Arial"/>
          <w:b/>
          <w:bCs/>
          <w:kern w:val="0"/>
          <w:sz w:val="22"/>
          <w:szCs w:val="22"/>
          <w14:ligatures w14:val="none"/>
        </w:rPr>
        <w:t>Global Policies and Initiatives</w:t>
      </w:r>
    </w:p>
    <w:p w14:paraId="3D5987B5" w14:textId="10324734" w:rsidR="002D20AA" w:rsidRDefault="002D20AA" w:rsidP="002D20AA">
      <w:pPr>
        <w:spacing w:before="100" w:beforeAutospacing="1" w:after="100" w:afterAutospacing="1" w:line="240" w:lineRule="auto"/>
        <w:rPr>
          <w:rFonts w:ascii="Arial" w:hAnsi="Arial" w:cs="Arial"/>
          <w:b/>
          <w:bCs/>
          <w:color w:val="BF4E14" w:themeColor="accent2" w:themeShade="BF"/>
          <w:kern w:val="0"/>
          <w:sz w:val="22"/>
          <w:szCs w:val="22"/>
          <w14:ligatures w14:val="none"/>
        </w:rPr>
      </w:pPr>
      <w:r w:rsidRPr="00F36609">
        <w:rPr>
          <w:rFonts w:ascii="Arial" w:hAnsi="Arial" w:cs="Arial"/>
          <w:kern w:val="0"/>
          <w:sz w:val="22"/>
          <w:szCs w:val="22"/>
          <w14:ligatures w14:val="none"/>
        </w:rPr>
        <w:t xml:space="preserve">Globally, the Paris Agreement (2015) and UNFCCC COP Conferences provide frameworks for climate mitigation and adaptation, with emerging recognition of health co-benefits </w:t>
      </w:r>
      <w:r w:rsidRPr="00A76C58">
        <w:rPr>
          <w:rFonts w:ascii="Arial" w:hAnsi="Arial" w:cs="Arial"/>
          <w:b/>
          <w:color w:val="BF4E14" w:themeColor="accent2" w:themeShade="BF"/>
          <w:kern w:val="0"/>
          <w:sz w:val="22"/>
          <w:szCs w:val="22"/>
          <w14:ligatures w14:val="none"/>
        </w:rPr>
        <w:t>(UNFCCC, 2021).</w:t>
      </w:r>
      <w:r w:rsidRPr="00A76C58">
        <w:rPr>
          <w:rFonts w:ascii="Arial" w:hAnsi="Arial" w:cs="Arial"/>
          <w:color w:val="BF4E14" w:themeColor="accent2" w:themeShade="BF"/>
          <w:kern w:val="0"/>
          <w:sz w:val="22"/>
          <w:szCs w:val="22"/>
          <w14:ligatures w14:val="none"/>
        </w:rPr>
        <w:t xml:space="preserve"> </w:t>
      </w:r>
      <w:r w:rsidRPr="00F36609">
        <w:rPr>
          <w:rFonts w:ascii="Arial" w:hAnsi="Arial" w:cs="Arial"/>
          <w:kern w:val="0"/>
          <w:sz w:val="22"/>
          <w:szCs w:val="22"/>
          <w14:ligatures w14:val="none"/>
        </w:rPr>
        <w:t xml:space="preserve">The WHO’s Climate Change and Health Programme advocates integrating health into climate policies </w:t>
      </w:r>
      <w:r w:rsidRPr="00A76C58">
        <w:rPr>
          <w:rFonts w:ascii="Arial" w:hAnsi="Arial" w:cs="Arial"/>
          <w:b/>
          <w:color w:val="BF4E14" w:themeColor="accent2" w:themeShade="BF"/>
          <w:kern w:val="0"/>
          <w:sz w:val="22"/>
          <w:szCs w:val="22"/>
          <w14:ligatures w14:val="none"/>
        </w:rPr>
        <w:t>(WHO, 2023b).</w:t>
      </w:r>
    </w:p>
    <w:p w14:paraId="012A416B" w14:textId="77777777" w:rsidR="00CD460F" w:rsidRPr="00F36609" w:rsidRDefault="00CD460F" w:rsidP="002D20AA">
      <w:pPr>
        <w:spacing w:before="100" w:beforeAutospacing="1" w:after="100" w:afterAutospacing="1" w:line="240" w:lineRule="auto"/>
        <w:rPr>
          <w:rFonts w:ascii="Arial" w:hAnsi="Arial" w:cs="Arial"/>
          <w:kern w:val="0"/>
          <w:sz w:val="22"/>
          <w:szCs w:val="22"/>
          <w14:ligatures w14:val="none"/>
        </w:rPr>
      </w:pPr>
    </w:p>
    <w:p w14:paraId="2EB80738" w14:textId="3B245DC9" w:rsidR="002D20AA" w:rsidRPr="00F36609" w:rsidRDefault="002D20AA" w:rsidP="00CD460F">
      <w:pPr>
        <w:pStyle w:val="p1"/>
        <w:rPr>
          <w:rFonts w:ascii="Arial" w:hAnsi="Arial" w:cs="Arial"/>
          <w:sz w:val="22"/>
          <w:szCs w:val="22"/>
        </w:rPr>
      </w:pPr>
      <w:r w:rsidRPr="00F36609">
        <w:rPr>
          <w:rFonts w:ascii="Arial" w:hAnsi="Arial" w:cs="Arial"/>
          <w:sz w:val="22"/>
          <w:szCs w:val="22"/>
        </w:rPr>
        <w:t xml:space="preserve">Despite progress, implementation gaps persist. Low-income countries face disproportionate climate-related health burdens, yet limited funding and capacity constrain adaptation efforts </w:t>
      </w:r>
      <w:r w:rsidRPr="00A76C58">
        <w:rPr>
          <w:rFonts w:ascii="Arial" w:hAnsi="Arial" w:cs="Arial"/>
          <w:b/>
          <w:color w:val="BF4E14" w:themeColor="accent2" w:themeShade="BF"/>
          <w:sz w:val="22"/>
          <w:szCs w:val="22"/>
        </w:rPr>
        <w:t xml:space="preserve">(The Lancet Countdown, 2023). </w:t>
      </w:r>
      <w:r w:rsidRPr="00F36609">
        <w:rPr>
          <w:rFonts w:ascii="Arial" w:hAnsi="Arial" w:cs="Arial"/>
          <w:sz w:val="22"/>
          <w:szCs w:val="22"/>
        </w:rPr>
        <w:t xml:space="preserve">The Eco-social model highlights that climate risks </w:t>
      </w:r>
      <w:r w:rsidR="00F12320" w:rsidRPr="00F36609">
        <w:rPr>
          <w:rFonts w:ascii="Arial" w:hAnsi="Arial" w:cs="Arial"/>
          <w:sz w:val="22"/>
          <w:szCs w:val="22"/>
        </w:rPr>
        <w:t>worsen</w:t>
      </w:r>
      <w:r w:rsidRPr="00F36609">
        <w:rPr>
          <w:rFonts w:ascii="Arial" w:hAnsi="Arial" w:cs="Arial"/>
          <w:sz w:val="22"/>
          <w:szCs w:val="22"/>
        </w:rPr>
        <w:t xml:space="preserve"> existing social and health inequalities.</w:t>
      </w:r>
      <w:r w:rsidR="00496877" w:rsidRPr="00496877">
        <w:rPr>
          <w:rFonts w:ascii="UICTFontTextStyleBody" w:hAnsi="UICTFontTextStyleBody"/>
          <w:sz w:val="29"/>
          <w:szCs w:val="29"/>
        </w:rPr>
        <w:t xml:space="preserve"> </w:t>
      </w:r>
      <w:r w:rsidR="00496877" w:rsidRPr="00CD460F">
        <w:rPr>
          <w:rFonts w:ascii="Arial" w:hAnsi="Arial" w:cs="Arial"/>
          <w:sz w:val="22"/>
          <w:szCs w:val="22"/>
        </w:rPr>
        <w:t xml:space="preserve">Global populations </w:t>
      </w:r>
      <w:bookmarkStart w:id="12" w:name="_Int_xbiX0jwO"/>
      <w:r w:rsidR="00496877" w:rsidRPr="00CD460F">
        <w:rPr>
          <w:rFonts w:ascii="Arial" w:hAnsi="Arial" w:cs="Arial"/>
          <w:sz w:val="22"/>
          <w:szCs w:val="22"/>
        </w:rPr>
        <w:t>are increasingly affected</w:t>
      </w:r>
      <w:bookmarkEnd w:id="12"/>
      <w:r w:rsidR="00496877" w:rsidRPr="00CD460F">
        <w:rPr>
          <w:rFonts w:ascii="Arial" w:hAnsi="Arial" w:cs="Arial"/>
          <w:sz w:val="22"/>
          <w:szCs w:val="22"/>
        </w:rPr>
        <w:t xml:space="preserve"> by extreme weather events, such as hurricanes, floods, and droughts, which lead to displacement, food insecurity, and outbreaks of infectious diseases. Vulnerable groups, including women, children, and the elderly, experience higher morbidity and mortality. International coordination </w:t>
      </w:r>
      <w:bookmarkStart w:id="13" w:name="_Int_yNOKR9z8"/>
      <w:r w:rsidR="00496877" w:rsidRPr="00CD460F">
        <w:rPr>
          <w:rFonts w:ascii="Arial" w:hAnsi="Arial" w:cs="Arial"/>
          <w:sz w:val="22"/>
          <w:szCs w:val="22"/>
        </w:rPr>
        <w:t>is often hindered</w:t>
      </w:r>
      <w:bookmarkEnd w:id="13"/>
      <w:r w:rsidR="00496877" w:rsidRPr="00CD460F">
        <w:rPr>
          <w:rFonts w:ascii="Arial" w:hAnsi="Arial" w:cs="Arial"/>
          <w:sz w:val="22"/>
          <w:szCs w:val="22"/>
        </w:rPr>
        <w:t xml:space="preserve"> by inconsistent reporting, inadequate resource allocation, and lack of health-focused adaptation strategies, highlighting the need for targeted funding, capacity building, and integration of health considerations into climate planning.</w:t>
      </w:r>
    </w:p>
    <w:p w14:paraId="601309AA" w14:textId="6FF61720" w:rsidR="002D20AA" w:rsidRPr="00A76C58" w:rsidRDefault="002D20AA" w:rsidP="00A76C58">
      <w:pPr>
        <w:spacing w:before="100" w:beforeAutospacing="1" w:after="100" w:afterAutospacing="1" w:line="240" w:lineRule="auto"/>
        <w:outlineLvl w:val="2"/>
        <w:rPr>
          <w:rFonts w:ascii="Arial" w:eastAsia="Times New Roman" w:hAnsi="Arial" w:cs="Arial"/>
          <w:b/>
          <w:kern w:val="0"/>
          <w:sz w:val="22"/>
          <w:szCs w:val="22"/>
          <w14:ligatures w14:val="none"/>
        </w:rPr>
      </w:pPr>
      <w:r w:rsidRPr="00F36609">
        <w:rPr>
          <w:rFonts w:ascii="Arial" w:eastAsia="Times New Roman" w:hAnsi="Arial" w:cs="Arial"/>
          <w:b/>
          <w:bCs/>
          <w:kern w:val="0"/>
          <w:sz w:val="22"/>
          <w:szCs w:val="22"/>
          <w14:ligatures w14:val="none"/>
        </w:rPr>
        <w:t>National Policies and Initiatives (England)</w:t>
      </w:r>
    </w:p>
    <w:p w14:paraId="5E62FB73" w14:textId="64828801" w:rsidR="002D20AA" w:rsidRPr="00F36609" w:rsidRDefault="002D20AA" w:rsidP="002D20AA">
      <w:p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 xml:space="preserve">In England, the UK Net Zero Strategy (2021) commits to reducing greenhouse gas emissions across sectors, including healthcare </w:t>
      </w:r>
      <w:r w:rsidRPr="00A76C58">
        <w:rPr>
          <w:rFonts w:ascii="Arial" w:hAnsi="Arial" w:cs="Arial"/>
          <w:b/>
          <w:color w:val="BF4E14" w:themeColor="accent2" w:themeShade="BF"/>
          <w:kern w:val="0"/>
          <w:sz w:val="22"/>
          <w:szCs w:val="22"/>
          <w14:ligatures w14:val="none"/>
        </w:rPr>
        <w:t>(UK Government, 2021).</w:t>
      </w:r>
      <w:r w:rsidRPr="00A76C58">
        <w:rPr>
          <w:rFonts w:ascii="Arial" w:hAnsi="Arial" w:cs="Arial"/>
          <w:color w:val="BF4E14" w:themeColor="accent2" w:themeShade="BF"/>
          <w:kern w:val="0"/>
          <w:sz w:val="22"/>
          <w:szCs w:val="22"/>
          <w14:ligatures w14:val="none"/>
        </w:rPr>
        <w:t xml:space="preserve"> </w:t>
      </w:r>
      <w:r w:rsidRPr="00F36609">
        <w:rPr>
          <w:rFonts w:ascii="Arial" w:hAnsi="Arial" w:cs="Arial"/>
          <w:kern w:val="0"/>
          <w:sz w:val="22"/>
          <w:szCs w:val="22"/>
          <w14:ligatures w14:val="none"/>
        </w:rPr>
        <w:t>The NHS’s Greener NHS Programme aims for net-zero emissions by 2040</w:t>
      </w:r>
      <w:r w:rsidRPr="00A76C58">
        <w:rPr>
          <w:rFonts w:ascii="Arial" w:hAnsi="Arial" w:cs="Arial"/>
          <w:b/>
          <w:color w:val="BF4E14" w:themeColor="accent2" w:themeShade="BF"/>
          <w:kern w:val="0"/>
          <w:sz w:val="22"/>
          <w:szCs w:val="22"/>
          <w14:ligatures w14:val="none"/>
        </w:rPr>
        <w:t xml:space="preserve"> (NHS England, 2023).</w:t>
      </w:r>
      <w:r w:rsidRPr="00A76C58">
        <w:rPr>
          <w:rFonts w:ascii="Arial" w:hAnsi="Arial" w:cs="Arial"/>
          <w:color w:val="BF4E14" w:themeColor="accent2" w:themeShade="BF"/>
          <w:kern w:val="0"/>
          <w:sz w:val="22"/>
          <w:szCs w:val="22"/>
          <w14:ligatures w14:val="none"/>
        </w:rPr>
        <w:t xml:space="preserve"> </w:t>
      </w:r>
      <w:r w:rsidRPr="00F36609">
        <w:rPr>
          <w:rFonts w:ascii="Arial" w:hAnsi="Arial" w:cs="Arial"/>
          <w:kern w:val="0"/>
          <w:sz w:val="22"/>
          <w:szCs w:val="22"/>
          <w14:ligatures w14:val="none"/>
        </w:rPr>
        <w:t>Health co-benefits include improved air quality, promotion of active travel, and reduced NCDs.</w:t>
      </w:r>
    </w:p>
    <w:p w14:paraId="2325707A" w14:textId="6DB969CB" w:rsidR="006A1C17" w:rsidRPr="00CD460F" w:rsidRDefault="002D20AA" w:rsidP="00CD460F">
      <w:p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 xml:space="preserve">Challenges include supply chain emissions, resource allocation, and integrating climate action with core health services. A health co-benefits lens suggests that climate policies can enhance population health while advancing sustainability </w:t>
      </w:r>
      <w:r w:rsidR="000320C0" w:rsidRPr="00F36609">
        <w:rPr>
          <w:rFonts w:ascii="Arial" w:hAnsi="Arial" w:cs="Arial"/>
          <w:kern w:val="0"/>
          <w:sz w:val="22"/>
          <w:szCs w:val="22"/>
          <w14:ligatures w14:val="none"/>
        </w:rPr>
        <w:t>goals yet</w:t>
      </w:r>
      <w:r w:rsidRPr="00F36609">
        <w:rPr>
          <w:rFonts w:ascii="Arial" w:hAnsi="Arial" w:cs="Arial"/>
          <w:kern w:val="0"/>
          <w:sz w:val="22"/>
          <w:szCs w:val="22"/>
          <w14:ligatures w14:val="none"/>
        </w:rPr>
        <w:t xml:space="preserve"> requires stronger inter-sectoral coordination.</w:t>
      </w:r>
    </w:p>
    <w:p w14:paraId="2447C789" w14:textId="1320DF00" w:rsidR="002D20AA" w:rsidRPr="000320C0" w:rsidRDefault="002D20AA" w:rsidP="000320C0">
      <w:pPr>
        <w:spacing w:before="100" w:beforeAutospacing="1" w:after="100" w:afterAutospacing="1" w:line="240" w:lineRule="auto"/>
        <w:outlineLvl w:val="2"/>
        <w:rPr>
          <w:rFonts w:ascii="Arial" w:eastAsia="Times New Roman" w:hAnsi="Arial" w:cs="Arial"/>
          <w:b/>
          <w:kern w:val="0"/>
          <w:sz w:val="22"/>
          <w:szCs w:val="22"/>
          <w14:ligatures w14:val="none"/>
        </w:rPr>
      </w:pPr>
      <w:r w:rsidRPr="00F36609">
        <w:rPr>
          <w:rFonts w:ascii="Arial" w:eastAsia="Times New Roman" w:hAnsi="Arial" w:cs="Arial"/>
          <w:b/>
          <w:bCs/>
          <w:kern w:val="0"/>
          <w:sz w:val="22"/>
          <w:szCs w:val="22"/>
          <w14:ligatures w14:val="none"/>
        </w:rPr>
        <w:t>Local Level Initiatives (London)</w:t>
      </w:r>
    </w:p>
    <w:p w14:paraId="5C1C236C" w14:textId="224EEA98" w:rsidR="002D20AA" w:rsidRPr="00F36609" w:rsidRDefault="002D20AA" w:rsidP="002D20AA">
      <w:p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 xml:space="preserve">London’s Climate Action Plan incorporates health considerations, including urban heat mitigation, green infrastructure, and air quality improvements </w:t>
      </w:r>
      <w:r w:rsidRPr="000320C0">
        <w:rPr>
          <w:rFonts w:ascii="Arial" w:hAnsi="Arial" w:cs="Arial"/>
          <w:b/>
          <w:color w:val="BF4E14" w:themeColor="accent2" w:themeShade="BF"/>
          <w:kern w:val="0"/>
          <w:sz w:val="22"/>
          <w:szCs w:val="22"/>
          <w14:ligatures w14:val="none"/>
        </w:rPr>
        <w:t xml:space="preserve">(Greater London Authority, 2022). </w:t>
      </w:r>
      <w:r w:rsidRPr="00F36609">
        <w:rPr>
          <w:rFonts w:ascii="Arial" w:hAnsi="Arial" w:cs="Arial"/>
          <w:kern w:val="0"/>
          <w:sz w:val="22"/>
          <w:szCs w:val="22"/>
          <w14:ligatures w14:val="none"/>
        </w:rPr>
        <w:t>Initiatives such as expanding green spaces, promoting cycling, and retrofitting public buildings illustrate practical links between sustainability and health.</w:t>
      </w:r>
    </w:p>
    <w:p w14:paraId="3E87D341" w14:textId="77777777" w:rsidR="002D20AA" w:rsidRPr="00F36609" w:rsidRDefault="002D20AA" w:rsidP="002D20AA">
      <w:p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 xml:space="preserve">Evaluation </w:t>
      </w:r>
      <w:bookmarkStart w:id="14" w:name="_Int_YJXvUXuj"/>
      <w:r w:rsidRPr="00F36609">
        <w:rPr>
          <w:rFonts w:ascii="Arial" w:hAnsi="Arial" w:cs="Arial"/>
          <w:kern w:val="0"/>
          <w:sz w:val="22"/>
          <w:szCs w:val="22"/>
          <w14:ligatures w14:val="none"/>
        </w:rPr>
        <w:t>indicates</w:t>
      </w:r>
      <w:bookmarkEnd w:id="14"/>
      <w:r w:rsidRPr="00F36609">
        <w:rPr>
          <w:rFonts w:ascii="Arial" w:hAnsi="Arial" w:cs="Arial"/>
          <w:kern w:val="0"/>
          <w:sz w:val="22"/>
          <w:szCs w:val="22"/>
          <w14:ligatures w14:val="none"/>
        </w:rPr>
        <w:t xml:space="preserve"> strengths in multi-agency collaboration and community engagement; however, </w:t>
      </w:r>
      <w:bookmarkStart w:id="15" w:name="_Int_Lbqt9Qym"/>
      <w:r w:rsidRPr="00F36609">
        <w:rPr>
          <w:rFonts w:ascii="Arial" w:hAnsi="Arial" w:cs="Arial"/>
          <w:kern w:val="0"/>
          <w:sz w:val="22"/>
          <w:szCs w:val="22"/>
          <w14:ligatures w14:val="none"/>
        </w:rPr>
        <w:t>monitoring</w:t>
      </w:r>
      <w:bookmarkEnd w:id="15"/>
      <w:r w:rsidRPr="00F36609">
        <w:rPr>
          <w:rFonts w:ascii="Arial" w:hAnsi="Arial" w:cs="Arial"/>
          <w:kern w:val="0"/>
          <w:sz w:val="22"/>
          <w:szCs w:val="22"/>
          <w14:ligatures w14:val="none"/>
        </w:rPr>
        <w:t xml:space="preserve"> of health outcomes and addressing inequalities across boroughs </w:t>
      </w:r>
      <w:bookmarkStart w:id="16" w:name="_Int_QXlz7M9I"/>
      <w:r w:rsidRPr="00F36609">
        <w:rPr>
          <w:rFonts w:ascii="Arial" w:hAnsi="Arial" w:cs="Arial"/>
          <w:kern w:val="0"/>
          <w:sz w:val="22"/>
          <w:szCs w:val="22"/>
          <w14:ligatures w14:val="none"/>
        </w:rPr>
        <w:t>remain</w:t>
      </w:r>
      <w:bookmarkEnd w:id="16"/>
      <w:r w:rsidRPr="00F36609">
        <w:rPr>
          <w:rFonts w:ascii="Arial" w:hAnsi="Arial" w:cs="Arial"/>
          <w:kern w:val="0"/>
          <w:sz w:val="22"/>
          <w:szCs w:val="22"/>
          <w14:ligatures w14:val="none"/>
        </w:rPr>
        <w:t xml:space="preserve"> areas for improvement. The One Health approach reinforces the integration of environmental and human health interventions locally.</w:t>
      </w:r>
    </w:p>
    <w:p w14:paraId="1CDC07F5" w14:textId="749BE41F" w:rsidR="002D20AA" w:rsidRPr="000320C0" w:rsidRDefault="002D20AA" w:rsidP="000320C0">
      <w:pPr>
        <w:spacing w:before="100" w:beforeAutospacing="1" w:after="100" w:afterAutospacing="1" w:line="240" w:lineRule="auto"/>
        <w:outlineLvl w:val="2"/>
        <w:rPr>
          <w:rFonts w:ascii="Arial" w:eastAsia="Times New Roman" w:hAnsi="Arial" w:cs="Arial"/>
          <w:b/>
          <w:kern w:val="0"/>
          <w:sz w:val="22"/>
          <w:szCs w:val="22"/>
          <w14:ligatures w14:val="none"/>
        </w:rPr>
      </w:pPr>
      <w:r w:rsidRPr="00F36609">
        <w:rPr>
          <w:rFonts w:ascii="Arial" w:eastAsia="Times New Roman" w:hAnsi="Arial" w:cs="Arial"/>
          <w:b/>
          <w:bCs/>
          <w:kern w:val="0"/>
          <w:sz w:val="22"/>
          <w:szCs w:val="22"/>
          <w14:ligatures w14:val="none"/>
        </w:rPr>
        <w:t>Critical Evaluation</w:t>
      </w:r>
    </w:p>
    <w:p w14:paraId="402A018B" w14:textId="1F2E3CFF" w:rsidR="002D20AA" w:rsidRDefault="002D20AA" w:rsidP="002D20AA">
      <w:p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 xml:space="preserve">Globally, climate-health policies recognise interdependence but face equity and implementation gaps. Nationally, England </w:t>
      </w:r>
      <w:r w:rsidR="00F12320" w:rsidRPr="00F36609">
        <w:rPr>
          <w:rFonts w:ascii="Arial" w:hAnsi="Arial" w:cs="Arial"/>
          <w:kern w:val="0"/>
          <w:sz w:val="22"/>
          <w:szCs w:val="22"/>
          <w14:ligatures w14:val="none"/>
        </w:rPr>
        <w:t>shows</w:t>
      </w:r>
      <w:r w:rsidRPr="00F36609">
        <w:rPr>
          <w:rFonts w:ascii="Arial" w:hAnsi="Arial" w:cs="Arial"/>
          <w:kern w:val="0"/>
          <w:sz w:val="22"/>
          <w:szCs w:val="22"/>
          <w14:ligatures w14:val="none"/>
        </w:rPr>
        <w:t xml:space="preserve"> ambition through Net Zero targets and NHS decarbonisation, but practical integration with health services is ongoing. Locally, London shows innovation but uneven evaluation and resource allocation challenge sustainability and equity. Interlinking SDG 3 and SDG 13 highlights how climate mitigation supports health, and how health-focused policies can drive sustainable environmental outcomes.</w:t>
      </w:r>
    </w:p>
    <w:p w14:paraId="49456ACE" w14:textId="77777777" w:rsidR="00CD460F" w:rsidRDefault="00CD460F" w:rsidP="002D20AA">
      <w:pPr>
        <w:spacing w:before="100" w:beforeAutospacing="1" w:after="100" w:afterAutospacing="1" w:line="240" w:lineRule="auto"/>
        <w:rPr>
          <w:rFonts w:ascii="Arial" w:hAnsi="Arial" w:cs="Arial"/>
          <w:kern w:val="0"/>
          <w:sz w:val="22"/>
          <w:szCs w:val="22"/>
          <w14:ligatures w14:val="none"/>
        </w:rPr>
      </w:pPr>
    </w:p>
    <w:p w14:paraId="5299A1D9" w14:textId="77777777" w:rsidR="00CD460F" w:rsidRDefault="00CD460F" w:rsidP="002D20AA">
      <w:pPr>
        <w:spacing w:before="100" w:beforeAutospacing="1" w:after="100" w:afterAutospacing="1" w:line="240" w:lineRule="auto"/>
        <w:rPr>
          <w:rFonts w:ascii="Arial" w:hAnsi="Arial" w:cs="Arial"/>
          <w:kern w:val="0"/>
          <w:sz w:val="22"/>
          <w:szCs w:val="22"/>
          <w14:ligatures w14:val="none"/>
        </w:rPr>
      </w:pPr>
    </w:p>
    <w:p w14:paraId="1E458DD0" w14:textId="77777777" w:rsidR="00CD460F" w:rsidRPr="00F36609" w:rsidRDefault="00CD460F" w:rsidP="002D20AA">
      <w:pPr>
        <w:spacing w:before="100" w:beforeAutospacing="1" w:after="100" w:afterAutospacing="1" w:line="240" w:lineRule="auto"/>
        <w:rPr>
          <w:rFonts w:ascii="Arial" w:hAnsi="Arial" w:cs="Arial"/>
          <w:kern w:val="0"/>
          <w:sz w:val="22"/>
          <w:szCs w:val="22"/>
          <w14:ligatures w14:val="none"/>
        </w:rPr>
      </w:pPr>
    </w:p>
    <w:p w14:paraId="190FB1D9" w14:textId="6920F4AA" w:rsidR="002D20AA" w:rsidRPr="00F36609" w:rsidRDefault="002D20AA" w:rsidP="002D20AA">
      <w:pPr>
        <w:spacing w:before="100" w:beforeAutospacing="1" w:after="100" w:afterAutospacing="1" w:line="240" w:lineRule="auto"/>
        <w:outlineLvl w:val="2"/>
        <w:rPr>
          <w:rFonts w:ascii="Arial" w:eastAsia="Times New Roman" w:hAnsi="Arial" w:cs="Arial"/>
          <w:b/>
          <w:bCs/>
          <w:kern w:val="0"/>
          <w:sz w:val="22"/>
          <w:szCs w:val="22"/>
          <w14:ligatures w14:val="none"/>
        </w:rPr>
      </w:pPr>
      <w:r w:rsidRPr="00F36609">
        <w:rPr>
          <w:rFonts w:ascii="Arial" w:eastAsia="Times New Roman" w:hAnsi="Arial" w:cs="Arial"/>
          <w:b/>
          <w:bCs/>
          <w:kern w:val="0"/>
          <w:sz w:val="22"/>
          <w:szCs w:val="22"/>
          <w14:ligatures w14:val="none"/>
        </w:rPr>
        <w:t>Recommendations</w:t>
      </w:r>
    </w:p>
    <w:p w14:paraId="0A268FA7" w14:textId="77777777" w:rsidR="002D20AA" w:rsidRPr="00F36609" w:rsidRDefault="002D20AA" w:rsidP="002D20AA">
      <w:pPr>
        <w:numPr>
          <w:ilvl w:val="0"/>
          <w:numId w:val="2"/>
        </w:num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Global: Embed health explicitly in climate negotiations; increase funding for climate-health adaptation; support capacity building in vulnerable regions.</w:t>
      </w:r>
    </w:p>
    <w:p w14:paraId="0461A787" w14:textId="77777777" w:rsidR="002D20AA" w:rsidRPr="00F36609" w:rsidRDefault="002D20AA" w:rsidP="002D20AA">
      <w:pPr>
        <w:numPr>
          <w:ilvl w:val="0"/>
          <w:numId w:val="2"/>
        </w:num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National (England): Maximise health co-benefits of climate policies (air quality, active transport); integrate climate resilience into NHS and public health planning; strengthen workforce and supply chain sustainability.</w:t>
      </w:r>
    </w:p>
    <w:p w14:paraId="41364A80" w14:textId="0A1FACEC" w:rsidR="000320C0" w:rsidRPr="00CD460F" w:rsidRDefault="002D20AA" w:rsidP="000320C0">
      <w:pPr>
        <w:numPr>
          <w:ilvl w:val="0"/>
          <w:numId w:val="2"/>
        </w:num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Local (London): Expand green infrastructure with health impact assessment; enhance community participation in climate-health initiatives; target vulnerable populations to reduce inequality; monitor and evaluate health outcomes of local climate interventions.</w:t>
      </w:r>
    </w:p>
    <w:p w14:paraId="6AC4D1B6" w14:textId="77777777" w:rsidR="000320C0" w:rsidRPr="000320C0" w:rsidRDefault="000320C0" w:rsidP="000320C0">
      <w:pPr>
        <w:spacing w:before="100" w:beforeAutospacing="1" w:after="100" w:afterAutospacing="1" w:line="240" w:lineRule="auto"/>
        <w:rPr>
          <w:rFonts w:ascii="Arial" w:hAnsi="Arial" w:cs="Arial"/>
          <w:kern w:val="0"/>
          <w:sz w:val="22"/>
          <w:szCs w:val="22"/>
          <w14:ligatures w14:val="none"/>
        </w:rPr>
      </w:pPr>
    </w:p>
    <w:p w14:paraId="3EBD744E" w14:textId="1F93C6CB" w:rsidR="002D20AA" w:rsidRPr="003D736D" w:rsidRDefault="002D20AA" w:rsidP="003D736D">
      <w:pPr>
        <w:spacing w:before="100" w:beforeAutospacing="1" w:after="100" w:afterAutospacing="1" w:line="240" w:lineRule="auto"/>
        <w:outlineLvl w:val="1"/>
        <w:rPr>
          <w:rFonts w:ascii="Arial" w:hAnsi="Arial" w:cs="Arial"/>
          <w:b/>
          <w:bCs/>
          <w:kern w:val="0"/>
          <w:sz w:val="22"/>
          <w:szCs w:val="22"/>
          <w14:ligatures w14:val="none"/>
        </w:rPr>
      </w:pPr>
      <w:r w:rsidRPr="00F36609">
        <w:rPr>
          <w:rFonts w:ascii="Arial" w:eastAsia="Times New Roman" w:hAnsi="Arial" w:cs="Arial"/>
          <w:b/>
          <w:bCs/>
          <w:kern w:val="0"/>
          <w:sz w:val="22"/>
          <w:szCs w:val="22"/>
          <w14:ligatures w14:val="none"/>
        </w:rPr>
        <w:t>Conclusion</w:t>
      </w:r>
    </w:p>
    <w:p w14:paraId="45761F2A" w14:textId="2E3D252B" w:rsidR="002D20AA" w:rsidRPr="00F36609" w:rsidRDefault="002D20AA" w:rsidP="002D20AA">
      <w:p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 xml:space="preserve">This report </w:t>
      </w:r>
      <w:r w:rsidR="00E21115" w:rsidRPr="00F36609">
        <w:rPr>
          <w:rFonts w:ascii="Arial" w:hAnsi="Arial" w:cs="Arial"/>
          <w:kern w:val="0"/>
          <w:sz w:val="22"/>
          <w:szCs w:val="22"/>
          <w14:ligatures w14:val="none"/>
        </w:rPr>
        <w:t>shows</w:t>
      </w:r>
      <w:r w:rsidRPr="00F36609">
        <w:rPr>
          <w:rFonts w:ascii="Arial" w:hAnsi="Arial" w:cs="Arial"/>
          <w:kern w:val="0"/>
          <w:sz w:val="22"/>
          <w:szCs w:val="22"/>
          <w14:ligatures w14:val="none"/>
        </w:rPr>
        <w:t xml:space="preserve"> that SDG 3 and SDG 13 </w:t>
      </w:r>
      <w:bookmarkStart w:id="17" w:name="_Int_UlB4l4m1"/>
      <w:r w:rsidRPr="00F36609">
        <w:rPr>
          <w:rFonts w:ascii="Arial" w:hAnsi="Arial" w:cs="Arial"/>
          <w:kern w:val="0"/>
          <w:sz w:val="22"/>
          <w:szCs w:val="22"/>
          <w14:ligatures w14:val="none"/>
        </w:rPr>
        <w:t>are deeply interconnected</w:t>
      </w:r>
      <w:bookmarkEnd w:id="17"/>
      <w:r w:rsidRPr="00F36609">
        <w:rPr>
          <w:rFonts w:ascii="Arial" w:hAnsi="Arial" w:cs="Arial"/>
          <w:kern w:val="0"/>
          <w:sz w:val="22"/>
          <w:szCs w:val="22"/>
          <w14:ligatures w14:val="none"/>
        </w:rPr>
        <w:t xml:space="preserve">. Health and wellbeing </w:t>
      </w:r>
      <w:bookmarkStart w:id="18" w:name="_Int_0GfNFUE9"/>
      <w:r w:rsidRPr="00F36609">
        <w:rPr>
          <w:rFonts w:ascii="Arial" w:hAnsi="Arial" w:cs="Arial"/>
          <w:kern w:val="0"/>
          <w:sz w:val="22"/>
          <w:szCs w:val="22"/>
          <w14:ligatures w14:val="none"/>
        </w:rPr>
        <w:t>are influenced</w:t>
      </w:r>
      <w:bookmarkEnd w:id="18"/>
      <w:r w:rsidRPr="00F36609">
        <w:rPr>
          <w:rFonts w:ascii="Arial" w:hAnsi="Arial" w:cs="Arial"/>
          <w:kern w:val="0"/>
          <w:sz w:val="22"/>
          <w:szCs w:val="22"/>
          <w14:ligatures w14:val="none"/>
        </w:rPr>
        <w:t xml:space="preserve"> by both direct healthcare services and environmental determinants. Global initiatives such as WHO programs and the Paris Agreement provide frameworks to promote health and sustainability, yet inequalities persist in access, resources, and implementation. Nationally, England </w:t>
      </w:r>
      <w:r w:rsidR="00E21115" w:rsidRPr="00F36609">
        <w:rPr>
          <w:rFonts w:ascii="Arial" w:hAnsi="Arial" w:cs="Arial"/>
          <w:kern w:val="0"/>
          <w:sz w:val="22"/>
          <w:szCs w:val="22"/>
          <w14:ligatures w14:val="none"/>
        </w:rPr>
        <w:t>shows</w:t>
      </w:r>
      <w:r w:rsidRPr="00F36609">
        <w:rPr>
          <w:rFonts w:ascii="Arial" w:hAnsi="Arial" w:cs="Arial"/>
          <w:kern w:val="0"/>
          <w:sz w:val="22"/>
          <w:szCs w:val="22"/>
          <w14:ligatures w14:val="none"/>
        </w:rPr>
        <w:t xml:space="preserve"> strong policy mechanisms, including the NHS Long Term Plan, Net Zero Strategy, and integrated care systems, which align health and climate </w:t>
      </w:r>
      <w:r w:rsidR="00AF636C" w:rsidRPr="00F36609">
        <w:rPr>
          <w:rFonts w:ascii="Arial" w:hAnsi="Arial" w:cs="Arial"/>
          <w:kern w:val="0"/>
          <w:sz w:val="22"/>
          <w:szCs w:val="22"/>
          <w14:ligatures w14:val="none"/>
        </w:rPr>
        <w:t>aims</w:t>
      </w:r>
      <w:r w:rsidRPr="00F36609">
        <w:rPr>
          <w:rFonts w:ascii="Arial" w:hAnsi="Arial" w:cs="Arial"/>
          <w:kern w:val="0"/>
          <w:sz w:val="22"/>
          <w:szCs w:val="22"/>
          <w14:ligatures w14:val="none"/>
        </w:rPr>
        <w:t xml:space="preserve">. Locally, London exemplifies innovative interventions in both health promotion and climate action, although challenges </w:t>
      </w:r>
      <w:bookmarkStart w:id="19" w:name="_Int_O4J9hUQU"/>
      <w:r w:rsidRPr="00F36609">
        <w:rPr>
          <w:rFonts w:ascii="Arial" w:hAnsi="Arial" w:cs="Arial"/>
          <w:kern w:val="0"/>
          <w:sz w:val="22"/>
          <w:szCs w:val="22"/>
          <w14:ligatures w14:val="none"/>
        </w:rPr>
        <w:t>remain</w:t>
      </w:r>
      <w:bookmarkEnd w:id="19"/>
      <w:r w:rsidRPr="00F36609">
        <w:rPr>
          <w:rFonts w:ascii="Arial" w:hAnsi="Arial" w:cs="Arial"/>
          <w:kern w:val="0"/>
          <w:sz w:val="22"/>
          <w:szCs w:val="22"/>
          <w14:ligatures w14:val="none"/>
        </w:rPr>
        <w:t xml:space="preserve"> in evaluation, scaling, and </w:t>
      </w:r>
      <w:r w:rsidR="00AF636C" w:rsidRPr="00F36609">
        <w:rPr>
          <w:rFonts w:ascii="Arial" w:hAnsi="Arial" w:cs="Arial"/>
          <w:kern w:val="0"/>
          <w:sz w:val="22"/>
          <w:szCs w:val="22"/>
          <w14:ligatures w14:val="none"/>
        </w:rPr>
        <w:t>fair</w:t>
      </w:r>
      <w:r w:rsidRPr="00F36609">
        <w:rPr>
          <w:rFonts w:ascii="Arial" w:hAnsi="Arial" w:cs="Arial"/>
          <w:kern w:val="0"/>
          <w:sz w:val="22"/>
          <w:szCs w:val="22"/>
          <w14:ligatures w14:val="none"/>
        </w:rPr>
        <w:t xml:space="preserve"> impact across boroughs.</w:t>
      </w:r>
    </w:p>
    <w:p w14:paraId="29D6653A" w14:textId="4D74285D" w:rsidR="002D20AA" w:rsidRPr="00F36609" w:rsidRDefault="002D20AA" w:rsidP="002D20AA">
      <w:p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Theoretical frameworks, including the Social Determinants of Health Model, Planetary Health, and One Health, highlight the multi-level determinants of health and the importance of integrated, cross-sectoral strategies. Achieving sustainable health and wellbeing requires coherent policies that link environmental sustainability, social equity, and health systems. Recommendations include strengthening global financing and capacity, enhancing national prevention and health-co-benefit strategies, and expanding local initiatives with robust monitoring and community engagement.</w:t>
      </w:r>
    </w:p>
    <w:p w14:paraId="20F632FF" w14:textId="03CB08B9" w:rsidR="002D20AA" w:rsidRPr="00F36609" w:rsidRDefault="0032407E" w:rsidP="002D20AA">
      <w:pPr>
        <w:spacing w:before="100" w:beforeAutospacing="1" w:after="100" w:afterAutospacing="1" w:line="240" w:lineRule="auto"/>
        <w:rPr>
          <w:rFonts w:ascii="Arial" w:hAnsi="Arial" w:cs="Arial"/>
          <w:kern w:val="0"/>
          <w:sz w:val="22"/>
          <w:szCs w:val="22"/>
          <w14:ligatures w14:val="none"/>
        </w:rPr>
      </w:pPr>
      <w:r w:rsidRPr="00F36609">
        <w:rPr>
          <w:rFonts w:ascii="Arial" w:hAnsi="Arial" w:cs="Arial"/>
          <w:kern w:val="0"/>
          <w:sz w:val="22"/>
          <w:szCs w:val="22"/>
          <w14:ligatures w14:val="none"/>
        </w:rPr>
        <w:t>Effective</w:t>
      </w:r>
      <w:r w:rsidR="002D20AA" w:rsidRPr="00F36609">
        <w:rPr>
          <w:rFonts w:ascii="Arial" w:hAnsi="Arial" w:cs="Arial"/>
          <w:kern w:val="0"/>
          <w:sz w:val="22"/>
          <w:szCs w:val="22"/>
          <w14:ligatures w14:val="none"/>
        </w:rPr>
        <w:t xml:space="preserve"> integration of SDG 3 and SDG 13 can improve population health, mitigate climate impacts, and contribute to sustainable, resilient communities. Policymakers must adopt a systems-thinking approach, ensuring that health and environmental policies mutually reinforce one another, fostering long-term wellbeing for current and future generations.</w:t>
      </w:r>
    </w:p>
    <w:p w14:paraId="0872888C" w14:textId="1E5F1457" w:rsidR="004D7268" w:rsidRDefault="004D7268">
      <w:pPr>
        <w:rPr>
          <w:rFonts w:ascii="Arial" w:hAnsi="Arial" w:cs="Arial"/>
          <w:sz w:val="22"/>
          <w:szCs w:val="22"/>
        </w:rPr>
      </w:pPr>
    </w:p>
    <w:p w14:paraId="6EB0CAD7" w14:textId="77777777" w:rsidR="003D736D" w:rsidRDefault="003D736D">
      <w:pPr>
        <w:rPr>
          <w:rFonts w:ascii="Arial" w:hAnsi="Arial" w:cs="Arial"/>
          <w:sz w:val="22"/>
          <w:szCs w:val="22"/>
        </w:rPr>
      </w:pPr>
    </w:p>
    <w:p w14:paraId="5253F6A3" w14:textId="77777777" w:rsidR="003D736D" w:rsidRDefault="003D736D">
      <w:pPr>
        <w:rPr>
          <w:rFonts w:ascii="Arial" w:hAnsi="Arial" w:cs="Arial"/>
          <w:sz w:val="22"/>
          <w:szCs w:val="22"/>
        </w:rPr>
      </w:pPr>
    </w:p>
    <w:p w14:paraId="2E0F14D5" w14:textId="77777777" w:rsidR="003D736D" w:rsidRDefault="003D736D">
      <w:pPr>
        <w:rPr>
          <w:rFonts w:ascii="Arial" w:hAnsi="Arial" w:cs="Arial"/>
          <w:sz w:val="22"/>
          <w:szCs w:val="22"/>
        </w:rPr>
      </w:pPr>
    </w:p>
    <w:p w14:paraId="553791C7" w14:textId="77777777" w:rsidR="003D736D" w:rsidRDefault="003D736D">
      <w:pPr>
        <w:rPr>
          <w:rFonts w:ascii="Arial" w:hAnsi="Arial" w:cs="Arial"/>
          <w:sz w:val="22"/>
          <w:szCs w:val="22"/>
        </w:rPr>
      </w:pPr>
    </w:p>
    <w:p w14:paraId="6C2D0601" w14:textId="77777777" w:rsidR="003D736D" w:rsidRDefault="003D736D">
      <w:pPr>
        <w:rPr>
          <w:rFonts w:ascii="Arial" w:hAnsi="Arial" w:cs="Arial"/>
          <w:sz w:val="22"/>
          <w:szCs w:val="22"/>
        </w:rPr>
      </w:pPr>
    </w:p>
    <w:p w14:paraId="081E9E65" w14:textId="77777777" w:rsidR="003D736D" w:rsidRDefault="003D736D">
      <w:pPr>
        <w:rPr>
          <w:rFonts w:ascii="Arial" w:hAnsi="Arial" w:cs="Arial"/>
          <w:sz w:val="22"/>
          <w:szCs w:val="22"/>
        </w:rPr>
      </w:pPr>
    </w:p>
    <w:p w14:paraId="1FAB79B6" w14:textId="77777777" w:rsidR="003D736D" w:rsidRDefault="003D736D">
      <w:pPr>
        <w:rPr>
          <w:rFonts w:ascii="Arial" w:hAnsi="Arial" w:cs="Arial"/>
          <w:sz w:val="22"/>
          <w:szCs w:val="22"/>
        </w:rPr>
      </w:pPr>
    </w:p>
    <w:p w14:paraId="24739072" w14:textId="77777777" w:rsidR="003D736D" w:rsidRDefault="003D736D">
      <w:pPr>
        <w:rPr>
          <w:rFonts w:ascii="Arial" w:hAnsi="Arial" w:cs="Arial"/>
          <w:sz w:val="22"/>
          <w:szCs w:val="22"/>
        </w:rPr>
      </w:pPr>
    </w:p>
    <w:p w14:paraId="66062D32" w14:textId="15816705" w:rsidR="000320C0" w:rsidRPr="000320C0" w:rsidRDefault="000320C0">
      <w:pPr>
        <w:rPr>
          <w:rFonts w:ascii="Arial" w:hAnsi="Arial" w:cs="Arial"/>
          <w:b/>
          <w:bCs/>
          <w:color w:val="BF4E14" w:themeColor="accent2" w:themeShade="BF"/>
          <w:sz w:val="22"/>
          <w:szCs w:val="22"/>
        </w:rPr>
      </w:pPr>
      <w:r w:rsidRPr="000320C0">
        <w:rPr>
          <w:rFonts w:ascii="Arial" w:hAnsi="Arial" w:cs="Arial"/>
          <w:b/>
          <w:bCs/>
          <w:color w:val="BF4E14" w:themeColor="accent2" w:themeShade="BF"/>
          <w:sz w:val="22"/>
          <w:szCs w:val="22"/>
        </w:rPr>
        <w:t xml:space="preserve">References </w:t>
      </w:r>
    </w:p>
    <w:p w14:paraId="2482D701" w14:textId="447C33DB" w:rsidR="001E0724" w:rsidRPr="001E0724" w:rsidRDefault="004D7268" w:rsidP="00F36609">
      <w:pPr>
        <w:pStyle w:val="p1"/>
        <w:rPr>
          <w:rFonts w:ascii="Arial" w:hAnsi="Arial" w:cs="Arial"/>
          <w:sz w:val="22"/>
          <w:szCs w:val="22"/>
        </w:rPr>
      </w:pPr>
      <w:r w:rsidRPr="00F36609">
        <w:rPr>
          <w:rStyle w:val="s1"/>
          <w:rFonts w:ascii="Arial" w:hAnsi="Arial" w:cs="Arial"/>
          <w:sz w:val="22"/>
          <w:szCs w:val="22"/>
        </w:rPr>
        <w:t xml:space="preserve">Bronfenbrenner, U. (1979) </w:t>
      </w:r>
      <w:r w:rsidRPr="00F36609">
        <w:rPr>
          <w:rStyle w:val="s2"/>
          <w:rFonts w:ascii="Arial" w:hAnsi="Arial" w:cs="Arial"/>
          <w:sz w:val="22"/>
          <w:szCs w:val="22"/>
        </w:rPr>
        <w:t>The Ecology of Human Development: Experiments by Nature and Design.</w:t>
      </w:r>
      <w:r w:rsidRPr="00F36609">
        <w:rPr>
          <w:rStyle w:val="s1"/>
          <w:rFonts w:ascii="Arial" w:hAnsi="Arial" w:cs="Arial"/>
          <w:sz w:val="22"/>
          <w:szCs w:val="22"/>
        </w:rPr>
        <w:t xml:space="preserve"> Cambridge, MA: Harvard University Press.</w:t>
      </w:r>
      <w:r w:rsidR="00320965">
        <w:rPr>
          <w:rStyle w:val="s1"/>
          <w:rFonts w:ascii="Arial" w:hAnsi="Arial" w:cs="Arial"/>
          <w:sz w:val="22"/>
          <w:szCs w:val="22"/>
        </w:rPr>
        <w:t xml:space="preserve"> </w:t>
      </w:r>
      <w:r w:rsidR="00320965" w:rsidRPr="001E0724">
        <w:rPr>
          <w:rStyle w:val="s1"/>
          <w:rFonts w:ascii="Arial" w:hAnsi="Arial" w:cs="Arial"/>
          <w:sz w:val="22"/>
          <w:szCs w:val="22"/>
        </w:rPr>
        <w:t xml:space="preserve">Available at: </w:t>
      </w:r>
      <w:hyperlink r:id="rId7" w:history="1">
        <w:r w:rsidR="001E0724" w:rsidRPr="00672B7B">
          <w:rPr>
            <w:rStyle w:val="Hyperlink"/>
            <w:rFonts w:ascii="Arial" w:hAnsi="Arial" w:cs="Arial"/>
            <w:sz w:val="22"/>
            <w:szCs w:val="22"/>
          </w:rPr>
          <w:t>https://books.google.com/books?id=FSz9DwAAQBAJ</w:t>
        </w:r>
      </w:hyperlink>
    </w:p>
    <w:p w14:paraId="07B02F50" w14:textId="3B6EE8A5" w:rsidR="004D7268" w:rsidRPr="00F36609" w:rsidRDefault="004D7268" w:rsidP="00E25A65">
      <w:pPr>
        <w:pStyle w:val="p1"/>
        <w:rPr>
          <w:rFonts w:ascii="Arial" w:hAnsi="Arial" w:cs="Arial"/>
          <w:sz w:val="22"/>
          <w:szCs w:val="22"/>
        </w:rPr>
      </w:pPr>
      <w:r w:rsidRPr="00F36609">
        <w:rPr>
          <w:rStyle w:val="s1"/>
          <w:rFonts w:ascii="Arial" w:hAnsi="Arial" w:cs="Arial"/>
          <w:sz w:val="22"/>
          <w:szCs w:val="22"/>
        </w:rPr>
        <w:t xml:space="preserve">Dahlgren, G. and Whitehead, M. (1991) </w:t>
      </w:r>
      <w:r w:rsidRPr="00F36609">
        <w:rPr>
          <w:rStyle w:val="s2"/>
          <w:rFonts w:ascii="Arial" w:hAnsi="Arial" w:cs="Arial"/>
          <w:sz w:val="22"/>
          <w:szCs w:val="22"/>
        </w:rPr>
        <w:t>Policies and Strategies to Promote Social Equity in Health.</w:t>
      </w:r>
      <w:r w:rsidRPr="00F36609">
        <w:rPr>
          <w:rStyle w:val="s1"/>
          <w:rFonts w:ascii="Arial" w:hAnsi="Arial" w:cs="Arial"/>
          <w:sz w:val="22"/>
          <w:szCs w:val="22"/>
        </w:rPr>
        <w:t xml:space="preserve"> Stockholm: Institute for Future Studies. Available at: </w:t>
      </w:r>
      <w:hyperlink r:id="rId8" w:history="1">
        <w:r w:rsidR="00B669E4" w:rsidRPr="00672B7B">
          <w:rPr>
            <w:rStyle w:val="Hyperlink"/>
            <w:rFonts w:ascii="Arial" w:hAnsi="Arial" w:cs="Arial"/>
            <w:sz w:val="22"/>
            <w:szCs w:val="22"/>
          </w:rPr>
          <w:t>https://www.institute.futurestudies.se/dahlgren-whitehead-1991.pdf</w:t>
        </w:r>
      </w:hyperlink>
    </w:p>
    <w:p w14:paraId="4947420E" w14:textId="4F660B9B" w:rsidR="004D7268" w:rsidRPr="00F36609" w:rsidRDefault="004D7268" w:rsidP="00E25A65">
      <w:pPr>
        <w:pStyle w:val="p1"/>
        <w:rPr>
          <w:rFonts w:ascii="Arial" w:hAnsi="Arial" w:cs="Arial"/>
          <w:sz w:val="22"/>
          <w:szCs w:val="22"/>
        </w:rPr>
      </w:pPr>
      <w:r w:rsidRPr="00F36609">
        <w:rPr>
          <w:rStyle w:val="s1"/>
          <w:rFonts w:ascii="Arial" w:hAnsi="Arial" w:cs="Arial"/>
          <w:sz w:val="22"/>
          <w:szCs w:val="22"/>
        </w:rPr>
        <w:t xml:space="preserve">Greater London Authority (2022) </w:t>
      </w:r>
      <w:r w:rsidRPr="00F36609">
        <w:rPr>
          <w:rStyle w:val="s2"/>
          <w:rFonts w:ascii="Arial" w:hAnsi="Arial" w:cs="Arial"/>
          <w:sz w:val="22"/>
          <w:szCs w:val="22"/>
        </w:rPr>
        <w:t>London Health and Wellbeing Strategy 2022.</w:t>
      </w:r>
      <w:r w:rsidRPr="00F36609">
        <w:rPr>
          <w:rStyle w:val="s1"/>
          <w:rFonts w:ascii="Arial" w:hAnsi="Arial" w:cs="Arial"/>
          <w:sz w:val="22"/>
          <w:szCs w:val="22"/>
        </w:rPr>
        <w:t xml:space="preserve"> London: GLA. Available at: </w:t>
      </w:r>
      <w:hyperlink r:id="rId9" w:history="1">
        <w:r w:rsidR="00B669E4" w:rsidRPr="00672B7B">
          <w:rPr>
            <w:rStyle w:val="Hyperlink"/>
            <w:rFonts w:ascii="Arial" w:hAnsi="Arial" w:cs="Arial"/>
            <w:sz w:val="22"/>
            <w:szCs w:val="22"/>
          </w:rPr>
          <w:t>https://www.london.gov.uk/what-we-do/health/london-health-and-wellbeing-strategy</w:t>
        </w:r>
      </w:hyperlink>
    </w:p>
    <w:p w14:paraId="0C229BA9" w14:textId="08193BF5" w:rsidR="004D7268" w:rsidRPr="00F36609" w:rsidRDefault="004D7268" w:rsidP="00E25A65">
      <w:pPr>
        <w:pStyle w:val="p1"/>
        <w:rPr>
          <w:rFonts w:ascii="Arial" w:hAnsi="Arial" w:cs="Arial"/>
          <w:sz w:val="22"/>
          <w:szCs w:val="22"/>
        </w:rPr>
      </w:pPr>
      <w:r w:rsidRPr="00F36609">
        <w:rPr>
          <w:rStyle w:val="s1"/>
          <w:rFonts w:ascii="Arial" w:hAnsi="Arial" w:cs="Arial"/>
          <w:sz w:val="22"/>
          <w:szCs w:val="22"/>
        </w:rPr>
        <w:t xml:space="preserve">Legislation.gov.uk (2022) </w:t>
      </w:r>
      <w:r w:rsidRPr="00F36609">
        <w:rPr>
          <w:rStyle w:val="s2"/>
          <w:rFonts w:ascii="Arial" w:hAnsi="Arial" w:cs="Arial"/>
          <w:sz w:val="22"/>
          <w:szCs w:val="22"/>
        </w:rPr>
        <w:t>Health and Care Act 2022.</w:t>
      </w:r>
      <w:r w:rsidRPr="00F36609">
        <w:rPr>
          <w:rStyle w:val="s1"/>
          <w:rFonts w:ascii="Arial" w:hAnsi="Arial" w:cs="Arial"/>
          <w:sz w:val="22"/>
          <w:szCs w:val="22"/>
        </w:rPr>
        <w:t xml:space="preserve"> Available at: </w:t>
      </w:r>
      <w:hyperlink r:id="rId10" w:history="1">
        <w:r w:rsidR="00E25A65" w:rsidRPr="00672B7B">
          <w:rPr>
            <w:rStyle w:val="Hyperlink"/>
            <w:rFonts w:ascii="Arial" w:hAnsi="Arial" w:cs="Arial"/>
            <w:sz w:val="22"/>
            <w:szCs w:val="22"/>
          </w:rPr>
          <w:t>https://www.legislation.gov.uk/ukpga/2022/31</w:t>
        </w:r>
      </w:hyperlink>
    </w:p>
    <w:p w14:paraId="534C96E7" w14:textId="5BEA1A1F" w:rsidR="004D7268" w:rsidRPr="00F36609" w:rsidRDefault="004D7268" w:rsidP="003D736D">
      <w:pPr>
        <w:pStyle w:val="p1"/>
        <w:rPr>
          <w:rFonts w:ascii="Arial" w:hAnsi="Arial" w:cs="Arial"/>
          <w:sz w:val="22"/>
          <w:szCs w:val="22"/>
        </w:rPr>
      </w:pPr>
      <w:r w:rsidRPr="00F36609">
        <w:rPr>
          <w:rStyle w:val="s1"/>
          <w:rFonts w:ascii="Arial" w:hAnsi="Arial" w:cs="Arial"/>
          <w:sz w:val="22"/>
          <w:szCs w:val="22"/>
        </w:rPr>
        <w:t xml:space="preserve">Marmot, M., Allen, J., Goldblatt, P., Herd, E. and Morrison, J. (2020) </w:t>
      </w:r>
      <w:r w:rsidRPr="00F36609">
        <w:rPr>
          <w:rStyle w:val="s2"/>
          <w:rFonts w:ascii="Arial" w:hAnsi="Arial" w:cs="Arial"/>
          <w:sz w:val="22"/>
          <w:szCs w:val="22"/>
        </w:rPr>
        <w:t>Build Back Fairer: The COVID-19 Marmot Review.</w:t>
      </w:r>
      <w:r w:rsidRPr="00F36609">
        <w:rPr>
          <w:rStyle w:val="s1"/>
          <w:rFonts w:ascii="Arial" w:hAnsi="Arial" w:cs="Arial"/>
          <w:sz w:val="22"/>
          <w:szCs w:val="22"/>
        </w:rPr>
        <w:t xml:space="preserve"> London: Institute of Health Equity. Available at: </w:t>
      </w:r>
      <w:hyperlink r:id="rId11" w:history="1">
        <w:r w:rsidR="00E25A65" w:rsidRPr="00672B7B">
          <w:rPr>
            <w:rStyle w:val="Hyperlink"/>
            <w:rFonts w:ascii="Arial" w:hAnsi="Arial" w:cs="Arial"/>
            <w:sz w:val="22"/>
            <w:szCs w:val="22"/>
          </w:rPr>
          <w:t>https://www.instituteofhealthequity.org/resources-reports/build-back-fairer</w:t>
        </w:r>
      </w:hyperlink>
    </w:p>
    <w:p w14:paraId="6293096A" w14:textId="2D1BD10A" w:rsidR="004D7268" w:rsidRPr="00F36609" w:rsidRDefault="004D7268" w:rsidP="00E25A65">
      <w:pPr>
        <w:pStyle w:val="p1"/>
        <w:rPr>
          <w:rFonts w:ascii="Arial" w:hAnsi="Arial" w:cs="Arial"/>
          <w:sz w:val="22"/>
          <w:szCs w:val="22"/>
        </w:rPr>
      </w:pPr>
      <w:r w:rsidRPr="00F36609">
        <w:rPr>
          <w:rStyle w:val="s1"/>
          <w:rFonts w:ascii="Arial" w:hAnsi="Arial" w:cs="Arial"/>
          <w:sz w:val="22"/>
          <w:szCs w:val="22"/>
        </w:rPr>
        <w:t xml:space="preserve">NHS England (2019) </w:t>
      </w:r>
      <w:r w:rsidRPr="00F36609">
        <w:rPr>
          <w:rStyle w:val="s2"/>
          <w:rFonts w:ascii="Arial" w:hAnsi="Arial" w:cs="Arial"/>
          <w:sz w:val="22"/>
          <w:szCs w:val="22"/>
        </w:rPr>
        <w:t>The NHS Long Term Plan.</w:t>
      </w:r>
      <w:r w:rsidRPr="00F36609">
        <w:rPr>
          <w:rStyle w:val="s1"/>
          <w:rFonts w:ascii="Arial" w:hAnsi="Arial" w:cs="Arial"/>
          <w:sz w:val="22"/>
          <w:szCs w:val="22"/>
        </w:rPr>
        <w:t xml:space="preserve"> Available at: </w:t>
      </w:r>
      <w:hyperlink r:id="rId12" w:history="1">
        <w:r w:rsidR="00E25A65" w:rsidRPr="00672B7B">
          <w:rPr>
            <w:rStyle w:val="Hyperlink"/>
            <w:rFonts w:ascii="Arial" w:hAnsi="Arial" w:cs="Arial"/>
            <w:sz w:val="22"/>
            <w:szCs w:val="22"/>
          </w:rPr>
          <w:t>https://www.longtermplan.nhs.uk/</w:t>
        </w:r>
      </w:hyperlink>
    </w:p>
    <w:p w14:paraId="659A41B2" w14:textId="3EFED030" w:rsidR="004D7268" w:rsidRPr="00F36609" w:rsidRDefault="004D7268" w:rsidP="00E25A65">
      <w:pPr>
        <w:pStyle w:val="p1"/>
        <w:rPr>
          <w:rFonts w:ascii="Arial" w:hAnsi="Arial" w:cs="Arial"/>
          <w:sz w:val="22"/>
          <w:szCs w:val="22"/>
        </w:rPr>
      </w:pPr>
      <w:r w:rsidRPr="00F36609">
        <w:rPr>
          <w:rStyle w:val="s1"/>
          <w:rFonts w:ascii="Arial" w:hAnsi="Arial" w:cs="Arial"/>
          <w:sz w:val="22"/>
          <w:szCs w:val="22"/>
        </w:rPr>
        <w:t xml:space="preserve">NHS England (2023) </w:t>
      </w:r>
      <w:r w:rsidRPr="00F36609">
        <w:rPr>
          <w:rStyle w:val="s2"/>
          <w:rFonts w:ascii="Arial" w:hAnsi="Arial" w:cs="Arial"/>
          <w:sz w:val="22"/>
          <w:szCs w:val="22"/>
        </w:rPr>
        <w:t>Delivering a Net Zero NHS.</w:t>
      </w:r>
      <w:r w:rsidRPr="00F36609">
        <w:rPr>
          <w:rStyle w:val="s1"/>
          <w:rFonts w:ascii="Arial" w:hAnsi="Arial" w:cs="Arial"/>
          <w:sz w:val="22"/>
          <w:szCs w:val="22"/>
        </w:rPr>
        <w:t xml:space="preserve"> Available at: </w:t>
      </w:r>
      <w:hyperlink r:id="rId13" w:history="1">
        <w:r w:rsidR="00E25A65" w:rsidRPr="00672B7B">
          <w:rPr>
            <w:rStyle w:val="Hyperlink"/>
            <w:rFonts w:ascii="Arial" w:hAnsi="Arial" w:cs="Arial"/>
            <w:sz w:val="22"/>
            <w:szCs w:val="22"/>
          </w:rPr>
          <w:t>https://www.england.nhs.uk/greenernhs/a-net-zero-nhs/</w:t>
        </w:r>
      </w:hyperlink>
    </w:p>
    <w:p w14:paraId="014851B3" w14:textId="730A3EE7" w:rsidR="004D7268" w:rsidRPr="00F36609" w:rsidRDefault="004D7268" w:rsidP="00E25A65">
      <w:pPr>
        <w:pStyle w:val="p1"/>
        <w:rPr>
          <w:rFonts w:ascii="Arial" w:hAnsi="Arial" w:cs="Arial"/>
          <w:sz w:val="22"/>
          <w:szCs w:val="22"/>
        </w:rPr>
      </w:pPr>
      <w:r w:rsidRPr="00F36609">
        <w:rPr>
          <w:rStyle w:val="s1"/>
          <w:rFonts w:ascii="Arial" w:hAnsi="Arial" w:cs="Arial"/>
          <w:sz w:val="22"/>
          <w:szCs w:val="22"/>
        </w:rPr>
        <w:t xml:space="preserve">The King’s Fund (2022) </w:t>
      </w:r>
      <w:r w:rsidRPr="00F36609">
        <w:rPr>
          <w:rStyle w:val="s2"/>
          <w:rFonts w:ascii="Arial" w:hAnsi="Arial" w:cs="Arial"/>
          <w:sz w:val="22"/>
          <w:szCs w:val="22"/>
        </w:rPr>
        <w:t>Health and Care Act 2022: What it Means for the NHS.</w:t>
      </w:r>
      <w:r w:rsidRPr="00F36609">
        <w:rPr>
          <w:rStyle w:val="s1"/>
          <w:rFonts w:ascii="Arial" w:hAnsi="Arial" w:cs="Arial"/>
          <w:sz w:val="22"/>
          <w:szCs w:val="22"/>
        </w:rPr>
        <w:t xml:space="preserve"> Available at: </w:t>
      </w:r>
      <w:hyperlink r:id="rId14" w:history="1">
        <w:r w:rsidR="00E25A65" w:rsidRPr="00672B7B">
          <w:rPr>
            <w:rStyle w:val="Hyperlink"/>
            <w:rFonts w:ascii="Arial" w:hAnsi="Arial" w:cs="Arial"/>
            <w:sz w:val="22"/>
            <w:szCs w:val="22"/>
          </w:rPr>
          <w:t>https://www.kingsfund.org.uk/insight/health-and-care-act-2022</w:t>
        </w:r>
      </w:hyperlink>
    </w:p>
    <w:p w14:paraId="287EE9DC" w14:textId="305E37CB" w:rsidR="004D7268" w:rsidRPr="00F36609" w:rsidRDefault="004D7268" w:rsidP="00E25A65">
      <w:pPr>
        <w:pStyle w:val="p1"/>
        <w:rPr>
          <w:rFonts w:ascii="Arial" w:hAnsi="Arial" w:cs="Arial"/>
          <w:sz w:val="22"/>
          <w:szCs w:val="22"/>
        </w:rPr>
      </w:pPr>
      <w:r w:rsidRPr="00F36609">
        <w:rPr>
          <w:rStyle w:val="s1"/>
          <w:rFonts w:ascii="Arial" w:hAnsi="Arial" w:cs="Arial"/>
          <w:sz w:val="22"/>
          <w:szCs w:val="22"/>
        </w:rPr>
        <w:t xml:space="preserve">The Lancet Countdown (2023) </w:t>
      </w:r>
      <w:r w:rsidRPr="00F36609">
        <w:rPr>
          <w:rStyle w:val="s2"/>
          <w:rFonts w:ascii="Arial" w:hAnsi="Arial" w:cs="Arial"/>
          <w:sz w:val="22"/>
          <w:szCs w:val="22"/>
        </w:rPr>
        <w:t>2023 Report on Health and Climate Change.</w:t>
      </w:r>
      <w:r w:rsidRPr="00F36609">
        <w:rPr>
          <w:rStyle w:val="s1"/>
          <w:rFonts w:ascii="Arial" w:hAnsi="Arial" w:cs="Arial"/>
          <w:sz w:val="22"/>
          <w:szCs w:val="22"/>
        </w:rPr>
        <w:t xml:space="preserve"> Available at: </w:t>
      </w:r>
      <w:hyperlink r:id="rId15" w:history="1">
        <w:r w:rsidR="00E25A65" w:rsidRPr="00672B7B">
          <w:rPr>
            <w:rStyle w:val="Hyperlink"/>
            <w:rFonts w:ascii="Arial" w:hAnsi="Arial" w:cs="Arial"/>
            <w:sz w:val="22"/>
            <w:szCs w:val="22"/>
          </w:rPr>
          <w:t>https://www.thelancet.com/journals/lancet/article/PIIS0140-6736(23)01859-7/fulltext</w:t>
        </w:r>
      </w:hyperlink>
    </w:p>
    <w:p w14:paraId="1B6AF4EE" w14:textId="3C584647" w:rsidR="004D7268" w:rsidRPr="00F36609" w:rsidRDefault="004D7268" w:rsidP="00E25A65">
      <w:pPr>
        <w:pStyle w:val="p1"/>
        <w:rPr>
          <w:rFonts w:ascii="Arial" w:hAnsi="Arial" w:cs="Arial"/>
          <w:sz w:val="22"/>
          <w:szCs w:val="22"/>
        </w:rPr>
      </w:pPr>
      <w:r w:rsidRPr="00F36609">
        <w:rPr>
          <w:rStyle w:val="s1"/>
          <w:rFonts w:ascii="Arial" w:hAnsi="Arial" w:cs="Arial"/>
          <w:sz w:val="22"/>
          <w:szCs w:val="22"/>
        </w:rPr>
        <w:t xml:space="preserve">United Nations (2023) </w:t>
      </w:r>
      <w:r w:rsidRPr="00F36609">
        <w:rPr>
          <w:rStyle w:val="s2"/>
          <w:rFonts w:ascii="Arial" w:hAnsi="Arial" w:cs="Arial"/>
          <w:sz w:val="22"/>
          <w:szCs w:val="22"/>
        </w:rPr>
        <w:t>Sustainable Development Goal 3: Good Health and Well-being.</w:t>
      </w:r>
      <w:r w:rsidRPr="00F36609">
        <w:rPr>
          <w:rStyle w:val="s1"/>
          <w:rFonts w:ascii="Arial" w:hAnsi="Arial" w:cs="Arial"/>
          <w:sz w:val="22"/>
          <w:szCs w:val="22"/>
        </w:rPr>
        <w:t xml:space="preserve"> Available at: </w:t>
      </w:r>
      <w:hyperlink r:id="rId16" w:history="1">
        <w:r w:rsidR="00E25A65" w:rsidRPr="00672B7B">
          <w:rPr>
            <w:rStyle w:val="Hyperlink"/>
            <w:rFonts w:ascii="Arial" w:hAnsi="Arial" w:cs="Arial"/>
            <w:sz w:val="22"/>
            <w:szCs w:val="22"/>
          </w:rPr>
          <w:t>https://sdgs.un.org/goals/goal3</w:t>
        </w:r>
      </w:hyperlink>
    </w:p>
    <w:p w14:paraId="3468D1F2" w14:textId="7CDA8B2F" w:rsidR="004D7268" w:rsidRPr="00F36609" w:rsidRDefault="004D7268" w:rsidP="00E25A65">
      <w:pPr>
        <w:pStyle w:val="p1"/>
        <w:rPr>
          <w:rFonts w:ascii="Arial" w:hAnsi="Arial" w:cs="Arial"/>
          <w:sz w:val="22"/>
          <w:szCs w:val="22"/>
        </w:rPr>
      </w:pPr>
      <w:r w:rsidRPr="00F36609">
        <w:rPr>
          <w:rStyle w:val="s1"/>
          <w:rFonts w:ascii="Arial" w:hAnsi="Arial" w:cs="Arial"/>
          <w:sz w:val="22"/>
          <w:szCs w:val="22"/>
        </w:rPr>
        <w:t xml:space="preserve">UNFCCC (2021) </w:t>
      </w:r>
      <w:r w:rsidRPr="00F36609">
        <w:rPr>
          <w:rStyle w:val="s2"/>
          <w:rFonts w:ascii="Arial" w:hAnsi="Arial" w:cs="Arial"/>
          <w:sz w:val="22"/>
          <w:szCs w:val="22"/>
        </w:rPr>
        <w:t>Paris Agreement.</w:t>
      </w:r>
      <w:r w:rsidRPr="00F36609">
        <w:rPr>
          <w:rStyle w:val="s1"/>
          <w:rFonts w:ascii="Arial" w:hAnsi="Arial" w:cs="Arial"/>
          <w:sz w:val="22"/>
          <w:szCs w:val="22"/>
        </w:rPr>
        <w:t xml:space="preserve"> Available at: </w:t>
      </w:r>
      <w:hyperlink r:id="rId17" w:history="1">
        <w:r w:rsidR="00E25A65" w:rsidRPr="00672B7B">
          <w:rPr>
            <w:rStyle w:val="Hyperlink"/>
            <w:rFonts w:ascii="Arial" w:hAnsi="Arial" w:cs="Arial"/>
            <w:sz w:val="22"/>
            <w:szCs w:val="22"/>
          </w:rPr>
          <w:t>https://unfccc.int/process-and-meetings/the-paris-agreement/the-paris-agreement</w:t>
        </w:r>
      </w:hyperlink>
    </w:p>
    <w:p w14:paraId="344AF579" w14:textId="0FD3B878" w:rsidR="004D7268" w:rsidRDefault="004D7268">
      <w:pPr>
        <w:pStyle w:val="p1"/>
        <w:rPr>
          <w:rStyle w:val="s1"/>
          <w:rFonts w:ascii="Arial" w:hAnsi="Arial" w:cs="Arial"/>
          <w:sz w:val="22"/>
          <w:szCs w:val="22"/>
        </w:rPr>
      </w:pPr>
      <w:r w:rsidRPr="00F36609">
        <w:rPr>
          <w:rStyle w:val="s1"/>
          <w:rFonts w:ascii="Arial" w:hAnsi="Arial" w:cs="Arial"/>
          <w:sz w:val="22"/>
          <w:szCs w:val="22"/>
        </w:rPr>
        <w:t xml:space="preserve">Whitmee, S., Haines, A., Beyrer, C., Boltz, F., Capon, A.G., de Souza Dias, B.F., Ezeh, A., Frumkin, H., Gong, P., Head, P., Horton, R., Mace, G.M., Marten, R., Myers, S.S., Nishtar, S., Osofsky, S.A., Pattanayak, S.K., Pongsiri, M.J., Romanelli, C., Soucat, A., Vega, J., and Yach, D. (2015) </w:t>
      </w:r>
      <w:r w:rsidRPr="00F36609">
        <w:rPr>
          <w:rStyle w:val="s2"/>
          <w:rFonts w:ascii="Arial" w:hAnsi="Arial" w:cs="Arial"/>
          <w:sz w:val="22"/>
          <w:szCs w:val="22"/>
        </w:rPr>
        <w:t>Safeguarding human health in the Anthropocene epoch: report of The Rockefeller Foundation–Lancet Commission on Planetary Health.</w:t>
      </w:r>
      <w:r w:rsidRPr="00F36609">
        <w:rPr>
          <w:rStyle w:val="s1"/>
          <w:rFonts w:ascii="Arial" w:hAnsi="Arial" w:cs="Arial"/>
          <w:sz w:val="22"/>
          <w:szCs w:val="22"/>
        </w:rPr>
        <w:t xml:space="preserve"> The Lancet, 386(10007), pp.1973–2028. Available at: </w:t>
      </w:r>
      <w:hyperlink r:id="rId18" w:history="1">
        <w:r w:rsidR="00E25A65" w:rsidRPr="00672B7B">
          <w:rPr>
            <w:rStyle w:val="Hyperlink"/>
            <w:rFonts w:ascii="Arial" w:hAnsi="Arial" w:cs="Arial"/>
            <w:sz w:val="22"/>
            <w:szCs w:val="22"/>
          </w:rPr>
          <w:t>https://www.thelancet.com/journals/lancet/article/PIIS0140-6736(15)60901-1/fulltext</w:t>
        </w:r>
      </w:hyperlink>
    </w:p>
    <w:p w14:paraId="3C753FC9" w14:textId="649CDD73" w:rsidR="004D7268" w:rsidRPr="00F36609" w:rsidRDefault="004D7268" w:rsidP="00E25A65">
      <w:pPr>
        <w:pStyle w:val="p1"/>
        <w:rPr>
          <w:rFonts w:ascii="Arial" w:hAnsi="Arial" w:cs="Arial"/>
          <w:sz w:val="22"/>
          <w:szCs w:val="22"/>
        </w:rPr>
      </w:pPr>
      <w:r w:rsidRPr="00F36609">
        <w:rPr>
          <w:rStyle w:val="s1"/>
          <w:rFonts w:ascii="Arial" w:hAnsi="Arial" w:cs="Arial"/>
          <w:sz w:val="22"/>
          <w:szCs w:val="22"/>
        </w:rPr>
        <w:t xml:space="preserve">WHO (2023a) </w:t>
      </w:r>
      <w:r w:rsidRPr="00F36609">
        <w:rPr>
          <w:rStyle w:val="s2"/>
          <w:rFonts w:ascii="Arial" w:hAnsi="Arial" w:cs="Arial"/>
          <w:sz w:val="22"/>
          <w:szCs w:val="22"/>
        </w:rPr>
        <w:t>Universal Health Coverage.</w:t>
      </w:r>
      <w:r w:rsidRPr="00F36609">
        <w:rPr>
          <w:rStyle w:val="s1"/>
          <w:rFonts w:ascii="Arial" w:hAnsi="Arial" w:cs="Arial"/>
          <w:sz w:val="22"/>
          <w:szCs w:val="22"/>
        </w:rPr>
        <w:t xml:space="preserve"> Available at: </w:t>
      </w:r>
      <w:hyperlink r:id="rId19" w:history="1">
        <w:r w:rsidR="00E25A65" w:rsidRPr="00672B7B">
          <w:rPr>
            <w:rStyle w:val="Hyperlink"/>
            <w:rFonts w:ascii="Arial" w:hAnsi="Arial" w:cs="Arial"/>
            <w:sz w:val="22"/>
            <w:szCs w:val="22"/>
          </w:rPr>
          <w:t>https://www.who.int/news-room/fact-sheets/detail/universal-health-coverage-%28uhc%29</w:t>
        </w:r>
      </w:hyperlink>
    </w:p>
    <w:p w14:paraId="61766C40" w14:textId="720BC1AB" w:rsidR="004D7268" w:rsidRPr="00F36609" w:rsidRDefault="004D7268" w:rsidP="00E25A65">
      <w:pPr>
        <w:pStyle w:val="p1"/>
        <w:rPr>
          <w:rFonts w:ascii="Arial" w:hAnsi="Arial" w:cs="Arial"/>
          <w:sz w:val="22"/>
          <w:szCs w:val="22"/>
        </w:rPr>
      </w:pPr>
      <w:r w:rsidRPr="00F36609">
        <w:rPr>
          <w:rStyle w:val="s1"/>
          <w:rFonts w:ascii="Arial" w:hAnsi="Arial" w:cs="Arial"/>
          <w:sz w:val="22"/>
          <w:szCs w:val="22"/>
        </w:rPr>
        <w:t xml:space="preserve">WHO (2023b) </w:t>
      </w:r>
      <w:r w:rsidRPr="00F36609">
        <w:rPr>
          <w:rStyle w:val="s2"/>
          <w:rFonts w:ascii="Arial" w:hAnsi="Arial" w:cs="Arial"/>
          <w:sz w:val="22"/>
          <w:szCs w:val="22"/>
        </w:rPr>
        <w:t>Climate Change and Health.</w:t>
      </w:r>
      <w:r w:rsidRPr="00F36609">
        <w:rPr>
          <w:rStyle w:val="s1"/>
          <w:rFonts w:ascii="Arial" w:hAnsi="Arial" w:cs="Arial"/>
          <w:sz w:val="22"/>
          <w:szCs w:val="22"/>
        </w:rPr>
        <w:t xml:space="preserve"> Available at: </w:t>
      </w:r>
      <w:hyperlink r:id="rId20" w:history="1">
        <w:r w:rsidR="00E25A65" w:rsidRPr="00672B7B">
          <w:rPr>
            <w:rStyle w:val="Hyperlink"/>
            <w:rFonts w:ascii="Arial" w:hAnsi="Arial" w:cs="Arial"/>
            <w:sz w:val="22"/>
            <w:szCs w:val="22"/>
          </w:rPr>
          <w:t>https://www.who.int/news-room/fact-sheets/detail/climate-change-and-health</w:t>
        </w:r>
      </w:hyperlink>
    </w:p>
    <w:p w14:paraId="5085C813" w14:textId="2EBA88A5" w:rsidR="004D7268" w:rsidRPr="00F36609" w:rsidRDefault="004D7268" w:rsidP="00E25A65">
      <w:pPr>
        <w:pStyle w:val="p1"/>
        <w:rPr>
          <w:rFonts w:ascii="Arial" w:hAnsi="Arial" w:cs="Arial"/>
          <w:sz w:val="22"/>
          <w:szCs w:val="22"/>
        </w:rPr>
      </w:pPr>
      <w:r w:rsidRPr="00F36609">
        <w:rPr>
          <w:rStyle w:val="s1"/>
          <w:rFonts w:ascii="Arial" w:hAnsi="Arial" w:cs="Arial"/>
          <w:sz w:val="22"/>
          <w:szCs w:val="22"/>
        </w:rPr>
        <w:t xml:space="preserve">WHO (2023c) </w:t>
      </w:r>
      <w:r w:rsidRPr="00F36609">
        <w:rPr>
          <w:rStyle w:val="s2"/>
          <w:rFonts w:ascii="Arial" w:hAnsi="Arial" w:cs="Arial"/>
          <w:sz w:val="22"/>
          <w:szCs w:val="22"/>
        </w:rPr>
        <w:t>Mental Health Action Plan 2013–2030.</w:t>
      </w:r>
      <w:r w:rsidRPr="00F36609">
        <w:rPr>
          <w:rStyle w:val="s1"/>
          <w:rFonts w:ascii="Arial" w:hAnsi="Arial" w:cs="Arial"/>
          <w:sz w:val="22"/>
          <w:szCs w:val="22"/>
        </w:rPr>
        <w:t xml:space="preserve"> Available at: </w:t>
      </w:r>
      <w:hyperlink r:id="rId21" w:history="1">
        <w:r w:rsidR="00E25A65" w:rsidRPr="00672B7B">
          <w:rPr>
            <w:rStyle w:val="Hyperlink"/>
            <w:rFonts w:ascii="Arial" w:hAnsi="Arial" w:cs="Arial"/>
            <w:sz w:val="22"/>
            <w:szCs w:val="22"/>
          </w:rPr>
          <w:t>https://www.who.int/publications/i/item/9789241511131</w:t>
        </w:r>
      </w:hyperlink>
    </w:p>
    <w:p w14:paraId="5BC1CB25" w14:textId="48E3474A" w:rsidR="00E25A65" w:rsidRPr="00F36609" w:rsidRDefault="004D7268" w:rsidP="00E25A65">
      <w:pPr>
        <w:pStyle w:val="p1"/>
        <w:rPr>
          <w:rFonts w:ascii="Arial" w:hAnsi="Arial" w:cs="Arial"/>
          <w:sz w:val="22"/>
          <w:szCs w:val="22"/>
        </w:rPr>
      </w:pPr>
      <w:r w:rsidRPr="00F36609">
        <w:rPr>
          <w:rStyle w:val="s1"/>
          <w:rFonts w:ascii="Arial" w:hAnsi="Arial" w:cs="Arial"/>
          <w:sz w:val="22"/>
          <w:szCs w:val="22"/>
        </w:rPr>
        <w:t xml:space="preserve">World Bank (2022) </w:t>
      </w:r>
      <w:r w:rsidRPr="00F36609">
        <w:rPr>
          <w:rStyle w:val="s2"/>
          <w:rFonts w:ascii="Arial" w:hAnsi="Arial" w:cs="Arial"/>
          <w:sz w:val="22"/>
          <w:szCs w:val="22"/>
        </w:rPr>
        <w:t>Global Monitoring Report on Health Equity.</w:t>
      </w:r>
      <w:r w:rsidRPr="00F36609">
        <w:rPr>
          <w:rStyle w:val="s1"/>
          <w:rFonts w:ascii="Arial" w:hAnsi="Arial" w:cs="Arial"/>
          <w:sz w:val="22"/>
          <w:szCs w:val="22"/>
        </w:rPr>
        <w:t xml:space="preserve"> Available at: </w:t>
      </w:r>
      <w:hyperlink r:id="rId22" w:history="1">
        <w:r w:rsidR="00E25A65" w:rsidRPr="00672B7B">
          <w:rPr>
            <w:rStyle w:val="Hyperlink"/>
            <w:rFonts w:ascii="Arial" w:hAnsi="Arial" w:cs="Arial"/>
            <w:sz w:val="22"/>
            <w:szCs w:val="22"/>
          </w:rPr>
          <w:t>https://www.worldbank.org/en/topic/health/publication/global-monitoring-report-health-equity</w:t>
        </w:r>
      </w:hyperlink>
    </w:p>
    <w:p w14:paraId="67412940" w14:textId="6413688D" w:rsidR="004D7268" w:rsidRDefault="004D7268">
      <w:pPr>
        <w:pStyle w:val="p1"/>
        <w:rPr>
          <w:rStyle w:val="s1"/>
          <w:rFonts w:ascii="Arial" w:hAnsi="Arial" w:cs="Arial"/>
          <w:sz w:val="22"/>
          <w:szCs w:val="22"/>
        </w:rPr>
      </w:pPr>
      <w:r w:rsidRPr="00F36609">
        <w:rPr>
          <w:rStyle w:val="s1"/>
          <w:rFonts w:ascii="Arial" w:hAnsi="Arial" w:cs="Arial"/>
          <w:sz w:val="22"/>
          <w:szCs w:val="22"/>
        </w:rPr>
        <w:t xml:space="preserve">UK Government (2021) </w:t>
      </w:r>
      <w:r w:rsidRPr="00F36609">
        <w:rPr>
          <w:rStyle w:val="s2"/>
          <w:rFonts w:ascii="Arial" w:hAnsi="Arial" w:cs="Arial"/>
          <w:sz w:val="22"/>
          <w:szCs w:val="22"/>
        </w:rPr>
        <w:t>Net Zero Strategy: Build Back Greener.</w:t>
      </w:r>
      <w:r w:rsidRPr="00F36609">
        <w:rPr>
          <w:rStyle w:val="s1"/>
          <w:rFonts w:ascii="Arial" w:hAnsi="Arial" w:cs="Arial"/>
          <w:sz w:val="22"/>
          <w:szCs w:val="22"/>
        </w:rPr>
        <w:t xml:space="preserve"> Available at: </w:t>
      </w:r>
      <w:hyperlink r:id="rId23" w:history="1">
        <w:r w:rsidR="00E25A65" w:rsidRPr="00672B7B">
          <w:rPr>
            <w:rStyle w:val="Hyperlink"/>
            <w:rFonts w:ascii="Arial" w:hAnsi="Arial" w:cs="Arial"/>
            <w:sz w:val="22"/>
            <w:szCs w:val="22"/>
          </w:rPr>
          <w:t>https://www.gov.uk/government/publications/net-zero-strategy</w:t>
        </w:r>
      </w:hyperlink>
    </w:p>
    <w:p w14:paraId="00191138" w14:textId="77777777" w:rsidR="00E25A65" w:rsidRPr="00F36609" w:rsidRDefault="00E25A65">
      <w:pPr>
        <w:pStyle w:val="p1"/>
        <w:rPr>
          <w:rFonts w:ascii="Arial" w:hAnsi="Arial" w:cs="Arial"/>
          <w:sz w:val="22"/>
          <w:szCs w:val="22"/>
        </w:rPr>
      </w:pPr>
    </w:p>
    <w:p w14:paraId="3CDC690D" w14:textId="77777777" w:rsidR="004D7268" w:rsidRPr="00F36609" w:rsidRDefault="004D7268">
      <w:pPr>
        <w:rPr>
          <w:rFonts w:ascii="Arial" w:hAnsi="Arial" w:cs="Arial"/>
          <w:sz w:val="22"/>
          <w:szCs w:val="22"/>
        </w:rPr>
      </w:pPr>
    </w:p>
    <w:sectPr w:rsidR="004D7268" w:rsidRPr="00F366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088F9" w14:textId="77777777" w:rsidR="00F22CC8" w:rsidRDefault="00F22CC8" w:rsidP="002808A9">
      <w:pPr>
        <w:spacing w:after="0" w:line="240" w:lineRule="auto"/>
      </w:pPr>
      <w:r>
        <w:separator/>
      </w:r>
    </w:p>
  </w:endnote>
  <w:endnote w:type="continuationSeparator" w:id="0">
    <w:p w14:paraId="7453C0E3" w14:textId="77777777" w:rsidR="00F22CC8" w:rsidRDefault="00F22CC8" w:rsidP="002808A9">
      <w:pPr>
        <w:spacing w:after="0" w:line="240" w:lineRule="auto"/>
      </w:pPr>
      <w:r>
        <w:continuationSeparator/>
      </w:r>
    </w:p>
  </w:endnote>
  <w:endnote w:type="continuationNotice" w:id="1">
    <w:p w14:paraId="5EDC16BC" w14:textId="77777777" w:rsidR="00F22CC8" w:rsidRDefault="00F22C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07C9F" w14:textId="77777777" w:rsidR="00F22CC8" w:rsidRDefault="00F22CC8" w:rsidP="002808A9">
      <w:pPr>
        <w:spacing w:after="0" w:line="240" w:lineRule="auto"/>
      </w:pPr>
      <w:r>
        <w:separator/>
      </w:r>
    </w:p>
  </w:footnote>
  <w:footnote w:type="continuationSeparator" w:id="0">
    <w:p w14:paraId="28DE0600" w14:textId="77777777" w:rsidR="00F22CC8" w:rsidRDefault="00F22CC8" w:rsidP="002808A9">
      <w:pPr>
        <w:spacing w:after="0" w:line="240" w:lineRule="auto"/>
      </w:pPr>
      <w:r>
        <w:continuationSeparator/>
      </w:r>
    </w:p>
  </w:footnote>
  <w:footnote w:type="continuationNotice" w:id="1">
    <w:p w14:paraId="51B4B5F1" w14:textId="77777777" w:rsidR="00F22CC8" w:rsidRDefault="00F22CC8">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VfGAamBm" int2:invalidationBookmarkName="" int2:hashCode="gRg+Ewpr1g5/o3" int2:id="0z2Obenn">
      <int2:state int2:value="Rejected" int2:type="style"/>
    </int2:bookmark>
    <int2:bookmark int2:bookmarkName="_Int_bhE5vPVB" int2:invalidationBookmarkName="" int2:hashCode="dalNooyseA++F1" int2:id="9PnVEzSl">
      <int2:state int2:value="Rejected" int2:type="style"/>
    </int2:bookmark>
    <int2:bookmark int2:bookmarkName="_Int_pvXDy6eN" int2:invalidationBookmarkName="" int2:hashCode="gNnnTkPTW8q52R" int2:id="CINzLOGR">
      <int2:state int2:value="Rejected" int2:type="style"/>
    </int2:bookmark>
    <int2:bookmark int2:bookmarkName="_Int_nyVibHhg" int2:invalidationBookmarkName="" int2:hashCode="xhKzW50/O76H3Z" int2:id="FmHjyoGG">
      <int2:state int2:value="Rejected" int2:type="style"/>
    </int2:bookmark>
    <int2:bookmark int2:bookmarkName="_Int_YJXvUXuj" int2:invalidationBookmarkName="" int2:hashCode="maS+KK4PEzqNKd" int2:id="LAq7cC0G">
      <int2:state int2:value="Rejected" int2:type="style"/>
    </int2:bookmark>
    <int2:bookmark int2:bookmarkName="_Int_kbax6y5m" int2:invalidationBookmarkName="" int2:hashCode="xhKzW50/O76H3Z" int2:id="LYMCIe7Y">
      <int2:state int2:value="Rejected" int2:type="style"/>
    </int2:bookmark>
    <int2:bookmark int2:bookmarkName="_Int_UlB4l4m1" int2:invalidationBookmarkName="" int2:hashCode="nQ5IRMqazy0+1x" int2:id="LusvKu6y">
      <int2:state int2:value="Rejected" int2:type="style"/>
    </int2:bookmark>
    <int2:bookmark int2:bookmarkName="_Int_xbiX0jwO" int2:invalidationBookmarkName="" int2:hashCode="qX85DsyUL8IhH5" int2:id="MQbHnMHw">
      <int2:state int2:value="Rejected" int2:type="style"/>
    </int2:bookmark>
    <int2:bookmark int2:bookmarkName="_Int_Lbqt9Qym" int2:invalidationBookmarkName="" int2:hashCode="wauZJOzaG+r4u6" int2:id="MaqEvtc3">
      <int2:state int2:value="Rejected" int2:type="style"/>
    </int2:bookmark>
    <int2:bookmark int2:bookmarkName="_Int_McbOeJxi" int2:invalidationBookmarkName="" int2:hashCode="Z0YRFvMMKiozZK" int2:id="Q6t8JXXK">
      <int2:state int2:value="Rejected" int2:type="style"/>
    </int2:bookmark>
    <int2:bookmark int2:bookmarkName="_Int_cDUbYtEq" int2:invalidationBookmarkName="" int2:hashCode="SMFwPIHakRGYAb" int2:id="Uk0NY3FJ">
      <int2:state int2:value="Rejected" int2:type="style"/>
    </int2:bookmark>
    <int2:bookmark int2:bookmarkName="_Int_q9kIlgy9" int2:invalidationBookmarkName="" int2:hashCode="SMFwPIHakRGYAb" int2:id="WwrPhsHM">
      <int2:state int2:value="Rejected" int2:type="style"/>
    </int2:bookmark>
    <int2:bookmark int2:bookmarkName="_Int_yNOKR9z8" int2:invalidationBookmarkName="" int2:hashCode="YbU3hbDBK27Ofn" int2:id="ZoqYblAe">
      <int2:state int2:value="Rejected" int2:type="style"/>
    </int2:bookmark>
    <int2:bookmark int2:bookmarkName="_Int_QXlz7M9I" int2:invalidationBookmarkName="" int2:hashCode="dkmkRuVDysnpuX" int2:id="aGMXWt1F">
      <int2:state int2:value="Rejected" int2:type="style"/>
    </int2:bookmark>
    <int2:bookmark int2:bookmarkName="_Int_O4J9hUQU" int2:invalidationBookmarkName="" int2:hashCode="dkmkRuVDysnpuX" int2:id="fOl3EU3g">
      <int2:state int2:value="Rejected" int2:type="style"/>
    </int2:bookmark>
    <int2:bookmark int2:bookmarkName="_Int_0GfNFUE9" int2:invalidationBookmarkName="" int2:hashCode="yKDJq+Wfh/D8zr" int2:id="hZwt9jvE">
      <int2:state int2:value="Rejected" int2:type="style"/>
    </int2:bookmark>
    <int2:bookmark int2:bookmarkName="_Int_mSb8nEZ9" int2:invalidationBookmarkName="" int2:hashCode="xhKzW50/O76H3Z" int2:id="heYahkVC">
      <int2:state int2:value="Rejected" int2:type="style"/>
    </int2:bookmark>
    <int2:bookmark int2:bookmarkName="_Int_0eABj3Ho" int2:invalidationBookmarkName="" int2:hashCode="dkmkRuVDysnpuX" int2:id="l686ESbs">
      <int2:state int2:value="Rejected" int2:type="style"/>
    </int2:bookmark>
    <int2:bookmark int2:bookmarkName="_Int_bDgs7mC8" int2:invalidationBookmarkName="" int2:hashCode="XBCTO60HnI4yRJ" int2:id="lN2wRggZ">
      <int2:state int2:value="Rejected" int2:type="style"/>
    </int2:bookmark>
    <int2:bookmark int2:bookmarkName="_Int_tqdLCskn" int2:invalidationBookmarkName="" int2:hashCode="qtfrMhwDU32X2k" int2:id="w11pIhVb">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3E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8B35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1119462">
    <w:abstractNumId w:val="1"/>
  </w:num>
  <w:num w:numId="2" w16cid:durableId="1169447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0AA"/>
    <w:rsid w:val="000242F6"/>
    <w:rsid w:val="000320C0"/>
    <w:rsid w:val="00042FD6"/>
    <w:rsid w:val="000563F9"/>
    <w:rsid w:val="000A3E36"/>
    <w:rsid w:val="00153B8D"/>
    <w:rsid w:val="00192BD9"/>
    <w:rsid w:val="001B4F72"/>
    <w:rsid w:val="001B599D"/>
    <w:rsid w:val="001E0724"/>
    <w:rsid w:val="001F0082"/>
    <w:rsid w:val="002808A9"/>
    <w:rsid w:val="002A78B2"/>
    <w:rsid w:val="002D20AA"/>
    <w:rsid w:val="00320965"/>
    <w:rsid w:val="0032407E"/>
    <w:rsid w:val="003A663D"/>
    <w:rsid w:val="003C4AD4"/>
    <w:rsid w:val="003D4849"/>
    <w:rsid w:val="003D736D"/>
    <w:rsid w:val="00491ADB"/>
    <w:rsid w:val="00496877"/>
    <w:rsid w:val="004D7268"/>
    <w:rsid w:val="00562255"/>
    <w:rsid w:val="005F1D33"/>
    <w:rsid w:val="006138EC"/>
    <w:rsid w:val="00626F79"/>
    <w:rsid w:val="00652779"/>
    <w:rsid w:val="00667E44"/>
    <w:rsid w:val="00682F31"/>
    <w:rsid w:val="006A1C17"/>
    <w:rsid w:val="007043F2"/>
    <w:rsid w:val="0072510F"/>
    <w:rsid w:val="00736299"/>
    <w:rsid w:val="00740089"/>
    <w:rsid w:val="00755647"/>
    <w:rsid w:val="007959B7"/>
    <w:rsid w:val="007D428F"/>
    <w:rsid w:val="00865323"/>
    <w:rsid w:val="008A1E25"/>
    <w:rsid w:val="008A29E2"/>
    <w:rsid w:val="00A72CD3"/>
    <w:rsid w:val="00A76C58"/>
    <w:rsid w:val="00AC138B"/>
    <w:rsid w:val="00AE058F"/>
    <w:rsid w:val="00AE1776"/>
    <w:rsid w:val="00AF636C"/>
    <w:rsid w:val="00B669E4"/>
    <w:rsid w:val="00B72DFC"/>
    <w:rsid w:val="00BC3266"/>
    <w:rsid w:val="00BF486E"/>
    <w:rsid w:val="00C808F6"/>
    <w:rsid w:val="00CA12B5"/>
    <w:rsid w:val="00CA1801"/>
    <w:rsid w:val="00CD460F"/>
    <w:rsid w:val="00D65FEE"/>
    <w:rsid w:val="00D73F5A"/>
    <w:rsid w:val="00D7505D"/>
    <w:rsid w:val="00D80398"/>
    <w:rsid w:val="00DA1F88"/>
    <w:rsid w:val="00E21115"/>
    <w:rsid w:val="00E25A65"/>
    <w:rsid w:val="00E4524D"/>
    <w:rsid w:val="00E8114A"/>
    <w:rsid w:val="00ED0ADF"/>
    <w:rsid w:val="00EE51AE"/>
    <w:rsid w:val="00F02597"/>
    <w:rsid w:val="00F07D6B"/>
    <w:rsid w:val="00F12320"/>
    <w:rsid w:val="00F22CC8"/>
    <w:rsid w:val="00F36609"/>
    <w:rsid w:val="00FB094E"/>
    <w:rsid w:val="00FF0B8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341FA"/>
  <w15:chartTrackingRefBased/>
  <w15:docId w15:val="{2BEA7887-0789-4474-8798-73CC4AB75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0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20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20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20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20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20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0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0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0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0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20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20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20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20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20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0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0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0AA"/>
    <w:rPr>
      <w:rFonts w:eastAsiaTheme="majorEastAsia" w:cstheme="majorBidi"/>
      <w:color w:val="272727" w:themeColor="text1" w:themeTint="D8"/>
    </w:rPr>
  </w:style>
  <w:style w:type="paragraph" w:styleId="Title">
    <w:name w:val="Title"/>
    <w:basedOn w:val="Normal"/>
    <w:next w:val="Normal"/>
    <w:link w:val="TitleChar"/>
    <w:uiPriority w:val="10"/>
    <w:qFormat/>
    <w:rsid w:val="002D20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0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0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0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0AA"/>
    <w:pPr>
      <w:spacing w:before="160"/>
      <w:jc w:val="center"/>
    </w:pPr>
    <w:rPr>
      <w:i/>
      <w:iCs/>
      <w:color w:val="404040" w:themeColor="text1" w:themeTint="BF"/>
    </w:rPr>
  </w:style>
  <w:style w:type="character" w:customStyle="1" w:styleId="QuoteChar">
    <w:name w:val="Quote Char"/>
    <w:basedOn w:val="DefaultParagraphFont"/>
    <w:link w:val="Quote"/>
    <w:uiPriority w:val="29"/>
    <w:rsid w:val="002D20AA"/>
    <w:rPr>
      <w:i/>
      <w:iCs/>
      <w:color w:val="404040" w:themeColor="text1" w:themeTint="BF"/>
    </w:rPr>
  </w:style>
  <w:style w:type="paragraph" w:styleId="ListParagraph">
    <w:name w:val="List Paragraph"/>
    <w:basedOn w:val="Normal"/>
    <w:uiPriority w:val="34"/>
    <w:qFormat/>
    <w:rsid w:val="002D20AA"/>
    <w:pPr>
      <w:ind w:left="720"/>
      <w:contextualSpacing/>
    </w:pPr>
  </w:style>
  <w:style w:type="character" w:styleId="IntenseEmphasis">
    <w:name w:val="Intense Emphasis"/>
    <w:basedOn w:val="DefaultParagraphFont"/>
    <w:uiPriority w:val="21"/>
    <w:qFormat/>
    <w:rsid w:val="002D20AA"/>
    <w:rPr>
      <w:i/>
      <w:iCs/>
      <w:color w:val="0F4761" w:themeColor="accent1" w:themeShade="BF"/>
    </w:rPr>
  </w:style>
  <w:style w:type="paragraph" w:styleId="IntenseQuote">
    <w:name w:val="Intense Quote"/>
    <w:basedOn w:val="Normal"/>
    <w:next w:val="Normal"/>
    <w:link w:val="IntenseQuoteChar"/>
    <w:uiPriority w:val="30"/>
    <w:qFormat/>
    <w:rsid w:val="002D20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20AA"/>
    <w:rPr>
      <w:i/>
      <w:iCs/>
      <w:color w:val="0F4761" w:themeColor="accent1" w:themeShade="BF"/>
    </w:rPr>
  </w:style>
  <w:style w:type="character" w:styleId="IntenseReference">
    <w:name w:val="Intense Reference"/>
    <w:basedOn w:val="DefaultParagraphFont"/>
    <w:uiPriority w:val="32"/>
    <w:qFormat/>
    <w:rsid w:val="002D20AA"/>
    <w:rPr>
      <w:b/>
      <w:bCs/>
      <w:smallCaps/>
      <w:color w:val="0F4761" w:themeColor="accent1" w:themeShade="BF"/>
      <w:spacing w:val="5"/>
    </w:rPr>
  </w:style>
  <w:style w:type="paragraph" w:customStyle="1" w:styleId="p1">
    <w:name w:val="p1"/>
    <w:basedOn w:val="Normal"/>
    <w:rsid w:val="002D20AA"/>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2D20AA"/>
  </w:style>
  <w:style w:type="paragraph" w:customStyle="1" w:styleId="p2">
    <w:name w:val="p2"/>
    <w:basedOn w:val="Normal"/>
    <w:rsid w:val="002D20AA"/>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2D20AA"/>
  </w:style>
  <w:style w:type="paragraph" w:customStyle="1" w:styleId="p3">
    <w:name w:val="p3"/>
    <w:basedOn w:val="Normal"/>
    <w:rsid w:val="002D20AA"/>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2D20AA"/>
  </w:style>
  <w:style w:type="paragraph" w:styleId="Header">
    <w:name w:val="header"/>
    <w:basedOn w:val="Normal"/>
    <w:link w:val="HeaderChar"/>
    <w:uiPriority w:val="99"/>
    <w:unhideWhenUsed/>
    <w:rsid w:val="002808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8A9"/>
  </w:style>
  <w:style w:type="paragraph" w:styleId="Footer">
    <w:name w:val="footer"/>
    <w:basedOn w:val="Normal"/>
    <w:link w:val="FooterChar"/>
    <w:uiPriority w:val="99"/>
    <w:unhideWhenUsed/>
    <w:rsid w:val="002808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8A9"/>
  </w:style>
  <w:style w:type="character" w:styleId="Hyperlink">
    <w:name w:val="Hyperlink"/>
    <w:basedOn w:val="DefaultParagraphFont"/>
    <w:uiPriority w:val="99"/>
    <w:unhideWhenUsed/>
    <w:rsid w:val="00B669E4"/>
    <w:rPr>
      <w:color w:val="467886" w:themeColor="hyperlink"/>
      <w:u w:val="single"/>
    </w:rPr>
  </w:style>
  <w:style w:type="character" w:styleId="UnresolvedMention">
    <w:name w:val="Unresolved Mention"/>
    <w:basedOn w:val="DefaultParagraphFont"/>
    <w:uiPriority w:val="99"/>
    <w:semiHidden/>
    <w:unhideWhenUsed/>
    <w:rsid w:val="00B669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itute.futurestudies.se/dahlgren-whitehead-1991.pdf" TargetMode="External"/><Relationship Id="rId13" Type="http://schemas.openxmlformats.org/officeDocument/2006/relationships/hyperlink" Target="https://www.england.nhs.uk/greenernhs/a-net-zero-nhs/" TargetMode="External"/><Relationship Id="rId18" Type="http://schemas.openxmlformats.org/officeDocument/2006/relationships/hyperlink" Target="https://www.thelancet.com/journals/lancet/article/PIIS0140-6736(15)60901-1/fulltext" TargetMode="External"/><Relationship Id="rId26" Type="http://schemas.microsoft.com/office/2020/10/relationships/intelligence" Target="intelligence2.xml"/><Relationship Id="rId3" Type="http://schemas.openxmlformats.org/officeDocument/2006/relationships/settings" Target="settings.xml"/><Relationship Id="rId21" Type="http://schemas.openxmlformats.org/officeDocument/2006/relationships/hyperlink" Target="https://www.who.int/publications/i/item/9789241511131" TargetMode="External"/><Relationship Id="rId7" Type="http://schemas.openxmlformats.org/officeDocument/2006/relationships/hyperlink" Target="https://books.google.com/books?id=FSz9DwAAQBAJ" TargetMode="External"/><Relationship Id="rId12" Type="http://schemas.openxmlformats.org/officeDocument/2006/relationships/hyperlink" Target="https://www.longtermplan.nhs.uk/" TargetMode="External"/><Relationship Id="rId17" Type="http://schemas.openxmlformats.org/officeDocument/2006/relationships/hyperlink" Target="https://unfccc.int/process-and-meetings/the-paris-agreement/the-paris-agreemen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dgs.un.org/goals/goal3" TargetMode="External"/><Relationship Id="rId20" Type="http://schemas.openxmlformats.org/officeDocument/2006/relationships/hyperlink" Target="https://www.who.int/news-room/fact-sheets/detail/climate-change-and-healt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stituteofhealthequity.org/resources-reports/build-back-faire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helancet.com/journals/lancet/article/PIIS0140-6736(23)01859-7/fulltext" TargetMode="External"/><Relationship Id="rId23" Type="http://schemas.openxmlformats.org/officeDocument/2006/relationships/hyperlink" Target="https://www.gov.uk/government/publications/net-zero-strategy" TargetMode="External"/><Relationship Id="rId10" Type="http://schemas.openxmlformats.org/officeDocument/2006/relationships/hyperlink" Target="https://www.legislation.gov.uk/ukpga/2022/31" TargetMode="External"/><Relationship Id="rId19" Type="http://schemas.openxmlformats.org/officeDocument/2006/relationships/hyperlink" Target="https://www.who.int/news-room/fact-sheets/detail/universal-health-coverage-%28uhc%29" TargetMode="External"/><Relationship Id="rId4" Type="http://schemas.openxmlformats.org/officeDocument/2006/relationships/webSettings" Target="webSettings.xml"/><Relationship Id="rId9" Type="http://schemas.openxmlformats.org/officeDocument/2006/relationships/hyperlink" Target="https://www.london.gov.uk/what-we-do/health/london-health-and-wellbeing-strategy" TargetMode="External"/><Relationship Id="rId14" Type="http://schemas.openxmlformats.org/officeDocument/2006/relationships/hyperlink" Target="https://www.kingsfund.org.uk/insight/health-and-care-act-2022" TargetMode="External"/><Relationship Id="rId22" Type="http://schemas.openxmlformats.org/officeDocument/2006/relationships/hyperlink" Target="https://www.worldbank.org/en/topic/health/publication/global-monitoring-report-health-equ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2861</Words>
  <Characters>16308</Characters>
  <Application>Microsoft Office Word</Application>
  <DocSecurity>4</DocSecurity>
  <Lines>135</Lines>
  <Paragraphs>38</Paragraphs>
  <ScaleCrop>false</ScaleCrop>
  <Company/>
  <LinksUpToDate>false</LinksUpToDate>
  <CharactersWithSpaces>19131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Reema Hussain (2127235)</dc:creator>
  <cp:keywords/>
  <dc:description/>
  <cp:lastModifiedBy>Reema Hussain (2127235)</cp:lastModifiedBy>
  <cp:revision>28</cp:revision>
  <dcterms:created xsi:type="dcterms:W3CDTF">2025-10-20T17:03:00Z</dcterms:created>
  <dcterms:modified xsi:type="dcterms:W3CDTF">2025-10-20T10:31:00Z</dcterms:modified>
</cp:coreProperties>
</file>