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021A4" w14:textId="77777777" w:rsidR="00155DB4" w:rsidRDefault="00155DB4" w:rsidP="00155DB4">
      <w:pPr>
        <w:ind w:left="426" w:hanging="426"/>
        <w:contextualSpacing/>
        <w:rPr>
          <w:rFonts w:ascii="Trebuchet MS" w:hAnsi="Trebuchet MS"/>
        </w:rPr>
      </w:pPr>
      <w:r>
        <w:rPr>
          <w:rFonts w:ascii="Trebuchet MS" w:hAnsi="Trebuchet MS"/>
        </w:rPr>
        <w:t>AC 1.1</w:t>
      </w:r>
    </w:p>
    <w:p w14:paraId="03A74CC0" w14:textId="77777777" w:rsidR="00155DB4" w:rsidRDefault="00155DB4" w:rsidP="00155DB4">
      <w:pPr>
        <w:ind w:left="426" w:hanging="426"/>
        <w:contextualSpacing/>
        <w:rPr>
          <w:rFonts w:ascii="Trebuchet MS" w:hAnsi="Trebuchet MS"/>
        </w:rPr>
      </w:pPr>
    </w:p>
    <w:p w14:paraId="44380FC2" w14:textId="77777777" w:rsidR="00155DB4" w:rsidRPr="00BD33ED" w:rsidRDefault="00155DB4" w:rsidP="00155DB4">
      <w:pPr>
        <w:spacing w:line="360" w:lineRule="auto"/>
        <w:rPr>
          <w:rFonts w:asciiTheme="minorHAnsi" w:hAnsiTheme="minorHAnsi" w:cstheme="minorHAnsi"/>
        </w:rPr>
      </w:pPr>
      <w:r>
        <w:rPr>
          <w:rFonts w:asciiTheme="minorHAnsi" w:hAnsiTheme="minorHAnsi" w:cstheme="minorHAnsi"/>
        </w:rPr>
        <w:t xml:space="preserve">Evidence-based practice (EBP) is the process of critically appraising multiple sources of information and data to make a decision (Barends and Rousseau, 2018). When faced with unsubstantiated claims and contradictory information, EBP allows people practitioners to investigate a problem comprehensively to find the best solution backed up by current and relevant facts and data (Gifford, Young and Barends, 2023). Sound decisions based on evidence can lead to strategic success in organisations, strengthening trust and credibility in the people profession (Reid Elder and Nikodem, 2023). However, there has been a level of reluctance to adopt EBP in human resource management due to practitioners’ lack of knowledge and access to sources of academic information (Gill, 2018). </w:t>
      </w:r>
    </w:p>
    <w:p w14:paraId="35C14D2F" w14:textId="77777777" w:rsidR="00155DB4" w:rsidRDefault="00155DB4" w:rsidP="00155DB4">
      <w:pPr>
        <w:spacing w:line="360" w:lineRule="auto"/>
      </w:pPr>
    </w:p>
    <w:p w14:paraId="53BAD765" w14:textId="77777777" w:rsidR="00155DB4" w:rsidRDefault="00155DB4" w:rsidP="00155DB4">
      <w:pPr>
        <w:spacing w:line="360" w:lineRule="auto"/>
        <w:rPr>
          <w:rFonts w:asciiTheme="minorHAnsi" w:hAnsiTheme="minorHAnsi" w:cstheme="minorHAnsi"/>
        </w:rPr>
      </w:pPr>
      <w:r w:rsidRPr="003C2412">
        <w:rPr>
          <w:rFonts w:asciiTheme="minorHAnsi" w:hAnsiTheme="minorHAnsi" w:cstheme="minorHAnsi"/>
        </w:rPr>
        <w:t xml:space="preserve">As Technivara expands, </w:t>
      </w:r>
      <w:r>
        <w:rPr>
          <w:rFonts w:asciiTheme="minorHAnsi" w:hAnsiTheme="minorHAnsi" w:cstheme="minorHAnsi"/>
        </w:rPr>
        <w:t>undoubtedly,</w:t>
      </w:r>
      <w:r w:rsidRPr="003C2412">
        <w:rPr>
          <w:rFonts w:asciiTheme="minorHAnsi" w:hAnsiTheme="minorHAnsi" w:cstheme="minorHAnsi"/>
        </w:rPr>
        <w:t xml:space="preserve"> future recruitment needs for the business</w:t>
      </w:r>
      <w:r>
        <w:rPr>
          <w:rFonts w:asciiTheme="minorHAnsi" w:hAnsiTheme="minorHAnsi" w:cstheme="minorHAnsi"/>
        </w:rPr>
        <w:t xml:space="preserve"> will arise</w:t>
      </w:r>
      <w:r w:rsidRPr="003C2412">
        <w:rPr>
          <w:rFonts w:asciiTheme="minorHAnsi" w:hAnsiTheme="minorHAnsi" w:cstheme="minorHAnsi"/>
        </w:rPr>
        <w:t xml:space="preserve"> which could be conducted based on </w:t>
      </w:r>
      <w:r>
        <w:rPr>
          <w:rFonts w:asciiTheme="minorHAnsi" w:hAnsiTheme="minorHAnsi" w:cstheme="minorHAnsi"/>
        </w:rPr>
        <w:t xml:space="preserve">EBP. Structured interviews intended to gather data on suitable candidates minimises the risk of bias and decision making based on managerial judgment (Linos and Reinhard, 2015). Setting the questions and response scores prior to an interview provides objective criteria for hiring managers when considering their decisions (CIPD, 2024). Utilising evidence-based assessment tools in interviews such as skills-based tasks or cognitive ability tests provides an accurate and valid measurement of candidate job performance (Linos and Reinhard, 2015). Compiling and comparing all of the candidate responses and assessment scores following an interview provides a balanced, data-driven overview of candidate performance, ensuring the hiring decision is made based on the predictive nature of assessment and not on hiring managers’ intuition or bias (Linos and Reinhard, 2015). </w:t>
      </w:r>
    </w:p>
    <w:p w14:paraId="41E616EE" w14:textId="77777777" w:rsidR="00155DB4" w:rsidRDefault="00155DB4" w:rsidP="00155DB4">
      <w:pPr>
        <w:spacing w:line="360" w:lineRule="auto"/>
        <w:rPr>
          <w:rFonts w:asciiTheme="minorHAnsi" w:hAnsiTheme="minorHAnsi" w:cstheme="minorHAnsi"/>
        </w:rPr>
      </w:pPr>
    </w:p>
    <w:p w14:paraId="330A8F1D"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In the same vein, Technivara’s expansion will require new skills and knowledge from employees, therefore, an evidence-based learning and development (L&amp;D) strategy is essential. Data analytics such as training hours completed, skill level assessments, personal development plans, performance evaluations and percentages of staff on formal development programmes or qualifications all provide key insights into levels of engagement with L&amp;D, what skill gaps are present in the workforce and the effectiveness of current L&amp;D activities (Armstrong, 2022). Furthermore, our L&amp;D strategy can be informed by research in the fields of L&amp;D, cognitive psychology and behavioural theory such as David Kolb and Patti Shank, that provides practical applications of how to design and implement effective L&amp;D programmes (Neelan and Kirschner, 2020). Lastly, conducting a benchmarking process of our L&amp;D provision against other organisations in our industry would provide evaluative insights and feedback on various aspects such as accessibility, engagement and learner preferences to better inform our decision-making on future L&amp;D activities (Woolnough, 2015). </w:t>
      </w:r>
    </w:p>
    <w:p w14:paraId="37211F88" w14:textId="77777777" w:rsidR="00155DB4" w:rsidRDefault="00155DB4" w:rsidP="00155DB4">
      <w:pPr>
        <w:rPr>
          <w:rFonts w:asciiTheme="minorHAnsi" w:hAnsiTheme="minorHAnsi" w:cstheme="minorHAnsi"/>
        </w:rPr>
      </w:pPr>
    </w:p>
    <w:p w14:paraId="0CC36FA3" w14:textId="77777777" w:rsidR="00155DB4" w:rsidRPr="00336492" w:rsidRDefault="00155DB4" w:rsidP="00155DB4">
      <w:pPr>
        <w:ind w:left="426" w:hanging="426"/>
        <w:contextualSpacing/>
        <w:rPr>
          <w:rFonts w:ascii="Trebuchet MS" w:hAnsi="Trebuchet MS"/>
        </w:rPr>
      </w:pPr>
      <w:r>
        <w:rPr>
          <w:rFonts w:ascii="Trebuchet MS" w:hAnsi="Trebuchet MS"/>
        </w:rPr>
        <w:t xml:space="preserve">AC 1.2 </w:t>
      </w:r>
    </w:p>
    <w:p w14:paraId="409E81C7" w14:textId="77777777" w:rsidR="00155DB4" w:rsidRDefault="00155DB4" w:rsidP="00155DB4">
      <w:pPr>
        <w:rPr>
          <w:rFonts w:asciiTheme="minorHAnsi" w:hAnsiTheme="minorHAnsi" w:cstheme="minorHAnsi"/>
        </w:rPr>
      </w:pPr>
    </w:p>
    <w:p w14:paraId="1BE586A9"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To assess potential challenges and opportunities, we could conduct a SWOT analysis of the organisation. Through the four lenses of Strengths, Weaknesses, Opportunities and Threats, we can pinpoint both the internal and external factors that could impact our ability, negatively or positively, to achieve our goals (CIPD, 2025a). We can take the analysis even further and assess the relationship between our internal capabilities and how they are impacted by external factors (Whittington et al, 2020). As we continue to expand, a SWOT analysis would allow us to condense large amounts of data both across our organisation and externally in our sector and larger society into simple, more accessible insights (Fisher, Wisneski and Bakker, 2020). By understanding what we are capable of as an organisation and how our environment impacts us, we can consider our decisions more carefully and take advantage of future business opportunities (Whittington et al, 2020). </w:t>
      </w:r>
    </w:p>
    <w:p w14:paraId="4F6BD34A" w14:textId="77777777" w:rsidR="00155DB4" w:rsidRDefault="00155DB4" w:rsidP="00155DB4">
      <w:pPr>
        <w:spacing w:line="360" w:lineRule="auto"/>
        <w:rPr>
          <w:rFonts w:asciiTheme="minorHAnsi" w:hAnsiTheme="minorHAnsi" w:cstheme="minorHAnsi"/>
        </w:rPr>
      </w:pPr>
    </w:p>
    <w:p w14:paraId="7695AC2D"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On the other hand, SWOT risks taking an over-simplified view of complex issues or challenges and, thus, not addressing the root cause and potentially resulting in Technivara not applying the correct course of action (Fisher, Wisneski and Bakker, 2020). Furthermore, the subjective nature of interpreting the data of a SWOT analysis could result in multiple, differing conclusions from those involved and create confusion for our strategic direction (Fisher, Wisneski and Bakker, 2020). </w:t>
      </w:r>
    </w:p>
    <w:p w14:paraId="66FB2292" w14:textId="77777777" w:rsidR="00155DB4" w:rsidRDefault="00155DB4" w:rsidP="00155DB4">
      <w:pPr>
        <w:spacing w:line="360" w:lineRule="auto"/>
        <w:rPr>
          <w:rFonts w:asciiTheme="minorHAnsi" w:hAnsiTheme="minorHAnsi" w:cstheme="minorHAnsi"/>
        </w:rPr>
      </w:pPr>
    </w:p>
    <w:p w14:paraId="4B6A2E5A"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An appropriate analysis method we could utilise to gather internal data from our employees is surveys. By producing a series of specific questions seeking insights from our employees on what our potential challenges or opportunities are, we have a fast, cheap way of collecting a large amount of quantitative data from across the organisation (Taylor and Woodhams, 2022). In particular, pulse surveys would be a quick and efficient way of regularly assessing on a large-scale what our employees feel is going successfully and what could be causing an issue (Browes, 2021). When combined with a qualitative method such as interviews or focus groups, we could have a well-rounded, balanced view of what our employees believe to be our organisation’s strengths and weaknesses (Cholteeva, 2022). </w:t>
      </w:r>
    </w:p>
    <w:p w14:paraId="43812170" w14:textId="77777777" w:rsidR="00155DB4" w:rsidRDefault="00155DB4" w:rsidP="00155DB4">
      <w:pPr>
        <w:spacing w:line="360" w:lineRule="auto"/>
        <w:rPr>
          <w:rFonts w:asciiTheme="minorHAnsi" w:hAnsiTheme="minorHAnsi" w:cstheme="minorHAnsi"/>
        </w:rPr>
      </w:pPr>
    </w:p>
    <w:p w14:paraId="4BECB15C"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Similar to a SWOT analysis, a survey may not be able to penetrate more particular, complex topics and only provide surface-level information, especially depending on the number of questions and whether open or closed questions are used (Taylor and Woodhams, 2022). Additionally, if our employee engagement levels are low, we run the risk of receiving low response rates in any surveys we disseminate (Taylor and Woodhams, 2022). </w:t>
      </w:r>
    </w:p>
    <w:p w14:paraId="525CF0EF" w14:textId="77777777" w:rsidR="00155DB4" w:rsidRDefault="00155DB4" w:rsidP="00155DB4">
      <w:pPr>
        <w:rPr>
          <w:rFonts w:asciiTheme="minorHAnsi" w:hAnsiTheme="minorHAnsi" w:cstheme="minorHAnsi"/>
        </w:rPr>
      </w:pPr>
    </w:p>
    <w:p w14:paraId="5293EAD9" w14:textId="77777777" w:rsidR="00155DB4" w:rsidRDefault="00155DB4" w:rsidP="00155DB4">
      <w:pPr>
        <w:rPr>
          <w:rFonts w:ascii="Trebuchet MS" w:hAnsi="Trebuchet MS"/>
        </w:rPr>
      </w:pPr>
      <w:r>
        <w:rPr>
          <w:rFonts w:ascii="Trebuchet MS" w:hAnsi="Trebuchet MS"/>
        </w:rPr>
        <w:lastRenderedPageBreak/>
        <w:t>AC 1.3</w:t>
      </w:r>
    </w:p>
    <w:p w14:paraId="0FA56180" w14:textId="77777777" w:rsidR="00155DB4" w:rsidRDefault="00155DB4" w:rsidP="00155DB4">
      <w:pPr>
        <w:rPr>
          <w:rFonts w:ascii="Trebuchet MS" w:hAnsi="Trebuchet MS"/>
        </w:rPr>
      </w:pPr>
    </w:p>
    <w:p w14:paraId="569A16BC"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To find an effective solution to a problem, critical thinking can be implemented to question and evaluate ideas and opinions, weighing up their validity and developing a more objective, well-rounded view (CIPD, 2019). Cottrell (2023) proposed several principles of critical thinking such as identifying the argument</w:t>
      </w:r>
      <w:r w:rsidRPr="00460093">
        <w:rPr>
          <w:rFonts w:asciiTheme="minorHAnsi" w:hAnsiTheme="minorHAnsi" w:cstheme="minorHAnsi"/>
        </w:rPr>
        <w:t xml:space="preserve">, </w:t>
      </w:r>
      <w:r>
        <w:rPr>
          <w:rFonts w:asciiTheme="minorHAnsi" w:hAnsiTheme="minorHAnsi" w:cstheme="minorHAnsi"/>
        </w:rPr>
        <w:t>analysing</w:t>
      </w:r>
      <w:r w:rsidRPr="00460093">
        <w:rPr>
          <w:rFonts w:asciiTheme="minorHAnsi" w:hAnsiTheme="minorHAnsi" w:cstheme="minorHAnsi"/>
        </w:rPr>
        <w:t xml:space="preserve">, </w:t>
      </w:r>
      <w:r>
        <w:rPr>
          <w:rFonts w:asciiTheme="minorHAnsi" w:hAnsiTheme="minorHAnsi" w:cstheme="minorHAnsi"/>
        </w:rPr>
        <w:t>evaluating the evidence</w:t>
      </w:r>
      <w:r w:rsidRPr="00460093">
        <w:rPr>
          <w:rFonts w:asciiTheme="minorHAnsi" w:hAnsiTheme="minorHAnsi" w:cstheme="minorHAnsi"/>
        </w:rPr>
        <w:t xml:space="preserve">, </w:t>
      </w:r>
      <w:r>
        <w:rPr>
          <w:rFonts w:asciiTheme="minorHAnsi" w:hAnsiTheme="minorHAnsi" w:cstheme="minorHAnsi"/>
        </w:rPr>
        <w:t>recognising assumptions or biases</w:t>
      </w:r>
      <w:r w:rsidRPr="00460093">
        <w:rPr>
          <w:rFonts w:asciiTheme="minorHAnsi" w:hAnsiTheme="minorHAnsi" w:cstheme="minorHAnsi"/>
        </w:rPr>
        <w:t xml:space="preserve">, </w:t>
      </w:r>
      <w:r>
        <w:rPr>
          <w:rFonts w:asciiTheme="minorHAnsi" w:hAnsiTheme="minorHAnsi" w:cstheme="minorHAnsi"/>
        </w:rPr>
        <w:t xml:space="preserve">using logical reasoning and bringing information from different sources together to make a justified conclusion. Approaching ideas with a reasoned, reflective mindset, we can prevent hasty conclusions based on presuppositions and face-value information, lowering the risk in our decision making (Fisher, 2021). </w:t>
      </w:r>
    </w:p>
    <w:p w14:paraId="7066FCB7" w14:textId="77777777" w:rsidR="00155DB4" w:rsidRDefault="00155DB4" w:rsidP="00155DB4">
      <w:pPr>
        <w:spacing w:line="360" w:lineRule="auto"/>
        <w:rPr>
          <w:rFonts w:asciiTheme="minorHAnsi" w:hAnsiTheme="minorHAnsi" w:cstheme="minorHAnsi"/>
        </w:rPr>
      </w:pPr>
    </w:p>
    <w:p w14:paraId="39F9F131"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We can start to apply critical thinking firstly by challenging the assumptions and generalisations, including our own, already existing in Technivara such as Bill’s ‘traditional style’ of management and avoidance of change to working practices, in particular, the change from a paper-based organisation to digitisation (Armstrong and Taylor, 2014). To begin, we can consider the current paper-based system and recognise any problems, risks and inefficiencies with our data capture and retrieval in order to establish what we can put in place to address these issues (Armstrong and Taylor, 2014). We can seek alternative points of view from employees and their line managers to contribute their professional expertise toward any debate on new ideas (Gifford, Young and Barends, 2023). </w:t>
      </w:r>
    </w:p>
    <w:p w14:paraId="44A6B041" w14:textId="77777777" w:rsidR="00155DB4" w:rsidRDefault="00155DB4" w:rsidP="00155DB4">
      <w:pPr>
        <w:spacing w:line="360" w:lineRule="auto"/>
        <w:rPr>
          <w:rFonts w:asciiTheme="minorHAnsi" w:hAnsiTheme="minorHAnsi" w:cstheme="minorHAnsi"/>
        </w:rPr>
      </w:pPr>
    </w:p>
    <w:p w14:paraId="49C48415"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By gathering relevant information and research through academia, internal data and external benchmarks, we can analyse and critically evaluate the case for digitisation and present an objective, well-reasoned argument to Bill and the board that is not criticism of current approaches, but, rather, an opportunity for modernisation that will ultimately benefit Technivara and its customers (Armstrong, 2016). In a ‘post-truth’ world of fake news and artificial intelligence, applying critical thinking to our selection of information and research sources is vital in ascertaining the validity of our sources, particularly social media content (Cottrell, 2023).  </w:t>
      </w:r>
    </w:p>
    <w:p w14:paraId="130BE4A3" w14:textId="77777777" w:rsidR="00155DB4" w:rsidRDefault="00155DB4" w:rsidP="00155DB4">
      <w:pPr>
        <w:spacing w:line="360" w:lineRule="auto"/>
        <w:rPr>
          <w:rFonts w:asciiTheme="minorHAnsi" w:hAnsiTheme="minorHAnsi" w:cstheme="minorHAnsi"/>
        </w:rPr>
      </w:pPr>
    </w:p>
    <w:p w14:paraId="4A4EEDDF"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Any new solutions or alternatives we propose, we can test through a piloting scheme or trial phase within the organisation and utilise a set of criteria to critically evaluate the success or usefulness of the new approach before making an informed judgment (CIPD 2019; Gifford, Young and Barends, 2023). Furthermore, we can critically reflect on the information and data we have gathered consider where we could improve our ideas or contributions and utilise these insights to continuously inform future objective and rational debate at Technivara (Cottrell, 2023). </w:t>
      </w:r>
    </w:p>
    <w:p w14:paraId="510867BE" w14:textId="77777777" w:rsidR="00155DB4" w:rsidRDefault="00155DB4" w:rsidP="00155DB4">
      <w:pPr>
        <w:rPr>
          <w:rFonts w:asciiTheme="minorHAnsi" w:hAnsiTheme="minorHAnsi" w:cstheme="minorHAnsi"/>
        </w:rPr>
      </w:pPr>
    </w:p>
    <w:p w14:paraId="4A80B4CC" w14:textId="77777777" w:rsidR="00155DB4" w:rsidRDefault="00155DB4" w:rsidP="00155DB4">
      <w:pPr>
        <w:pStyle w:val="BodyText"/>
        <w:ind w:left="426" w:right="283" w:hanging="426"/>
        <w:jc w:val="both"/>
        <w:rPr>
          <w:rFonts w:ascii="Trebuchet MS" w:hAnsi="Trebuchet MS"/>
        </w:rPr>
      </w:pPr>
    </w:p>
    <w:p w14:paraId="46A4C89B" w14:textId="77777777" w:rsidR="00155DB4" w:rsidRDefault="00155DB4" w:rsidP="00155DB4">
      <w:pPr>
        <w:pStyle w:val="BodyText"/>
        <w:ind w:left="426" w:right="283" w:hanging="426"/>
        <w:jc w:val="both"/>
        <w:rPr>
          <w:rFonts w:ascii="Trebuchet MS" w:hAnsi="Trebuchet MS"/>
        </w:rPr>
      </w:pPr>
      <w:r w:rsidRPr="00C0226B">
        <w:rPr>
          <w:rFonts w:ascii="Trebuchet MS" w:hAnsi="Trebuchet MS"/>
        </w:rPr>
        <w:lastRenderedPageBreak/>
        <w:t>AC 1.4</w:t>
      </w:r>
    </w:p>
    <w:p w14:paraId="3AB0BBA0" w14:textId="77777777" w:rsidR="00155DB4" w:rsidRDefault="00155DB4" w:rsidP="00155DB4">
      <w:pPr>
        <w:pStyle w:val="BodyText"/>
        <w:ind w:left="426" w:right="283" w:hanging="426"/>
        <w:jc w:val="both"/>
        <w:rPr>
          <w:rFonts w:ascii="Trebuchet MS" w:hAnsi="Trebuchet MS"/>
        </w:rPr>
      </w:pPr>
    </w:p>
    <w:p w14:paraId="291AB062" w14:textId="77777777" w:rsidR="00155DB4" w:rsidRDefault="00155DB4" w:rsidP="00155DB4">
      <w:pPr>
        <w:spacing w:line="360" w:lineRule="auto"/>
        <w:rPr>
          <w:rFonts w:asciiTheme="minorHAnsi" w:hAnsiTheme="minorHAnsi" w:cstheme="minorHAnsi"/>
        </w:rPr>
      </w:pPr>
      <w:r w:rsidRPr="007B62BE">
        <w:rPr>
          <w:rFonts w:asciiTheme="minorHAnsi" w:hAnsiTheme="minorHAnsi" w:cstheme="minorHAnsi"/>
        </w:rPr>
        <w:t xml:space="preserve">Decision making is the translation of our objectives into action and must align with our organisational goals to ensure any level of effectiveness (Ghonim et al, 2020). </w:t>
      </w:r>
      <w:r>
        <w:rPr>
          <w:rFonts w:asciiTheme="minorHAnsi" w:hAnsiTheme="minorHAnsi" w:cstheme="minorHAnsi"/>
        </w:rPr>
        <w:t>It is important for us as an organisation to make evidence-based decisions that are reliable and credible to prevent wasted time, money and resources that could have limited or negative effects on our outcomes (CIPD, 2025a). One decision-making process we could use is De Bono’s Six Thinking Hats which is provides a six-pronged framework to solving a problem (Payette and Barnes, 2017).</w:t>
      </w:r>
    </w:p>
    <w:p w14:paraId="7FED6F79" w14:textId="77777777" w:rsidR="00155DB4" w:rsidRDefault="00155DB4" w:rsidP="00155DB4">
      <w:pPr>
        <w:spacing w:line="360" w:lineRule="auto"/>
        <w:rPr>
          <w:rFonts w:asciiTheme="minorHAnsi" w:hAnsiTheme="minorHAnsi" w:cstheme="minorHAnsi"/>
        </w:rPr>
      </w:pPr>
    </w:p>
    <w:p w14:paraId="52DA66EC"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De Bono’s Thinking Hats metaphorically represent six different approaches ranging from logical to philosophical to comprehensively consider a solution; for example, the White Hat is the information hat that gathers and considers the relevant facts and data needed whereas the Green Hat is the creativity hat to consider new and unconventional ideas and possibilities (Payette and Barnes, 2017). By wearing multiple “hats”, we can comprehensively think about a decision from multiple angles, adopting different modes of thinking to holistically evaluate a problem, thus, leading to a more informed decision (Gupta and Bodhankar, 2023). We could make the process more collaborative through assigning colleagues different hats to facilitate a diverse, wide-ranging discussion and explore others’ viewpoints through the lens of the “hats” rather than the individual (Hails, 2023). The process will enable us to think more creatively and critically and improve problem solving skills to minimise risk and enable Technivara to achieve its outcomes (Elbilgahy and Alanazi, 2025). </w:t>
      </w:r>
    </w:p>
    <w:p w14:paraId="1FAB5037" w14:textId="77777777" w:rsidR="00155DB4" w:rsidRDefault="00155DB4" w:rsidP="00155DB4">
      <w:pPr>
        <w:spacing w:line="360" w:lineRule="auto"/>
        <w:rPr>
          <w:rFonts w:asciiTheme="minorHAnsi" w:hAnsiTheme="minorHAnsi" w:cstheme="minorHAnsi"/>
        </w:rPr>
      </w:pPr>
    </w:p>
    <w:p w14:paraId="0A3117B7"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Another process we could apply in our decision-making is Action Learning proposed by Reg Revans. Revans (2011) summarised the process in a formula; Learning equals Programmed Knowledge and Questioning or L = P + Q. In essence, the approach is a combination of planning, questioning our assumptions and reflection before taking action to solve a problem, often collaboratively (Revans, 2011). At Technivara, we could assemble a group of employees from different departments and levels of hierarchy in an action learning set who can provide diverse perspectives and work together effectively to make a balanced, more informed decision (Gifford, 2005). A cross-departmental, collaborative approach to decision-making would ensure an organisation-wide alignment problem solving to effectively implement solutions that ensure our outcomes are achieved (Leonard and Marquardt, 2010). As we continue to expand, the action learning process would help us to critically reflect on previous knowledge and decisions made and enhance our future decision making at an organisational level, especially during periods of organisational change we will experience (Young, 2025). </w:t>
      </w:r>
    </w:p>
    <w:p w14:paraId="186770C5" w14:textId="77777777" w:rsidR="00155DB4" w:rsidRDefault="00155DB4" w:rsidP="00155DB4">
      <w:pPr>
        <w:rPr>
          <w:rFonts w:asciiTheme="minorHAnsi" w:hAnsiTheme="minorHAnsi" w:cstheme="minorHAnsi"/>
        </w:rPr>
      </w:pPr>
    </w:p>
    <w:p w14:paraId="535DEC43" w14:textId="77777777" w:rsidR="00155DB4" w:rsidRDefault="00155DB4" w:rsidP="00155DB4">
      <w:pPr>
        <w:pStyle w:val="BodyText"/>
        <w:ind w:left="426" w:right="283" w:hanging="426"/>
        <w:jc w:val="both"/>
        <w:rPr>
          <w:rFonts w:ascii="Trebuchet MS" w:hAnsi="Trebuchet MS"/>
        </w:rPr>
      </w:pPr>
    </w:p>
    <w:p w14:paraId="553DB71B" w14:textId="77777777" w:rsidR="00155DB4" w:rsidRDefault="00155DB4" w:rsidP="00155DB4">
      <w:pPr>
        <w:pStyle w:val="BodyText"/>
        <w:ind w:left="426" w:right="283" w:hanging="426"/>
        <w:jc w:val="both"/>
        <w:rPr>
          <w:rFonts w:ascii="Trebuchet MS" w:hAnsi="Trebuchet MS"/>
        </w:rPr>
      </w:pPr>
      <w:r w:rsidRPr="00C0226B">
        <w:rPr>
          <w:rFonts w:ascii="Trebuchet MS" w:hAnsi="Trebuchet MS"/>
        </w:rPr>
        <w:lastRenderedPageBreak/>
        <w:t>AC 1.5</w:t>
      </w:r>
    </w:p>
    <w:p w14:paraId="3BA66ECF" w14:textId="77777777" w:rsidR="00155DB4" w:rsidRDefault="00155DB4" w:rsidP="00155DB4">
      <w:pPr>
        <w:pStyle w:val="BodyText"/>
        <w:ind w:right="283"/>
        <w:jc w:val="both"/>
        <w:rPr>
          <w:rFonts w:ascii="Trebuchet MS" w:hAnsi="Trebuchet MS"/>
        </w:rPr>
      </w:pPr>
    </w:p>
    <w:p w14:paraId="7AF5D988"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Ethical practice is vital to an organisation’s success; reputation, trust, relationships and revenue are all at risk if there is a lapse in ethics, unintentional or not (CIPD, 2025b). We will, undoubtedly, navigate ethical dilemmas in the management of people at Technivara, particularly as we expand and change our practices, therefore, it is important that we exercise judgment in our decision-making that is fair and morally responsible (Clark, 2015). As a result, I have conducted an assessment of two ethical perspectives we could use to inform our decision-making processes; utilitarianism and deontology.</w:t>
      </w:r>
    </w:p>
    <w:p w14:paraId="44A72A8C" w14:textId="77777777" w:rsidR="00155DB4" w:rsidRDefault="00155DB4" w:rsidP="00155DB4">
      <w:pPr>
        <w:spacing w:line="360" w:lineRule="auto"/>
        <w:rPr>
          <w:rFonts w:asciiTheme="minorHAnsi" w:hAnsiTheme="minorHAnsi" w:cstheme="minorHAnsi"/>
        </w:rPr>
      </w:pPr>
    </w:p>
    <w:p w14:paraId="5C180550"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Broadly speaking, utilitarianism is the consideration of the maximum amount of good when making a decision or, as Mill (1998) summarised, ‘the greatest happiness for the greatest number’. Utilitarianism is a straightforward process for decision-making that focuses on the effects of an action taken, giving us clarity on how a decision has perhaps influenced our employees, customers or external stakeholders (Singer, 2011). Through the lens of utilitarianism, every person’s wellbeing is treated equally, which would ensure fairness in our decision-making for processes such as as recruitment, performance management and training opportunities, and protect us against possible cases of unfair treatment or discrimination as a business (Venkatesh, 2025). However, the approach of maximising good for all would not consider the needs or rights of our individual employees and justify morally questionable decisions for the greater good such as lying, deception or rights violations (Chappell, Meisner and MacAskill, 2023). </w:t>
      </w:r>
    </w:p>
    <w:p w14:paraId="2090C0B4" w14:textId="77777777" w:rsidR="00155DB4" w:rsidRDefault="00155DB4" w:rsidP="00155DB4">
      <w:pPr>
        <w:spacing w:line="360" w:lineRule="auto"/>
        <w:rPr>
          <w:rFonts w:asciiTheme="minorHAnsi" w:hAnsiTheme="minorHAnsi" w:cstheme="minorHAnsi"/>
        </w:rPr>
      </w:pPr>
    </w:p>
    <w:p w14:paraId="6C3D8FC8"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In contrast, the second ethical perspective, deontology, is more concerned with the morality of the decision itself and that some actions or decisions are inherently morally right or wrong, irrespective of the consequences (Rachels and Rachels, 2003). By adopting a deontological approach to ethical decision-making, we would ensure that the rights of every individual employee are respected and protected from violation, meeting our legal requirements as a business in terms of employment law and reducing the reputational and cost risk of possible tribunals (Donaldson and Walsh, 2015). People practices would be conducted fairly and consistently across the organisation such as promotions, appraisals or disciplinaries, producing decisions that are equitable and ethically justifiable (Cropanzano, Bowen and Gilliland, 2017). Deontological ethics is a rigid framework and does not leave much room for nuance which could be problematic when we are faced with conflicting duties such as prioritising employee wellbeing or our obligations to the board and our stakeholders (Boatright, 2020). Furthermore, focusing on decisions and ignoring outcomes could result in damaging consequences from so-called ‘ethical’ decisions such as fair recruitment that </w:t>
      </w:r>
      <w:r>
        <w:rPr>
          <w:rFonts w:asciiTheme="minorHAnsi" w:hAnsiTheme="minorHAnsi" w:cstheme="minorHAnsi"/>
        </w:rPr>
        <w:lastRenderedPageBreak/>
        <w:t xml:space="preserve">unintentionally excludes certain groups (Crane et al, 2019). </w:t>
      </w:r>
    </w:p>
    <w:p w14:paraId="10C1D60F" w14:textId="77777777" w:rsidR="00155DB4" w:rsidRDefault="00155DB4" w:rsidP="00155DB4">
      <w:pPr>
        <w:rPr>
          <w:rFonts w:asciiTheme="minorHAnsi" w:hAnsiTheme="minorHAnsi" w:cstheme="minorHAnsi"/>
        </w:rPr>
      </w:pPr>
    </w:p>
    <w:p w14:paraId="773DAE39" w14:textId="77777777" w:rsidR="00155DB4" w:rsidRDefault="00155DB4" w:rsidP="00155DB4">
      <w:pPr>
        <w:pStyle w:val="BodyText"/>
        <w:ind w:left="567" w:right="283" w:hanging="567"/>
        <w:jc w:val="both"/>
        <w:rPr>
          <w:rFonts w:ascii="Trebuchet MS" w:hAnsi="Trebuchet MS"/>
        </w:rPr>
      </w:pPr>
      <w:r w:rsidRPr="00C0226B">
        <w:rPr>
          <w:rFonts w:ascii="Trebuchet MS" w:hAnsi="Trebuchet MS"/>
        </w:rPr>
        <w:t>AC 3.1</w:t>
      </w:r>
    </w:p>
    <w:p w14:paraId="1451CA6E" w14:textId="77777777" w:rsidR="00155DB4" w:rsidRDefault="00155DB4" w:rsidP="00155DB4">
      <w:pPr>
        <w:rPr>
          <w:rFonts w:asciiTheme="minorHAnsi" w:hAnsiTheme="minorHAnsi" w:cstheme="minorHAnsi"/>
        </w:rPr>
      </w:pPr>
    </w:p>
    <w:p w14:paraId="20CF8C0B"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The collection of an organisation’s performance data directly informs business decisions such as planning, budgeting and resource allocation and, thus, directly affects business outcomes (Mashovic, 3028; CIPD, 2023). Financial performance can be measured through monetary terms such as revenue, profit, cash flow and return on investment (ROI) (Simons, 2000). Non-financial performance, such as customer satisfaction, KPIs and productivity rates, have become increasingly important in recent years as they provide key insights into workforce matters that ensure both the success and social responsibility of an organisation’s business practice and can assist in mitigating risk (CIPD, 2023). </w:t>
      </w:r>
    </w:p>
    <w:p w14:paraId="553C50AB" w14:textId="77777777" w:rsidR="00155DB4" w:rsidRDefault="00155DB4" w:rsidP="00155DB4">
      <w:pPr>
        <w:spacing w:line="360" w:lineRule="auto"/>
        <w:rPr>
          <w:rFonts w:asciiTheme="minorHAnsi" w:hAnsiTheme="minorHAnsi" w:cstheme="minorHAnsi"/>
        </w:rPr>
      </w:pPr>
    </w:p>
    <w:p w14:paraId="05EFA5B0"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One financial performance measure Technivara could use is return on investment (ROI). ROI measures the profit generated from a investment versus its cost, evaluating the success and effectiveness of the investment (Fernando, 2025). As we continue to grow and are looking at expansion, we can assess the performance of our investments in people management initiatives and present this to Bill and the board by using the familiar financial formula and language of ROI (Phillips and Phillips, 2016). For example, our transition from paper-based processes to a digital HR information system will, undoubtedly, require a substantial investment in the system itself and the training of staff to use the new system (Bangura, 2024). However, indicators such as reduced administration, errors, costs of paper printing and the improvements to data compliance would present a strong case of ROI as our processes become more efficient (Cascio and Boudreau, 2011). However, ROI only provides financial metrics and does not consider other non-monetary factors that affect organisational performance and can result in the wrongful attribution of successful outcomes to a specific internal action rather than, possibly a variety of external contributing factors (Phillips and Phillips, 2016; Barends, Rousseau and Briner, 2017). </w:t>
      </w:r>
    </w:p>
    <w:p w14:paraId="55B40430" w14:textId="77777777" w:rsidR="00155DB4" w:rsidRDefault="00155DB4" w:rsidP="00155DB4">
      <w:pPr>
        <w:spacing w:line="360" w:lineRule="auto"/>
        <w:rPr>
          <w:rFonts w:asciiTheme="minorHAnsi" w:hAnsiTheme="minorHAnsi" w:cstheme="minorHAnsi"/>
        </w:rPr>
      </w:pPr>
    </w:p>
    <w:p w14:paraId="76118891"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On the other hand, a way we could measure non-financial performance is through customer satisfaction. By understanding how our customers perceive us and how fulfilled they are in terms of our service, we can better understand their future interactions with us and ensure we are customer-centric to retain their loyalty (Mittal et al, 2023). We can also assess the satisfaction of our internal customers, our employees, through a variety of means such as surveys and focus groups to better understand the levels of employee motivation and engagement which are linked to job performance (CIPD, 2025c). Conversely, due to the qualitative nature of customer satisfaction, it is difficult to ascertain reliable statistics to predict future performance and the potential vagueness of the results </w:t>
      </w:r>
      <w:r>
        <w:rPr>
          <w:rFonts w:asciiTheme="minorHAnsi" w:hAnsiTheme="minorHAnsi" w:cstheme="minorHAnsi"/>
        </w:rPr>
        <w:lastRenderedPageBreak/>
        <w:t xml:space="preserve">can make them difficult to implement (Milost, 2013; Birch-Jensen, 2015). </w:t>
      </w:r>
    </w:p>
    <w:p w14:paraId="19B1086E" w14:textId="77777777" w:rsidR="00155DB4" w:rsidRDefault="00155DB4" w:rsidP="00155DB4">
      <w:pPr>
        <w:rPr>
          <w:rFonts w:asciiTheme="minorHAnsi" w:hAnsiTheme="minorHAnsi" w:cstheme="minorHAnsi"/>
        </w:rPr>
      </w:pPr>
    </w:p>
    <w:p w14:paraId="379D3136" w14:textId="77777777" w:rsidR="00155DB4" w:rsidRPr="00C0226B" w:rsidRDefault="00155DB4" w:rsidP="00155DB4">
      <w:pPr>
        <w:pStyle w:val="BodyText"/>
        <w:ind w:left="426" w:right="283" w:hanging="426"/>
        <w:jc w:val="both"/>
        <w:rPr>
          <w:rFonts w:ascii="Trebuchet MS" w:hAnsi="Trebuchet MS"/>
        </w:rPr>
      </w:pPr>
      <w:r w:rsidRPr="00C0226B">
        <w:rPr>
          <w:rFonts w:ascii="Trebuchet MS" w:hAnsi="Trebuchet MS"/>
        </w:rPr>
        <w:t>AC 3.2</w:t>
      </w:r>
    </w:p>
    <w:p w14:paraId="2475C8E0" w14:textId="77777777" w:rsidR="00155DB4" w:rsidRDefault="00155DB4" w:rsidP="00155DB4">
      <w:pPr>
        <w:rPr>
          <w:rFonts w:asciiTheme="minorHAnsi" w:hAnsiTheme="minorHAnsi" w:cstheme="minorHAnsi"/>
        </w:rPr>
      </w:pPr>
    </w:p>
    <w:p w14:paraId="55A7EE33"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People practices have, in recent years, moved beyond the personnel administrative role of issuing contracts and processing salaries; there is now a need for organisations’ people team to adopt a holistic approach to their people practices, ensuring employees are ‘sourced and hired and engaged and developed and retained well’ (CIPD, 2022). We as people practitioners can add value at Technivara in a multitude of ways from workforce planning to identify what our organisation needs in terms of labour to achieve our goals, fair and consistent recruitment and selection processes, support strong employee relations, ensure Technivara is compliant with legislation, enable employee voice and promote employee wellbeing (CIPD, 2025d; Paramagaru, 2025).</w:t>
      </w:r>
    </w:p>
    <w:p w14:paraId="2669F68B" w14:textId="77777777" w:rsidR="00155DB4" w:rsidRDefault="00155DB4" w:rsidP="00155DB4">
      <w:pPr>
        <w:spacing w:line="360" w:lineRule="auto"/>
        <w:rPr>
          <w:rFonts w:asciiTheme="minorHAnsi" w:hAnsiTheme="minorHAnsi" w:cstheme="minorHAnsi"/>
        </w:rPr>
      </w:pPr>
    </w:p>
    <w:p w14:paraId="4A23E812"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Measuring the value of these practices can be captured in a variety of methods, two of which I have identified: cost-benefit analysis and employee surveys. A cost-benefit analysis (CBA) evaluates the effectiveness of a policy or process by measuring its financial cost and comparing whether the net benefits, monetary and non-monetary, positively outweigh its cost (Boadway, 2016). We can use this method to demonstrate that any new practices we introduce that have some kind of cost attached is outweighed by the value of benefits on employee wellbeing, development, engagement or morale, to name a few (Hossain, Purnima and Sohana, 2025). For example, we can measure the cost per hire in our recruitment process and compare this to the value of employee performance or productivity and its beneficial impact on our business outcomes (Cascio and Boudreau, 2011). However, the conversion of intangible benefits into monetary value is both difficult and inherently subjective; this leaves room for our analysis of impact to be potentially inaccurate or biased (Flyvbjerg and Bester, 2021). </w:t>
      </w:r>
    </w:p>
    <w:p w14:paraId="5E8ACF82" w14:textId="77777777" w:rsidR="00155DB4" w:rsidRDefault="00155DB4" w:rsidP="00155DB4">
      <w:pPr>
        <w:spacing w:line="360" w:lineRule="auto"/>
        <w:rPr>
          <w:rFonts w:asciiTheme="minorHAnsi" w:hAnsiTheme="minorHAnsi" w:cstheme="minorHAnsi"/>
        </w:rPr>
      </w:pPr>
    </w:p>
    <w:p w14:paraId="0E478752" w14:textId="77777777" w:rsidR="00155DB4" w:rsidRDefault="00155DB4" w:rsidP="00155DB4">
      <w:pPr>
        <w:spacing w:line="360" w:lineRule="auto"/>
        <w:rPr>
          <w:rFonts w:asciiTheme="minorHAnsi" w:hAnsiTheme="minorHAnsi" w:cstheme="minorHAnsi"/>
        </w:rPr>
      </w:pPr>
      <w:r>
        <w:rPr>
          <w:rFonts w:asciiTheme="minorHAnsi" w:hAnsiTheme="minorHAnsi" w:cstheme="minorHAnsi"/>
        </w:rPr>
        <w:t xml:space="preserve">The second method we could utilise is employee surveys as a tool for employees to use their voice to inform us of effective people practices and interventions (Albrecht et al, 2015). By seeking our employees’ perceptions of our people practices, we can understand whether they are being implemented effectively and if they are impacting outcomes such as employee engagement, motivation and performance (Carter et al, 2011; Stirpe, Profili and Sammarra, 2022). We can ascertain whether our practices are aligned with Technivara’s organisational strategy and if they are helping or hindering the organisation in its expansion such as employee satisfaction with Technivara’s current leadership style or their perception of current policies (Wiley, 2010; Boxall and Purcell, 2016). Conversely, we will need to consider the possibility of low response rates in surveys from possible employee disengagement which could undermine confidence in our processes and </w:t>
      </w:r>
      <w:r>
        <w:rPr>
          <w:rFonts w:asciiTheme="minorHAnsi" w:hAnsiTheme="minorHAnsi" w:cstheme="minorHAnsi"/>
        </w:rPr>
        <w:lastRenderedPageBreak/>
        <w:t xml:space="preserve">provide incomplete data that is not an accurate reflection of impact (Baruch and Holtom, 2008; Anseel et al, 2010). </w:t>
      </w:r>
    </w:p>
    <w:p w14:paraId="2C0B6974" w14:textId="27BEC596" w:rsidR="00C6704B" w:rsidRDefault="00C6704B"/>
    <w:p w14:paraId="37E695FF" w14:textId="77777777" w:rsidR="00155DB4" w:rsidRPr="00C0226B" w:rsidRDefault="00155DB4" w:rsidP="00155DB4">
      <w:pPr>
        <w:contextualSpacing/>
        <w:jc w:val="both"/>
        <w:rPr>
          <w:rFonts w:ascii="Trebuchet MS" w:hAnsi="Trebuchet MS"/>
        </w:rPr>
      </w:pPr>
      <w:r w:rsidRPr="00C0226B">
        <w:rPr>
          <w:rFonts w:ascii="Trebuchet MS" w:hAnsi="Trebuchet MS"/>
        </w:rPr>
        <w:t>AC 2.3</w:t>
      </w:r>
    </w:p>
    <w:p w14:paraId="241539A5" w14:textId="77777777" w:rsidR="00155DB4" w:rsidRDefault="00155DB4" w:rsidP="00155DB4">
      <w:pPr>
        <w:rPr>
          <w:rFonts w:asciiTheme="minorHAnsi" w:hAnsiTheme="minorHAnsi" w:cstheme="minorHAnsi"/>
          <w:noProof/>
        </w:rPr>
      </w:pPr>
    </w:p>
    <w:p w14:paraId="5D5138E5" w14:textId="77777777" w:rsidR="00155DB4" w:rsidRDefault="00155DB4" w:rsidP="00155DB4">
      <w:pPr>
        <w:spacing w:line="360" w:lineRule="auto"/>
        <w:rPr>
          <w:rFonts w:asciiTheme="minorHAnsi" w:hAnsiTheme="minorHAnsi" w:cstheme="minorHAnsi"/>
          <w:noProof/>
        </w:rPr>
      </w:pPr>
      <w:r>
        <w:rPr>
          <w:rFonts w:asciiTheme="minorHAnsi" w:hAnsiTheme="minorHAnsi" w:cstheme="minorHAnsi"/>
          <w:noProof/>
        </w:rPr>
        <w:t>Following our recent learning and development (L&amp;D) employee feedback, I have evaluated the  data and considered several recommendations for future L&amp;D activities. Evaluating employees’ perceptions of our L&amp;D activities gives us vital insights into whether our training is effective and having an emperical impact on organisational performane and outcomes (Santos and Stuart, 2003; Arulsamy et al, 2023). If we are going to financially invest a substantial amount into training ready for our expansion, it is imperative that we measure the effectiveness of our L&amp;D activities to ensure they are both meaningful and profitable (Ahmetaj, 2025).</w:t>
      </w:r>
    </w:p>
    <w:p w14:paraId="10008DC0" w14:textId="77777777" w:rsidR="00155DB4" w:rsidRDefault="00155DB4" w:rsidP="00155DB4">
      <w:pPr>
        <w:spacing w:line="360" w:lineRule="auto"/>
        <w:rPr>
          <w:rFonts w:asciiTheme="minorHAnsi" w:hAnsiTheme="minorHAnsi" w:cstheme="minorHAnsi"/>
          <w:noProof/>
        </w:rPr>
      </w:pPr>
    </w:p>
    <w:p w14:paraId="004AA917" w14:textId="77777777" w:rsidR="00155DB4" w:rsidRDefault="00155DB4" w:rsidP="00155DB4">
      <w:pPr>
        <w:spacing w:line="360" w:lineRule="auto"/>
        <w:rPr>
          <w:rFonts w:asciiTheme="minorHAnsi" w:hAnsiTheme="minorHAnsi" w:cstheme="minorHAnsi"/>
          <w:noProof/>
        </w:rPr>
      </w:pPr>
      <w:r>
        <w:rPr>
          <w:rFonts w:asciiTheme="minorHAnsi" w:hAnsiTheme="minorHAnsi" w:cstheme="minorHAnsi"/>
          <w:noProof/>
        </w:rPr>
        <w:t xml:space="preserve">Although over 90% of staff agreed that the facilitator provided clear set objectives, 42% of employees disagreed and 35% strongly disagreed that at the end of the session, the set learning outcomes were achieved. This is an issue as employee confidence and belief in L&amp;D activities is vital for engagement and ensuring employees see validity and applicability in what they are learning (Knowles et al, 2020). Furthermore, if our learning outcomes are not clear or measurable, then our L&amp;D delivery is not evidence-based and it will be difficult to evaluate the impact of our L&amp;D initiatives (Hayden, 2025a). When planning our next set of training activities, I recommend utilising the constructive alignment approach, directly linking our activities and assessments to the intended learning outcomes (Biggs and Tang, 2011). By providing clear, specified goals, a well designed learning activity and assessment criteria that links both, our employees will be able to create connections between the content they are learning and the outcomes they are aiming to achieve (Biggs and Tang, 2011). Over half of the employees were not sure if they were able to employ the knowledge, skills and behaviours learnt from the training activity into their role and none of the employees strongly agreed. The transfer of learning from training to job performance is key to returning our investment in L&amp;D activites and to employee and overall organisational performance (Razak and Zahidi, 2024). Therefore, we could gauge the effectiveness of our training activities and whether the intended learning has been achieved and practically applied through design-focused evaluation or Kirkpatrick’s four levels model to understand employees’ perceptions of outcomes (Smith, 2008; Hayden, 2025a).  </w:t>
      </w:r>
    </w:p>
    <w:p w14:paraId="4B457C85" w14:textId="77777777" w:rsidR="00155DB4" w:rsidRDefault="00155DB4" w:rsidP="00155DB4">
      <w:pPr>
        <w:spacing w:line="360" w:lineRule="auto"/>
        <w:rPr>
          <w:rFonts w:asciiTheme="minorHAnsi" w:hAnsiTheme="minorHAnsi" w:cstheme="minorHAnsi"/>
          <w:noProof/>
        </w:rPr>
      </w:pPr>
    </w:p>
    <w:p w14:paraId="43C6D7C1" w14:textId="77777777" w:rsidR="00155DB4" w:rsidRDefault="00155DB4" w:rsidP="00155DB4">
      <w:pPr>
        <w:spacing w:line="360" w:lineRule="auto"/>
        <w:rPr>
          <w:rFonts w:asciiTheme="minorHAnsi" w:hAnsiTheme="minorHAnsi" w:cstheme="minorHAnsi"/>
          <w:noProof/>
        </w:rPr>
      </w:pPr>
      <w:r>
        <w:rPr>
          <w:rFonts w:asciiTheme="minorHAnsi" w:hAnsiTheme="minorHAnsi" w:cstheme="minorHAnsi"/>
          <w:noProof/>
        </w:rPr>
        <w:t xml:space="preserve">33% of employees felt their learning preferences were not considered prior to the learning activity; the negative impact of this could be employee dissatisfaction or disengagement with our training activities, leading to lack of motivation and a possible dip in performance (Kongphet and Phusavat, </w:t>
      </w:r>
      <w:r>
        <w:rPr>
          <w:rFonts w:asciiTheme="minorHAnsi" w:hAnsiTheme="minorHAnsi" w:cstheme="minorHAnsi"/>
          <w:noProof/>
        </w:rPr>
        <w:lastRenderedPageBreak/>
        <w:t xml:space="preserve">2025). It is important we find a balance between meeting the learning needs of our employees and what the organisation requires in terms of skills and knowledge (Beevers and Rea, 2016). To ensure we include employees’ learning preferences prior to our next learning activity, I propose we conduct a learning needs analysis (LNA). Conducting an organisation-wide LNA will enable us to gather data on how our employees prefer to learn, thus, allowing us to segment employees into similar preference groups and provide tailored training opportunities that both meet their needs and the needs of the business (Hayden, 2025b). Aligning with the learning needs and preferences of our employees ensures they are engaged, motivated and, ultimately, transferring the knowledge from the training to the workplace (Goldstein and Ford, 2001; Salas et al, 2012). Carrying out such a large scale analysis of the workforce runs the risk of being time consuming and expensive which we will need to consider, however, the analysis should pinpoint where we are falling short in terms of learning and performance and enable us to seek cost-effective solutions (Sleezer, Russ-Eft and Gupta, 2014). </w:t>
      </w:r>
    </w:p>
    <w:p w14:paraId="3E4FDC62" w14:textId="77777777" w:rsidR="00155DB4" w:rsidRDefault="00155DB4" w:rsidP="00155DB4">
      <w:pPr>
        <w:spacing w:line="360" w:lineRule="auto"/>
        <w:rPr>
          <w:rFonts w:asciiTheme="minorHAnsi" w:hAnsiTheme="minorHAnsi" w:cstheme="minorHAnsi"/>
          <w:noProof/>
        </w:rPr>
      </w:pPr>
    </w:p>
    <w:p w14:paraId="18C66A34" w14:textId="77777777" w:rsidR="00155DB4" w:rsidRDefault="00155DB4" w:rsidP="00155DB4">
      <w:pPr>
        <w:spacing w:line="360" w:lineRule="auto"/>
        <w:rPr>
          <w:rFonts w:asciiTheme="minorHAnsi" w:hAnsiTheme="minorHAnsi" w:cstheme="minorHAnsi"/>
          <w:noProof/>
        </w:rPr>
      </w:pPr>
      <w:r>
        <w:rPr>
          <w:rFonts w:asciiTheme="minorHAnsi" w:hAnsiTheme="minorHAnsi" w:cstheme="minorHAnsi"/>
          <w:noProof/>
        </w:rPr>
        <w:t xml:space="preserve">64% of our employees disagreed that they were able to engage in meaningful questioning and answering on topics being discussed in the L&amp;D activity. This is concerning as it has been suggested through research on adult learning theory that adults learn by actively participating through interaction, discussions and reflection (Palis and Quiros, 2014). Furthermore, we should be aiming to develop a culture of psychological safety where employees can safely ask questions, share opinions and develop a curious mind toward learning and development (Edmondson, 2018). More than 90% of employees agreed that the facilitator was clearly knowledgable in regards to the topics of the activity, however, there are other aspects of the facilitators’ delivery that we could improve. Firstly, I recommend taking a look at our training facilitators and ensuring they have the tools and confidence to ask effective questions and guide meaningful discussions in L&amp;D sessions to prompt deeper learning as these methods have been shown to improve learners’ motivation and retention of information (Tofade, Elsner and Haines, 2013).  Additionally, our training facilitators could adopt active learning methods and techniques that prompt participation and discussion from our employees in the training sessions such as think-pair-share, problem based learning and active student response (Karge et al, 2011; Norman, Fitzgerald and Kaffar, 2008). Ultimately, we want to provide our employees with ample opportunity to probe and question the learning content in their L&amp;D activites to develop their critical thinking skills and ensure deeper learning and engagement (Nappi, 2017). </w:t>
      </w:r>
    </w:p>
    <w:p w14:paraId="0EE51520" w14:textId="77777777" w:rsidR="00155DB4" w:rsidRDefault="00155DB4" w:rsidP="00155DB4">
      <w:pPr>
        <w:spacing w:line="360" w:lineRule="auto"/>
        <w:rPr>
          <w:rFonts w:asciiTheme="minorHAnsi" w:hAnsiTheme="minorHAnsi" w:cstheme="minorHAnsi"/>
          <w:noProof/>
        </w:rPr>
      </w:pPr>
    </w:p>
    <w:p w14:paraId="05682400" w14:textId="77777777" w:rsidR="00155DB4" w:rsidRDefault="00155DB4" w:rsidP="00155DB4">
      <w:pPr>
        <w:spacing w:line="360" w:lineRule="auto"/>
        <w:rPr>
          <w:rFonts w:asciiTheme="minorHAnsi" w:hAnsiTheme="minorHAnsi" w:cstheme="minorHAnsi"/>
          <w:noProof/>
        </w:rPr>
      </w:pPr>
      <w:r>
        <w:rPr>
          <w:rFonts w:asciiTheme="minorHAnsi" w:hAnsiTheme="minorHAnsi" w:cstheme="minorHAnsi"/>
          <w:noProof/>
        </w:rPr>
        <w:t xml:space="preserve">In conclusion, the evaluation feedback has provided us with some valuable insights on how we can </w:t>
      </w:r>
      <w:r>
        <w:rPr>
          <w:rFonts w:asciiTheme="minorHAnsi" w:hAnsiTheme="minorHAnsi" w:cstheme="minorHAnsi"/>
          <w:noProof/>
        </w:rPr>
        <w:lastRenderedPageBreak/>
        <w:t xml:space="preserve">provide more opportunities for our employees to meaningfully engage with future L&amp;D activities and walk away from them feeling they have improved their knowledge and/or skills and are equipped to apply them in the workplace. By understanding how our employees feel about and perceive their L&amp;D activities, we can evaluate whether the learning material is relevant, aligns with Technivara’s overall strategy and provide measurable outcomes to justify further investment in our L&amp;D provision (Hayden, 2025a). </w:t>
      </w:r>
    </w:p>
    <w:p w14:paraId="5CAEC5C9" w14:textId="77777777" w:rsidR="00155DB4" w:rsidRDefault="00155DB4"/>
    <w:sectPr w:rsidR="00155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B4"/>
    <w:rsid w:val="00155DB4"/>
    <w:rsid w:val="00716882"/>
    <w:rsid w:val="00944657"/>
    <w:rsid w:val="00C6704B"/>
    <w:rsid w:val="00D8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052C"/>
  <w15:chartTrackingRefBased/>
  <w15:docId w15:val="{AB44924D-7357-4F87-ACD3-0398D0A0F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DB4"/>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55DB4"/>
  </w:style>
  <w:style w:type="character" w:customStyle="1" w:styleId="BodyTextChar">
    <w:name w:val="Body Text Char"/>
    <w:basedOn w:val="DefaultParagraphFont"/>
    <w:link w:val="BodyText"/>
    <w:uiPriority w:val="1"/>
    <w:rsid w:val="00155DB4"/>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3895</Words>
  <Characters>22202</Characters>
  <Application>Microsoft Office Word</Application>
  <DocSecurity>0</DocSecurity>
  <Lines>185</Lines>
  <Paragraphs>52</Paragraphs>
  <ScaleCrop>false</ScaleCrop>
  <Company/>
  <LinksUpToDate>false</LinksUpToDate>
  <CharactersWithSpaces>26045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1</cp:revision>
  <dcterms:created xsi:type="dcterms:W3CDTF">2026-01-25T11:30:00Z</dcterms:created>
  <dcterms:modified xsi:type="dcterms:W3CDTF">2026-01-25T11:31:00Z</dcterms:modified>
</cp:coreProperties>
</file>