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276A4" w14:textId="77777777" w:rsidR="001A2ECC" w:rsidRDefault="001A2ECC">
      <w:pPr>
        <w:spacing w:line="360" w:lineRule="auto"/>
        <w:jc w:val="center"/>
        <w:rPr>
          <w:rFonts w:ascii="Times New Roman" w:eastAsia="Times New Roman" w:hAnsi="Times New Roman" w:cs="Times New Roman"/>
          <w:b/>
          <w:bCs/>
          <w:sz w:val="24"/>
          <w:szCs w:val="24"/>
        </w:rPr>
      </w:pPr>
    </w:p>
    <w:p w14:paraId="1D629E25" w14:textId="77777777" w:rsidR="001A2ECC" w:rsidRDefault="001A2ECC">
      <w:pPr>
        <w:spacing w:line="360" w:lineRule="auto"/>
        <w:jc w:val="center"/>
        <w:rPr>
          <w:rFonts w:ascii="Times New Roman" w:eastAsia="Times New Roman" w:hAnsi="Times New Roman" w:cs="Times New Roman"/>
          <w:b/>
          <w:bCs/>
          <w:sz w:val="24"/>
          <w:szCs w:val="24"/>
        </w:rPr>
      </w:pPr>
    </w:p>
    <w:p w14:paraId="4E079D68" w14:textId="13AE3637" w:rsidR="001A687F" w:rsidRDefault="003B77C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4D00B35F" wp14:editId="16F57286">
            <wp:extent cx="2882900" cy="1143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82900" cy="1143000"/>
                    </a:xfrm>
                    <a:prstGeom prst="rect">
                      <a:avLst/>
                    </a:prstGeom>
                    <a:ln/>
                  </pic:spPr>
                </pic:pic>
              </a:graphicData>
            </a:graphic>
          </wp:inline>
        </w:drawing>
      </w:r>
    </w:p>
    <w:p w14:paraId="152E88F5" w14:textId="77777777" w:rsidR="001A687F" w:rsidRDefault="001A687F">
      <w:pPr>
        <w:spacing w:line="360" w:lineRule="auto"/>
        <w:jc w:val="center"/>
        <w:rPr>
          <w:rFonts w:ascii="Times New Roman" w:eastAsia="Times New Roman" w:hAnsi="Times New Roman" w:cs="Times New Roman"/>
          <w:b/>
          <w:bCs/>
          <w:sz w:val="24"/>
          <w:szCs w:val="24"/>
        </w:rPr>
      </w:pPr>
    </w:p>
    <w:p w14:paraId="3548E13E" w14:textId="77777777" w:rsidR="001A687F" w:rsidRDefault="001A687F">
      <w:pPr>
        <w:spacing w:line="360" w:lineRule="auto"/>
        <w:jc w:val="both"/>
        <w:rPr>
          <w:rFonts w:ascii="Times New Roman" w:eastAsia="Times New Roman" w:hAnsi="Times New Roman" w:cs="Times New Roman"/>
          <w:b/>
          <w:bCs/>
          <w:sz w:val="24"/>
          <w:szCs w:val="24"/>
        </w:rPr>
      </w:pPr>
    </w:p>
    <w:p w14:paraId="47F5D0E1" w14:textId="37E392A8" w:rsidR="001A687F" w:rsidRDefault="001A2ECC" w:rsidP="001A2ECC">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Divya Adduru</w:t>
      </w:r>
    </w:p>
    <w:p w14:paraId="12E5BFA9" w14:textId="77777777" w:rsidR="001A2ECC" w:rsidRDefault="001A2ECC" w:rsidP="001A2ECC">
      <w:pPr>
        <w:spacing w:line="360" w:lineRule="auto"/>
        <w:jc w:val="center"/>
        <w:rPr>
          <w:rFonts w:ascii="Times New Roman" w:eastAsia="Times New Roman" w:hAnsi="Times New Roman" w:cs="Times New Roman"/>
          <w:b/>
          <w:bCs/>
          <w:sz w:val="32"/>
          <w:szCs w:val="32"/>
        </w:rPr>
      </w:pPr>
    </w:p>
    <w:p w14:paraId="1FD264B0" w14:textId="412B5BB4" w:rsidR="001A687F" w:rsidRDefault="001A2ECC" w:rsidP="001A2ECC">
      <w:pPr>
        <w:spacing w:line="360" w:lineRule="auto"/>
        <w:jc w:val="center"/>
        <w:rPr>
          <w:rFonts w:ascii="Times New Roman" w:eastAsia="Times New Roman" w:hAnsi="Times New Roman" w:cs="Times New Roman"/>
          <w:b/>
          <w:bCs/>
          <w:sz w:val="32"/>
          <w:szCs w:val="32"/>
        </w:rPr>
      </w:pPr>
      <w:r w:rsidRPr="001A2ECC">
        <w:rPr>
          <w:rFonts w:ascii="Times New Roman" w:eastAsia="Times New Roman" w:hAnsi="Times New Roman" w:cs="Times New Roman"/>
          <w:b/>
          <w:bCs/>
          <w:sz w:val="32"/>
          <w:szCs w:val="32"/>
        </w:rPr>
        <w:t>Student ID: 2537627</w:t>
      </w:r>
    </w:p>
    <w:p w14:paraId="79CB447C" w14:textId="77777777" w:rsidR="001A2ECC" w:rsidRDefault="001A2ECC">
      <w:pPr>
        <w:spacing w:line="360" w:lineRule="auto"/>
        <w:jc w:val="center"/>
        <w:rPr>
          <w:rFonts w:ascii="Times New Roman" w:eastAsia="Times New Roman" w:hAnsi="Times New Roman" w:cs="Times New Roman"/>
          <w:b/>
          <w:bCs/>
          <w:sz w:val="32"/>
          <w:szCs w:val="32"/>
        </w:rPr>
      </w:pPr>
    </w:p>
    <w:p w14:paraId="656D7858" w14:textId="2909D8B4" w:rsidR="001A687F" w:rsidRDefault="003B77C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Financial Management</w:t>
      </w:r>
    </w:p>
    <w:p w14:paraId="1040F30B" w14:textId="77777777" w:rsidR="001A2ECC" w:rsidRDefault="001A2ECC">
      <w:pPr>
        <w:spacing w:line="360" w:lineRule="auto"/>
        <w:jc w:val="center"/>
        <w:rPr>
          <w:rFonts w:ascii="Times New Roman" w:eastAsia="Times New Roman" w:hAnsi="Times New Roman" w:cs="Times New Roman"/>
          <w:b/>
          <w:bCs/>
          <w:sz w:val="32"/>
          <w:szCs w:val="32"/>
        </w:rPr>
      </w:pPr>
    </w:p>
    <w:p w14:paraId="33AEC1F4" w14:textId="060F33C0" w:rsidR="001A687F" w:rsidRDefault="003B77C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LCMB7002</w:t>
      </w:r>
    </w:p>
    <w:p w14:paraId="52537C64" w14:textId="77777777" w:rsidR="001A687F" w:rsidRDefault="003B77CE">
      <w:pPr>
        <w:jc w:val="both"/>
        <w:rPr>
          <w:rFonts w:ascii="Times New Roman" w:eastAsia="Times New Roman" w:hAnsi="Times New Roman" w:cs="Times New Roman"/>
          <w:b/>
          <w:bCs/>
          <w:sz w:val="24"/>
          <w:szCs w:val="24"/>
        </w:rPr>
      </w:pPr>
      <w:r>
        <w:br w:type="page"/>
      </w:r>
    </w:p>
    <w:bookmarkStart w:id="0" w:name="_heading=h.tvdzpjkbrmax" w:colFirst="0" w:colLast="0" w:displacedByCustomXml="next"/>
    <w:bookmarkEnd w:id="0" w:displacedByCustomXml="next"/>
    <w:sdt>
      <w:sdtPr>
        <w:rPr>
          <w:rFonts w:ascii="Arial" w:eastAsia="Arial" w:hAnsi="Arial" w:cs="Arial"/>
          <w:b/>
          <w:bCs/>
          <w:color w:val="auto"/>
          <w:sz w:val="36"/>
          <w:szCs w:val="36"/>
          <w:lang w:val="en-GB" w:eastAsia="en-IN"/>
        </w:rPr>
        <w:id w:val="-1150053911"/>
        <w:docPartObj>
          <w:docPartGallery w:val="Table of Contents"/>
          <w:docPartUnique/>
        </w:docPartObj>
      </w:sdtPr>
      <w:sdtEndPr>
        <w:rPr>
          <w:noProof/>
          <w:sz w:val="22"/>
          <w:szCs w:val="22"/>
        </w:rPr>
      </w:sdtEndPr>
      <w:sdtContent>
        <w:p w14:paraId="78D15A0A" w14:textId="29813AD1" w:rsidR="006B384C" w:rsidRPr="006B384C" w:rsidRDefault="006B384C" w:rsidP="006B384C">
          <w:pPr>
            <w:pStyle w:val="TOCHeading"/>
            <w:spacing w:line="360" w:lineRule="auto"/>
            <w:jc w:val="center"/>
            <w:rPr>
              <w:rFonts w:ascii="Times New Roman" w:hAnsi="Times New Roman" w:cs="Times New Roman"/>
              <w:b/>
              <w:bCs/>
              <w:color w:val="auto"/>
              <w:sz w:val="28"/>
              <w:szCs w:val="28"/>
            </w:rPr>
          </w:pPr>
          <w:r w:rsidRPr="006B384C">
            <w:rPr>
              <w:rFonts w:ascii="Times New Roman" w:hAnsi="Times New Roman" w:cs="Times New Roman"/>
              <w:b/>
              <w:bCs/>
              <w:color w:val="auto"/>
              <w:sz w:val="28"/>
              <w:szCs w:val="28"/>
            </w:rPr>
            <w:t>Table of Contents</w:t>
          </w:r>
        </w:p>
        <w:p w14:paraId="3A7BAE73" w14:textId="4D4FB724"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r w:rsidRPr="006B384C">
            <w:rPr>
              <w:rFonts w:ascii="Times New Roman" w:hAnsi="Times New Roman" w:cs="Times New Roman"/>
              <w:sz w:val="24"/>
              <w:szCs w:val="24"/>
            </w:rPr>
            <w:fldChar w:fldCharType="begin"/>
          </w:r>
          <w:r w:rsidRPr="006B384C">
            <w:rPr>
              <w:rFonts w:ascii="Times New Roman" w:hAnsi="Times New Roman" w:cs="Times New Roman"/>
              <w:sz w:val="24"/>
              <w:szCs w:val="24"/>
            </w:rPr>
            <w:instrText xml:space="preserve"> TOC \o "1-3" \h \z \u </w:instrText>
          </w:r>
          <w:r w:rsidRPr="006B384C">
            <w:rPr>
              <w:rFonts w:ascii="Times New Roman" w:hAnsi="Times New Roman" w:cs="Times New Roman"/>
              <w:sz w:val="24"/>
              <w:szCs w:val="24"/>
            </w:rPr>
            <w:fldChar w:fldCharType="separate"/>
          </w:r>
          <w:hyperlink w:anchor="_Toc236682352" w:history="1">
            <w:r w:rsidRPr="006B384C">
              <w:rPr>
                <w:rStyle w:val="Hyperlink"/>
                <w:rFonts w:ascii="Times New Roman" w:hAnsi="Times New Roman" w:cs="Times New Roman"/>
                <w:noProof/>
                <w:color w:val="auto"/>
                <w:sz w:val="24"/>
                <w:szCs w:val="24"/>
              </w:rPr>
              <w:t>1. Introduction</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_Toc236682352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3</w:t>
            </w:r>
            <w:r w:rsidRPr="006B384C">
              <w:rPr>
                <w:rFonts w:ascii="Times New Roman" w:hAnsi="Times New Roman" w:cs="Times New Roman"/>
                <w:noProof/>
                <w:webHidden/>
                <w:sz w:val="24"/>
                <w:szCs w:val="24"/>
              </w:rPr>
              <w:fldChar w:fldCharType="end"/>
            </w:r>
          </w:hyperlink>
        </w:p>
        <w:p w14:paraId="35E04C24" w14:textId="3EDE2536"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53" w:history="1">
            <w:r w:rsidRPr="006B384C">
              <w:rPr>
                <w:rStyle w:val="Hyperlink"/>
                <w:rFonts w:ascii="Times New Roman" w:hAnsi="Times New Roman" w:cs="Times New Roman"/>
                <w:noProof/>
                <w:color w:val="auto"/>
                <w:sz w:val="24"/>
                <w:szCs w:val="24"/>
              </w:rPr>
              <w:t>2. Financial Health Check</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_Toc236682353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3</w:t>
            </w:r>
            <w:r w:rsidRPr="006B384C">
              <w:rPr>
                <w:rFonts w:ascii="Times New Roman" w:hAnsi="Times New Roman" w:cs="Times New Roman"/>
                <w:noProof/>
                <w:webHidden/>
                <w:sz w:val="24"/>
                <w:szCs w:val="24"/>
              </w:rPr>
              <w:fldChar w:fldCharType="end"/>
            </w:r>
          </w:hyperlink>
        </w:p>
        <w:p w14:paraId="78D5DD29" w14:textId="08529C20"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54" w:history="1">
            <w:r w:rsidRPr="006B384C">
              <w:rPr>
                <w:rStyle w:val="Hyperlink"/>
                <w:rFonts w:ascii="Times New Roman" w:hAnsi="Times New Roman" w:cs="Times New Roman"/>
                <w:noProof/>
                <w:color w:val="auto"/>
                <w:sz w:val="24"/>
                <w:szCs w:val="24"/>
              </w:rPr>
              <w:t>2.1 Company Financial Overview</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_Toc236682354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3</w:t>
            </w:r>
            <w:r w:rsidRPr="006B384C">
              <w:rPr>
                <w:rFonts w:ascii="Times New Roman" w:hAnsi="Times New Roman" w:cs="Times New Roman"/>
                <w:noProof/>
                <w:webHidden/>
                <w:sz w:val="24"/>
                <w:szCs w:val="24"/>
              </w:rPr>
              <w:fldChar w:fldCharType="end"/>
            </w:r>
          </w:hyperlink>
        </w:p>
        <w:p w14:paraId="3F92772A" w14:textId="7359D599"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55" w:history="1">
            <w:r w:rsidRPr="006B384C">
              <w:rPr>
                <w:rStyle w:val="Hyperlink"/>
                <w:rFonts w:ascii="Times New Roman" w:hAnsi="Times New Roman" w:cs="Times New Roman"/>
                <w:noProof/>
                <w:color w:val="auto"/>
                <w:sz w:val="24"/>
                <w:szCs w:val="24"/>
              </w:rPr>
              <w:t>2.2 Five-Year Financial Statement Analysis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_Toc236682355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3</w:t>
            </w:r>
            <w:r w:rsidRPr="006B384C">
              <w:rPr>
                <w:rFonts w:ascii="Times New Roman" w:hAnsi="Times New Roman" w:cs="Times New Roman"/>
                <w:noProof/>
                <w:webHidden/>
                <w:sz w:val="24"/>
                <w:szCs w:val="24"/>
              </w:rPr>
              <w:fldChar w:fldCharType="end"/>
            </w:r>
          </w:hyperlink>
        </w:p>
        <w:p w14:paraId="70F2571A" w14:textId="18A5A3FF"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56" w:history="1">
            <w:r w:rsidRPr="006B384C">
              <w:rPr>
                <w:rStyle w:val="Hyperlink"/>
                <w:rFonts w:ascii="Times New Roman" w:hAnsi="Times New Roman" w:cs="Times New Roman"/>
                <w:noProof/>
                <w:color w:val="auto"/>
                <w:sz w:val="24"/>
                <w:szCs w:val="24"/>
              </w:rPr>
              <w:t>2.3 Ratio Analysis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_Toc236682356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4</w:t>
            </w:r>
            <w:r w:rsidRPr="006B384C">
              <w:rPr>
                <w:rFonts w:ascii="Times New Roman" w:hAnsi="Times New Roman" w:cs="Times New Roman"/>
                <w:noProof/>
                <w:webHidden/>
                <w:sz w:val="24"/>
                <w:szCs w:val="24"/>
              </w:rPr>
              <w:fldChar w:fldCharType="end"/>
            </w:r>
          </w:hyperlink>
        </w:p>
        <w:p w14:paraId="1C048047" w14:textId="4E426997" w:rsidR="006B384C" w:rsidRPr="006B384C" w:rsidRDefault="006B384C" w:rsidP="006B384C">
          <w:pPr>
            <w:pStyle w:val="TOC3"/>
            <w:tabs>
              <w:tab w:val="right" w:leader="dot" w:pos="9019"/>
            </w:tabs>
            <w:spacing w:line="360" w:lineRule="auto"/>
            <w:jc w:val="both"/>
            <w:rPr>
              <w:rFonts w:ascii="Times New Roman" w:hAnsi="Times New Roman" w:cs="Times New Roman"/>
              <w:noProof/>
              <w:sz w:val="24"/>
              <w:szCs w:val="24"/>
            </w:rPr>
          </w:pPr>
          <w:hyperlink w:anchor="_Toc236682357" w:history="1">
            <w:r w:rsidRPr="006B384C">
              <w:rPr>
                <w:rStyle w:val="Hyperlink"/>
                <w:rFonts w:ascii="Times New Roman" w:hAnsi="Times New Roman" w:cs="Times New Roman"/>
                <w:noProof/>
                <w:color w:val="auto"/>
                <w:sz w:val="24"/>
                <w:szCs w:val="24"/>
              </w:rPr>
              <w:t>2.3.1 Profitability Ratios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_Toc236682357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4</w:t>
            </w:r>
            <w:r w:rsidRPr="006B384C">
              <w:rPr>
                <w:rFonts w:ascii="Times New Roman" w:hAnsi="Times New Roman" w:cs="Times New Roman"/>
                <w:noProof/>
                <w:webHidden/>
                <w:sz w:val="24"/>
                <w:szCs w:val="24"/>
              </w:rPr>
              <w:fldChar w:fldCharType="end"/>
            </w:r>
          </w:hyperlink>
        </w:p>
        <w:p w14:paraId="73B9D2C5" w14:textId="0E0C479A" w:rsidR="006B384C" w:rsidRPr="006B384C" w:rsidRDefault="006B384C" w:rsidP="006B384C">
          <w:pPr>
            <w:pStyle w:val="TOC3"/>
            <w:tabs>
              <w:tab w:val="right" w:leader="dot" w:pos="9019"/>
            </w:tabs>
            <w:spacing w:line="360" w:lineRule="auto"/>
            <w:jc w:val="both"/>
            <w:rPr>
              <w:rFonts w:ascii="Times New Roman" w:hAnsi="Times New Roman" w:cs="Times New Roman"/>
              <w:noProof/>
              <w:sz w:val="24"/>
              <w:szCs w:val="24"/>
            </w:rPr>
          </w:pPr>
          <w:hyperlink w:anchor="_Toc236682358" w:history="1">
            <w:r w:rsidRPr="006B384C">
              <w:rPr>
                <w:rStyle w:val="Hyperlink"/>
                <w:rFonts w:ascii="Times New Roman" w:hAnsi="Times New Roman" w:cs="Times New Roman"/>
                <w:noProof/>
                <w:color w:val="auto"/>
                <w:sz w:val="24"/>
                <w:szCs w:val="24"/>
              </w:rPr>
              <w:t>2.3.2 Liquidity Ratios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_Toc236682358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4</w:t>
            </w:r>
            <w:r w:rsidRPr="006B384C">
              <w:rPr>
                <w:rFonts w:ascii="Times New Roman" w:hAnsi="Times New Roman" w:cs="Times New Roman"/>
                <w:noProof/>
                <w:webHidden/>
                <w:sz w:val="24"/>
                <w:szCs w:val="24"/>
              </w:rPr>
              <w:fldChar w:fldCharType="end"/>
            </w:r>
          </w:hyperlink>
        </w:p>
        <w:p w14:paraId="3AD7CB80" w14:textId="5B38C26D" w:rsidR="006B384C" w:rsidRPr="006B384C" w:rsidRDefault="006B384C" w:rsidP="006B384C">
          <w:pPr>
            <w:pStyle w:val="TOC3"/>
            <w:tabs>
              <w:tab w:val="right" w:leader="dot" w:pos="9019"/>
            </w:tabs>
            <w:spacing w:line="360" w:lineRule="auto"/>
            <w:jc w:val="both"/>
            <w:rPr>
              <w:rFonts w:ascii="Times New Roman" w:hAnsi="Times New Roman" w:cs="Times New Roman"/>
              <w:noProof/>
              <w:sz w:val="24"/>
              <w:szCs w:val="24"/>
            </w:rPr>
          </w:pPr>
          <w:hyperlink w:anchor="_Toc236682359" w:history="1">
            <w:r w:rsidRPr="006B384C">
              <w:rPr>
                <w:rStyle w:val="Hyperlink"/>
                <w:rFonts w:ascii="Times New Roman" w:hAnsi="Times New Roman" w:cs="Times New Roman"/>
                <w:noProof/>
                <w:color w:val="auto"/>
                <w:sz w:val="24"/>
                <w:szCs w:val="24"/>
              </w:rPr>
              <w:t>2.3.3 Efficiency Ratios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_Toc236682359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4</w:t>
            </w:r>
            <w:r w:rsidRPr="006B384C">
              <w:rPr>
                <w:rFonts w:ascii="Times New Roman" w:hAnsi="Times New Roman" w:cs="Times New Roman"/>
                <w:noProof/>
                <w:webHidden/>
                <w:sz w:val="24"/>
                <w:szCs w:val="24"/>
              </w:rPr>
              <w:fldChar w:fldCharType="end"/>
            </w:r>
          </w:hyperlink>
        </w:p>
        <w:p w14:paraId="03A6B1C4" w14:textId="1095872E" w:rsidR="006B384C" w:rsidRPr="006B384C" w:rsidRDefault="006B384C" w:rsidP="006B384C">
          <w:pPr>
            <w:pStyle w:val="TOC3"/>
            <w:tabs>
              <w:tab w:val="right" w:leader="dot" w:pos="9019"/>
            </w:tabs>
            <w:spacing w:line="360" w:lineRule="auto"/>
            <w:jc w:val="both"/>
            <w:rPr>
              <w:rFonts w:ascii="Times New Roman" w:hAnsi="Times New Roman" w:cs="Times New Roman"/>
              <w:noProof/>
              <w:sz w:val="24"/>
              <w:szCs w:val="24"/>
            </w:rPr>
          </w:pPr>
          <w:hyperlink w:anchor="_Toc236682360" w:history="1">
            <w:r w:rsidRPr="006B384C">
              <w:rPr>
                <w:rStyle w:val="Hyperlink"/>
                <w:rFonts w:ascii="Times New Roman" w:hAnsi="Times New Roman" w:cs="Times New Roman"/>
                <w:noProof/>
                <w:color w:val="auto"/>
                <w:sz w:val="24"/>
                <w:szCs w:val="24"/>
              </w:rPr>
              <w:t>2.3.4 Gearing Ratio</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_Toc236682360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5</w:t>
            </w:r>
            <w:r w:rsidRPr="006B384C">
              <w:rPr>
                <w:rFonts w:ascii="Times New Roman" w:hAnsi="Times New Roman" w:cs="Times New Roman"/>
                <w:noProof/>
                <w:webHidden/>
                <w:sz w:val="24"/>
                <w:szCs w:val="24"/>
              </w:rPr>
              <w:fldChar w:fldCharType="end"/>
            </w:r>
          </w:hyperlink>
        </w:p>
        <w:p w14:paraId="2CFE4B86" w14:textId="7C41A0B4" w:rsidR="006B384C" w:rsidRPr="006B384C" w:rsidRDefault="006B384C" w:rsidP="006B384C">
          <w:pPr>
            <w:pStyle w:val="TOC3"/>
            <w:tabs>
              <w:tab w:val="right" w:leader="dot" w:pos="9019"/>
            </w:tabs>
            <w:spacing w:line="360" w:lineRule="auto"/>
            <w:jc w:val="both"/>
            <w:rPr>
              <w:rFonts w:ascii="Times New Roman" w:hAnsi="Times New Roman" w:cs="Times New Roman"/>
              <w:noProof/>
              <w:sz w:val="24"/>
              <w:szCs w:val="24"/>
            </w:rPr>
          </w:pPr>
          <w:hyperlink w:anchor="_Toc236682361" w:history="1">
            <w:r w:rsidRPr="006B384C">
              <w:rPr>
                <w:rStyle w:val="Hyperlink"/>
                <w:rFonts w:ascii="Times New Roman" w:hAnsi="Times New Roman" w:cs="Times New Roman"/>
                <w:noProof/>
                <w:color w:val="auto"/>
                <w:sz w:val="24"/>
                <w:szCs w:val="24"/>
              </w:rPr>
              <w:t>2.3.5 Investment Ratios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_Toc236682361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5</w:t>
            </w:r>
            <w:r w:rsidRPr="006B384C">
              <w:rPr>
                <w:rFonts w:ascii="Times New Roman" w:hAnsi="Times New Roman" w:cs="Times New Roman"/>
                <w:noProof/>
                <w:webHidden/>
                <w:sz w:val="24"/>
                <w:szCs w:val="24"/>
              </w:rPr>
              <w:fldChar w:fldCharType="end"/>
            </w:r>
          </w:hyperlink>
        </w:p>
        <w:p w14:paraId="32A42AAC" w14:textId="4734F159" w:rsidR="006B384C" w:rsidRPr="006B384C" w:rsidRDefault="006B384C" w:rsidP="006B384C">
          <w:pPr>
            <w:pStyle w:val="TOC3"/>
            <w:tabs>
              <w:tab w:val="right" w:leader="dot" w:pos="9019"/>
            </w:tabs>
            <w:spacing w:line="360" w:lineRule="auto"/>
            <w:jc w:val="both"/>
            <w:rPr>
              <w:rFonts w:ascii="Times New Roman" w:hAnsi="Times New Roman" w:cs="Times New Roman"/>
              <w:noProof/>
              <w:sz w:val="24"/>
              <w:szCs w:val="24"/>
            </w:rPr>
          </w:pPr>
          <w:hyperlink w:anchor="_Toc236682362" w:history="1">
            <w:r w:rsidRPr="006B384C">
              <w:rPr>
                <w:rStyle w:val="Hyperlink"/>
                <w:rFonts w:ascii="Times New Roman" w:hAnsi="Times New Roman" w:cs="Times New Roman"/>
                <w:noProof/>
                <w:color w:val="auto"/>
                <w:sz w:val="24"/>
                <w:szCs w:val="24"/>
              </w:rPr>
              <w:t>2.3.6 Cash Flow Ratios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_Toc236682362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5</w:t>
            </w:r>
            <w:r w:rsidRPr="006B384C">
              <w:rPr>
                <w:rFonts w:ascii="Times New Roman" w:hAnsi="Times New Roman" w:cs="Times New Roman"/>
                <w:noProof/>
                <w:webHidden/>
                <w:sz w:val="24"/>
                <w:szCs w:val="24"/>
              </w:rPr>
              <w:fldChar w:fldCharType="end"/>
            </w:r>
          </w:hyperlink>
        </w:p>
        <w:p w14:paraId="5F05DDE7" w14:textId="225DA7DE"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63" w:history="1">
            <w:r w:rsidRPr="006B384C">
              <w:rPr>
                <w:rStyle w:val="Hyperlink"/>
                <w:rFonts w:ascii="Times New Roman" w:hAnsi="Times New Roman" w:cs="Times New Roman"/>
                <w:noProof/>
                <w:color w:val="auto"/>
                <w:sz w:val="24"/>
                <w:szCs w:val="24"/>
              </w:rPr>
              <w:t>2.4 Trend Analysis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_Toc236682363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6</w:t>
            </w:r>
            <w:r w:rsidRPr="006B384C">
              <w:rPr>
                <w:rFonts w:ascii="Times New Roman" w:hAnsi="Times New Roman" w:cs="Times New Roman"/>
                <w:noProof/>
                <w:webHidden/>
                <w:sz w:val="24"/>
                <w:szCs w:val="24"/>
              </w:rPr>
              <w:fldChar w:fldCharType="end"/>
            </w:r>
          </w:hyperlink>
        </w:p>
        <w:p w14:paraId="7F1EC373" w14:textId="09E2EC36"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64" w:history="1">
            <w:r w:rsidRPr="006B384C">
              <w:rPr>
                <w:rStyle w:val="Hyperlink"/>
                <w:rFonts w:ascii="Times New Roman" w:hAnsi="Times New Roman" w:cs="Times New Roman"/>
                <w:noProof/>
                <w:color w:val="auto"/>
                <w:sz w:val="24"/>
                <w:szCs w:val="24"/>
              </w:rPr>
              <w:t>2.5 Key Financial Strengths and Threats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_Toc236682364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6</w:t>
            </w:r>
            <w:r w:rsidRPr="006B384C">
              <w:rPr>
                <w:rFonts w:ascii="Times New Roman" w:hAnsi="Times New Roman" w:cs="Times New Roman"/>
                <w:noProof/>
                <w:webHidden/>
                <w:sz w:val="24"/>
                <w:szCs w:val="24"/>
              </w:rPr>
              <w:fldChar w:fldCharType="end"/>
            </w:r>
          </w:hyperlink>
        </w:p>
        <w:p w14:paraId="5A3D1F7E" w14:textId="655B8A15"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65" w:history="1">
            <w:r w:rsidRPr="006B384C">
              <w:rPr>
                <w:rStyle w:val="Hyperlink"/>
                <w:rFonts w:ascii="Times New Roman" w:hAnsi="Times New Roman" w:cs="Times New Roman"/>
                <w:noProof/>
                <w:color w:val="auto"/>
                <w:sz w:val="24"/>
                <w:szCs w:val="24"/>
              </w:rPr>
              <w:t>3. Working Capital Management Analysis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_Toc236682365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6</w:t>
            </w:r>
            <w:r w:rsidRPr="006B384C">
              <w:rPr>
                <w:rFonts w:ascii="Times New Roman" w:hAnsi="Times New Roman" w:cs="Times New Roman"/>
                <w:noProof/>
                <w:webHidden/>
                <w:sz w:val="24"/>
                <w:szCs w:val="24"/>
              </w:rPr>
              <w:fldChar w:fldCharType="end"/>
            </w:r>
          </w:hyperlink>
        </w:p>
        <w:p w14:paraId="75EE0368" w14:textId="708C7EA0"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66" w:history="1">
            <w:r w:rsidRPr="006B384C">
              <w:rPr>
                <w:rStyle w:val="Hyperlink"/>
                <w:rFonts w:ascii="Times New Roman" w:hAnsi="Times New Roman" w:cs="Times New Roman"/>
                <w:noProof/>
                <w:color w:val="auto"/>
                <w:sz w:val="24"/>
                <w:szCs w:val="24"/>
              </w:rPr>
              <w:t>3.1 Current Working Capital Position</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_Toc236682366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6</w:t>
            </w:r>
            <w:r w:rsidRPr="006B384C">
              <w:rPr>
                <w:rFonts w:ascii="Times New Roman" w:hAnsi="Times New Roman" w:cs="Times New Roman"/>
                <w:noProof/>
                <w:webHidden/>
                <w:sz w:val="24"/>
                <w:szCs w:val="24"/>
              </w:rPr>
              <w:fldChar w:fldCharType="end"/>
            </w:r>
          </w:hyperlink>
        </w:p>
        <w:p w14:paraId="4705966E" w14:textId="0A10D545"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67" w:history="1">
            <w:r w:rsidRPr="006B384C">
              <w:rPr>
                <w:rStyle w:val="Hyperlink"/>
                <w:rFonts w:ascii="Times New Roman" w:hAnsi="Times New Roman" w:cs="Times New Roman"/>
                <w:noProof/>
                <w:color w:val="auto"/>
                <w:sz w:val="24"/>
                <w:szCs w:val="24"/>
              </w:rPr>
              <w:t>3.2 Cash Operating Cycle Analysis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_Toc236682367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7</w:t>
            </w:r>
            <w:r w:rsidRPr="006B384C">
              <w:rPr>
                <w:rFonts w:ascii="Times New Roman" w:hAnsi="Times New Roman" w:cs="Times New Roman"/>
                <w:noProof/>
                <w:webHidden/>
                <w:sz w:val="24"/>
                <w:szCs w:val="24"/>
              </w:rPr>
              <w:fldChar w:fldCharType="end"/>
            </w:r>
          </w:hyperlink>
        </w:p>
        <w:p w14:paraId="3C68D84C" w14:textId="20A20092"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68" w:history="1">
            <w:r w:rsidRPr="006B384C">
              <w:rPr>
                <w:rStyle w:val="Hyperlink"/>
                <w:rFonts w:ascii="Times New Roman" w:hAnsi="Times New Roman" w:cs="Times New Roman"/>
                <w:noProof/>
                <w:color w:val="auto"/>
                <w:sz w:val="24"/>
                <w:szCs w:val="24"/>
              </w:rPr>
              <w:t>3.3 Liquidity Improvement Strategies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_Toc236682368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7</w:t>
            </w:r>
            <w:r w:rsidRPr="006B384C">
              <w:rPr>
                <w:rFonts w:ascii="Times New Roman" w:hAnsi="Times New Roman" w:cs="Times New Roman"/>
                <w:noProof/>
                <w:webHidden/>
                <w:sz w:val="24"/>
                <w:szCs w:val="24"/>
              </w:rPr>
              <w:fldChar w:fldCharType="end"/>
            </w:r>
          </w:hyperlink>
        </w:p>
        <w:p w14:paraId="1D3EA963" w14:textId="553B96B2"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69" w:history="1">
            <w:r w:rsidRPr="006B384C">
              <w:rPr>
                <w:rStyle w:val="Hyperlink"/>
                <w:rFonts w:ascii="Times New Roman" w:hAnsi="Times New Roman" w:cs="Times New Roman"/>
                <w:noProof/>
                <w:color w:val="auto"/>
                <w:sz w:val="24"/>
                <w:szCs w:val="24"/>
              </w:rPr>
              <w:t>3.4 Short-term vs Long-term Financing</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_Toc236682369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8</w:t>
            </w:r>
            <w:r w:rsidRPr="006B384C">
              <w:rPr>
                <w:rFonts w:ascii="Times New Roman" w:hAnsi="Times New Roman" w:cs="Times New Roman"/>
                <w:noProof/>
                <w:webHidden/>
                <w:sz w:val="24"/>
                <w:szCs w:val="24"/>
              </w:rPr>
              <w:fldChar w:fldCharType="end"/>
            </w:r>
          </w:hyperlink>
        </w:p>
        <w:p w14:paraId="07F50346" w14:textId="2DA9A637"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70" w:history="1">
            <w:r w:rsidRPr="006B384C">
              <w:rPr>
                <w:rStyle w:val="Hyperlink"/>
                <w:rFonts w:ascii="Times New Roman" w:hAnsi="Times New Roman" w:cs="Times New Roman"/>
                <w:noProof/>
                <w:color w:val="auto"/>
                <w:sz w:val="24"/>
                <w:szCs w:val="24"/>
              </w:rPr>
              <w:t>4. Strategic Financial Restructuring Plan</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_Toc236682370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8</w:t>
            </w:r>
            <w:r w:rsidRPr="006B384C">
              <w:rPr>
                <w:rFonts w:ascii="Times New Roman" w:hAnsi="Times New Roman" w:cs="Times New Roman"/>
                <w:noProof/>
                <w:webHidden/>
                <w:sz w:val="24"/>
                <w:szCs w:val="24"/>
              </w:rPr>
              <w:fldChar w:fldCharType="end"/>
            </w:r>
          </w:hyperlink>
        </w:p>
        <w:p w14:paraId="5D8B52C5" w14:textId="05A80A7C"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1" w:history="1">
            <w:r w:rsidRPr="006B384C">
              <w:rPr>
                <w:rStyle w:val="Hyperlink"/>
                <w:rFonts w:ascii="Times New Roman" w:hAnsi="Times New Roman" w:cs="Times New Roman"/>
                <w:noProof/>
                <w:color w:val="auto"/>
                <w:sz w:val="24"/>
                <w:szCs w:val="24"/>
              </w:rPr>
              <w:t>4.1 Need for Financial Restructuring</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_Toc236682371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9</w:t>
            </w:r>
            <w:r w:rsidRPr="006B384C">
              <w:rPr>
                <w:rFonts w:ascii="Times New Roman" w:hAnsi="Times New Roman" w:cs="Times New Roman"/>
                <w:noProof/>
                <w:webHidden/>
                <w:sz w:val="24"/>
                <w:szCs w:val="24"/>
              </w:rPr>
              <w:fldChar w:fldCharType="end"/>
            </w:r>
          </w:hyperlink>
        </w:p>
        <w:p w14:paraId="44F32E33" w14:textId="0FCDB05F"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2" w:history="1">
            <w:r w:rsidRPr="006B384C">
              <w:rPr>
                <w:rStyle w:val="Hyperlink"/>
                <w:rFonts w:ascii="Times New Roman" w:hAnsi="Times New Roman" w:cs="Times New Roman"/>
                <w:noProof/>
                <w:color w:val="auto"/>
                <w:sz w:val="24"/>
                <w:szCs w:val="24"/>
              </w:rPr>
              <w:t>4.2 Recommended Restructuring Options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_Toc236682372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9</w:t>
            </w:r>
            <w:r w:rsidRPr="006B384C">
              <w:rPr>
                <w:rFonts w:ascii="Times New Roman" w:hAnsi="Times New Roman" w:cs="Times New Roman"/>
                <w:noProof/>
                <w:webHidden/>
                <w:sz w:val="24"/>
                <w:szCs w:val="24"/>
              </w:rPr>
              <w:fldChar w:fldCharType="end"/>
            </w:r>
          </w:hyperlink>
        </w:p>
        <w:p w14:paraId="4040442D" w14:textId="0A9F13A6"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3" w:history="1">
            <w:r w:rsidRPr="006B384C">
              <w:rPr>
                <w:rStyle w:val="Hyperlink"/>
                <w:rFonts w:ascii="Times New Roman" w:hAnsi="Times New Roman" w:cs="Times New Roman"/>
                <w:noProof/>
                <w:color w:val="auto"/>
                <w:sz w:val="24"/>
                <w:szCs w:val="24"/>
              </w:rPr>
              <w:t>4.3 Financial Impact</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_Toc236682373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10</w:t>
            </w:r>
            <w:r w:rsidRPr="006B384C">
              <w:rPr>
                <w:rFonts w:ascii="Times New Roman" w:hAnsi="Times New Roman" w:cs="Times New Roman"/>
                <w:noProof/>
                <w:webHidden/>
                <w:sz w:val="24"/>
                <w:szCs w:val="24"/>
              </w:rPr>
              <w:fldChar w:fldCharType="end"/>
            </w:r>
          </w:hyperlink>
        </w:p>
        <w:p w14:paraId="7C845087" w14:textId="026D46DD"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4" w:history="1">
            <w:r w:rsidRPr="006B384C">
              <w:rPr>
                <w:rStyle w:val="Hyperlink"/>
                <w:rFonts w:ascii="Times New Roman" w:hAnsi="Times New Roman" w:cs="Times New Roman"/>
                <w:noProof/>
                <w:color w:val="auto"/>
                <w:sz w:val="24"/>
                <w:szCs w:val="24"/>
              </w:rPr>
              <w:t>4.4 International and Ethical Considerations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_Toc236682374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10</w:t>
            </w:r>
            <w:r w:rsidRPr="006B384C">
              <w:rPr>
                <w:rFonts w:ascii="Times New Roman" w:hAnsi="Times New Roman" w:cs="Times New Roman"/>
                <w:noProof/>
                <w:webHidden/>
                <w:sz w:val="24"/>
                <w:szCs w:val="24"/>
              </w:rPr>
              <w:fldChar w:fldCharType="end"/>
            </w:r>
          </w:hyperlink>
        </w:p>
        <w:p w14:paraId="7B12579B" w14:textId="1734E32C"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75" w:history="1">
            <w:r w:rsidRPr="006B384C">
              <w:rPr>
                <w:rStyle w:val="Hyperlink"/>
                <w:rFonts w:ascii="Times New Roman" w:hAnsi="Times New Roman" w:cs="Times New Roman"/>
                <w:noProof/>
                <w:color w:val="auto"/>
                <w:sz w:val="24"/>
                <w:szCs w:val="24"/>
              </w:rPr>
              <w:t>5. Investment Appraisal and Capital Budgeting</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_Toc236682375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11</w:t>
            </w:r>
            <w:r w:rsidRPr="006B384C">
              <w:rPr>
                <w:rFonts w:ascii="Times New Roman" w:hAnsi="Times New Roman" w:cs="Times New Roman"/>
                <w:noProof/>
                <w:webHidden/>
                <w:sz w:val="24"/>
                <w:szCs w:val="24"/>
              </w:rPr>
              <w:fldChar w:fldCharType="end"/>
            </w:r>
          </w:hyperlink>
        </w:p>
        <w:p w14:paraId="09B7CC39" w14:textId="6F575AED"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6" w:history="1">
            <w:r w:rsidRPr="006B384C">
              <w:rPr>
                <w:rStyle w:val="Hyperlink"/>
                <w:rFonts w:ascii="Times New Roman" w:hAnsi="Times New Roman" w:cs="Times New Roman"/>
                <w:noProof/>
                <w:color w:val="auto"/>
                <w:sz w:val="24"/>
                <w:szCs w:val="24"/>
              </w:rPr>
              <w:t>5.1 Introduction to Capital Budgeting</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_Toc236682376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11</w:t>
            </w:r>
            <w:r w:rsidRPr="006B384C">
              <w:rPr>
                <w:rFonts w:ascii="Times New Roman" w:hAnsi="Times New Roman" w:cs="Times New Roman"/>
                <w:noProof/>
                <w:webHidden/>
                <w:sz w:val="24"/>
                <w:szCs w:val="24"/>
              </w:rPr>
              <w:fldChar w:fldCharType="end"/>
            </w:r>
          </w:hyperlink>
        </w:p>
        <w:p w14:paraId="6B22645F" w14:textId="3A614772"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7" w:history="1">
            <w:r w:rsidRPr="006B384C">
              <w:rPr>
                <w:rStyle w:val="Hyperlink"/>
                <w:rFonts w:ascii="Times New Roman" w:hAnsi="Times New Roman" w:cs="Times New Roman"/>
                <w:noProof/>
                <w:color w:val="auto"/>
                <w:sz w:val="24"/>
                <w:szCs w:val="24"/>
              </w:rPr>
              <w:t>5.2 Investment Calculations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_Toc236682377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11</w:t>
            </w:r>
            <w:r w:rsidRPr="006B384C">
              <w:rPr>
                <w:rFonts w:ascii="Times New Roman" w:hAnsi="Times New Roman" w:cs="Times New Roman"/>
                <w:noProof/>
                <w:webHidden/>
                <w:sz w:val="24"/>
                <w:szCs w:val="24"/>
              </w:rPr>
              <w:fldChar w:fldCharType="end"/>
            </w:r>
          </w:hyperlink>
        </w:p>
        <w:p w14:paraId="21717D29" w14:textId="08CBAF50"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8" w:history="1">
            <w:r w:rsidRPr="006B384C">
              <w:rPr>
                <w:rStyle w:val="Hyperlink"/>
                <w:rFonts w:ascii="Times New Roman" w:hAnsi="Times New Roman" w:cs="Times New Roman"/>
                <w:noProof/>
                <w:color w:val="auto"/>
                <w:sz w:val="24"/>
                <w:szCs w:val="24"/>
              </w:rPr>
              <w:t>5.3 Comparison of Projects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_Toc236682378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12</w:t>
            </w:r>
            <w:r w:rsidRPr="006B384C">
              <w:rPr>
                <w:rFonts w:ascii="Times New Roman" w:hAnsi="Times New Roman" w:cs="Times New Roman"/>
                <w:noProof/>
                <w:webHidden/>
                <w:sz w:val="24"/>
                <w:szCs w:val="24"/>
              </w:rPr>
              <w:fldChar w:fldCharType="end"/>
            </w:r>
          </w:hyperlink>
        </w:p>
        <w:p w14:paraId="19DB500F" w14:textId="76AC330D"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79" w:history="1">
            <w:r w:rsidRPr="006B384C">
              <w:rPr>
                <w:rStyle w:val="Hyperlink"/>
                <w:rFonts w:ascii="Times New Roman" w:hAnsi="Times New Roman" w:cs="Times New Roman"/>
                <w:noProof/>
                <w:color w:val="auto"/>
                <w:sz w:val="24"/>
                <w:szCs w:val="24"/>
              </w:rPr>
              <w:t>5.4 Recommended Project</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_Toc236682379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13</w:t>
            </w:r>
            <w:r w:rsidRPr="006B384C">
              <w:rPr>
                <w:rFonts w:ascii="Times New Roman" w:hAnsi="Times New Roman" w:cs="Times New Roman"/>
                <w:noProof/>
                <w:webHidden/>
                <w:sz w:val="24"/>
                <w:szCs w:val="24"/>
              </w:rPr>
              <w:fldChar w:fldCharType="end"/>
            </w:r>
          </w:hyperlink>
        </w:p>
        <w:p w14:paraId="0D9B11D7" w14:textId="02AA7354"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80" w:history="1">
            <w:r w:rsidRPr="006B384C">
              <w:rPr>
                <w:rStyle w:val="Hyperlink"/>
                <w:rFonts w:ascii="Times New Roman" w:hAnsi="Times New Roman" w:cs="Times New Roman"/>
                <w:noProof/>
                <w:color w:val="auto"/>
                <w:sz w:val="24"/>
                <w:szCs w:val="24"/>
              </w:rPr>
              <w:t>5.5 Capital Rationing</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_Toc236682380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14</w:t>
            </w:r>
            <w:r w:rsidRPr="006B384C">
              <w:rPr>
                <w:rFonts w:ascii="Times New Roman" w:hAnsi="Times New Roman" w:cs="Times New Roman"/>
                <w:noProof/>
                <w:webHidden/>
                <w:sz w:val="24"/>
                <w:szCs w:val="24"/>
              </w:rPr>
              <w:fldChar w:fldCharType="end"/>
            </w:r>
          </w:hyperlink>
        </w:p>
        <w:p w14:paraId="11081609" w14:textId="71DF3BD5"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81" w:history="1">
            <w:r w:rsidRPr="006B384C">
              <w:rPr>
                <w:rStyle w:val="Hyperlink"/>
                <w:rFonts w:ascii="Times New Roman" w:hAnsi="Times New Roman" w:cs="Times New Roman"/>
                <w:noProof/>
                <w:color w:val="auto"/>
                <w:sz w:val="24"/>
                <w:szCs w:val="24"/>
              </w:rPr>
              <w:t>6. Critical Reflection on AI Usage</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_Toc236682381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14</w:t>
            </w:r>
            <w:r w:rsidRPr="006B384C">
              <w:rPr>
                <w:rFonts w:ascii="Times New Roman" w:hAnsi="Times New Roman" w:cs="Times New Roman"/>
                <w:noProof/>
                <w:webHidden/>
                <w:sz w:val="24"/>
                <w:szCs w:val="24"/>
              </w:rPr>
              <w:fldChar w:fldCharType="end"/>
            </w:r>
          </w:hyperlink>
        </w:p>
        <w:p w14:paraId="7E422232" w14:textId="5CAD0B9B"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82" w:history="1">
            <w:r w:rsidRPr="006B384C">
              <w:rPr>
                <w:rStyle w:val="Hyperlink"/>
                <w:rFonts w:ascii="Times New Roman" w:hAnsi="Times New Roman" w:cs="Times New Roman"/>
                <w:noProof/>
                <w:color w:val="auto"/>
                <w:sz w:val="24"/>
                <w:szCs w:val="24"/>
              </w:rPr>
              <w:t>6.1 Tool Disclosure</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_Toc236682382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14</w:t>
            </w:r>
            <w:r w:rsidRPr="006B384C">
              <w:rPr>
                <w:rFonts w:ascii="Times New Roman" w:hAnsi="Times New Roman" w:cs="Times New Roman"/>
                <w:noProof/>
                <w:webHidden/>
                <w:sz w:val="24"/>
                <w:szCs w:val="24"/>
              </w:rPr>
              <w:fldChar w:fldCharType="end"/>
            </w:r>
          </w:hyperlink>
        </w:p>
        <w:p w14:paraId="4A26CA94" w14:textId="0CEE814C"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83" w:history="1">
            <w:r w:rsidRPr="006B384C">
              <w:rPr>
                <w:rStyle w:val="Hyperlink"/>
                <w:rFonts w:ascii="Times New Roman" w:hAnsi="Times New Roman" w:cs="Times New Roman"/>
                <w:noProof/>
                <w:color w:val="auto"/>
                <w:sz w:val="24"/>
                <w:szCs w:val="24"/>
              </w:rPr>
              <w:t>6.2 Verification of AI Outputs</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_Toc236682383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15</w:t>
            </w:r>
            <w:r w:rsidRPr="006B384C">
              <w:rPr>
                <w:rFonts w:ascii="Times New Roman" w:hAnsi="Times New Roman" w:cs="Times New Roman"/>
                <w:noProof/>
                <w:webHidden/>
                <w:sz w:val="24"/>
                <w:szCs w:val="24"/>
              </w:rPr>
              <w:fldChar w:fldCharType="end"/>
            </w:r>
          </w:hyperlink>
        </w:p>
        <w:p w14:paraId="4D3677B1" w14:textId="03D1699D"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84" w:history="1">
            <w:r w:rsidRPr="006B384C">
              <w:rPr>
                <w:rStyle w:val="Hyperlink"/>
                <w:rFonts w:ascii="Times New Roman" w:hAnsi="Times New Roman" w:cs="Times New Roman"/>
                <w:noProof/>
                <w:color w:val="auto"/>
                <w:sz w:val="24"/>
                <w:szCs w:val="24"/>
              </w:rPr>
              <w:t>6.3 AI vs Original Contribution</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_Toc236682384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15</w:t>
            </w:r>
            <w:r w:rsidRPr="006B384C">
              <w:rPr>
                <w:rFonts w:ascii="Times New Roman" w:hAnsi="Times New Roman" w:cs="Times New Roman"/>
                <w:noProof/>
                <w:webHidden/>
                <w:sz w:val="24"/>
                <w:szCs w:val="24"/>
              </w:rPr>
              <w:fldChar w:fldCharType="end"/>
            </w:r>
          </w:hyperlink>
        </w:p>
        <w:p w14:paraId="3D9A98AB" w14:textId="48E175BF" w:rsidR="006B384C" w:rsidRPr="006B384C" w:rsidRDefault="006B384C" w:rsidP="006B384C">
          <w:pPr>
            <w:pStyle w:val="TOC2"/>
            <w:tabs>
              <w:tab w:val="right" w:leader="dot" w:pos="9019"/>
            </w:tabs>
            <w:spacing w:line="360" w:lineRule="auto"/>
            <w:jc w:val="both"/>
            <w:rPr>
              <w:rFonts w:ascii="Times New Roman" w:hAnsi="Times New Roman" w:cs="Times New Roman"/>
              <w:noProof/>
              <w:sz w:val="24"/>
              <w:szCs w:val="24"/>
            </w:rPr>
          </w:pPr>
          <w:hyperlink w:anchor="_Toc236682385" w:history="1">
            <w:r w:rsidRPr="006B384C">
              <w:rPr>
                <w:rStyle w:val="Hyperlink"/>
                <w:rFonts w:ascii="Times New Roman" w:hAnsi="Times New Roman" w:cs="Times New Roman"/>
                <w:noProof/>
                <w:color w:val="auto"/>
                <w:sz w:val="24"/>
                <w:szCs w:val="24"/>
              </w:rPr>
              <w:t>6.4 Ethical Reflection</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_Toc236682385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16</w:t>
            </w:r>
            <w:r w:rsidRPr="006B384C">
              <w:rPr>
                <w:rFonts w:ascii="Times New Roman" w:hAnsi="Times New Roman" w:cs="Times New Roman"/>
                <w:noProof/>
                <w:webHidden/>
                <w:sz w:val="24"/>
                <w:szCs w:val="24"/>
              </w:rPr>
              <w:fldChar w:fldCharType="end"/>
            </w:r>
          </w:hyperlink>
        </w:p>
        <w:p w14:paraId="6EDFAA04" w14:textId="15F8B1F9"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86" w:history="1">
            <w:r w:rsidRPr="006B384C">
              <w:rPr>
                <w:rStyle w:val="Hyperlink"/>
                <w:rFonts w:ascii="Times New Roman" w:hAnsi="Times New Roman" w:cs="Times New Roman"/>
                <w:noProof/>
                <w:color w:val="auto"/>
                <w:sz w:val="24"/>
                <w:szCs w:val="24"/>
              </w:rPr>
              <w:t>7. Conclusion</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_Toc236682386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16</w:t>
            </w:r>
            <w:r w:rsidRPr="006B384C">
              <w:rPr>
                <w:rFonts w:ascii="Times New Roman" w:hAnsi="Times New Roman" w:cs="Times New Roman"/>
                <w:noProof/>
                <w:webHidden/>
                <w:sz w:val="24"/>
                <w:szCs w:val="24"/>
              </w:rPr>
              <w:fldChar w:fldCharType="end"/>
            </w:r>
          </w:hyperlink>
        </w:p>
        <w:p w14:paraId="158A49C0" w14:textId="5444A0E8"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87" w:history="1">
            <w:r w:rsidRPr="006B384C">
              <w:rPr>
                <w:rStyle w:val="Hyperlink"/>
                <w:rFonts w:ascii="Times New Roman" w:hAnsi="Times New Roman" w:cs="Times New Roman"/>
                <w:noProof/>
                <w:color w:val="auto"/>
                <w:sz w:val="24"/>
                <w:szCs w:val="24"/>
              </w:rPr>
              <w:t>Reference List</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_Toc236682387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18</w:t>
            </w:r>
            <w:r w:rsidRPr="006B384C">
              <w:rPr>
                <w:rFonts w:ascii="Times New Roman" w:hAnsi="Times New Roman" w:cs="Times New Roman"/>
                <w:noProof/>
                <w:webHidden/>
                <w:sz w:val="24"/>
                <w:szCs w:val="24"/>
              </w:rPr>
              <w:fldChar w:fldCharType="end"/>
            </w:r>
          </w:hyperlink>
        </w:p>
        <w:p w14:paraId="753C0C9C" w14:textId="43012F4F" w:rsidR="006B384C" w:rsidRPr="006B384C" w:rsidRDefault="006B384C" w:rsidP="006B384C">
          <w:pPr>
            <w:pStyle w:val="TOC1"/>
            <w:tabs>
              <w:tab w:val="right" w:leader="dot" w:pos="9019"/>
            </w:tabs>
            <w:spacing w:line="360" w:lineRule="auto"/>
            <w:jc w:val="both"/>
            <w:rPr>
              <w:rFonts w:ascii="Times New Roman" w:hAnsi="Times New Roman" w:cs="Times New Roman"/>
              <w:noProof/>
              <w:sz w:val="24"/>
              <w:szCs w:val="24"/>
            </w:rPr>
          </w:pPr>
          <w:hyperlink w:anchor="_Toc236682388" w:history="1">
            <w:r w:rsidRPr="006B384C">
              <w:rPr>
                <w:rStyle w:val="Hyperlink"/>
                <w:rFonts w:ascii="Times New Roman" w:hAnsi="Times New Roman" w:cs="Times New Roman"/>
                <w:noProof/>
                <w:color w:val="auto"/>
                <w:sz w:val="24"/>
                <w:szCs w:val="24"/>
              </w:rPr>
              <w:t>Appendix</w:t>
            </w:r>
            <w:r w:rsidRPr="006B384C">
              <w:rPr>
                <w:rFonts w:ascii="Times New Roman" w:hAnsi="Times New Roman" w:cs="Times New Roman"/>
                <w:noProof/>
                <w:webHidden/>
                <w:sz w:val="24"/>
                <w:szCs w:val="24"/>
              </w:rPr>
              <w:tab/>
            </w:r>
            <w:r w:rsidRPr="006B384C">
              <w:rPr>
                <w:rFonts w:ascii="Times New Roman" w:hAnsi="Times New Roman" w:cs="Times New Roman"/>
                <w:noProof/>
                <w:webHidden/>
                <w:sz w:val="24"/>
                <w:szCs w:val="24"/>
              </w:rPr>
              <w:fldChar w:fldCharType="begin"/>
            </w:r>
            <w:r w:rsidRPr="006B384C">
              <w:rPr>
                <w:rFonts w:ascii="Times New Roman" w:hAnsi="Times New Roman" w:cs="Times New Roman"/>
                <w:noProof/>
                <w:webHidden/>
                <w:sz w:val="24"/>
                <w:szCs w:val="24"/>
              </w:rPr>
              <w:instrText xml:space="preserve"> PAGEREF _Toc236682388 \h </w:instrText>
            </w:r>
            <w:r w:rsidRPr="006B384C">
              <w:rPr>
                <w:rFonts w:ascii="Times New Roman" w:hAnsi="Times New Roman" w:cs="Times New Roman"/>
                <w:noProof/>
                <w:webHidden/>
                <w:sz w:val="24"/>
                <w:szCs w:val="24"/>
              </w:rPr>
            </w:r>
            <w:r w:rsidRPr="006B384C">
              <w:rPr>
                <w:rFonts w:ascii="Times New Roman" w:hAnsi="Times New Roman" w:cs="Times New Roman"/>
                <w:noProof/>
                <w:webHidden/>
                <w:sz w:val="24"/>
                <w:szCs w:val="24"/>
              </w:rPr>
              <w:fldChar w:fldCharType="separate"/>
            </w:r>
            <w:r w:rsidRPr="006B384C">
              <w:rPr>
                <w:rFonts w:ascii="Times New Roman" w:hAnsi="Times New Roman" w:cs="Times New Roman"/>
                <w:noProof/>
                <w:webHidden/>
                <w:sz w:val="24"/>
                <w:szCs w:val="24"/>
              </w:rPr>
              <w:t>22</w:t>
            </w:r>
            <w:r w:rsidRPr="006B384C">
              <w:rPr>
                <w:rFonts w:ascii="Times New Roman" w:hAnsi="Times New Roman" w:cs="Times New Roman"/>
                <w:noProof/>
                <w:webHidden/>
                <w:sz w:val="24"/>
                <w:szCs w:val="24"/>
              </w:rPr>
              <w:fldChar w:fldCharType="end"/>
            </w:r>
          </w:hyperlink>
        </w:p>
        <w:p w14:paraId="12783B81" w14:textId="1F80C138" w:rsidR="006B384C" w:rsidRDefault="006B384C" w:rsidP="006B384C">
          <w:pPr>
            <w:spacing w:line="360" w:lineRule="auto"/>
            <w:jc w:val="both"/>
          </w:pPr>
          <w:r w:rsidRPr="006B384C">
            <w:rPr>
              <w:rFonts w:ascii="Times New Roman" w:hAnsi="Times New Roman" w:cs="Times New Roman"/>
              <w:b/>
              <w:bCs/>
              <w:noProof/>
              <w:sz w:val="24"/>
              <w:szCs w:val="24"/>
            </w:rPr>
            <w:fldChar w:fldCharType="end"/>
          </w:r>
        </w:p>
      </w:sdtContent>
    </w:sdt>
    <w:p w14:paraId="0A7766DC" w14:textId="77777777" w:rsidR="006B384C" w:rsidRDefault="006B384C">
      <w:pPr>
        <w:rPr>
          <w:rFonts w:ascii="Times New Roman" w:eastAsia="Times New Roman" w:hAnsi="Times New Roman" w:cs="Times New Roman"/>
          <w:b/>
          <w:bCs/>
          <w:sz w:val="28"/>
          <w:szCs w:val="28"/>
        </w:rPr>
      </w:pPr>
      <w:r>
        <w:br w:type="page"/>
      </w:r>
    </w:p>
    <w:p w14:paraId="67D7DE7E" w14:textId="049CB278" w:rsidR="001A687F" w:rsidRPr="004C3139" w:rsidRDefault="003B77CE" w:rsidP="004C3139">
      <w:pPr>
        <w:pStyle w:val="Heading1"/>
      </w:pPr>
      <w:bookmarkStart w:id="1" w:name="_Toc236682352"/>
      <w:r w:rsidRPr="004C3139">
        <w:lastRenderedPageBreak/>
        <w:t>1. Introduction</w:t>
      </w:r>
      <w:bookmarkEnd w:id="1"/>
    </w:p>
    <w:p w14:paraId="5F7F83A1"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is one of the largest hospitality companies in the world with a presence in over 45 hotel brands in over 110 countries, more than 5,800 hotels, 880,000 rooms and about 380,000 employees (Accor, 2026). The company has become stronger internationally with its asset-light business model, innovation, and its responsibilities in the hospitality industry to deliver value to customers, partners, and shareholders. The hospitality sector is a very competitive field, and financial management is necessary to ens</w:t>
      </w:r>
      <w:r>
        <w:rPr>
          <w:rFonts w:ascii="Times New Roman" w:eastAsia="Times New Roman" w:hAnsi="Times New Roman" w:cs="Times New Roman"/>
          <w:sz w:val="24"/>
          <w:szCs w:val="24"/>
        </w:rPr>
        <w:t xml:space="preserve">ure that it is profitable, liquid and operating efficiently, as well as being able to sustain the business in the long term. This report will be an evaluation of the financial performance of Accor in the last five years through financial statement analysis and significant financial ratios. It also </w:t>
      </w:r>
      <w:proofErr w:type="spellStart"/>
      <w:r>
        <w:rPr>
          <w:rFonts w:ascii="Times New Roman" w:eastAsia="Times New Roman" w:hAnsi="Times New Roman" w:cs="Times New Roman"/>
          <w:sz w:val="24"/>
          <w:szCs w:val="24"/>
        </w:rPr>
        <w:t>analyzes</w:t>
      </w:r>
      <w:proofErr w:type="spellEnd"/>
      <w:r>
        <w:rPr>
          <w:rFonts w:ascii="Times New Roman" w:eastAsia="Times New Roman" w:hAnsi="Times New Roman" w:cs="Times New Roman"/>
          <w:sz w:val="24"/>
          <w:szCs w:val="24"/>
        </w:rPr>
        <w:t xml:space="preserve"> the working capital management of the company and suggests appropriate financial restructuring strategies as well as appraise three investment projects under capital budgeting techniques such as NPV, IRR,</w:t>
      </w:r>
      <w:r>
        <w:rPr>
          <w:rFonts w:ascii="Times New Roman" w:eastAsia="Times New Roman" w:hAnsi="Times New Roman" w:cs="Times New Roman"/>
          <w:sz w:val="24"/>
          <w:szCs w:val="24"/>
        </w:rPr>
        <w:t xml:space="preserve"> ARR, PI and Payback Period. Lastly, the report critically analyses the use of Artificial Intelligence (AI) in assisting financial analysis whilst highlighting professional judgement and ethical decision-making.</w:t>
      </w:r>
    </w:p>
    <w:p w14:paraId="39E99AFE" w14:textId="77777777" w:rsidR="001A687F" w:rsidRDefault="003B77CE" w:rsidP="004C3139">
      <w:pPr>
        <w:pStyle w:val="Heading1"/>
      </w:pPr>
      <w:bookmarkStart w:id="2" w:name="_heading=h.m691vftcrhq" w:colFirst="0" w:colLast="0"/>
      <w:bookmarkStart w:id="3" w:name="_Toc236682353"/>
      <w:bookmarkEnd w:id="2"/>
      <w:r>
        <w:t>2. Financial Health Check</w:t>
      </w:r>
      <w:bookmarkEnd w:id="3"/>
    </w:p>
    <w:p w14:paraId="51EBE481" w14:textId="77777777" w:rsidR="001A687F" w:rsidRDefault="003B77CE">
      <w:pPr>
        <w:pStyle w:val="Heading2"/>
      </w:pPr>
      <w:bookmarkStart w:id="4" w:name="_heading=h.eoof0fl3eobu" w:colFirst="0" w:colLast="0"/>
      <w:bookmarkStart w:id="5" w:name="_Toc236682354"/>
      <w:bookmarkEnd w:id="4"/>
      <w:r>
        <w:t>2.1 Company Financial Overview</w:t>
      </w:r>
      <w:bookmarkEnd w:id="5"/>
    </w:p>
    <w:p w14:paraId="61AA07B9"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has an asset-light business model in hospitality, with its revenue sources being hotel management, franchise fee, owned and leased hotels, lifestyle services and loyalty programmes. Its diversified sources of income lessen reliance on owning property whereas sustaining efficiency and profitability in its operations. With a presence in over 110 nations, Accor has a high global brand awareness and a high level of diversification in the international market. In the years 2021-2025, the company registered</w:t>
      </w:r>
      <w:r>
        <w:rPr>
          <w:rFonts w:ascii="Times New Roman" w:eastAsia="Times New Roman" w:hAnsi="Times New Roman" w:cs="Times New Roman"/>
          <w:sz w:val="24"/>
          <w:szCs w:val="24"/>
        </w:rPr>
        <w:t xml:space="preserve"> a huge financial recovery after the COVID-19 pandemic due to rising travel demand, better occupancy levels, strategic acquisitions, cost-disciplined cost management, and increased cash generation, which improved the overall financial performance of the company.</w:t>
      </w:r>
    </w:p>
    <w:p w14:paraId="52F71C66" w14:textId="77777777" w:rsidR="001A687F" w:rsidRDefault="003B77CE">
      <w:pPr>
        <w:pStyle w:val="Heading2"/>
      </w:pPr>
      <w:bookmarkStart w:id="6" w:name="_heading=h.km71vey38pdz" w:colFirst="0" w:colLast="0"/>
      <w:bookmarkStart w:id="7" w:name="_Toc236682355"/>
      <w:bookmarkEnd w:id="6"/>
      <w:r>
        <w:t>2.2 Five-Year Financial Statement Analysis</w:t>
      </w:r>
      <w:bookmarkEnd w:id="7"/>
    </w:p>
    <w:p w14:paraId="6D0946E0" w14:textId="63075C69"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performance of Accor enhanced greatly during the 2022</w:t>
      </w:r>
      <w:r w:rsidR="003B47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2025 period, as the global hospitality industry was still recovering. The total revenue grew steadily, reaching €4.22 billion in 2022 and then to 5.64 billion in 2025, due to the rise in travel demand, the occupancy </w:t>
      </w:r>
      <w:r>
        <w:rPr>
          <w:rFonts w:ascii="Times New Roman" w:eastAsia="Times New Roman" w:hAnsi="Times New Roman" w:cs="Times New Roman"/>
          <w:sz w:val="24"/>
          <w:szCs w:val="24"/>
        </w:rPr>
        <w:lastRenderedPageBreak/>
        <w:t>rate, and its management and franchise business. Operating income also showed consistent improvement, rising from €447 million to €869 million, demonstrating enhanced operational efficiency despite increasing operating expenses. Net income reached its highest level of €588 million in 2023 before</w:t>
      </w:r>
      <w:r>
        <w:rPr>
          <w:rFonts w:ascii="Times New Roman" w:eastAsia="Times New Roman" w:hAnsi="Times New Roman" w:cs="Times New Roman"/>
          <w:sz w:val="24"/>
          <w:szCs w:val="24"/>
        </w:rPr>
        <w:t xml:space="preserve"> easing to €575 million in 2024 and €385 million in 2025. The drop in 2025 was mainly related to the growth in interest charges, higher tax provisions and special expenses. Meanwhile, EBITDA increased from €794 million in 2022 to €1.14 billion in 2025, indicating strong operating cash generation despite a slight decline from 2024 (Yahoo Finance, 2025). On the whole, the five-year financial results demonstrate that Accor has been able to recover successfully after the pandemic, increase its profitability, an</w:t>
      </w:r>
      <w:r>
        <w:rPr>
          <w:rFonts w:ascii="Times New Roman" w:eastAsia="Times New Roman" w:hAnsi="Times New Roman" w:cs="Times New Roman"/>
          <w:sz w:val="24"/>
          <w:szCs w:val="24"/>
        </w:rPr>
        <w:t xml:space="preserve">d continue business development despite the increasing costs and evolving market changes. </w:t>
      </w:r>
    </w:p>
    <w:p w14:paraId="77548BD5" w14:textId="7E4FF3F3" w:rsidR="003B47BC" w:rsidRDefault="003B47BC" w:rsidP="003B47BC">
      <w:pPr>
        <w:spacing w:before="240" w:after="240" w:line="360" w:lineRule="auto"/>
        <w:jc w:val="center"/>
        <w:rPr>
          <w:rFonts w:ascii="Times New Roman" w:eastAsia="Times New Roman" w:hAnsi="Times New Roman" w:cs="Times New Roman"/>
          <w:sz w:val="24"/>
          <w:szCs w:val="24"/>
        </w:rPr>
      </w:pPr>
      <w:r w:rsidRPr="003B47BC">
        <w:rPr>
          <w:rFonts w:ascii="Times New Roman" w:eastAsia="Times New Roman" w:hAnsi="Times New Roman" w:cs="Times New Roman"/>
          <w:noProof/>
          <w:sz w:val="24"/>
          <w:szCs w:val="24"/>
        </w:rPr>
        <w:drawing>
          <wp:inline distT="0" distB="0" distL="0" distR="0" wp14:anchorId="5C4EADA8" wp14:editId="2D294C2F">
            <wp:extent cx="4484167" cy="5204460"/>
            <wp:effectExtent l="0" t="0" r="0" b="0"/>
            <wp:docPr id="706817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17477" name=""/>
                    <pic:cNvPicPr/>
                  </pic:nvPicPr>
                  <pic:blipFill>
                    <a:blip r:embed="rId10"/>
                    <a:stretch>
                      <a:fillRect/>
                    </a:stretch>
                  </pic:blipFill>
                  <pic:spPr>
                    <a:xfrm>
                      <a:off x="0" y="0"/>
                      <a:ext cx="4489129" cy="5210220"/>
                    </a:xfrm>
                    <a:prstGeom prst="rect">
                      <a:avLst/>
                    </a:prstGeom>
                  </pic:spPr>
                </pic:pic>
              </a:graphicData>
            </a:graphic>
          </wp:inline>
        </w:drawing>
      </w:r>
    </w:p>
    <w:p w14:paraId="028BD0AA" w14:textId="48D149ED" w:rsidR="003B47BC" w:rsidRDefault="003B47BC" w:rsidP="003B47BC">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Income statement</w:t>
      </w:r>
    </w:p>
    <w:p w14:paraId="4F26EA1A" w14:textId="4FB72908" w:rsidR="003B47BC" w:rsidRPr="003B47BC" w:rsidRDefault="003B47BC" w:rsidP="003B47B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(Yahoo Finance, 2025)</w:t>
      </w:r>
    </w:p>
    <w:p w14:paraId="17F0E6B4" w14:textId="77777777" w:rsidR="001A687F" w:rsidRDefault="003B77CE">
      <w:pPr>
        <w:pStyle w:val="Heading2"/>
      </w:pPr>
      <w:bookmarkStart w:id="8" w:name="_heading=h.tbfesuefo4fv" w:colFirst="0" w:colLast="0"/>
      <w:bookmarkStart w:id="9" w:name="_Toc236682356"/>
      <w:bookmarkEnd w:id="8"/>
      <w:r>
        <w:lastRenderedPageBreak/>
        <w:t>2.3 Ratio Analysis</w:t>
      </w:r>
      <w:bookmarkEnd w:id="9"/>
    </w:p>
    <w:p w14:paraId="0FCF4D74" w14:textId="77777777" w:rsidR="001A687F" w:rsidRDefault="003B77CE">
      <w:pPr>
        <w:pStyle w:val="Heading3"/>
      </w:pPr>
      <w:bookmarkStart w:id="10" w:name="_heading=h.39w38rqhngv5" w:colFirst="0" w:colLast="0"/>
      <w:bookmarkStart w:id="11" w:name="_Toc236682357"/>
      <w:bookmarkEnd w:id="10"/>
      <w:r>
        <w:t>2.3.1 Profitability Ratios</w:t>
      </w:r>
      <w:bookmarkEnd w:id="11"/>
    </w:p>
    <w:p w14:paraId="1EDB0840" w14:textId="29FC0F5F"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Profitability ratios help assess whether a firm can produce earnings through its activities and are valuable metrics of financial success and sustainability (</w:t>
      </w:r>
      <w:proofErr w:type="spellStart"/>
      <w:r>
        <w:rPr>
          <w:rFonts w:ascii="Times New Roman" w:eastAsia="Times New Roman" w:hAnsi="Times New Roman" w:cs="Times New Roman"/>
          <w:sz w:val="24"/>
          <w:szCs w:val="24"/>
        </w:rPr>
        <w:t>Kalbuana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 Accor's Net Profit Margin improved significantly from 4.08% in 2021 to 12.86% in 2023 before declining to 10.88% in 2024 and 8.85% in 2025. However, the 2025 margin was not exceeding the hospitality industry standard of 815, which reflects the satisfactory profitability amid the increasing cost of financing and operational costs. Likewise, there was a significant rise of Operating Profit Margin, which went up to 19.84% in 2023 and then to 14.31% in 2025. Although slightly below the industry benchma</w:t>
      </w:r>
      <w:r>
        <w:rPr>
          <w:rFonts w:ascii="Times New Roman" w:eastAsia="Times New Roman" w:hAnsi="Times New Roman" w:cs="Times New Roman"/>
          <w:sz w:val="24"/>
          <w:szCs w:val="24"/>
        </w:rPr>
        <w:t>rk of 15</w:t>
      </w:r>
      <w:r w:rsidR="00396843">
        <w:rPr>
          <w:rFonts w:ascii="Times New Roman" w:eastAsia="Times New Roman" w:hAnsi="Times New Roman" w:cs="Times New Roman"/>
          <w:sz w:val="24"/>
          <w:szCs w:val="24"/>
        </w:rPr>
        <w:t>-</w:t>
      </w:r>
      <w:r>
        <w:rPr>
          <w:rFonts w:ascii="Times New Roman" w:eastAsia="Times New Roman" w:hAnsi="Times New Roman" w:cs="Times New Roman"/>
          <w:sz w:val="24"/>
          <w:szCs w:val="24"/>
        </w:rPr>
        <w:t>25%, the ratio demonstrates improved operating efficiency compared with the pandemic recovery period.</w:t>
      </w:r>
    </w:p>
    <w:p w14:paraId="343C40E4" w14:textId="3696CD1C" w:rsidR="00396843" w:rsidRDefault="00396843" w:rsidP="00396843">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524782EA" wp14:editId="1C761963">
            <wp:extent cx="4678680" cy="2567940"/>
            <wp:effectExtent l="171450" t="171450" r="160020" b="175260"/>
            <wp:docPr id="890011352" name="Chart 1">
              <a:extLst xmlns:a="http://schemas.openxmlformats.org/drawingml/2006/main">
                <a:ext uri="{FF2B5EF4-FFF2-40B4-BE49-F238E27FC236}">
                  <a16:creationId xmlns:a16="http://schemas.microsoft.com/office/drawing/2014/main" id="{0A9B2F91-4B88-69C1-451F-4AAD0CA062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92131CA" w14:textId="08550A84"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B47BC">
        <w:rPr>
          <w:rFonts w:ascii="Times New Roman" w:eastAsia="Times New Roman" w:hAnsi="Times New Roman" w:cs="Times New Roman"/>
          <w:b/>
          <w:bCs/>
          <w:sz w:val="24"/>
          <w:szCs w:val="24"/>
        </w:rPr>
        <w:t>2</w:t>
      </w:r>
      <w:r>
        <w:rPr>
          <w:rFonts w:ascii="Times New Roman" w:eastAsia="Times New Roman" w:hAnsi="Times New Roman" w:cs="Times New Roman"/>
          <w:b/>
          <w:bCs/>
          <w:sz w:val="24"/>
          <w:szCs w:val="24"/>
        </w:rPr>
        <w:t>: Profitability ratio</w:t>
      </w:r>
    </w:p>
    <w:p w14:paraId="0550D355" w14:textId="01F77C93" w:rsidR="00396843" w:rsidRP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53D84010" w14:textId="77777777" w:rsidR="001A687F" w:rsidRDefault="003B77CE">
      <w:pPr>
        <w:pStyle w:val="Heading3"/>
      </w:pPr>
      <w:bookmarkStart w:id="12" w:name="_heading=h.5jmpoqjz3f25" w:colFirst="0" w:colLast="0"/>
      <w:bookmarkStart w:id="13" w:name="_Toc236682358"/>
      <w:bookmarkEnd w:id="12"/>
      <w:r>
        <w:t>2.3.2 Liquidity Ratios</w:t>
      </w:r>
      <w:bookmarkEnd w:id="13"/>
    </w:p>
    <w:p w14:paraId="2A1E8439"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Liquidity ratios evaluate the capacity of a company to </w:t>
      </w:r>
      <w:proofErr w:type="spellStart"/>
      <w:r>
        <w:rPr>
          <w:rFonts w:ascii="Times New Roman" w:eastAsia="Times New Roman" w:hAnsi="Times New Roman" w:cs="Times New Roman"/>
          <w:sz w:val="24"/>
          <w:szCs w:val="24"/>
        </w:rPr>
        <w:t>fulfill</w:t>
      </w:r>
      <w:proofErr w:type="spellEnd"/>
      <w:r>
        <w:rPr>
          <w:rFonts w:ascii="Times New Roman" w:eastAsia="Times New Roman" w:hAnsi="Times New Roman" w:cs="Times New Roman"/>
          <w:sz w:val="24"/>
          <w:szCs w:val="24"/>
        </w:rPr>
        <w:t xml:space="preserve"> its immediate financial commitments and are crucial in ensuring the company remains afloat financially (Blessing and </w:t>
      </w:r>
      <w:proofErr w:type="spellStart"/>
      <w:r>
        <w:rPr>
          <w:rFonts w:ascii="Times New Roman" w:eastAsia="Times New Roman" w:hAnsi="Times New Roman" w:cs="Times New Roman"/>
          <w:sz w:val="24"/>
          <w:szCs w:val="24"/>
        </w:rPr>
        <w:t>Sakouvogui</w:t>
      </w:r>
      <w:proofErr w:type="spellEnd"/>
      <w:r>
        <w:rPr>
          <w:rFonts w:ascii="Times New Roman" w:eastAsia="Times New Roman" w:hAnsi="Times New Roman" w:cs="Times New Roman"/>
          <w:sz w:val="24"/>
          <w:szCs w:val="24"/>
        </w:rPr>
        <w:t xml:space="preserve">, 2023). The Current Ratio of Accor ranged between 0.98 and 1.23 in 2021-2025, and the Current Ratio in 2025 of 1.05 was well below the industry standard of 0.80-1.20. The </w:t>
      </w:r>
      <w:r>
        <w:rPr>
          <w:rFonts w:ascii="Times New Roman" w:eastAsia="Times New Roman" w:hAnsi="Times New Roman" w:cs="Times New Roman"/>
          <w:sz w:val="24"/>
          <w:szCs w:val="24"/>
        </w:rPr>
        <w:lastRenderedPageBreak/>
        <w:t>Cash Ratio decreased smoothly between 0.63 in 2021 and 0.43 in 2025 but was within the industry recommended value of 0.20-0.50 which suggests that there was sufficient immediate liquidity despite the decre</w:t>
      </w:r>
      <w:r>
        <w:rPr>
          <w:rFonts w:ascii="Times New Roman" w:eastAsia="Times New Roman" w:hAnsi="Times New Roman" w:cs="Times New Roman"/>
          <w:sz w:val="24"/>
          <w:szCs w:val="24"/>
        </w:rPr>
        <w:t>ase in cash holdings.</w:t>
      </w:r>
    </w:p>
    <w:p w14:paraId="6358C204" w14:textId="0E21908F" w:rsidR="00396843" w:rsidRDefault="00396843" w:rsidP="00396843">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38B3843C" wp14:editId="59E4B3CF">
            <wp:extent cx="4678680" cy="2567940"/>
            <wp:effectExtent l="171450" t="171450" r="160020" b="175260"/>
            <wp:docPr id="1620321094" name="Chart 1">
              <a:extLst xmlns:a="http://schemas.openxmlformats.org/drawingml/2006/main">
                <a:ext uri="{FF2B5EF4-FFF2-40B4-BE49-F238E27FC236}">
                  <a16:creationId xmlns:a16="http://schemas.microsoft.com/office/drawing/2014/main" id="{2A8C8C78-132D-6678-00A9-93E19CF90D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B9B1CD" w14:textId="11C011B9"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B47BC">
        <w:rPr>
          <w:rFonts w:ascii="Times New Roman" w:eastAsia="Times New Roman" w:hAnsi="Times New Roman" w:cs="Times New Roman"/>
          <w:b/>
          <w:bCs/>
          <w:sz w:val="24"/>
          <w:szCs w:val="24"/>
        </w:rPr>
        <w:t>3</w:t>
      </w:r>
      <w:r>
        <w:rPr>
          <w:rFonts w:ascii="Times New Roman" w:eastAsia="Times New Roman" w:hAnsi="Times New Roman" w:cs="Times New Roman"/>
          <w:b/>
          <w:bCs/>
          <w:sz w:val="24"/>
          <w:szCs w:val="24"/>
        </w:rPr>
        <w:t>: Liquidity ratio</w:t>
      </w:r>
    </w:p>
    <w:p w14:paraId="2DC06C38" w14:textId="7CE70226"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6FC35373" w14:textId="77777777" w:rsidR="001A687F" w:rsidRDefault="003B77CE">
      <w:pPr>
        <w:pStyle w:val="Heading3"/>
      </w:pPr>
      <w:bookmarkStart w:id="14" w:name="_heading=h.7cnfsvewgsrd" w:colFirst="0" w:colLast="0"/>
      <w:bookmarkStart w:id="15" w:name="_Toc236682359"/>
      <w:bookmarkEnd w:id="14"/>
      <w:r>
        <w:t>2.3.3 Efficiency Ratios</w:t>
      </w:r>
      <w:bookmarkEnd w:id="15"/>
    </w:p>
    <w:p w14:paraId="33654D54"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Efficiency ratios are the measures of the effectiveness of firms in using their assets and working capital to create revenue (</w:t>
      </w:r>
      <w:proofErr w:type="spellStart"/>
      <w:r>
        <w:rPr>
          <w:rFonts w:ascii="Times New Roman" w:eastAsia="Times New Roman" w:hAnsi="Times New Roman" w:cs="Times New Roman"/>
          <w:sz w:val="24"/>
          <w:szCs w:val="24"/>
        </w:rPr>
        <w:t>Iazzolino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 The Accounts Receivable Turnover at Accor also improved as it rose gradually between 3.58 and 6.91 times as evidence of efficiency in collections. Nevertheless, it was significantly lower than the hospitality industry standards of 15-30 times indicating that it could receive faster receivable turnover. Conversely, the Total Asset Turnover ratio increased by 0.21 up to 0.47 times, which is better than the industry average of 0.35-0.60, and indicates more efficient use of assets.</w:t>
      </w:r>
    </w:p>
    <w:p w14:paraId="4AFA4366" w14:textId="04DBCB03" w:rsidR="00396843" w:rsidRDefault="00396843" w:rsidP="00396843">
      <w:pPr>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7F07EF4E" wp14:editId="6E746C88">
            <wp:extent cx="4678680" cy="2392680"/>
            <wp:effectExtent l="171450" t="152400" r="160020" b="140970"/>
            <wp:docPr id="1854804780" name="Chart 1">
              <a:extLst xmlns:a="http://schemas.openxmlformats.org/drawingml/2006/main">
                <a:ext uri="{FF2B5EF4-FFF2-40B4-BE49-F238E27FC236}">
                  <a16:creationId xmlns:a16="http://schemas.microsoft.com/office/drawing/2014/main" id="{3952C890-0808-605F-50AB-CC046DE22F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3B7F62" w14:textId="63AEA674"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B47BC">
        <w:rPr>
          <w:rFonts w:ascii="Times New Roman" w:eastAsia="Times New Roman" w:hAnsi="Times New Roman" w:cs="Times New Roman"/>
          <w:b/>
          <w:bCs/>
          <w:sz w:val="24"/>
          <w:szCs w:val="24"/>
        </w:rPr>
        <w:t>4</w:t>
      </w:r>
      <w:r>
        <w:rPr>
          <w:rFonts w:ascii="Times New Roman" w:eastAsia="Times New Roman" w:hAnsi="Times New Roman" w:cs="Times New Roman"/>
          <w:b/>
          <w:bCs/>
          <w:sz w:val="24"/>
          <w:szCs w:val="24"/>
        </w:rPr>
        <w:t>: Liquidity ratio</w:t>
      </w:r>
    </w:p>
    <w:p w14:paraId="49E11DA8" w14:textId="7192CC22"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50544E61" w14:textId="77777777" w:rsidR="001A687F" w:rsidRDefault="003B77CE">
      <w:pPr>
        <w:pStyle w:val="Heading3"/>
      </w:pPr>
      <w:bookmarkStart w:id="16" w:name="_heading=h.pegh369ax35v" w:colFirst="0" w:colLast="0"/>
      <w:bookmarkStart w:id="17" w:name="_Toc236682360"/>
      <w:bookmarkEnd w:id="16"/>
      <w:r>
        <w:t>2.3.4 Gearing Ratio</w:t>
      </w:r>
      <w:bookmarkEnd w:id="17"/>
    </w:p>
    <w:p w14:paraId="4D4FC84A"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gearing ratio indicates how much the company funds its activities with debt and indicates long-term financial risk (Sukma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 Accor's gearing ratio declined from 70% in 2021 to 49% in 2023 before increasing to 78% in 2025. Even though the ratio was a little less than the hospitality industry ratio of 80-150, it shows a careful financing structure having a relatively moderate financial risk and borrowing.</w:t>
      </w:r>
    </w:p>
    <w:p w14:paraId="0D41451A" w14:textId="45363F74" w:rsidR="00396843" w:rsidRDefault="00396843" w:rsidP="00396843">
      <w:pPr>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4D2D14A4" wp14:editId="557DA6B4">
            <wp:extent cx="5032058" cy="3489960"/>
            <wp:effectExtent l="152400" t="171450" r="149860" b="148590"/>
            <wp:docPr id="1854385378" name="Chart 1">
              <a:extLst xmlns:a="http://schemas.openxmlformats.org/drawingml/2006/main">
                <a:ext uri="{FF2B5EF4-FFF2-40B4-BE49-F238E27FC236}">
                  <a16:creationId xmlns:a16="http://schemas.microsoft.com/office/drawing/2014/main" id="{A17F369F-156A-C8FE-C81B-641F25802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D661C8F" w14:textId="0172EA4A"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B47BC">
        <w:rPr>
          <w:rFonts w:ascii="Times New Roman" w:eastAsia="Times New Roman" w:hAnsi="Times New Roman" w:cs="Times New Roman"/>
          <w:b/>
          <w:bCs/>
          <w:sz w:val="24"/>
          <w:szCs w:val="24"/>
        </w:rPr>
        <w:t>5</w:t>
      </w:r>
      <w:r>
        <w:rPr>
          <w:rFonts w:ascii="Times New Roman" w:eastAsia="Times New Roman" w:hAnsi="Times New Roman" w:cs="Times New Roman"/>
          <w:b/>
          <w:bCs/>
          <w:sz w:val="24"/>
          <w:szCs w:val="24"/>
        </w:rPr>
        <w:t>: Gearing ratio</w:t>
      </w:r>
    </w:p>
    <w:p w14:paraId="0AEBA6AE" w14:textId="21624808"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08C38BB0" w14:textId="77777777" w:rsidR="001A687F" w:rsidRDefault="003B77CE">
      <w:pPr>
        <w:pStyle w:val="Heading3"/>
      </w:pPr>
      <w:bookmarkStart w:id="18" w:name="_heading=h.5kfgrcoc9uuu" w:colFirst="0" w:colLast="0"/>
      <w:bookmarkStart w:id="19" w:name="_Toc236682361"/>
      <w:bookmarkEnd w:id="18"/>
      <w:r>
        <w:t>2.3.5 Investment Ratios</w:t>
      </w:r>
      <w:bookmarkEnd w:id="19"/>
    </w:p>
    <w:p w14:paraId="50D29962"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Investment ratios give investors an idea about the profitability of the corporate entity and its market value (Olayinka, 2022). Accor's Earnings per Share (EPS) improved substantially from €0.35 in 2021 to €2.61 in 2023 before declining to €2.08 in 2025. The fact that this was still lower than the industry average of about €3, the progress is an indicator of improved earnings generation. In the meantime, the Price-to-Earnings (P/E) Ratio dropped to 22.31 in 2025, whereas in 2021, it was 89.81, which corresp</w:t>
      </w:r>
      <w:r>
        <w:rPr>
          <w:rFonts w:ascii="Times New Roman" w:eastAsia="Times New Roman" w:hAnsi="Times New Roman" w:cs="Times New Roman"/>
          <w:sz w:val="24"/>
          <w:szCs w:val="24"/>
        </w:rPr>
        <w:t>onds to the industry ratio of 20-35 times, meaning a less exaggerated market value.</w:t>
      </w:r>
    </w:p>
    <w:p w14:paraId="03B418FD" w14:textId="4510F409" w:rsidR="00396843" w:rsidRDefault="00396843" w:rsidP="00396843">
      <w:pPr>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366EE01A" wp14:editId="56980F53">
            <wp:extent cx="4678680" cy="2926080"/>
            <wp:effectExtent l="171450" t="152400" r="160020" b="160020"/>
            <wp:docPr id="1003214837" name="Chart 1">
              <a:extLst xmlns:a="http://schemas.openxmlformats.org/drawingml/2006/main">
                <a:ext uri="{FF2B5EF4-FFF2-40B4-BE49-F238E27FC236}">
                  <a16:creationId xmlns:a16="http://schemas.microsoft.com/office/drawing/2014/main" id="{747A42BB-457F-E202-D12B-7E07A80CB5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C9297DB" w14:textId="0AF03483"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B47BC">
        <w:rPr>
          <w:rFonts w:ascii="Times New Roman" w:eastAsia="Times New Roman" w:hAnsi="Times New Roman" w:cs="Times New Roman"/>
          <w:b/>
          <w:bCs/>
          <w:sz w:val="24"/>
          <w:szCs w:val="24"/>
        </w:rPr>
        <w:t>6</w:t>
      </w:r>
      <w:r>
        <w:rPr>
          <w:rFonts w:ascii="Times New Roman" w:eastAsia="Times New Roman" w:hAnsi="Times New Roman" w:cs="Times New Roman"/>
          <w:b/>
          <w:bCs/>
          <w:sz w:val="24"/>
          <w:szCs w:val="24"/>
        </w:rPr>
        <w:t>: Investor ratio</w:t>
      </w:r>
    </w:p>
    <w:p w14:paraId="6B281AA2" w14:textId="1ED8B90D"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3A531227" w14:textId="77777777" w:rsidR="001A687F" w:rsidRDefault="003B77CE">
      <w:pPr>
        <w:pStyle w:val="Heading3"/>
      </w:pPr>
      <w:bookmarkStart w:id="20" w:name="_heading=h.d5sqq1pxdf3" w:colFirst="0" w:colLast="0"/>
      <w:bookmarkStart w:id="21" w:name="_Toc236682362"/>
      <w:bookmarkEnd w:id="20"/>
      <w:r>
        <w:t>2.3.6 Cash Flow Ratios</w:t>
      </w:r>
      <w:bookmarkEnd w:id="21"/>
    </w:p>
    <w:p w14:paraId="1FEC3BEF"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flow ratios are used to assess how much cash a company can bring forth in terms of operating cash to facilitate business operations and future investments (</w:t>
      </w:r>
      <w:proofErr w:type="spellStart"/>
      <w:r>
        <w:rPr>
          <w:rFonts w:ascii="Times New Roman" w:eastAsia="Times New Roman" w:hAnsi="Times New Roman" w:cs="Times New Roman"/>
          <w:sz w:val="24"/>
          <w:szCs w:val="24"/>
        </w:rPr>
        <w:t>Arifaj</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 The Operating Cash Flow Ratio of Accor grew to 0.29 in 2025 compared to 0.21 in 2021, which is slightly lower than the industry average of 0.30-0.80 implying that the company still needs to make further efforts in improving its operations in terms of cash generation. The Free Cash Flow Ratio decreased to 0.07 compared to 0.17 and was lower than the industry average of 0.08-0.15 which denotes that the capital expenditure and investment activities were still limiting free cash.</w:t>
      </w:r>
    </w:p>
    <w:p w14:paraId="082DD2B4" w14:textId="40A42B78" w:rsidR="00396843" w:rsidRDefault="00396843" w:rsidP="00396843">
      <w:pPr>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752470D5" wp14:editId="12099E35">
            <wp:extent cx="4783455" cy="3451860"/>
            <wp:effectExtent l="152400" t="152400" r="150495" b="148590"/>
            <wp:docPr id="1342609992" name="Chart 1">
              <a:extLst xmlns:a="http://schemas.openxmlformats.org/drawingml/2006/main">
                <a:ext uri="{FF2B5EF4-FFF2-40B4-BE49-F238E27FC236}">
                  <a16:creationId xmlns:a16="http://schemas.microsoft.com/office/drawing/2014/main" id="{FC5473ED-B6D7-37B2-6448-EC7A0C4C58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6E9AAB7" w14:textId="7C369999"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B47BC">
        <w:rPr>
          <w:rFonts w:ascii="Times New Roman" w:eastAsia="Times New Roman" w:hAnsi="Times New Roman" w:cs="Times New Roman"/>
          <w:b/>
          <w:bCs/>
          <w:sz w:val="24"/>
          <w:szCs w:val="24"/>
        </w:rPr>
        <w:t>7</w:t>
      </w:r>
      <w:r>
        <w:rPr>
          <w:rFonts w:ascii="Times New Roman" w:eastAsia="Times New Roman" w:hAnsi="Times New Roman" w:cs="Times New Roman"/>
          <w:b/>
          <w:bCs/>
          <w:sz w:val="24"/>
          <w:szCs w:val="24"/>
        </w:rPr>
        <w:t>: Cash flow ratio</w:t>
      </w:r>
    </w:p>
    <w:p w14:paraId="49BBDBBC" w14:textId="0D470C25"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109F9A56" w14:textId="77777777" w:rsidR="005400EC" w:rsidRPr="005400EC" w:rsidRDefault="005400EC" w:rsidP="005400EC">
      <w:pPr>
        <w:spacing w:before="240" w:after="240" w:line="360" w:lineRule="auto"/>
        <w:jc w:val="both"/>
        <w:rPr>
          <w:rFonts w:ascii="Times New Roman" w:eastAsia="Times New Roman" w:hAnsi="Times New Roman" w:cs="Times New Roman"/>
          <w:b/>
          <w:bCs/>
          <w:i/>
          <w:iCs/>
          <w:sz w:val="24"/>
          <w:szCs w:val="24"/>
        </w:rPr>
      </w:pPr>
      <w:r w:rsidRPr="005400EC">
        <w:rPr>
          <w:rFonts w:ascii="Times New Roman" w:eastAsia="Times New Roman" w:hAnsi="Times New Roman" w:cs="Times New Roman"/>
          <w:b/>
          <w:bCs/>
          <w:i/>
          <w:iCs/>
          <w:sz w:val="24"/>
          <w:szCs w:val="24"/>
        </w:rPr>
        <w:t>Recommendation</w:t>
      </w:r>
    </w:p>
    <w:p w14:paraId="43947B2D" w14:textId="0E7D3A79" w:rsidR="005400EC" w:rsidRDefault="005400EC" w:rsidP="005400EC">
      <w:pPr>
        <w:spacing w:before="240" w:after="240" w:line="360" w:lineRule="auto"/>
        <w:jc w:val="both"/>
        <w:rPr>
          <w:rFonts w:ascii="Times New Roman" w:eastAsia="Times New Roman" w:hAnsi="Times New Roman" w:cs="Times New Roman"/>
          <w:sz w:val="24"/>
          <w:szCs w:val="24"/>
        </w:rPr>
      </w:pPr>
      <w:r w:rsidRPr="005400EC">
        <w:rPr>
          <w:rFonts w:ascii="Times New Roman" w:eastAsia="Times New Roman" w:hAnsi="Times New Roman" w:cs="Times New Roman"/>
          <w:sz w:val="24"/>
          <w:szCs w:val="24"/>
        </w:rPr>
        <w:t xml:space="preserve">Accor </w:t>
      </w:r>
      <w:r>
        <w:rPr>
          <w:rFonts w:ascii="Times New Roman" w:eastAsia="Times New Roman" w:hAnsi="Times New Roman" w:cs="Times New Roman"/>
          <w:sz w:val="24"/>
          <w:szCs w:val="24"/>
        </w:rPr>
        <w:t>should</w:t>
      </w:r>
      <w:r w:rsidRPr="005400EC">
        <w:rPr>
          <w:rFonts w:ascii="Times New Roman" w:eastAsia="Times New Roman" w:hAnsi="Times New Roman" w:cs="Times New Roman"/>
          <w:sz w:val="24"/>
          <w:szCs w:val="24"/>
        </w:rPr>
        <w:t xml:space="preserve"> enhance profitability by enhancing cost-efficiency and increasing premium and lifestyle brands with higher margins. The liquidity and cash flow may be improved by collecting receivables faster, controlling working capital better, and making better cash forecasts. The company must also minimize leverage by making a selective debt repayment and keep capital expenditure disciplined. Further investment in digital technologies and asset-light expansion plan will enhance operational efficiency, financial strength, and shareholder value in the long-term.</w:t>
      </w:r>
    </w:p>
    <w:p w14:paraId="44C40A87" w14:textId="77777777" w:rsidR="001A687F" w:rsidRDefault="003B77CE" w:rsidP="004C3139">
      <w:pPr>
        <w:pStyle w:val="Heading2"/>
      </w:pPr>
      <w:bookmarkStart w:id="22" w:name="_heading=h.hwsgt489edtq" w:colFirst="0" w:colLast="0"/>
      <w:bookmarkStart w:id="23" w:name="_Toc236682363"/>
      <w:bookmarkEnd w:id="22"/>
      <w:r>
        <w:t>2.4 Trend Analysis</w:t>
      </w:r>
      <w:bookmarkEnd w:id="23"/>
    </w:p>
    <w:p w14:paraId="2FD4BA8E"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performance of Accor showed the positive recovery trend between the years 2021 and 2025 due to the increase in revenues, high operating profitability, and better cash generation after the COVID-19. The recovery of international travel that was gradual, alongside cost optimisation, digital transformation, and an asset-light operating model, </w:t>
      </w:r>
      <w:r>
        <w:rPr>
          <w:rFonts w:ascii="Times New Roman" w:eastAsia="Times New Roman" w:hAnsi="Times New Roman" w:cs="Times New Roman"/>
          <w:sz w:val="24"/>
          <w:szCs w:val="24"/>
        </w:rPr>
        <w:lastRenderedPageBreak/>
        <w:t>reinforced the business resilience and enhanced long-term growth, which aligns with hospitality recovery strategies identified by Matijević et al. (2025). Nevertheless, certain financial metrics deteriorated in 2025, especially net profit margin and earnings per share, as these metrics indicate greater financing costs, inflationary pressures, and greater taxation. Nevertheless, the fact that the revenue grows and the functioning remains stable shows that Accor has managed to move beyond the recovery phase i</w:t>
      </w:r>
      <w:r>
        <w:rPr>
          <w:rFonts w:ascii="Times New Roman" w:eastAsia="Times New Roman" w:hAnsi="Times New Roman" w:cs="Times New Roman"/>
          <w:sz w:val="24"/>
          <w:szCs w:val="24"/>
        </w:rPr>
        <w:t>n the aftermath of the pandemic to a more solid and sustainable financial position.</w:t>
      </w:r>
    </w:p>
    <w:p w14:paraId="0F05A771" w14:textId="77777777" w:rsidR="001A687F" w:rsidRDefault="003B77CE" w:rsidP="004C3139">
      <w:pPr>
        <w:pStyle w:val="Heading2"/>
      </w:pPr>
      <w:bookmarkStart w:id="24" w:name="_Toc236682364"/>
      <w:r>
        <w:t>2.5 Key Financial Strengths and Threats</w:t>
      </w:r>
      <w:bookmarkEnd w:id="24"/>
    </w:p>
    <w:p w14:paraId="66F542F6"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strengths of Accor are that it has increased profitability, has been diversified internationally with operations in over 110 countries and its asset-light strategy has enabled it to increase flexibility in its operations and cash flow. Nevertheless, financial risks remain in terms of increasing leverage, continued inflationary pressures, volatility in tourism demand, exchange rate changes, and the existence of geopolitical uncertainties. Exchange rate volatility may have adverse impacts on the dema</w:t>
      </w:r>
      <w:r>
        <w:rPr>
          <w:rFonts w:ascii="Times New Roman" w:eastAsia="Times New Roman" w:hAnsi="Times New Roman" w:cs="Times New Roman"/>
          <w:sz w:val="24"/>
          <w:szCs w:val="24"/>
        </w:rPr>
        <w:t>nd and stable income of international tourism, necessitating competent financial risk management and diversification of exposure (</w:t>
      </w:r>
      <w:proofErr w:type="spellStart"/>
      <w:r>
        <w:rPr>
          <w:rFonts w:ascii="Times New Roman" w:eastAsia="Times New Roman" w:hAnsi="Times New Roman" w:cs="Times New Roman"/>
          <w:sz w:val="24"/>
          <w:szCs w:val="24"/>
        </w:rPr>
        <w:t>Rookayyah</w:t>
      </w:r>
      <w:proofErr w:type="spellEnd"/>
      <w:r>
        <w:rPr>
          <w:rFonts w:ascii="Times New Roman" w:eastAsia="Times New Roman" w:hAnsi="Times New Roman" w:cs="Times New Roman"/>
          <w:sz w:val="24"/>
          <w:szCs w:val="24"/>
        </w:rPr>
        <w:t xml:space="preserve"> et al., 2024).</w:t>
      </w:r>
    </w:p>
    <w:p w14:paraId="6A16B7F3" w14:textId="77777777" w:rsidR="001A687F" w:rsidRDefault="003B77CE" w:rsidP="004C3139">
      <w:pPr>
        <w:pStyle w:val="Heading1"/>
      </w:pPr>
      <w:bookmarkStart w:id="25" w:name="_Toc236682365"/>
      <w:r>
        <w:t>3. Working Capital Management Analysis</w:t>
      </w:r>
      <w:bookmarkEnd w:id="25"/>
    </w:p>
    <w:p w14:paraId="049BC44A" w14:textId="77777777" w:rsidR="001A687F" w:rsidRDefault="003B77CE" w:rsidP="004C3139">
      <w:pPr>
        <w:pStyle w:val="Heading2"/>
      </w:pPr>
      <w:bookmarkStart w:id="26" w:name="_Toc236682366"/>
      <w:r>
        <w:t>3.1 Current Working Capital Position</w:t>
      </w:r>
      <w:bookmarkEnd w:id="26"/>
      <w:r>
        <w:t xml:space="preserve"> </w:t>
      </w:r>
    </w:p>
    <w:p w14:paraId="66C60AA5"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capital management (WCM) plays a crucial role in ensuring the liquidity, operational efficiency, and financial resilience, especially in times of macroeconomic uncertainty (Reyad et al., 2022). The current ratio of 1.05 has helped Accor to maintain the working capital position in 2025 with a current ratio of 1.05, which is within the standard range of 0.80-1.20 of the hospitality industry. The current assets of the company i.e. cash, receivables and other short-term assets were enough to cover the c</w:t>
      </w:r>
      <w:r>
        <w:rPr>
          <w:rFonts w:ascii="Times New Roman" w:eastAsia="Times New Roman" w:hAnsi="Times New Roman" w:cs="Times New Roman"/>
          <w:sz w:val="24"/>
          <w:szCs w:val="24"/>
        </w:rPr>
        <w:t>urrent liabilities i.e. trade payables and short-term borrowings. The cash ratio decreased slightly by 0.43, but still, it remained in the industry recommended range, which is a good indication of sufficient liquidity in the short run. Comprehensively, the liquidity position of Accor was balanced, which allowed its efficient operations on a daily basis as well as business growth and safeguards against the impact of the short-term financial risks, despite the influence of inflationary and interest rates.</w:t>
      </w:r>
    </w:p>
    <w:p w14:paraId="56934BE2" w14:textId="77777777" w:rsidR="001A687F" w:rsidRDefault="003B77CE" w:rsidP="004C3139">
      <w:pPr>
        <w:pStyle w:val="Heading2"/>
      </w:pPr>
      <w:bookmarkStart w:id="27" w:name="_Toc236682367"/>
      <w:r>
        <w:t>3.2 Cash Operating Cycle Analysis</w:t>
      </w:r>
      <w:bookmarkEnd w:id="27"/>
    </w:p>
    <w:p w14:paraId="6BD3052D"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cash operating cycle (COC) is a ratio that assesses how the working capital investments can be converted into cash and is a valuable metric of liquidity efficiency (Habib et al., 2022).</w:t>
      </w:r>
    </w:p>
    <w:p w14:paraId="197A74A7" w14:textId="77777777" w:rsidR="001A687F" w:rsidRPr="004C3139" w:rsidRDefault="003B77CE">
      <w:pPr>
        <w:spacing w:before="240" w:after="240" w:line="360" w:lineRule="auto"/>
        <w:jc w:val="both"/>
        <w:rPr>
          <w:rFonts w:ascii="Times New Roman" w:eastAsia="Times New Roman" w:hAnsi="Times New Roman" w:cs="Times New Roman"/>
          <w:b/>
          <w:bCs/>
          <w:sz w:val="24"/>
          <w:szCs w:val="24"/>
        </w:rPr>
      </w:pPr>
      <w:r w:rsidRPr="004C3139">
        <w:rPr>
          <w:rFonts w:ascii="Times New Roman" w:eastAsia="Times New Roman" w:hAnsi="Times New Roman" w:cs="Times New Roman"/>
          <w:b/>
          <w:bCs/>
          <w:sz w:val="24"/>
          <w:szCs w:val="24"/>
        </w:rPr>
        <w:t>Cash Operating Cycle = Inventory Days + Receivable Days -Payable Days.</w:t>
      </w:r>
    </w:p>
    <w:p w14:paraId="09D9F453"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2025 financial data of Accor:</w:t>
      </w:r>
    </w:p>
    <w:p w14:paraId="097EDCD6" w14:textId="77777777" w:rsidR="001A687F" w:rsidRPr="004C3139" w:rsidRDefault="003B77CE" w:rsidP="004C3139">
      <w:pPr>
        <w:pStyle w:val="ListParagraph"/>
        <w:numPr>
          <w:ilvl w:val="0"/>
          <w:numId w:val="1"/>
        </w:numPr>
        <w:spacing w:before="240" w:after="240" w:line="360" w:lineRule="auto"/>
        <w:jc w:val="both"/>
        <w:rPr>
          <w:rFonts w:ascii="Times New Roman" w:eastAsia="Times New Roman" w:hAnsi="Times New Roman" w:cs="Times New Roman"/>
          <w:b/>
          <w:bCs/>
          <w:sz w:val="24"/>
          <w:szCs w:val="24"/>
        </w:rPr>
      </w:pPr>
      <w:r w:rsidRPr="004C3139">
        <w:rPr>
          <w:rFonts w:ascii="Times New Roman" w:eastAsia="Times New Roman" w:hAnsi="Times New Roman" w:cs="Times New Roman"/>
          <w:b/>
          <w:bCs/>
          <w:sz w:val="24"/>
          <w:szCs w:val="24"/>
        </w:rPr>
        <w:t>Inventory Days = 14 days</w:t>
      </w:r>
    </w:p>
    <w:p w14:paraId="62EAB88F" w14:textId="77777777" w:rsidR="001A687F" w:rsidRPr="004C3139" w:rsidRDefault="003B77CE" w:rsidP="004C3139">
      <w:pPr>
        <w:pStyle w:val="ListParagraph"/>
        <w:numPr>
          <w:ilvl w:val="0"/>
          <w:numId w:val="1"/>
        </w:numPr>
        <w:spacing w:before="240" w:after="240" w:line="360" w:lineRule="auto"/>
        <w:jc w:val="both"/>
        <w:rPr>
          <w:rFonts w:ascii="Times New Roman" w:eastAsia="Times New Roman" w:hAnsi="Times New Roman" w:cs="Times New Roman"/>
          <w:b/>
          <w:bCs/>
          <w:sz w:val="24"/>
          <w:szCs w:val="24"/>
        </w:rPr>
      </w:pPr>
      <w:r w:rsidRPr="004C3139">
        <w:rPr>
          <w:rFonts w:ascii="Times New Roman" w:eastAsia="Times New Roman" w:hAnsi="Times New Roman" w:cs="Times New Roman"/>
          <w:b/>
          <w:bCs/>
          <w:sz w:val="24"/>
          <w:szCs w:val="24"/>
        </w:rPr>
        <w:t>Receivable Days = 53 days</w:t>
      </w:r>
    </w:p>
    <w:p w14:paraId="61B73657" w14:textId="77777777" w:rsidR="001A687F" w:rsidRPr="004C3139" w:rsidRDefault="003B77CE" w:rsidP="004C3139">
      <w:pPr>
        <w:pStyle w:val="ListParagraph"/>
        <w:numPr>
          <w:ilvl w:val="0"/>
          <w:numId w:val="1"/>
        </w:numPr>
        <w:spacing w:before="240" w:after="240" w:line="360" w:lineRule="auto"/>
        <w:jc w:val="both"/>
        <w:rPr>
          <w:rFonts w:ascii="Times New Roman" w:eastAsia="Times New Roman" w:hAnsi="Times New Roman" w:cs="Times New Roman"/>
          <w:b/>
          <w:bCs/>
          <w:sz w:val="24"/>
          <w:szCs w:val="24"/>
        </w:rPr>
      </w:pPr>
      <w:r w:rsidRPr="004C3139">
        <w:rPr>
          <w:rFonts w:ascii="Times New Roman" w:eastAsia="Times New Roman" w:hAnsi="Times New Roman" w:cs="Times New Roman"/>
          <w:b/>
          <w:bCs/>
          <w:sz w:val="24"/>
          <w:szCs w:val="24"/>
        </w:rPr>
        <w:t>Payable Days = 91 days</w:t>
      </w:r>
    </w:p>
    <w:p w14:paraId="072F8B69" w14:textId="6377FA47" w:rsidR="004C3139" w:rsidRPr="004C3139" w:rsidRDefault="004C3139">
      <w:pPr>
        <w:spacing w:before="240" w:after="240" w:line="360" w:lineRule="auto"/>
        <w:jc w:val="both"/>
        <w:rPr>
          <w:rFonts w:ascii="Times New Roman" w:eastAsia="Times New Roman" w:hAnsi="Times New Roman" w:cs="Times New Roman"/>
          <w:b/>
          <w:bCs/>
          <w:sz w:val="24"/>
          <w:szCs w:val="24"/>
        </w:rPr>
      </w:pPr>
      <w:r w:rsidRPr="004C3139">
        <w:rPr>
          <w:rFonts w:ascii="Times New Roman" w:eastAsia="Times New Roman" w:hAnsi="Times New Roman" w:cs="Times New Roman"/>
          <w:b/>
          <w:bCs/>
          <w:sz w:val="24"/>
          <w:szCs w:val="24"/>
        </w:rPr>
        <w:t>Cash Operating Cycle = 14 + 53 − 91 = −24 days</w:t>
      </w:r>
    </w:p>
    <w:p w14:paraId="13952591" w14:textId="5109FCAE"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has a negative cash operating cycle and that cash is collected by the company through the customers and paid out with the suppliers before the payment is completed. This is an aspect of the hospitality sector whereby customers usually pay in advance or during the process whereas the suppliers receive payments over negotiated credit. This kind of a position will eliminate the need to use external working capital financing and enhance operational liquidity. Moreover, the smooth increase in receivable tu</w:t>
      </w:r>
      <w:r>
        <w:rPr>
          <w:rFonts w:ascii="Times New Roman" w:eastAsia="Times New Roman" w:hAnsi="Times New Roman" w:cs="Times New Roman"/>
          <w:sz w:val="24"/>
          <w:szCs w:val="24"/>
        </w:rPr>
        <w:t>rnover over 20212025 shows an increase in efficiency in collections, whereas efficient supplier credit management also helps in preserving cash. Nonetheless, having an excessively long payment term might have an impact on the relationship with suppliers unless done appropriately. Accor, therefore, must keep balancing collection of receivables, inventory and payment to suppliers to maintain the liquidity without affecting the operational efficiency or relationships with the stakeholders.</w:t>
      </w:r>
    </w:p>
    <w:p w14:paraId="5BCEF794" w14:textId="77777777" w:rsidR="001A687F" w:rsidRDefault="003B77CE" w:rsidP="004C3139">
      <w:pPr>
        <w:pStyle w:val="Heading2"/>
      </w:pPr>
      <w:bookmarkStart w:id="28" w:name="_Toc236682368"/>
      <w:r>
        <w:t>3.3 Liquidity Improvement Strategies</w:t>
      </w:r>
      <w:bookmarkEnd w:id="28"/>
      <w:r>
        <w:t xml:space="preserve"> </w:t>
      </w:r>
    </w:p>
    <w:p w14:paraId="2DFCC2AE"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ought to adopt a number of working capital solutions to enhance its liquidity. First, the use of automation in receivable collection via automated invoicing, digital billing, and a tightening of credit monitoring would hasten the receipt of cash and decrease outstanding balances. Second, optimising supplier payment terms through negotiating longer credit terms without jeopardising supplier relationships would retain cash without interrupting its operations. According to Reyad et al. (2022), the manage</w:t>
      </w:r>
      <w:r>
        <w:rPr>
          <w:rFonts w:ascii="Times New Roman" w:eastAsia="Times New Roman" w:hAnsi="Times New Roman" w:cs="Times New Roman"/>
          <w:sz w:val="24"/>
          <w:szCs w:val="24"/>
        </w:rPr>
        <w:t>ment of receivables, payables, and inventory is important to increase working capital resilience, especially in times of macroeconomic uncertainty.</w:t>
      </w:r>
    </w:p>
    <w:p w14:paraId="54C565DA"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Moreover, the increase in the number of digital payment systems would enhance the speed of transactions and minimize delays in the collection process within the international operation of Accor. Demand forecasting and analytics would reduce unnecessary inventory and optimise inventory, ensuring an equal level of service. The enhanced cash forecasting would allow to predict the seasonal tourism demand better and enhance the liquidity planning. Moreover, centralisation of treasury management, such as cash poo</w:t>
      </w:r>
      <w:r>
        <w:rPr>
          <w:rFonts w:ascii="Times New Roman" w:eastAsia="Times New Roman" w:hAnsi="Times New Roman" w:cs="Times New Roman"/>
          <w:sz w:val="24"/>
          <w:szCs w:val="24"/>
        </w:rPr>
        <w:t>ling and foreign exchange management would improve utilisation of cash and the cost of financing the entire global subsidiaries. Habib et al. (2022) add that having an effective amount of operating capital and cash reserves enhances profitability because the balance of liquidity and operational needs is reached. All these measures would help Accor to enhance its liquidity, lessen dependence on short-term borrowing, and enhance financial flexibility, as well as help to achieve sustainable long-term growth.</w:t>
      </w:r>
    </w:p>
    <w:p w14:paraId="33E13177" w14:textId="77777777" w:rsidR="001A687F" w:rsidRDefault="003B77CE" w:rsidP="004C3139">
      <w:pPr>
        <w:pStyle w:val="Heading2"/>
      </w:pPr>
      <w:bookmarkStart w:id="29" w:name="_Toc236682369"/>
      <w:r>
        <w:t>3.4 Short-term vs Long-term Financing</w:t>
      </w:r>
      <w:bookmarkEnd w:id="29"/>
      <w:r>
        <w:t xml:space="preserve"> </w:t>
      </w:r>
    </w:p>
    <w:p w14:paraId="613370D4"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has both short-term and long-term sources of finance to finance its operation. Short term financing, such as overdraft, revolving credit facilities, and commercial paper, offer quick access to finance and are appropriate to seasonal needs of working capital. Commercial paper is especially efficient in funding temporary liquidity when the markets are shaken (</w:t>
      </w:r>
      <w:proofErr w:type="spellStart"/>
      <w:r>
        <w:rPr>
          <w:rFonts w:ascii="Times New Roman" w:eastAsia="Times New Roman" w:hAnsi="Times New Roman" w:cs="Times New Roman"/>
          <w:sz w:val="24"/>
          <w:szCs w:val="24"/>
        </w:rPr>
        <w:t>Boyarchenko</w:t>
      </w:r>
      <w:proofErr w:type="spellEnd"/>
      <w:r>
        <w:rPr>
          <w:rFonts w:ascii="Times New Roman" w:eastAsia="Times New Roman" w:hAnsi="Times New Roman" w:cs="Times New Roman"/>
          <w:sz w:val="24"/>
          <w:szCs w:val="24"/>
        </w:rPr>
        <w:t xml:space="preserve"> et al., 2022). Nevertheless, these sources result in heightened risk of refinancing and exposure to interest rates. On the other hand, long-term funding via corporate bonds, equity funding, and syndicated loans offer reliable funding to strategic investment and globalization. Equity financing also helps to build a strong capital base and potentially indicate financial strength to investors (</w:t>
      </w:r>
      <w:proofErr w:type="spellStart"/>
      <w:r>
        <w:rPr>
          <w:rFonts w:ascii="Times New Roman" w:eastAsia="Times New Roman" w:hAnsi="Times New Roman" w:cs="Times New Roman"/>
          <w:sz w:val="24"/>
          <w:szCs w:val="24"/>
        </w:rPr>
        <w:t>Svetek</w:t>
      </w:r>
      <w:proofErr w:type="spellEnd"/>
      <w:r>
        <w:rPr>
          <w:rFonts w:ascii="Times New Roman" w:eastAsia="Times New Roman" w:hAnsi="Times New Roman" w:cs="Times New Roman"/>
          <w:sz w:val="24"/>
          <w:szCs w:val="24"/>
        </w:rPr>
        <w:t>, 2022), at the cost of diluting shareholder ownership. Hence, the combination of financing provides</w:t>
      </w:r>
      <w:r>
        <w:rPr>
          <w:rFonts w:ascii="Times New Roman" w:eastAsia="Times New Roman" w:hAnsi="Times New Roman" w:cs="Times New Roman"/>
          <w:sz w:val="24"/>
          <w:szCs w:val="24"/>
        </w:rPr>
        <w:t xml:space="preserve"> more financial flexibility and reduces liquidity and refinancing risks.</w:t>
      </w:r>
    </w:p>
    <w:p w14:paraId="0D7C639D" w14:textId="77777777" w:rsidR="001A687F" w:rsidRDefault="003B77CE" w:rsidP="004C3139">
      <w:pPr>
        <w:pStyle w:val="Heading1"/>
      </w:pPr>
      <w:bookmarkStart w:id="30" w:name="_Toc236682370"/>
      <w:r>
        <w:t>4. Strategic Financial Restructuring Plan</w:t>
      </w:r>
      <w:bookmarkEnd w:id="30"/>
    </w:p>
    <w:p w14:paraId="78063567" w14:textId="77777777" w:rsidR="001A687F" w:rsidRDefault="003B77CE" w:rsidP="004C3139">
      <w:pPr>
        <w:pStyle w:val="Heading2"/>
      </w:pPr>
      <w:bookmarkStart w:id="31" w:name="_Toc236682371"/>
      <w:r>
        <w:t>4.1 Need for Financial Restructuring</w:t>
      </w:r>
      <w:bookmarkEnd w:id="31"/>
      <w:r>
        <w:t xml:space="preserve"> </w:t>
      </w:r>
    </w:p>
    <w:p w14:paraId="213BB98A"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high financial recovery realized by Accor after the pandemic, a decrease in net profit, increase in leverage and growing financing costs suggest that strategic financial restructuring is required. Investment needs in digital transformation, sustainability programs, and internationalization in the future will need a sustainable financing source and will have to </w:t>
      </w:r>
      <w:proofErr w:type="spellStart"/>
      <w:r>
        <w:rPr>
          <w:rFonts w:ascii="Times New Roman" w:eastAsia="Times New Roman" w:hAnsi="Times New Roman" w:cs="Times New Roman"/>
          <w:sz w:val="24"/>
          <w:szCs w:val="24"/>
        </w:rPr>
        <w:lastRenderedPageBreak/>
        <w:t>fulfill</w:t>
      </w:r>
      <w:proofErr w:type="spellEnd"/>
      <w:r>
        <w:rPr>
          <w:rFonts w:ascii="Times New Roman" w:eastAsia="Times New Roman" w:hAnsi="Times New Roman" w:cs="Times New Roman"/>
          <w:sz w:val="24"/>
          <w:szCs w:val="24"/>
        </w:rPr>
        <w:t xml:space="preserve"> the demands of shareholders of sustainable returns. Hassan et al. (2023) point out that the financial performance of firms and market information impact the investment decision and investor confidence significantly. Thus, the restructuring must ensure a stronger financial resilience of Accor as well as promote long-term value creation and strategic growth.</w:t>
      </w:r>
    </w:p>
    <w:p w14:paraId="0B49A632" w14:textId="77777777" w:rsidR="001A687F" w:rsidRDefault="003B77CE" w:rsidP="004C3139">
      <w:pPr>
        <w:pStyle w:val="Heading2"/>
      </w:pPr>
      <w:bookmarkStart w:id="32" w:name="_Toc236682372"/>
      <w:r>
        <w:t>4.2 Recommended Restructuring Options</w:t>
      </w:r>
      <w:bookmarkEnd w:id="32"/>
      <w:r>
        <w:t xml:space="preserve"> </w:t>
      </w:r>
    </w:p>
    <w:p w14:paraId="23799572"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ought to implement a balanced financial restructuring approach to enhance its capital structure and facilitate future growth. First, selective asset sales of underperforming or non-core owned properties would free up funds to invest in high growth segments like luxury, lifestyle and digital hospitality. Divestitures can be used by corporations to maximise leverage and enhance the efficiency of their capital allocation (Chen et al., 2025).</w:t>
      </w:r>
    </w:p>
    <w:p w14:paraId="0A67029F"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higher-cost borrowings should be replaced by lower-priced long-maturity debt, which will lower interest costs and enhance financial flexibility. Due to the improving operating performance of Accor, refinancing would help to stabilize cash flows, and reduce refinancing risk.</w:t>
      </w:r>
    </w:p>
    <w:p w14:paraId="2CDC36D3"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limited equity issue can raise extra capital to engage in strategic investments in sustainability, technology and global growth without a major impact on the financial leverage. Even though new equity can thin out the current shareholders, it enhances the </w:t>
      </w:r>
      <w:proofErr w:type="gramStart"/>
      <w:r>
        <w:rPr>
          <w:rFonts w:ascii="Times New Roman" w:eastAsia="Times New Roman" w:hAnsi="Times New Roman" w:cs="Times New Roman"/>
          <w:sz w:val="24"/>
          <w:szCs w:val="24"/>
        </w:rPr>
        <w:t>debt to equity</w:t>
      </w:r>
      <w:proofErr w:type="gramEnd"/>
      <w:r>
        <w:rPr>
          <w:rFonts w:ascii="Times New Roman" w:eastAsia="Times New Roman" w:hAnsi="Times New Roman" w:cs="Times New Roman"/>
          <w:sz w:val="24"/>
          <w:szCs w:val="24"/>
        </w:rPr>
        <w:t xml:space="preserve"> balance and provides greater financial stability over the long term.</w:t>
      </w:r>
    </w:p>
    <w:p w14:paraId="173004D0"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should also persist in strategic mergers of the high-end hospitality brands and digital service providers that are complementary to its current portfolio and customer experience improvement. These kinds of acquisitions can enhance competitive positions and increase revenue potentials.</w:t>
      </w:r>
    </w:p>
    <w:p w14:paraId="28354FF8" w14:textId="28AFCF4D"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international joint ventures would allow Accor to share investment capital, lower risk of market entry and tap local expertise in the emerging markets. Bouteraa et al. (2023) note that collaboration with foreign partners in the context of international joint ventures can help to acquire knowledge and enhance organisational capabilities. Given the investment priorities of Accor at the moment, share buybacks are unwarranted since holding capital to expand the business would create more </w:t>
      </w:r>
      <w:r w:rsidR="004C3139">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shareholder value than decreasing the number of outstanding shares.</w:t>
      </w:r>
    </w:p>
    <w:p w14:paraId="20499D9C" w14:textId="77777777" w:rsidR="001A687F" w:rsidRDefault="003B77CE" w:rsidP="004C3139">
      <w:pPr>
        <w:pStyle w:val="Heading2"/>
      </w:pPr>
      <w:bookmarkStart w:id="33" w:name="_Toc236682373"/>
      <w:r>
        <w:lastRenderedPageBreak/>
        <w:t>4.3 Financial Impact</w:t>
      </w:r>
      <w:bookmarkEnd w:id="33"/>
      <w:r>
        <w:t xml:space="preserve"> </w:t>
      </w:r>
    </w:p>
    <w:p w14:paraId="43302C35"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planned restructuring plan will likely increase the shareholder value of Accor by increasing profitability, enhancing financial resilience, and facilitating sustainable long-term growth. Sale of non-core assets and refinancing of costly debt would lower financing expenses, enhance operating cash flow, and </w:t>
      </w:r>
      <w:proofErr w:type="gramStart"/>
      <w:r>
        <w:rPr>
          <w:rFonts w:ascii="Times New Roman" w:eastAsia="Times New Roman" w:hAnsi="Times New Roman" w:cs="Times New Roman"/>
          <w:sz w:val="24"/>
          <w:szCs w:val="24"/>
        </w:rPr>
        <w:t>returns</w:t>
      </w:r>
      <w:proofErr w:type="gramEnd"/>
      <w:r>
        <w:rPr>
          <w:rFonts w:ascii="Times New Roman" w:eastAsia="Times New Roman" w:hAnsi="Times New Roman" w:cs="Times New Roman"/>
          <w:sz w:val="24"/>
          <w:szCs w:val="24"/>
        </w:rPr>
        <w:t xml:space="preserve"> to invested capital. Selective equity financing would enhance the capital structure by decreasing reliance on debt acquisition and availing funds to make strategic investments. Such steps would enhance financial flexibility as the company would be in a better position to react to the changing market conditions and future investment opportunities.</w:t>
      </w:r>
    </w:p>
    <w:p w14:paraId="2A1CD27C"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strategic acquisition and international joint ventures would diversify the revenue streams and improve operational capacities, which would lead to greater long-term profitability. By introducing ESG concepts in investment choices, it can also boost the confidence of stakeholders and sustainable value creation by increasing innovation and organisational learning (</w:t>
      </w:r>
      <w:proofErr w:type="spellStart"/>
      <w:r>
        <w:rPr>
          <w:rFonts w:ascii="Times New Roman" w:eastAsia="Times New Roman" w:hAnsi="Times New Roman" w:cs="Times New Roman"/>
          <w:sz w:val="24"/>
          <w:szCs w:val="24"/>
        </w:rPr>
        <w:t>Alshukri</w:t>
      </w:r>
      <w:proofErr w:type="spellEnd"/>
      <w:r>
        <w:rPr>
          <w:rFonts w:ascii="Times New Roman" w:eastAsia="Times New Roman" w:hAnsi="Times New Roman" w:cs="Times New Roman"/>
          <w:sz w:val="24"/>
          <w:szCs w:val="24"/>
        </w:rPr>
        <w:t xml:space="preserve"> et al., 2024). Moreover, improved ESG performance may have a positive impact on financing terms, as it may decrease the cost of equity, increase access to sustainable finance, but its impact on debt financing can be mixed across industries (Gonçalves et al., 2022). Comprehensively, the restructuring plan would result in a more balanced capital structure and improved shareholder returns, operational efficiency, and long-term competitiveness.</w:t>
      </w:r>
    </w:p>
    <w:p w14:paraId="2EC3A1BC" w14:textId="77777777" w:rsidR="001A687F" w:rsidRDefault="003B77CE" w:rsidP="004C3139">
      <w:pPr>
        <w:pStyle w:val="Heading2"/>
      </w:pPr>
      <w:bookmarkStart w:id="34" w:name="_Toc236682374"/>
      <w:r>
        <w:t>4.4 International and Ethical Considerations</w:t>
      </w:r>
      <w:bookmarkEnd w:id="34"/>
      <w:r>
        <w:t xml:space="preserve"> </w:t>
      </w:r>
    </w:p>
    <w:p w14:paraId="2220761A"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global hospitality company, financial restructuring in Accor needs to take into account international and ethical aspects which affect long-term performance. Foreign exchange risks can impact foreign sales and operating expenses, whereas chronic inflation and escalating interest rates can elevate the cost of financing and lower consumer spending. The financial risks can be mitigated by effective treasury management, foreign exchange hedging, and diversified funding source. As </w:t>
      </w:r>
      <w:proofErr w:type="spellStart"/>
      <w:r>
        <w:rPr>
          <w:rFonts w:ascii="Times New Roman" w:eastAsia="Times New Roman" w:hAnsi="Times New Roman" w:cs="Times New Roman"/>
          <w:sz w:val="24"/>
          <w:szCs w:val="24"/>
        </w:rPr>
        <w:t>Begenau</w:t>
      </w:r>
      <w:proofErr w:type="spellEnd"/>
      <w:r>
        <w:rPr>
          <w:rFonts w:ascii="Times New Roman" w:eastAsia="Times New Roman" w:hAnsi="Times New Roman" w:cs="Times New Roman"/>
          <w:sz w:val="24"/>
          <w:szCs w:val="24"/>
        </w:rPr>
        <w:t xml:space="preserve"> et al. (2026) emphasize, the interest rate exposure is a critical matter to address in order to enhance financial stability in fluctuating monetary situations.</w:t>
      </w:r>
    </w:p>
    <w:p w14:paraId="525F7DE3"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area where Accor should consider applying ESG and CSR principles is in its restructuring strategy that focuses on sustainable finance, responsible investments, and environmentally efficient operations. Adherence to international taxation and the openness of </w:t>
      </w:r>
      <w:r>
        <w:rPr>
          <w:rFonts w:ascii="Times New Roman" w:eastAsia="Times New Roman" w:hAnsi="Times New Roman" w:cs="Times New Roman"/>
          <w:sz w:val="24"/>
          <w:szCs w:val="24"/>
        </w:rPr>
        <w:lastRenderedPageBreak/>
        <w:t>tax practices are crucial to preserving corporate image and regulation in the international market. In addition, risks related to climate, such as transition risks related to decarbonisation and physical climate effects, must be factored in financial planning and investment decisions. Campiglio et al. (2022) claim that the impact of climate-related risks on financial assets and long-term financial stability is growing, and sustainable investment approaches are the key to multinational corporations.</w:t>
      </w:r>
    </w:p>
    <w:p w14:paraId="346D6161" w14:textId="77777777" w:rsidR="001A687F" w:rsidRDefault="003B77CE" w:rsidP="004C3139">
      <w:pPr>
        <w:pStyle w:val="Heading1"/>
      </w:pPr>
      <w:bookmarkStart w:id="35" w:name="_Toc236682375"/>
      <w:r>
        <w:t>5. Investment Appraisal and Capital Budgeting</w:t>
      </w:r>
      <w:bookmarkEnd w:id="35"/>
      <w:r>
        <w:t xml:space="preserve"> </w:t>
      </w:r>
    </w:p>
    <w:p w14:paraId="633DA000" w14:textId="77777777" w:rsidR="001A687F" w:rsidRDefault="003B77CE" w:rsidP="004C3139">
      <w:pPr>
        <w:pStyle w:val="Heading2"/>
      </w:pPr>
      <w:bookmarkStart w:id="36" w:name="_Toc236682376"/>
      <w:r>
        <w:t>5.1 Introduction to Capital Budgeting</w:t>
      </w:r>
      <w:bookmarkEnd w:id="36"/>
      <w:r>
        <w:t xml:space="preserve"> </w:t>
      </w:r>
    </w:p>
    <w:p w14:paraId="4E301111"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Capital budgeting refers to the process of assessing long-term opportunities of investments with the view of establishing whether they are value creating to the shareholders. It helps organisations to decide which projects to allocate scarce financial resources to as they impact on future profitability bearing in mind the risk of investment and the time value of money. In the case of a global hospitality enterprise like Accor, capital budgeting aids in strategic decision-making in terms of expansion of hote</w:t>
      </w:r>
      <w:r>
        <w:rPr>
          <w:rFonts w:ascii="Times New Roman" w:eastAsia="Times New Roman" w:hAnsi="Times New Roman" w:cs="Times New Roman"/>
          <w:sz w:val="24"/>
          <w:szCs w:val="24"/>
        </w:rPr>
        <w:t>ls, digital transformation and sustainability investments. The use of various appraisal methods will allow making more informed investment decisions and enhance long-term financial performance.</w:t>
      </w:r>
    </w:p>
    <w:p w14:paraId="250B96B0" w14:textId="77777777" w:rsidR="001A687F" w:rsidRDefault="003B77CE" w:rsidP="004C3139">
      <w:pPr>
        <w:pStyle w:val="Heading2"/>
      </w:pPr>
      <w:bookmarkStart w:id="37" w:name="_Toc236682377"/>
      <w:r>
        <w:t>5.2 Investment Calculations</w:t>
      </w:r>
      <w:bookmarkEnd w:id="37"/>
    </w:p>
    <w:p w14:paraId="48A0ABCA"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investment appraisal appraises three mutually exclusive projects based on Payback Period (PBP), Accounting rate of Return (ARR), Net Present Value (NPV), Profitability index (PI) and internal rate of return (IRR). The use of multiple appraisal methods enhances the quality of the investment decisions since the appraisal methods analyse the projects with different financial viewpoints (Dai et al., 2022).</w:t>
      </w:r>
    </w:p>
    <w:p w14:paraId="56EB33A8"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Payback Period shows that Project C will pay back its initial investment within about 3 years and 7.2 months, and thus is the quickest project to pay back invested capital. Project A would take about 4 years and 6 months whereas Project B would take about 4 years and 6.5 months. Hence, Project C has the least liquidity risk of the three options. Despite its usefulness in determining the investment recovery, Payback Period does not take into account cash flows obtained after the payback point (Sam, 2025)</w:t>
      </w:r>
      <w:r>
        <w:rPr>
          <w:rFonts w:ascii="Times New Roman" w:eastAsia="Times New Roman" w:hAnsi="Times New Roman" w:cs="Times New Roman"/>
          <w:sz w:val="24"/>
          <w:szCs w:val="24"/>
        </w:rPr>
        <w:t>.</w:t>
      </w:r>
    </w:p>
    <w:p w14:paraId="6A5933A7" w14:textId="0AA7BEEA" w:rsidR="00396843" w:rsidRDefault="00396843" w:rsidP="00396843">
      <w:pPr>
        <w:spacing w:before="240" w:after="240" w:line="360" w:lineRule="auto"/>
        <w:jc w:val="center"/>
        <w:rPr>
          <w:rFonts w:ascii="Times New Roman" w:eastAsia="Times New Roman" w:hAnsi="Times New Roman" w:cs="Times New Roman"/>
          <w:sz w:val="24"/>
          <w:szCs w:val="24"/>
        </w:rPr>
      </w:pPr>
      <w:r w:rsidRPr="00396843">
        <w:rPr>
          <w:rFonts w:ascii="Times New Roman" w:eastAsia="Times New Roman" w:hAnsi="Times New Roman" w:cs="Times New Roman"/>
          <w:noProof/>
          <w:sz w:val="24"/>
          <w:szCs w:val="24"/>
        </w:rPr>
        <w:lastRenderedPageBreak/>
        <w:drawing>
          <wp:inline distT="0" distB="0" distL="0" distR="0" wp14:anchorId="6053C90F" wp14:editId="09552B2E">
            <wp:extent cx="4191363" cy="4541914"/>
            <wp:effectExtent l="0" t="0" r="0" b="0"/>
            <wp:docPr id="1692187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87980" name=""/>
                    <pic:cNvPicPr/>
                  </pic:nvPicPr>
                  <pic:blipFill>
                    <a:blip r:embed="rId17"/>
                    <a:stretch>
                      <a:fillRect/>
                    </a:stretch>
                  </pic:blipFill>
                  <pic:spPr>
                    <a:xfrm>
                      <a:off x="0" y="0"/>
                      <a:ext cx="4191363" cy="4541914"/>
                    </a:xfrm>
                    <a:prstGeom prst="rect">
                      <a:avLst/>
                    </a:prstGeom>
                  </pic:spPr>
                </pic:pic>
              </a:graphicData>
            </a:graphic>
          </wp:inline>
        </w:drawing>
      </w:r>
    </w:p>
    <w:p w14:paraId="238B1C2C" w14:textId="35082492"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Payback period</w:t>
      </w:r>
    </w:p>
    <w:p w14:paraId="207FFDFD" w14:textId="486B579A" w:rsidR="00396843" w:rsidRP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1829949E"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Accounting Rate of Return also favours Project C with an ARR of 12%, compared with 4% for Project B and 3.2% for Project A, indicating that Project C generates the highest average accounting profitability.</w:t>
      </w:r>
    </w:p>
    <w:p w14:paraId="5374DB55" w14:textId="70910C5F" w:rsidR="00396843" w:rsidRDefault="00396843" w:rsidP="00396843">
      <w:pPr>
        <w:spacing w:before="240" w:after="240" w:line="360" w:lineRule="auto"/>
        <w:jc w:val="center"/>
        <w:rPr>
          <w:rFonts w:ascii="Times New Roman" w:eastAsia="Times New Roman" w:hAnsi="Times New Roman" w:cs="Times New Roman"/>
          <w:sz w:val="24"/>
          <w:szCs w:val="24"/>
        </w:rPr>
      </w:pPr>
      <w:r w:rsidRPr="00396843">
        <w:rPr>
          <w:rFonts w:ascii="Times New Roman" w:eastAsia="Times New Roman" w:hAnsi="Times New Roman" w:cs="Times New Roman"/>
          <w:noProof/>
          <w:sz w:val="24"/>
          <w:szCs w:val="24"/>
        </w:rPr>
        <w:lastRenderedPageBreak/>
        <w:drawing>
          <wp:inline distT="0" distB="0" distL="0" distR="0" wp14:anchorId="07949EF0" wp14:editId="286BEE54">
            <wp:extent cx="5733415" cy="2480945"/>
            <wp:effectExtent l="0" t="0" r="635" b="0"/>
            <wp:docPr id="759925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25194" name=""/>
                    <pic:cNvPicPr/>
                  </pic:nvPicPr>
                  <pic:blipFill>
                    <a:blip r:embed="rId18"/>
                    <a:stretch>
                      <a:fillRect/>
                    </a:stretch>
                  </pic:blipFill>
                  <pic:spPr>
                    <a:xfrm>
                      <a:off x="0" y="0"/>
                      <a:ext cx="5733415" cy="2480945"/>
                    </a:xfrm>
                    <a:prstGeom prst="rect">
                      <a:avLst/>
                    </a:prstGeom>
                  </pic:spPr>
                </pic:pic>
              </a:graphicData>
            </a:graphic>
          </wp:inline>
        </w:drawing>
      </w:r>
    </w:p>
    <w:p w14:paraId="34CE40DD" w14:textId="15B58362" w:rsidR="00396843" w:rsidRDefault="00396843" w:rsidP="00396843">
      <w:pPr>
        <w:spacing w:before="240" w:after="240" w:line="360" w:lineRule="auto"/>
        <w:jc w:val="center"/>
        <w:rPr>
          <w:rFonts w:ascii="Times New Roman" w:eastAsia="Times New Roman" w:hAnsi="Times New Roman" w:cs="Times New Roman"/>
          <w:sz w:val="24"/>
          <w:szCs w:val="24"/>
        </w:rPr>
      </w:pPr>
      <w:r w:rsidRPr="00396843">
        <w:rPr>
          <w:rFonts w:ascii="Times New Roman" w:eastAsia="Times New Roman" w:hAnsi="Times New Roman" w:cs="Times New Roman"/>
          <w:noProof/>
          <w:sz w:val="24"/>
          <w:szCs w:val="24"/>
        </w:rPr>
        <w:drawing>
          <wp:inline distT="0" distB="0" distL="0" distR="0" wp14:anchorId="6F7DF9A0" wp14:editId="0A0605AC">
            <wp:extent cx="3040380" cy="2699067"/>
            <wp:effectExtent l="0" t="0" r="7620" b="6350"/>
            <wp:docPr id="163955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56700" name=""/>
                    <pic:cNvPicPr/>
                  </pic:nvPicPr>
                  <pic:blipFill>
                    <a:blip r:embed="rId19"/>
                    <a:stretch>
                      <a:fillRect/>
                    </a:stretch>
                  </pic:blipFill>
                  <pic:spPr>
                    <a:xfrm>
                      <a:off x="0" y="0"/>
                      <a:ext cx="3045605" cy="2703706"/>
                    </a:xfrm>
                    <a:prstGeom prst="rect">
                      <a:avLst/>
                    </a:prstGeom>
                  </pic:spPr>
                </pic:pic>
              </a:graphicData>
            </a:graphic>
          </wp:inline>
        </w:drawing>
      </w:r>
    </w:p>
    <w:p w14:paraId="5FE7DE09" w14:textId="37C72BB4"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8: ARR</w:t>
      </w:r>
    </w:p>
    <w:p w14:paraId="257DA321" w14:textId="5D3DF02F"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0E372A0C" w14:textId="25303ABD"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Present Value is the best indicator of shareholder value as it takes into consideration the time value of money. Project C only shows a positive NPV (£0.83 million) and Project A (-£6.57 million) and Project B (-£6.11 million) do not pay back their discounted costs of investment at the discount rate needed (8</w:t>
      </w:r>
      <w:r w:rsidR="00396843">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7E789A40" w14:textId="47495912" w:rsidR="00396843" w:rsidRDefault="00396843" w:rsidP="00396843">
      <w:pPr>
        <w:spacing w:before="240" w:after="240" w:line="360" w:lineRule="auto"/>
        <w:jc w:val="center"/>
        <w:rPr>
          <w:rFonts w:ascii="Times New Roman" w:eastAsia="Times New Roman" w:hAnsi="Times New Roman" w:cs="Times New Roman"/>
          <w:sz w:val="24"/>
          <w:szCs w:val="24"/>
        </w:rPr>
      </w:pPr>
      <w:r w:rsidRPr="00396843">
        <w:rPr>
          <w:rFonts w:ascii="Times New Roman" w:eastAsia="Times New Roman" w:hAnsi="Times New Roman" w:cs="Times New Roman"/>
          <w:noProof/>
          <w:sz w:val="24"/>
          <w:szCs w:val="24"/>
        </w:rPr>
        <w:lastRenderedPageBreak/>
        <w:drawing>
          <wp:inline distT="0" distB="0" distL="0" distR="0" wp14:anchorId="63EAED4A" wp14:editId="469E2359">
            <wp:extent cx="3314987" cy="5121084"/>
            <wp:effectExtent l="0" t="0" r="0" b="3810"/>
            <wp:docPr id="1518993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93303" name=""/>
                    <pic:cNvPicPr/>
                  </pic:nvPicPr>
                  <pic:blipFill>
                    <a:blip r:embed="rId20"/>
                    <a:stretch>
                      <a:fillRect/>
                    </a:stretch>
                  </pic:blipFill>
                  <pic:spPr>
                    <a:xfrm>
                      <a:off x="0" y="0"/>
                      <a:ext cx="3314987" cy="5121084"/>
                    </a:xfrm>
                    <a:prstGeom prst="rect">
                      <a:avLst/>
                    </a:prstGeom>
                  </pic:spPr>
                </pic:pic>
              </a:graphicData>
            </a:graphic>
          </wp:inline>
        </w:drawing>
      </w:r>
    </w:p>
    <w:p w14:paraId="17118899" w14:textId="0BA8FA1B"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9: NPV</w:t>
      </w:r>
    </w:p>
    <w:p w14:paraId="23C365EE" w14:textId="4888054F"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7554CE1F"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same vein, the Profitability Index validates that it is only Project C that generates value with PI of 1.02, which is above the investment acceptance level of 1.00. Projects A (0.87) and B (0.88) would ruin the shareholder value since future cash inflows at present value is lower than the initial investment.</w:t>
      </w:r>
    </w:p>
    <w:p w14:paraId="6EB0DCB9" w14:textId="4218CEB6" w:rsidR="00396843" w:rsidRDefault="00396843" w:rsidP="00396843">
      <w:pPr>
        <w:spacing w:before="240" w:after="240" w:line="360" w:lineRule="auto"/>
        <w:jc w:val="center"/>
        <w:rPr>
          <w:rFonts w:ascii="Times New Roman" w:eastAsia="Times New Roman" w:hAnsi="Times New Roman" w:cs="Times New Roman"/>
          <w:sz w:val="24"/>
          <w:szCs w:val="24"/>
        </w:rPr>
      </w:pPr>
      <w:r w:rsidRPr="00396843">
        <w:rPr>
          <w:rFonts w:ascii="Times New Roman" w:eastAsia="Times New Roman" w:hAnsi="Times New Roman" w:cs="Times New Roman"/>
          <w:noProof/>
          <w:sz w:val="24"/>
          <w:szCs w:val="24"/>
        </w:rPr>
        <w:lastRenderedPageBreak/>
        <w:drawing>
          <wp:inline distT="0" distB="0" distL="0" distR="0" wp14:anchorId="4CBF03AB" wp14:editId="56FC9202">
            <wp:extent cx="3429297" cy="5075360"/>
            <wp:effectExtent l="0" t="0" r="0" b="0"/>
            <wp:docPr id="146116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65910" name=""/>
                    <pic:cNvPicPr/>
                  </pic:nvPicPr>
                  <pic:blipFill>
                    <a:blip r:embed="rId21"/>
                    <a:stretch>
                      <a:fillRect/>
                    </a:stretch>
                  </pic:blipFill>
                  <pic:spPr>
                    <a:xfrm>
                      <a:off x="0" y="0"/>
                      <a:ext cx="3429297" cy="5075360"/>
                    </a:xfrm>
                    <a:prstGeom prst="rect">
                      <a:avLst/>
                    </a:prstGeom>
                  </pic:spPr>
                </pic:pic>
              </a:graphicData>
            </a:graphic>
          </wp:inline>
        </w:drawing>
      </w:r>
    </w:p>
    <w:p w14:paraId="7335926E" w14:textId="35E52616"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10: PI value</w:t>
      </w:r>
    </w:p>
    <w:p w14:paraId="693F7082" w14:textId="77777777"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51746B34" w14:textId="201987E8" w:rsidR="001A687F" w:rsidRDefault="005400EC">
      <w:pPr>
        <w:spacing w:before="240" w:after="240" w:line="360" w:lineRule="auto"/>
        <w:jc w:val="both"/>
        <w:rPr>
          <w:rFonts w:ascii="Times New Roman" w:eastAsia="Times New Roman" w:hAnsi="Times New Roman" w:cs="Times New Roman"/>
          <w:sz w:val="24"/>
          <w:szCs w:val="24"/>
        </w:rPr>
      </w:pPr>
      <w:r w:rsidRPr="005400EC">
        <w:rPr>
          <w:rFonts w:ascii="Times New Roman" w:eastAsia="Times New Roman" w:hAnsi="Times New Roman" w:cs="Times New Roman"/>
          <w:sz w:val="24"/>
          <w:szCs w:val="24"/>
        </w:rPr>
        <w:t>Project C has a positive NPV at the 8% discount rate, but the value is not very large, which shows that it is sensitive to variations in the cost of capital. Any slight rise in the discount rate that exceeds the IRR (around 8.6</w:t>
      </w:r>
      <w:r w:rsidR="00220BA5">
        <w:rPr>
          <w:rFonts w:ascii="Times New Roman" w:eastAsia="Times New Roman" w:hAnsi="Times New Roman" w:cs="Times New Roman"/>
          <w:sz w:val="24"/>
          <w:szCs w:val="24"/>
        </w:rPr>
        <w:t>%</w:t>
      </w:r>
      <w:r w:rsidRPr="005400EC">
        <w:rPr>
          <w:rFonts w:ascii="Times New Roman" w:eastAsia="Times New Roman" w:hAnsi="Times New Roman" w:cs="Times New Roman"/>
          <w:sz w:val="24"/>
          <w:szCs w:val="24"/>
        </w:rPr>
        <w:t>) would decrease the NPV to less than zero and the project would not be economically viable. Accor, therefore, needs to pay close attention to interest rates, inflation, and the assumptions of cash-flow of the project before investing in it.</w:t>
      </w:r>
    </w:p>
    <w:p w14:paraId="2E195D33" w14:textId="11DA68BF" w:rsidR="00396843" w:rsidRDefault="00396843" w:rsidP="00396843">
      <w:pPr>
        <w:spacing w:before="240" w:after="240" w:line="360" w:lineRule="auto"/>
        <w:jc w:val="center"/>
        <w:rPr>
          <w:rFonts w:ascii="Times New Roman" w:eastAsia="Times New Roman" w:hAnsi="Times New Roman" w:cs="Times New Roman"/>
          <w:sz w:val="24"/>
          <w:szCs w:val="24"/>
        </w:rPr>
      </w:pPr>
      <w:r w:rsidRPr="00396843">
        <w:rPr>
          <w:rFonts w:ascii="Times New Roman" w:eastAsia="Times New Roman" w:hAnsi="Times New Roman" w:cs="Times New Roman"/>
          <w:noProof/>
          <w:sz w:val="24"/>
          <w:szCs w:val="24"/>
        </w:rPr>
        <w:lastRenderedPageBreak/>
        <w:drawing>
          <wp:inline distT="0" distB="0" distL="0" distR="0" wp14:anchorId="02F110C0" wp14:editId="751C536A">
            <wp:extent cx="5075360" cy="4816257"/>
            <wp:effectExtent l="0" t="0" r="0" b="3810"/>
            <wp:docPr id="1786038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038218" name=""/>
                    <pic:cNvPicPr/>
                  </pic:nvPicPr>
                  <pic:blipFill>
                    <a:blip r:embed="rId22"/>
                    <a:stretch>
                      <a:fillRect/>
                    </a:stretch>
                  </pic:blipFill>
                  <pic:spPr>
                    <a:xfrm>
                      <a:off x="0" y="0"/>
                      <a:ext cx="5075360" cy="4816257"/>
                    </a:xfrm>
                    <a:prstGeom prst="rect">
                      <a:avLst/>
                    </a:prstGeom>
                  </pic:spPr>
                </pic:pic>
              </a:graphicData>
            </a:graphic>
          </wp:inline>
        </w:drawing>
      </w:r>
    </w:p>
    <w:p w14:paraId="26CF6E59" w14:textId="5B053F61" w:rsidR="00396843" w:rsidRDefault="00396843" w:rsidP="003968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11: IRR</w:t>
      </w:r>
    </w:p>
    <w:p w14:paraId="04C835A0" w14:textId="7EC90580" w:rsidR="00396843" w:rsidRDefault="00396843" w:rsidP="003968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(Self-developed)</w:t>
      </w:r>
    </w:p>
    <w:p w14:paraId="7A41921D" w14:textId="77777777" w:rsidR="001A687F" w:rsidRDefault="003B77CE" w:rsidP="004C3139">
      <w:pPr>
        <w:pStyle w:val="Heading2"/>
      </w:pPr>
      <w:bookmarkStart w:id="38" w:name="_heading=h.bxyjsyyeav11" w:colFirst="0" w:colLast="0"/>
      <w:bookmarkStart w:id="39" w:name="_Toc236682378"/>
      <w:bookmarkEnd w:id="38"/>
      <w:r>
        <w:t>5.3 Comparison of Projects</w:t>
      </w:r>
      <w:bookmarkEnd w:id="39"/>
      <w:r>
        <w:t xml:space="preserve"> </w:t>
      </w:r>
    </w:p>
    <w:tbl>
      <w:tblPr>
        <w:tblStyle w:val="a"/>
        <w:tblW w:w="87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20"/>
        <w:gridCol w:w="1755"/>
        <w:gridCol w:w="1920"/>
        <w:gridCol w:w="1950"/>
        <w:gridCol w:w="1500"/>
      </w:tblGrid>
      <w:tr w:rsidR="001A687F" w14:paraId="2839A1E7" w14:textId="77777777">
        <w:trPr>
          <w:trHeight w:val="405"/>
        </w:trPr>
        <w:tc>
          <w:tcPr>
            <w:tcW w:w="1620" w:type="dxa"/>
            <w:tcBorders>
              <w:top w:val="single" w:sz="6" w:space="0" w:color="FFFFFF"/>
              <w:left w:val="single" w:sz="6" w:space="0" w:color="FFFFFF"/>
              <w:bottom w:val="single" w:sz="6" w:space="0" w:color="FFFFFF"/>
              <w:right w:val="nil"/>
            </w:tcBorders>
            <w:shd w:val="clear" w:color="auto" w:fill="000000"/>
            <w:tcMar>
              <w:top w:w="0" w:type="dxa"/>
              <w:left w:w="100" w:type="dxa"/>
              <w:bottom w:w="0" w:type="dxa"/>
              <w:right w:w="100" w:type="dxa"/>
            </w:tcMar>
          </w:tcPr>
          <w:p w14:paraId="408F55C6"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Method</w:t>
            </w:r>
          </w:p>
        </w:tc>
        <w:tc>
          <w:tcPr>
            <w:tcW w:w="1755" w:type="dxa"/>
            <w:tcBorders>
              <w:top w:val="single" w:sz="6" w:space="0" w:color="FFFFFF"/>
              <w:left w:val="nil"/>
              <w:bottom w:val="single" w:sz="6" w:space="0" w:color="FFFFFF"/>
              <w:right w:val="nil"/>
            </w:tcBorders>
            <w:shd w:val="clear" w:color="auto" w:fill="000000"/>
            <w:tcMar>
              <w:top w:w="0" w:type="dxa"/>
              <w:left w:w="100" w:type="dxa"/>
              <w:bottom w:w="0" w:type="dxa"/>
              <w:right w:w="100" w:type="dxa"/>
            </w:tcMar>
          </w:tcPr>
          <w:p w14:paraId="55DA74DB"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Project A</w:t>
            </w:r>
          </w:p>
        </w:tc>
        <w:tc>
          <w:tcPr>
            <w:tcW w:w="1920" w:type="dxa"/>
            <w:tcBorders>
              <w:top w:val="single" w:sz="6" w:space="0" w:color="FFFFFF"/>
              <w:left w:val="nil"/>
              <w:bottom w:val="single" w:sz="6" w:space="0" w:color="FFFFFF"/>
              <w:right w:val="nil"/>
            </w:tcBorders>
            <w:shd w:val="clear" w:color="auto" w:fill="000000"/>
            <w:tcMar>
              <w:top w:w="0" w:type="dxa"/>
              <w:left w:w="100" w:type="dxa"/>
              <w:bottom w:w="0" w:type="dxa"/>
              <w:right w:w="100" w:type="dxa"/>
            </w:tcMar>
          </w:tcPr>
          <w:p w14:paraId="38C1CCED"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Project B</w:t>
            </w:r>
          </w:p>
        </w:tc>
        <w:tc>
          <w:tcPr>
            <w:tcW w:w="1950" w:type="dxa"/>
            <w:tcBorders>
              <w:top w:val="single" w:sz="6" w:space="0" w:color="FFFFFF"/>
              <w:left w:val="nil"/>
              <w:bottom w:val="single" w:sz="6" w:space="0" w:color="FFFFFF"/>
              <w:right w:val="nil"/>
            </w:tcBorders>
            <w:shd w:val="clear" w:color="auto" w:fill="000000"/>
            <w:tcMar>
              <w:top w:w="0" w:type="dxa"/>
              <w:left w:w="100" w:type="dxa"/>
              <w:bottom w:w="0" w:type="dxa"/>
              <w:right w:w="100" w:type="dxa"/>
            </w:tcMar>
          </w:tcPr>
          <w:p w14:paraId="7DDF71FE"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Project C</w:t>
            </w:r>
          </w:p>
        </w:tc>
        <w:tc>
          <w:tcPr>
            <w:tcW w:w="1500" w:type="dxa"/>
            <w:tcBorders>
              <w:top w:val="single" w:sz="6" w:space="0" w:color="FFFFFF"/>
              <w:left w:val="nil"/>
              <w:bottom w:val="single" w:sz="6" w:space="0" w:color="FFFFFF"/>
              <w:right w:val="single" w:sz="6" w:space="0" w:color="FFFFFF"/>
            </w:tcBorders>
            <w:shd w:val="clear" w:color="auto" w:fill="000000"/>
            <w:tcMar>
              <w:top w:w="0" w:type="dxa"/>
              <w:left w:w="100" w:type="dxa"/>
              <w:bottom w:w="0" w:type="dxa"/>
              <w:right w:w="100" w:type="dxa"/>
            </w:tcMar>
          </w:tcPr>
          <w:p w14:paraId="00250B92"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Best</w:t>
            </w:r>
          </w:p>
        </w:tc>
      </w:tr>
      <w:tr w:rsidR="001A687F" w14:paraId="7D1354A3" w14:textId="77777777">
        <w:trPr>
          <w:trHeight w:val="405"/>
        </w:trPr>
        <w:tc>
          <w:tcPr>
            <w:tcW w:w="162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4604E7CC"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Payback Period</w:t>
            </w:r>
          </w:p>
        </w:tc>
        <w:tc>
          <w:tcPr>
            <w:tcW w:w="1755"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453D4CE8"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years 6 months</w:t>
            </w:r>
          </w:p>
        </w:tc>
        <w:tc>
          <w:tcPr>
            <w:tcW w:w="192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5BBC4B47"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years 6.5 months</w:t>
            </w:r>
          </w:p>
        </w:tc>
        <w:tc>
          <w:tcPr>
            <w:tcW w:w="195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61A0CB51"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 years 7.2 months</w:t>
            </w:r>
          </w:p>
        </w:tc>
        <w:tc>
          <w:tcPr>
            <w:tcW w:w="150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70A4CB2C"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p>
        </w:tc>
      </w:tr>
      <w:tr w:rsidR="001A687F" w14:paraId="1BC600D5" w14:textId="77777777">
        <w:trPr>
          <w:trHeight w:val="405"/>
        </w:trPr>
        <w:tc>
          <w:tcPr>
            <w:tcW w:w="162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69A2E294"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ARR</w:t>
            </w:r>
          </w:p>
        </w:tc>
        <w:tc>
          <w:tcPr>
            <w:tcW w:w="1755"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28DB413A"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c>
          <w:tcPr>
            <w:tcW w:w="192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7E621267"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195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1368EC70"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12.0%</w:t>
            </w:r>
          </w:p>
        </w:tc>
        <w:tc>
          <w:tcPr>
            <w:tcW w:w="150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3B433145"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p>
        </w:tc>
      </w:tr>
      <w:tr w:rsidR="001A687F" w14:paraId="4A2699ED" w14:textId="77777777">
        <w:trPr>
          <w:trHeight w:val="405"/>
        </w:trPr>
        <w:tc>
          <w:tcPr>
            <w:tcW w:w="162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161A99EA"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NPV (£m)</w:t>
            </w:r>
          </w:p>
        </w:tc>
        <w:tc>
          <w:tcPr>
            <w:tcW w:w="1755"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158F51C5"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-6.57</w:t>
            </w:r>
          </w:p>
        </w:tc>
        <w:tc>
          <w:tcPr>
            <w:tcW w:w="192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3640A90A"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-6.11</w:t>
            </w:r>
          </w:p>
        </w:tc>
        <w:tc>
          <w:tcPr>
            <w:tcW w:w="195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69A1C07E"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0.83</w:t>
            </w:r>
          </w:p>
        </w:tc>
        <w:tc>
          <w:tcPr>
            <w:tcW w:w="150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7D629622"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p>
        </w:tc>
      </w:tr>
      <w:tr w:rsidR="001A687F" w14:paraId="4656E310" w14:textId="77777777">
        <w:trPr>
          <w:trHeight w:val="405"/>
        </w:trPr>
        <w:tc>
          <w:tcPr>
            <w:tcW w:w="162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45EBF170"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PI</w:t>
            </w:r>
          </w:p>
        </w:tc>
        <w:tc>
          <w:tcPr>
            <w:tcW w:w="1755"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079A3573"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0.87</w:t>
            </w:r>
          </w:p>
        </w:tc>
        <w:tc>
          <w:tcPr>
            <w:tcW w:w="192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42013580"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0.88</w:t>
            </w:r>
          </w:p>
        </w:tc>
        <w:tc>
          <w:tcPr>
            <w:tcW w:w="195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436E363C"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1.02</w:t>
            </w:r>
          </w:p>
        </w:tc>
        <w:tc>
          <w:tcPr>
            <w:tcW w:w="150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76236141"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p>
        </w:tc>
      </w:tr>
      <w:tr w:rsidR="001A687F" w14:paraId="27143545" w14:textId="77777777">
        <w:trPr>
          <w:trHeight w:val="405"/>
        </w:trPr>
        <w:tc>
          <w:tcPr>
            <w:tcW w:w="162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0E51BEBF"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IRR</w:t>
            </w:r>
          </w:p>
        </w:tc>
        <w:tc>
          <w:tcPr>
            <w:tcW w:w="1755"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710F685F"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0.94%</w:t>
            </w:r>
          </w:p>
        </w:tc>
        <w:tc>
          <w:tcPr>
            <w:tcW w:w="192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7723ED2F"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-0.55%</w:t>
            </w:r>
          </w:p>
        </w:tc>
        <w:tc>
          <w:tcPr>
            <w:tcW w:w="195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384F1AD6"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7.58%</w:t>
            </w:r>
          </w:p>
        </w:tc>
        <w:tc>
          <w:tcPr>
            <w:tcW w:w="150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4DC559D6"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p>
        </w:tc>
      </w:tr>
    </w:tbl>
    <w:p w14:paraId="4D4C5954" w14:textId="5B6A898A"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comparison illustrates that Project C has always performed better than Projects A and B in all the investment appraisal methods. It has the smallest payback period, maximum accounting return, Net Present Value is only positive, maximum profitability index and maximum internal rate of return. Even though Project B has a </w:t>
      </w:r>
      <w:r w:rsidR="00396843">
        <w:rPr>
          <w:rFonts w:ascii="Times New Roman" w:eastAsia="Times New Roman" w:hAnsi="Times New Roman" w:cs="Times New Roman"/>
          <w:sz w:val="24"/>
          <w:szCs w:val="24"/>
        </w:rPr>
        <w:t>total cash inflow</w:t>
      </w:r>
      <w:r>
        <w:rPr>
          <w:rFonts w:ascii="Times New Roman" w:eastAsia="Times New Roman" w:hAnsi="Times New Roman" w:cs="Times New Roman"/>
          <w:sz w:val="24"/>
          <w:szCs w:val="24"/>
        </w:rPr>
        <w:t xml:space="preserve"> which are slightly higher than that of Project A, the equally spaced cash flows decrease discounted returns and this gives a negative NPV. Project A also does not generate shareholder value since discounted future benefits are less than the initial investment.</w:t>
      </w:r>
    </w:p>
    <w:p w14:paraId="050BCD60"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Present Value is typically regarded as the most dependable of all appraisal methods since it quantifies the real growth of the shareholder wealth as well as takes into consideration the time value of money (Dai et al., 2022). Project C is the only project that will bring about an economic value based on the required rate of return by the company as it is the only one that indicates a positive NPV and PI greater than one. Therefore, Project C ought to be given the first priority in investment.</w:t>
      </w:r>
    </w:p>
    <w:p w14:paraId="30D297E5" w14:textId="77777777" w:rsidR="001A687F" w:rsidRDefault="003B77CE" w:rsidP="004C3139">
      <w:pPr>
        <w:pStyle w:val="Heading2"/>
      </w:pPr>
      <w:bookmarkStart w:id="40" w:name="_Toc236682379"/>
      <w:r>
        <w:t>5.4 Recommended Project</w:t>
      </w:r>
      <w:bookmarkEnd w:id="40"/>
    </w:p>
    <w:p w14:paraId="1A19F2A0" w14:textId="70B67124"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C should be chosen as it provides the best overall financial results and is in line with the strategic goals of Accor. It has the shortest payback period, highest </w:t>
      </w:r>
      <w:proofErr w:type="gramStart"/>
      <w:r>
        <w:rPr>
          <w:rFonts w:ascii="Times New Roman" w:eastAsia="Times New Roman" w:hAnsi="Times New Roman" w:cs="Times New Roman"/>
          <w:sz w:val="24"/>
          <w:szCs w:val="24"/>
        </w:rPr>
        <w:t>Accounting</w:t>
      </w:r>
      <w:proofErr w:type="gramEnd"/>
      <w:r>
        <w:rPr>
          <w:rFonts w:ascii="Times New Roman" w:eastAsia="Times New Roman" w:hAnsi="Times New Roman" w:cs="Times New Roman"/>
          <w:sz w:val="24"/>
          <w:szCs w:val="24"/>
        </w:rPr>
        <w:t xml:space="preserve"> rate of return, only positive Net Present Value (£0.83 million) and highest Profitability Index (1.02) and highest Internal rate of return. Such findings show high profitability, quicker cash recovery and higher long-term value-generation than the alternative projects.</w:t>
      </w:r>
    </w:p>
    <w:p w14:paraId="707DB412"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recommendation is also indicative of the financial status of Accor. Even though the company became more profitable after the COVID-19 recovery, the increasing leverage and moderate liquidity solicit investment that would yield positive cash flows without rising financial risk considerably. The quicker recovery of invested capital in project C will enhance the liquidity as well as future profitability.</w:t>
      </w:r>
    </w:p>
    <w:p w14:paraId="21720F7A" w14:textId="0D1F1A1A"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recommendation is also supported by non-financial factors. Further tourism recovery and more customer engagement provide a chance to broaden premium hospitality services. Hysa et al. (2022) show that digital engagement and social media enhance tourism recovery and customer relationships, which contributes to the increase in revenue in the long term. </w:t>
      </w:r>
      <w:r w:rsidR="00220BA5" w:rsidRPr="00220BA5">
        <w:rPr>
          <w:rFonts w:ascii="Times New Roman" w:eastAsia="Times New Roman" w:hAnsi="Times New Roman" w:cs="Times New Roman"/>
          <w:sz w:val="24"/>
          <w:szCs w:val="24"/>
        </w:rPr>
        <w:t xml:space="preserve">The sensitivity analysis shows that the positive NPV of Project C is comparatively low at the discount rate of 8% and, therefore, it is sensitive to the cost of capital. A discount rate higher than its IRR of circa 8.6% would decrease the NPV to less than zero. Accor must thus perform </w:t>
      </w:r>
      <w:r w:rsidR="00220BA5" w:rsidRPr="00220BA5">
        <w:rPr>
          <w:rFonts w:ascii="Times New Roman" w:eastAsia="Times New Roman" w:hAnsi="Times New Roman" w:cs="Times New Roman"/>
          <w:sz w:val="24"/>
          <w:szCs w:val="24"/>
        </w:rPr>
        <w:lastRenderedPageBreak/>
        <w:t>a regular re-evaluation of financing cost, inflation and the estimated cash flows before making the investment.</w:t>
      </w:r>
    </w:p>
    <w:p w14:paraId="2FC87564" w14:textId="77777777" w:rsidR="001A687F" w:rsidRDefault="003B77CE">
      <w:pPr>
        <w:pStyle w:val="Heading2"/>
        <w:spacing w:before="360" w:after="80"/>
      </w:pPr>
      <w:bookmarkStart w:id="41" w:name="_heading=h.cdj3seipuzuf" w:colFirst="0" w:colLast="0"/>
      <w:bookmarkStart w:id="42" w:name="_Toc236682380"/>
      <w:bookmarkEnd w:id="41"/>
      <w:r>
        <w:t>5.5 Capital Rationing</w:t>
      </w:r>
      <w:bookmarkEnd w:id="42"/>
      <w:r>
        <w:t xml:space="preserve"> </w:t>
      </w:r>
    </w:p>
    <w:tbl>
      <w:tblPr>
        <w:tblStyle w:val="a0"/>
        <w:tblW w:w="87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60"/>
        <w:gridCol w:w="1560"/>
        <w:gridCol w:w="2550"/>
        <w:gridCol w:w="3060"/>
      </w:tblGrid>
      <w:tr w:rsidR="001A687F" w14:paraId="491757A1" w14:textId="77777777">
        <w:trPr>
          <w:trHeight w:val="405"/>
        </w:trPr>
        <w:tc>
          <w:tcPr>
            <w:tcW w:w="1560" w:type="dxa"/>
            <w:tcBorders>
              <w:top w:val="single" w:sz="6" w:space="0" w:color="FFFFFF"/>
              <w:left w:val="single" w:sz="6" w:space="0" w:color="FFFFFF"/>
              <w:bottom w:val="single" w:sz="6" w:space="0" w:color="FFFFFF"/>
              <w:right w:val="nil"/>
            </w:tcBorders>
            <w:shd w:val="clear" w:color="auto" w:fill="000000"/>
            <w:tcMar>
              <w:top w:w="0" w:type="dxa"/>
              <w:left w:w="100" w:type="dxa"/>
              <w:bottom w:w="0" w:type="dxa"/>
              <w:right w:w="100" w:type="dxa"/>
            </w:tcMar>
          </w:tcPr>
          <w:p w14:paraId="384C4E67"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Combination</w:t>
            </w:r>
          </w:p>
        </w:tc>
        <w:tc>
          <w:tcPr>
            <w:tcW w:w="1560" w:type="dxa"/>
            <w:tcBorders>
              <w:top w:val="single" w:sz="6" w:space="0" w:color="FFFFFF"/>
              <w:left w:val="nil"/>
              <w:bottom w:val="single" w:sz="6" w:space="0" w:color="FFFFFF"/>
              <w:right w:val="nil"/>
            </w:tcBorders>
            <w:shd w:val="clear" w:color="auto" w:fill="000000"/>
            <w:tcMar>
              <w:top w:w="0" w:type="dxa"/>
              <w:left w:w="100" w:type="dxa"/>
              <w:bottom w:w="0" w:type="dxa"/>
              <w:right w:w="100" w:type="dxa"/>
            </w:tcMar>
          </w:tcPr>
          <w:p w14:paraId="62688D6C"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Investment (£m)</w:t>
            </w:r>
          </w:p>
        </w:tc>
        <w:tc>
          <w:tcPr>
            <w:tcW w:w="2550" w:type="dxa"/>
            <w:tcBorders>
              <w:top w:val="single" w:sz="6" w:space="0" w:color="FFFFFF"/>
              <w:left w:val="nil"/>
              <w:bottom w:val="single" w:sz="6" w:space="0" w:color="FFFFFF"/>
              <w:right w:val="nil"/>
            </w:tcBorders>
            <w:shd w:val="clear" w:color="auto" w:fill="000000"/>
            <w:tcMar>
              <w:top w:w="0" w:type="dxa"/>
              <w:left w:w="100" w:type="dxa"/>
              <w:bottom w:w="0" w:type="dxa"/>
              <w:right w:w="100" w:type="dxa"/>
            </w:tcMar>
          </w:tcPr>
          <w:p w14:paraId="6006576D"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Combined NPV (£m)</w:t>
            </w:r>
          </w:p>
        </w:tc>
        <w:tc>
          <w:tcPr>
            <w:tcW w:w="3060" w:type="dxa"/>
            <w:tcBorders>
              <w:top w:val="single" w:sz="6" w:space="0" w:color="FFFFFF"/>
              <w:left w:val="nil"/>
              <w:bottom w:val="single" w:sz="6" w:space="0" w:color="FFFFFF"/>
              <w:right w:val="single" w:sz="6" w:space="0" w:color="FFFFFF"/>
            </w:tcBorders>
            <w:shd w:val="clear" w:color="auto" w:fill="000000"/>
            <w:tcMar>
              <w:top w:w="0" w:type="dxa"/>
              <w:left w:w="100" w:type="dxa"/>
              <w:bottom w:w="0" w:type="dxa"/>
              <w:right w:w="100" w:type="dxa"/>
            </w:tcMar>
          </w:tcPr>
          <w:p w14:paraId="6E54DFB7"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Combined PI</w:t>
            </w:r>
          </w:p>
        </w:tc>
      </w:tr>
      <w:tr w:rsidR="001A687F" w14:paraId="5B0F87A8" w14:textId="77777777">
        <w:trPr>
          <w:trHeight w:val="405"/>
        </w:trPr>
        <w:tc>
          <w:tcPr>
            <w:tcW w:w="156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1F89A7E9"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A + B</w:t>
            </w:r>
          </w:p>
        </w:tc>
        <w:tc>
          <w:tcPr>
            <w:tcW w:w="156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7EFB691C"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255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0DFC64B7"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-12.68</w:t>
            </w:r>
          </w:p>
        </w:tc>
        <w:tc>
          <w:tcPr>
            <w:tcW w:w="306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26B0789B"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0.87</w:t>
            </w:r>
          </w:p>
        </w:tc>
      </w:tr>
      <w:tr w:rsidR="001A687F" w14:paraId="7721C887" w14:textId="77777777">
        <w:trPr>
          <w:trHeight w:val="405"/>
        </w:trPr>
        <w:tc>
          <w:tcPr>
            <w:tcW w:w="156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7DD41E74"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A + C</w:t>
            </w:r>
          </w:p>
        </w:tc>
        <w:tc>
          <w:tcPr>
            <w:tcW w:w="156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4DA153F5"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255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411EB5BF"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-5.74</w:t>
            </w:r>
          </w:p>
        </w:tc>
        <w:tc>
          <w:tcPr>
            <w:tcW w:w="3060" w:type="dxa"/>
            <w:tcBorders>
              <w:top w:val="nil"/>
              <w:left w:val="nil"/>
              <w:bottom w:val="single" w:sz="6" w:space="0" w:color="FFFFFF"/>
              <w:right w:val="single" w:sz="6" w:space="0" w:color="FFFFFF"/>
            </w:tcBorders>
            <w:shd w:val="clear" w:color="auto" w:fill="CCCCCC"/>
            <w:tcMar>
              <w:top w:w="0" w:type="dxa"/>
              <w:left w:w="100" w:type="dxa"/>
              <w:bottom w:w="0" w:type="dxa"/>
              <w:right w:w="100" w:type="dxa"/>
            </w:tcMar>
          </w:tcPr>
          <w:p w14:paraId="522F2EC3"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0.95</w:t>
            </w:r>
          </w:p>
        </w:tc>
      </w:tr>
      <w:tr w:rsidR="001A687F" w14:paraId="7A7A0046" w14:textId="77777777">
        <w:trPr>
          <w:trHeight w:val="405"/>
        </w:trPr>
        <w:tc>
          <w:tcPr>
            <w:tcW w:w="1560" w:type="dxa"/>
            <w:tcBorders>
              <w:top w:val="nil"/>
              <w:left w:val="single" w:sz="6" w:space="0" w:color="FFFFFF"/>
              <w:bottom w:val="single" w:sz="6" w:space="0" w:color="FFFFFF"/>
              <w:right w:val="single" w:sz="6" w:space="0" w:color="FFFFFF"/>
            </w:tcBorders>
            <w:shd w:val="clear" w:color="auto" w:fill="000000"/>
            <w:tcMar>
              <w:top w:w="0" w:type="dxa"/>
              <w:left w:w="100" w:type="dxa"/>
              <w:bottom w:w="0" w:type="dxa"/>
              <w:right w:w="100" w:type="dxa"/>
            </w:tcMar>
          </w:tcPr>
          <w:p w14:paraId="6616CD24" w14:textId="77777777" w:rsidR="001A687F" w:rsidRDefault="003B77CE">
            <w:pPr>
              <w:spacing w:after="160" w:line="256" w:lineRule="auto"/>
              <w:jc w:val="both"/>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B + C</w:t>
            </w:r>
          </w:p>
        </w:tc>
        <w:tc>
          <w:tcPr>
            <w:tcW w:w="156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13C8BFB6"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255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176F7699" w14:textId="77777777" w:rsidR="001A687F" w:rsidRDefault="003B77CE">
            <w:pPr>
              <w:spacing w:after="160" w:line="25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-5.28</w:t>
            </w:r>
          </w:p>
        </w:tc>
        <w:tc>
          <w:tcPr>
            <w:tcW w:w="3060" w:type="dxa"/>
            <w:tcBorders>
              <w:top w:val="nil"/>
              <w:left w:val="nil"/>
              <w:bottom w:val="single" w:sz="6" w:space="0" w:color="FFFFFF"/>
              <w:right w:val="single" w:sz="6" w:space="0" w:color="FFFFFF"/>
            </w:tcBorders>
            <w:shd w:val="clear" w:color="auto" w:fill="999999"/>
            <w:tcMar>
              <w:top w:w="0" w:type="dxa"/>
              <w:left w:w="100" w:type="dxa"/>
              <w:bottom w:w="0" w:type="dxa"/>
              <w:right w:w="100" w:type="dxa"/>
            </w:tcMar>
          </w:tcPr>
          <w:p w14:paraId="2A257804" w14:textId="77777777" w:rsidR="001A687F" w:rsidRDefault="003B77CE">
            <w:pPr>
              <w:spacing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0.95</w:t>
            </w:r>
          </w:p>
        </w:tc>
      </w:tr>
    </w:tbl>
    <w:p w14:paraId="356980EE"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 has a maximum investment budget of up to £100 million, which means that it can only afford two out of the three projects suggested. Capital rationing involves choosing the investment combination that will maximise the shareholder value and be within financial limits (Hoang et al., 2024).</w:t>
      </w:r>
    </w:p>
    <w:p w14:paraId="05E0AACB" w14:textId="69CF2882" w:rsidR="004C3139" w:rsidRDefault="004C3139">
      <w:pPr>
        <w:spacing w:before="240" w:after="240" w:line="360" w:lineRule="auto"/>
        <w:jc w:val="both"/>
        <w:rPr>
          <w:rFonts w:ascii="Times New Roman" w:eastAsia="Times New Roman" w:hAnsi="Times New Roman" w:cs="Times New Roman"/>
          <w:sz w:val="24"/>
          <w:szCs w:val="24"/>
        </w:rPr>
      </w:pPr>
      <w:r w:rsidRPr="004C3139">
        <w:rPr>
          <w:rFonts w:ascii="Times New Roman" w:eastAsia="Times New Roman" w:hAnsi="Times New Roman" w:cs="Times New Roman"/>
          <w:sz w:val="24"/>
          <w:szCs w:val="24"/>
        </w:rPr>
        <w:t>The cumulative analysis indicates that the financial performance of Projects A and B is weakest resulting in a total NPV of -12.68 million. The combination of Projects A and C enhances performance and the combined NPV and Profitability Index of a combination of 0.95. The strongest financial combination is Projects B and C, which produces the highest combined NPV (</w:t>
      </w:r>
      <w:r>
        <w:rPr>
          <w:rFonts w:ascii="Times New Roman" w:eastAsia="Times New Roman" w:hAnsi="Times New Roman" w:cs="Times New Roman"/>
          <w:sz w:val="24"/>
          <w:szCs w:val="24"/>
        </w:rPr>
        <w:t>-</w:t>
      </w:r>
      <w:r w:rsidRPr="004C3139">
        <w:rPr>
          <w:rFonts w:ascii="Times New Roman" w:eastAsia="Times New Roman" w:hAnsi="Times New Roman" w:cs="Times New Roman"/>
          <w:sz w:val="24"/>
          <w:szCs w:val="24"/>
        </w:rPr>
        <w:t>£5.28 million) while maintaining the same investment limit of £100 million. Even though none of the combinations has a positive overall NPV due to the destruction of value by Projects A and B in themselves, adding Project C to them results in a much smaller loss.</w:t>
      </w:r>
    </w:p>
    <w:p w14:paraId="0163DE22" w14:textId="29A6FA65"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Strategically, Project C can be regarded as the core investment since the project is the only one that generates shareholder value independently. Its combination with Project B offers greater financial performance as compared to its combination with Project A, as Dai et al. (2022) underline that investment decisions must focus on opportunities that exhibit greater discounted cash flows and value creation. Consequently, the combination of Projects B and C is the best investment under capital rationing since </w:t>
      </w:r>
      <w:r>
        <w:rPr>
          <w:rFonts w:ascii="Times New Roman" w:eastAsia="Times New Roman" w:hAnsi="Times New Roman" w:cs="Times New Roman"/>
          <w:sz w:val="24"/>
          <w:szCs w:val="24"/>
        </w:rPr>
        <w:t>it maximises the value given the available investment budget and offers more strategic flexibility to the future development of Accor.</w:t>
      </w:r>
    </w:p>
    <w:p w14:paraId="6F4D7293" w14:textId="77777777" w:rsidR="001A687F" w:rsidRDefault="003B77CE" w:rsidP="004C3139">
      <w:pPr>
        <w:pStyle w:val="Heading1"/>
      </w:pPr>
      <w:bookmarkStart w:id="43" w:name="_Toc236682381"/>
      <w:r>
        <w:t>6. Critical Reflection on AI Usage</w:t>
      </w:r>
      <w:bookmarkEnd w:id="43"/>
    </w:p>
    <w:p w14:paraId="09316266" w14:textId="77777777" w:rsidR="001A687F" w:rsidRDefault="003B77CE" w:rsidP="004C3139">
      <w:pPr>
        <w:pStyle w:val="Heading2"/>
      </w:pPr>
      <w:bookmarkStart w:id="44" w:name="_Toc236682382"/>
      <w:r>
        <w:t>6.1 Tool Disclosure</w:t>
      </w:r>
      <w:bookmarkEnd w:id="44"/>
      <w:r>
        <w:t xml:space="preserve"> </w:t>
      </w:r>
    </w:p>
    <w:p w14:paraId="46989EC6"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report was not prepared using any artificial intelligence tools. The digital tool involved was Microsoft Excel to arrange financial data, do ratios calculations, engage in investment appraisal techniques (PBP, ARR, NPV, PI and IRR) and generate calculation tables. The use of Excel formulas enhanced accuracy and consistency in calculations throughout the financial analysis. Grammatically has not been applied in proofreading or correcting grammar. All literature synthesis, financial interpretation, criti</w:t>
      </w:r>
      <w:r>
        <w:rPr>
          <w:rFonts w:ascii="Times New Roman" w:eastAsia="Times New Roman" w:hAnsi="Times New Roman" w:cs="Times New Roman"/>
          <w:sz w:val="24"/>
          <w:szCs w:val="24"/>
        </w:rPr>
        <w:t>cal analysis, report writing and final editing were done independently.</w:t>
      </w:r>
    </w:p>
    <w:p w14:paraId="680FE2DA" w14:textId="77777777" w:rsidR="001A687F" w:rsidRDefault="003B77CE" w:rsidP="004C3139">
      <w:pPr>
        <w:pStyle w:val="Heading2"/>
      </w:pPr>
      <w:bookmarkStart w:id="45" w:name="_Toc236682383"/>
      <w:r>
        <w:t>6.2 Verification of AI Outputs</w:t>
      </w:r>
      <w:bookmarkEnd w:id="45"/>
      <w:r>
        <w:t xml:space="preserve"> </w:t>
      </w:r>
    </w:p>
    <w:p w14:paraId="447EA5A1"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writing this report, there is no AI-generated financial analysis or written content that was utilized. So, any AI outputs did not have to be checked or fixed. Rather, all financial data was internally checked with the published annual reports and audited financial statements of Accor. All the financial ratios were recalculated manually in Microsoft Excel, and investment appraisal methods, such as Payback Period, ARR, NPV, PI, and IRR, have been confirmed with the help of standard financial formulas to gu</w:t>
      </w:r>
      <w:r>
        <w:rPr>
          <w:rFonts w:ascii="Times New Roman" w:eastAsia="Times New Roman" w:hAnsi="Times New Roman" w:cs="Times New Roman"/>
          <w:sz w:val="24"/>
          <w:szCs w:val="24"/>
        </w:rPr>
        <w:t xml:space="preserve">arantee the accuracy of calculations. The fact that the calculations were cross-checked with the original financial data reduced the chances of transcription or formula errors. Whereas conversational AI systems can sometimes cause factual errors, or logical fallacies, it is advisable to emphasize the role of verification processes (Izadi and </w:t>
      </w:r>
      <w:proofErr w:type="spellStart"/>
      <w:r>
        <w:rPr>
          <w:rFonts w:ascii="Times New Roman" w:eastAsia="Times New Roman" w:hAnsi="Times New Roman" w:cs="Times New Roman"/>
          <w:sz w:val="24"/>
          <w:szCs w:val="24"/>
        </w:rPr>
        <w:t>Forouzanfar</w:t>
      </w:r>
      <w:proofErr w:type="spellEnd"/>
      <w:r>
        <w:rPr>
          <w:rFonts w:ascii="Times New Roman" w:eastAsia="Times New Roman" w:hAnsi="Times New Roman" w:cs="Times New Roman"/>
          <w:sz w:val="24"/>
          <w:szCs w:val="24"/>
        </w:rPr>
        <w:t>, 2024), but in this report, only independently verified financial evidence was used. Therefore, research and suggestions were made solely on verified corpor</w:t>
      </w:r>
      <w:r>
        <w:rPr>
          <w:rFonts w:ascii="Times New Roman" w:eastAsia="Times New Roman" w:hAnsi="Times New Roman" w:cs="Times New Roman"/>
          <w:sz w:val="24"/>
          <w:szCs w:val="24"/>
        </w:rPr>
        <w:t>ate data and proper financial analysis.</w:t>
      </w:r>
    </w:p>
    <w:p w14:paraId="49A4E28F" w14:textId="77777777" w:rsidR="001A687F" w:rsidRDefault="003B77CE" w:rsidP="004C3139">
      <w:pPr>
        <w:pStyle w:val="Heading2"/>
      </w:pPr>
      <w:bookmarkStart w:id="46" w:name="_Toc236682384"/>
      <w:r>
        <w:t>6.3 AI vs Original Contribution</w:t>
      </w:r>
      <w:bookmarkEnd w:id="46"/>
    </w:p>
    <w:p w14:paraId="55947651"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 report of my independent academic work. There was no AI usage to create, organize, or edit the material. The academic journal articles, annual reports of Accor and other reliable financial sources were identified, reviewed, and synthesised independently to identify all literature. The financial ratios were computed manually in the Microsoft Excel and the investment appraisal techniques were done by utilizing self-written spreadsheet formulas. My own analysis and professional opinion were the sole ba</w:t>
      </w:r>
      <w:r>
        <w:rPr>
          <w:rFonts w:ascii="Times New Roman" w:eastAsia="Times New Roman" w:hAnsi="Times New Roman" w:cs="Times New Roman"/>
          <w:sz w:val="24"/>
          <w:szCs w:val="24"/>
        </w:rPr>
        <w:t xml:space="preserve">sis of interpretation of financial performance, comparison with industry benchmarks, strategic financial restructuring suggestions, and assessment of investment appraisal and decision of capital rationing. Olayinka (2022) notes that financial statement analysis must be reinforced with sound investment and management decision making by fully interpreting it as opposed to merely calculating it. To </w:t>
      </w:r>
      <w:r>
        <w:rPr>
          <w:rFonts w:ascii="Times New Roman" w:eastAsia="Times New Roman" w:hAnsi="Times New Roman" w:cs="Times New Roman"/>
          <w:sz w:val="24"/>
          <w:szCs w:val="24"/>
        </w:rPr>
        <w:lastRenderedPageBreak/>
        <w:t xml:space="preserve">this end, the critical analysis, financial conclusions, and strategic suggestions herein provided in this report </w:t>
      </w:r>
      <w:r>
        <w:rPr>
          <w:rFonts w:ascii="Times New Roman" w:eastAsia="Times New Roman" w:hAnsi="Times New Roman" w:cs="Times New Roman"/>
          <w:sz w:val="24"/>
          <w:szCs w:val="24"/>
        </w:rPr>
        <w:t>are my own analytical conclusions and not automated aid.</w:t>
      </w:r>
    </w:p>
    <w:p w14:paraId="3B8BF09F" w14:textId="77777777" w:rsidR="001A687F" w:rsidRDefault="003B77CE" w:rsidP="004C3139">
      <w:pPr>
        <w:pStyle w:val="Heading2"/>
      </w:pPr>
      <w:bookmarkStart w:id="47" w:name="_Toc236682385"/>
      <w:r>
        <w:t>6.4 Ethical Reflection</w:t>
      </w:r>
      <w:bookmarkEnd w:id="47"/>
    </w:p>
    <w:p w14:paraId="029ACC85"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was prepared with focus on the significance of transparency, accountability, and professional integrity in making financial decisions. The analysis ensured confidentiality and integrity of publicly accessible corporate data by using only verified financial data and performing calculations on its own. Professional judgement is needed in making executive financial decisions that cannot be done solely through analysis of numbers especially in the assessment of investment risk, shareholder value, an</w:t>
      </w:r>
      <w:r>
        <w:rPr>
          <w:rFonts w:ascii="Times New Roman" w:eastAsia="Times New Roman" w:hAnsi="Times New Roman" w:cs="Times New Roman"/>
          <w:sz w:val="24"/>
          <w:szCs w:val="24"/>
        </w:rPr>
        <w:t xml:space="preserve">d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sustainability. Ethical financial reporting thus necessitates proper interpretation, recommendations which have evidence and clear disclosure of method of analysis. According to </w:t>
      </w:r>
      <w:proofErr w:type="spellStart"/>
      <w:r>
        <w:rPr>
          <w:rFonts w:ascii="Times New Roman" w:eastAsia="Times New Roman" w:hAnsi="Times New Roman" w:cs="Times New Roman"/>
          <w:sz w:val="24"/>
          <w:szCs w:val="24"/>
        </w:rPr>
        <w:t>Papagiannidis</w:t>
      </w:r>
      <w:proofErr w:type="spellEnd"/>
      <w:r>
        <w:rPr>
          <w:rFonts w:ascii="Times New Roman" w:eastAsia="Times New Roman" w:hAnsi="Times New Roman" w:cs="Times New Roman"/>
          <w:sz w:val="24"/>
          <w:szCs w:val="24"/>
        </w:rPr>
        <w:t xml:space="preserve"> et al. (2025), good governance is imperative in upholding the ethical use of AI and accountability of organisations. Though AI was not utilized in this report, the concepts of responsible technology utilization are applicable, especially when it comes to transparency, verification, and informed human contro</w:t>
      </w:r>
      <w:r>
        <w:rPr>
          <w:rFonts w:ascii="Times New Roman" w:eastAsia="Times New Roman" w:hAnsi="Times New Roman" w:cs="Times New Roman"/>
          <w:sz w:val="24"/>
          <w:szCs w:val="24"/>
        </w:rPr>
        <w:t>l in executive financial decision-making.</w:t>
      </w:r>
    </w:p>
    <w:p w14:paraId="07A4CC1B" w14:textId="77777777" w:rsidR="001A687F" w:rsidRDefault="003B77CE" w:rsidP="004C3139">
      <w:pPr>
        <w:pStyle w:val="Heading1"/>
      </w:pPr>
      <w:bookmarkStart w:id="48" w:name="_Toc236682386"/>
      <w:r>
        <w:t>7. Conclusion</w:t>
      </w:r>
      <w:bookmarkEnd w:id="48"/>
      <w:r>
        <w:t xml:space="preserve"> </w:t>
      </w:r>
    </w:p>
    <w:p w14:paraId="5836EDB8" w14:textId="77777777" w:rsidR="001A687F" w:rsidRDefault="003B77C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five years covered, Accor has shown excellent recovery after the pandemic, as evidenced by the steady increase in revenue, the increasing operating profitability, and the strong business model, which is asset-light. Ratio analysis revealed that the profitability improved significantly since 2021, and liquidity has been maintained at an acceptable level in the industry despite minor pressure on cash reserves. There was also increased efficiency ratios due to increased utilisation of assets though </w:t>
      </w:r>
      <w:r>
        <w:rPr>
          <w:rFonts w:ascii="Times New Roman" w:eastAsia="Times New Roman" w:hAnsi="Times New Roman" w:cs="Times New Roman"/>
          <w:sz w:val="24"/>
          <w:szCs w:val="24"/>
        </w:rPr>
        <w:t xml:space="preserve">the accounts receivable turnover was still below the industry average. The trend of leverage growth in the year 2025 shows that the company has to manage its debt wisely in order to maintain its financial flexibility in the long term. Working capital analysis revealed a stable liquidity stance and it was suggested to improve on receivable management, digital treasury systems, inventory optimisation and proper cash forecasting to improve the </w:t>
      </w:r>
      <w:proofErr w:type="gramStart"/>
      <w:r>
        <w:rPr>
          <w:rFonts w:ascii="Times New Roman" w:eastAsia="Times New Roman" w:hAnsi="Times New Roman" w:cs="Times New Roman"/>
          <w:sz w:val="24"/>
          <w:szCs w:val="24"/>
        </w:rPr>
        <w:t>short term</w:t>
      </w:r>
      <w:proofErr w:type="gramEnd"/>
      <w:r>
        <w:rPr>
          <w:rFonts w:ascii="Times New Roman" w:eastAsia="Times New Roman" w:hAnsi="Times New Roman" w:cs="Times New Roman"/>
          <w:sz w:val="24"/>
          <w:szCs w:val="24"/>
        </w:rPr>
        <w:t xml:space="preserve"> cash flows. The suggested restructuring plan of finances</w:t>
      </w:r>
      <w:r>
        <w:rPr>
          <w:rFonts w:ascii="Times New Roman" w:eastAsia="Times New Roman" w:hAnsi="Times New Roman" w:cs="Times New Roman"/>
          <w:sz w:val="24"/>
          <w:szCs w:val="24"/>
        </w:rPr>
        <w:t xml:space="preserve"> with selective selling of assets, debt refinancing, equity financing, and strategic alliances would enhance shareholder value and sustainability in international growth. The investment appraisal determined Project C to be the preferred investment since it produced the highest ARR, the shortest payback period, the sole positive NPV, the highest profitability index and the highest </w:t>
      </w:r>
      <w:r>
        <w:rPr>
          <w:rFonts w:ascii="Times New Roman" w:eastAsia="Times New Roman" w:hAnsi="Times New Roman" w:cs="Times New Roman"/>
          <w:sz w:val="24"/>
          <w:szCs w:val="24"/>
        </w:rPr>
        <w:lastRenderedPageBreak/>
        <w:t>IRR. Within the capital limit of less than 100 million, Projects B and C provide the best investment choice in terms of financial</w:t>
      </w:r>
      <w:r>
        <w:rPr>
          <w:rFonts w:ascii="Times New Roman" w:eastAsia="Times New Roman" w:hAnsi="Times New Roman" w:cs="Times New Roman"/>
          <w:sz w:val="24"/>
          <w:szCs w:val="24"/>
        </w:rPr>
        <w:t xml:space="preserve"> payoff, long-term growth, and sustainability.</w:t>
      </w:r>
      <w:r>
        <w:br w:type="page"/>
      </w:r>
    </w:p>
    <w:p w14:paraId="1C5E7B95" w14:textId="77777777" w:rsidR="001A687F" w:rsidRDefault="003B77CE" w:rsidP="004C3139">
      <w:pPr>
        <w:pStyle w:val="Heading1"/>
      </w:pPr>
      <w:bookmarkStart w:id="49" w:name="_Toc236682387"/>
      <w:r>
        <w:lastRenderedPageBreak/>
        <w:t>Reference List</w:t>
      </w:r>
      <w:bookmarkEnd w:id="49"/>
    </w:p>
    <w:p w14:paraId="6FB7B926" w14:textId="693B73B3"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 (2026). </w:t>
      </w:r>
      <w:r>
        <w:rPr>
          <w:rFonts w:ascii="Times New Roman" w:eastAsia="Times New Roman" w:hAnsi="Times New Roman" w:cs="Times New Roman"/>
          <w:i/>
          <w:iCs/>
          <w:sz w:val="24"/>
          <w:szCs w:val="24"/>
        </w:rPr>
        <w:t>Our group - Accor group</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iCs/>
          <w:sz w:val="24"/>
          <w:szCs w:val="24"/>
        </w:rPr>
        <w:t>Accor.com</w:t>
      </w:r>
      <w:r>
        <w:rPr>
          <w:rFonts w:ascii="Times New Roman" w:eastAsia="Times New Roman" w:hAnsi="Times New Roman" w:cs="Times New Roman"/>
          <w:sz w:val="24"/>
          <w:szCs w:val="24"/>
        </w:rPr>
        <w:t>. Available at:</w:t>
      </w:r>
      <w:hyperlink r:id="rId23">
        <w:r w:rsidR="001A687F">
          <w:rPr>
            <w:rFonts w:ascii="Times New Roman" w:eastAsia="Times New Roman" w:hAnsi="Times New Roman" w:cs="Times New Roman"/>
            <w:sz w:val="24"/>
            <w:szCs w:val="24"/>
          </w:rPr>
          <w:t xml:space="preserve"> </w:t>
        </w:r>
      </w:hyperlink>
      <w:hyperlink r:id="rId24">
        <w:r w:rsidR="001A687F">
          <w:rPr>
            <w:rFonts w:ascii="Times New Roman" w:eastAsia="Times New Roman" w:hAnsi="Times New Roman" w:cs="Times New Roman"/>
            <w:color w:val="1155CC"/>
            <w:sz w:val="24"/>
            <w:szCs w:val="24"/>
            <w:u w:val="single"/>
          </w:rPr>
          <w:t>https://group.accor.com/en/group</w:t>
        </w:r>
      </w:hyperlink>
      <w:r>
        <w:rPr>
          <w:rFonts w:ascii="Times New Roman" w:eastAsia="Times New Roman" w:hAnsi="Times New Roman" w:cs="Times New Roman"/>
          <w:sz w:val="24"/>
          <w:szCs w:val="24"/>
        </w:rPr>
        <w:t xml:space="preserve"> [Accessed </w:t>
      </w:r>
      <w:r w:rsidR="001A2ECC">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Aug. 2026].</w:t>
      </w:r>
    </w:p>
    <w:p w14:paraId="7646E595" w14:textId="77777777"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Alshukri</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Ojekemi</w:t>
      </w:r>
      <w:proofErr w:type="spellEnd"/>
      <w:r>
        <w:rPr>
          <w:rFonts w:ascii="Times New Roman" w:eastAsia="Times New Roman" w:hAnsi="Times New Roman" w:cs="Times New Roman"/>
          <w:sz w:val="24"/>
          <w:szCs w:val="24"/>
        </w:rPr>
        <w:t xml:space="preserve">, O.S., Öz, T. and Alzubi, A. (2024). The interplay of corporate social responsibility, innovation capability, organizational learning, and sustainable value creation: Does stakeholder engagement matter?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16(13), pp.5511–5511.</w:t>
      </w:r>
      <w:hyperlink r:id="rId25">
        <w:r w:rsidR="001A687F">
          <w:rPr>
            <w:rFonts w:ascii="Times New Roman" w:eastAsia="Times New Roman" w:hAnsi="Times New Roman" w:cs="Times New Roman"/>
            <w:sz w:val="24"/>
            <w:szCs w:val="24"/>
          </w:rPr>
          <w:t xml:space="preserve"> </w:t>
        </w:r>
      </w:hyperlink>
      <w:hyperlink r:id="rId26">
        <w:r w:rsidR="001A687F">
          <w:rPr>
            <w:rFonts w:ascii="Times New Roman" w:eastAsia="Times New Roman" w:hAnsi="Times New Roman" w:cs="Times New Roman"/>
            <w:color w:val="1155CC"/>
            <w:sz w:val="24"/>
            <w:szCs w:val="24"/>
            <w:u w:val="single"/>
          </w:rPr>
          <w:t>https://doi.org/10.3390/su16135511</w:t>
        </w:r>
      </w:hyperlink>
      <w:r>
        <w:rPr>
          <w:rFonts w:ascii="Times New Roman" w:eastAsia="Times New Roman" w:hAnsi="Times New Roman" w:cs="Times New Roman"/>
          <w:sz w:val="24"/>
          <w:szCs w:val="24"/>
        </w:rPr>
        <w:t>.</w:t>
      </w:r>
    </w:p>
    <w:p w14:paraId="18E26BDC" w14:textId="77777777"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Arifaj</w:t>
      </w:r>
      <w:proofErr w:type="spellEnd"/>
      <w:r>
        <w:rPr>
          <w:rFonts w:ascii="Times New Roman" w:eastAsia="Times New Roman" w:hAnsi="Times New Roman" w:cs="Times New Roman"/>
          <w:sz w:val="24"/>
          <w:szCs w:val="24"/>
        </w:rPr>
        <w:t xml:space="preserve">, A.H., Berisha, V., Morina, F. and Avdyli, E. (2023). Exploring the Impact of Cash Flow, Company Size, and Debt on Financial Performance in Corporations. </w:t>
      </w:r>
      <w:r>
        <w:rPr>
          <w:rFonts w:ascii="Times New Roman" w:eastAsia="Times New Roman" w:hAnsi="Times New Roman" w:cs="Times New Roman"/>
          <w:i/>
          <w:iCs/>
          <w:sz w:val="24"/>
          <w:szCs w:val="24"/>
        </w:rPr>
        <w:t>Investment management &amp; financial innovations</w:t>
      </w:r>
      <w:r>
        <w:rPr>
          <w:rFonts w:ascii="Times New Roman" w:eastAsia="Times New Roman" w:hAnsi="Times New Roman" w:cs="Times New Roman"/>
          <w:sz w:val="24"/>
          <w:szCs w:val="24"/>
        </w:rPr>
        <w:t>, [online] 20(3), pp.264–272. Available at:</w:t>
      </w:r>
      <w:hyperlink r:id="rId27">
        <w:r w:rsidR="001A687F">
          <w:rPr>
            <w:rFonts w:ascii="Times New Roman" w:eastAsia="Times New Roman" w:hAnsi="Times New Roman" w:cs="Times New Roman"/>
            <w:sz w:val="24"/>
            <w:szCs w:val="24"/>
          </w:rPr>
          <w:t xml:space="preserve"> </w:t>
        </w:r>
      </w:hyperlink>
      <w:hyperlink r:id="rId28">
        <w:r w:rsidR="001A687F">
          <w:rPr>
            <w:rFonts w:ascii="Times New Roman" w:eastAsia="Times New Roman" w:hAnsi="Times New Roman" w:cs="Times New Roman"/>
            <w:color w:val="1155CC"/>
            <w:sz w:val="24"/>
            <w:szCs w:val="24"/>
            <w:u w:val="single"/>
          </w:rPr>
          <w:t>https://pdfs.semanticscholar.org/b297/a823988fa5f3b58516df9f08c16c2c20d0e5.pdf</w:t>
        </w:r>
      </w:hyperlink>
      <w:r>
        <w:rPr>
          <w:rFonts w:ascii="Times New Roman" w:eastAsia="Times New Roman" w:hAnsi="Times New Roman" w:cs="Times New Roman"/>
          <w:sz w:val="24"/>
          <w:szCs w:val="24"/>
        </w:rPr>
        <w:t xml:space="preserve">. </w:t>
      </w:r>
    </w:p>
    <w:p w14:paraId="41508B99" w14:textId="4F5D1DE0"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Begenau</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Elenev</w:t>
      </w:r>
      <w:proofErr w:type="spellEnd"/>
      <w:r>
        <w:rPr>
          <w:rFonts w:ascii="Times New Roman" w:eastAsia="Times New Roman" w:hAnsi="Times New Roman" w:cs="Times New Roman"/>
          <w:sz w:val="24"/>
          <w:szCs w:val="24"/>
        </w:rPr>
        <w:t xml:space="preserve">, V., Landvoigt, T., Choi, J., </w:t>
      </w:r>
      <w:proofErr w:type="spellStart"/>
      <w:r>
        <w:rPr>
          <w:rFonts w:ascii="Times New Roman" w:eastAsia="Times New Roman" w:hAnsi="Times New Roman" w:cs="Times New Roman"/>
          <w:sz w:val="24"/>
          <w:szCs w:val="24"/>
        </w:rPr>
        <w:t>Brunnermeier</w:t>
      </w:r>
      <w:proofErr w:type="spellEnd"/>
      <w:r>
        <w:rPr>
          <w:rFonts w:ascii="Times New Roman" w:eastAsia="Times New Roman" w:hAnsi="Times New Roman" w:cs="Times New Roman"/>
          <w:sz w:val="24"/>
          <w:szCs w:val="24"/>
        </w:rPr>
        <w:t xml:space="preserve">, M., Greenwald, D., Jiang, E., </w:t>
      </w:r>
      <w:proofErr w:type="spellStart"/>
      <w:r>
        <w:rPr>
          <w:rFonts w:ascii="Times New Roman" w:eastAsia="Times New Roman" w:hAnsi="Times New Roman" w:cs="Times New Roman"/>
          <w:sz w:val="24"/>
          <w:szCs w:val="24"/>
        </w:rPr>
        <w:t>Matvos</w:t>
      </w:r>
      <w:proofErr w:type="spellEnd"/>
      <w:r>
        <w:rPr>
          <w:rFonts w:ascii="Times New Roman" w:eastAsia="Times New Roman" w:hAnsi="Times New Roman" w:cs="Times New Roman"/>
          <w:sz w:val="24"/>
          <w:szCs w:val="24"/>
        </w:rPr>
        <w:t xml:space="preserve">, G., Robatto, R., Wang, O., Beraldi, F., Schroth, J. and Millan, S. (2026). </w:t>
      </w:r>
      <w:r>
        <w:rPr>
          <w:rFonts w:ascii="Times New Roman" w:eastAsia="Times New Roman" w:hAnsi="Times New Roman" w:cs="Times New Roman"/>
          <w:i/>
          <w:iCs/>
          <w:sz w:val="24"/>
          <w:szCs w:val="24"/>
        </w:rPr>
        <w:t>Interest rate risk and cross-sectional effects of micro-prudential regulation we are grateful for comments and suggestions by our discussants</w:t>
      </w:r>
      <w:r>
        <w:rPr>
          <w:rFonts w:ascii="Times New Roman" w:eastAsia="Times New Roman" w:hAnsi="Times New Roman" w:cs="Times New Roman"/>
          <w:sz w:val="24"/>
          <w:szCs w:val="24"/>
        </w:rPr>
        <w:t>. [online] Available at:</w:t>
      </w:r>
      <w:hyperlink r:id="rId29">
        <w:r w:rsidR="001A687F">
          <w:rPr>
            <w:rFonts w:ascii="Times New Roman" w:eastAsia="Times New Roman" w:hAnsi="Times New Roman" w:cs="Times New Roman"/>
            <w:sz w:val="24"/>
            <w:szCs w:val="24"/>
          </w:rPr>
          <w:t xml:space="preserve"> </w:t>
        </w:r>
      </w:hyperlink>
      <w:hyperlink r:id="rId30">
        <w:r w:rsidR="001A687F">
          <w:rPr>
            <w:rFonts w:ascii="Times New Roman" w:eastAsia="Times New Roman" w:hAnsi="Times New Roman" w:cs="Times New Roman"/>
            <w:color w:val="1155CC"/>
            <w:sz w:val="24"/>
            <w:szCs w:val="24"/>
            <w:u w:val="single"/>
          </w:rPr>
          <w:t>https://www.nber.org/system/files/working_papers/w34892/w34892.pdf</w:t>
        </w:r>
      </w:hyperlink>
      <w:r>
        <w:rPr>
          <w:rFonts w:ascii="Times New Roman" w:eastAsia="Times New Roman" w:hAnsi="Times New Roman" w:cs="Times New Roman"/>
          <w:sz w:val="24"/>
          <w:szCs w:val="24"/>
        </w:rPr>
        <w:t>.</w:t>
      </w:r>
    </w:p>
    <w:p w14:paraId="4A083AA8"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Blessing, H. and </w:t>
      </w:r>
      <w:proofErr w:type="spellStart"/>
      <w:r>
        <w:rPr>
          <w:rFonts w:ascii="Times New Roman" w:eastAsia="Times New Roman" w:hAnsi="Times New Roman" w:cs="Times New Roman"/>
          <w:sz w:val="24"/>
          <w:szCs w:val="24"/>
        </w:rPr>
        <w:t>Sakouvogui</w:t>
      </w:r>
      <w:proofErr w:type="spellEnd"/>
      <w:r>
        <w:rPr>
          <w:rFonts w:ascii="Times New Roman" w:eastAsia="Times New Roman" w:hAnsi="Times New Roman" w:cs="Times New Roman"/>
          <w:sz w:val="24"/>
          <w:szCs w:val="24"/>
        </w:rPr>
        <w:t xml:space="preserve">, G. (2023). Impact of liquidity and solvency ratios on financial performance: A comprehensive analysis. </w:t>
      </w:r>
      <w:r>
        <w:rPr>
          <w:rFonts w:ascii="Times New Roman" w:eastAsia="Times New Roman" w:hAnsi="Times New Roman" w:cs="Times New Roman"/>
          <w:i/>
          <w:iCs/>
          <w:sz w:val="24"/>
          <w:szCs w:val="24"/>
        </w:rPr>
        <w:t>Indonesia Auditing Research Journal</w:t>
      </w:r>
      <w:r>
        <w:rPr>
          <w:rFonts w:ascii="Times New Roman" w:eastAsia="Times New Roman" w:hAnsi="Times New Roman" w:cs="Times New Roman"/>
          <w:sz w:val="24"/>
          <w:szCs w:val="24"/>
        </w:rPr>
        <w:t>, [online] 12(3), pp.102–115. Available at:</w:t>
      </w:r>
      <w:hyperlink r:id="rId31">
        <w:r w:rsidR="001A687F">
          <w:rPr>
            <w:rFonts w:ascii="Times New Roman" w:eastAsia="Times New Roman" w:hAnsi="Times New Roman" w:cs="Times New Roman"/>
            <w:sz w:val="24"/>
            <w:szCs w:val="24"/>
          </w:rPr>
          <w:t xml:space="preserve"> </w:t>
        </w:r>
      </w:hyperlink>
      <w:hyperlink r:id="rId32">
        <w:r w:rsidR="001A687F">
          <w:rPr>
            <w:rFonts w:ascii="Times New Roman" w:eastAsia="Times New Roman" w:hAnsi="Times New Roman" w:cs="Times New Roman"/>
            <w:color w:val="1155CC"/>
            <w:sz w:val="24"/>
            <w:szCs w:val="24"/>
            <w:u w:val="single"/>
          </w:rPr>
          <w:t>https://journals.iarn.or.id/index.php/ARJ/article/view/208</w:t>
        </w:r>
      </w:hyperlink>
      <w:r>
        <w:rPr>
          <w:rFonts w:ascii="Times New Roman" w:eastAsia="Times New Roman" w:hAnsi="Times New Roman" w:cs="Times New Roman"/>
          <w:sz w:val="24"/>
          <w:szCs w:val="24"/>
        </w:rPr>
        <w:t xml:space="preserve">. </w:t>
      </w:r>
    </w:p>
    <w:p w14:paraId="38BF2336"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Bouteraa, M., Tamma, E., </w:t>
      </w:r>
      <w:proofErr w:type="spellStart"/>
      <w:r>
        <w:rPr>
          <w:rFonts w:ascii="Times New Roman" w:eastAsia="Times New Roman" w:hAnsi="Times New Roman" w:cs="Times New Roman"/>
          <w:sz w:val="24"/>
          <w:szCs w:val="24"/>
        </w:rPr>
        <w:t>Aichouche</w:t>
      </w:r>
      <w:proofErr w:type="spellEnd"/>
      <w:r>
        <w:rPr>
          <w:rFonts w:ascii="Times New Roman" w:eastAsia="Times New Roman" w:hAnsi="Times New Roman" w:cs="Times New Roman"/>
          <w:sz w:val="24"/>
          <w:szCs w:val="24"/>
        </w:rPr>
        <w:t xml:space="preserve">, M.E.H., Achour, S., Lada, S., Ansar, R., Fook, L.M. and </w:t>
      </w:r>
      <w:proofErr w:type="spellStart"/>
      <w:r>
        <w:rPr>
          <w:rFonts w:ascii="Times New Roman" w:eastAsia="Times New Roman" w:hAnsi="Times New Roman" w:cs="Times New Roman"/>
          <w:sz w:val="24"/>
          <w:szCs w:val="24"/>
        </w:rPr>
        <w:t>Chekima</w:t>
      </w:r>
      <w:proofErr w:type="spellEnd"/>
      <w:r>
        <w:rPr>
          <w:rFonts w:ascii="Times New Roman" w:eastAsia="Times New Roman" w:hAnsi="Times New Roman" w:cs="Times New Roman"/>
          <w:sz w:val="24"/>
          <w:szCs w:val="24"/>
        </w:rPr>
        <w:t xml:space="preserve">, B. (2023). International Joint Ventures’ knowledge acquisition: Critical literature review.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15(8), p.6364.</w:t>
      </w:r>
      <w:hyperlink r:id="rId33">
        <w:r w:rsidR="001A687F">
          <w:rPr>
            <w:rFonts w:ascii="Times New Roman" w:eastAsia="Times New Roman" w:hAnsi="Times New Roman" w:cs="Times New Roman"/>
            <w:sz w:val="24"/>
            <w:szCs w:val="24"/>
          </w:rPr>
          <w:t xml:space="preserve"> </w:t>
        </w:r>
      </w:hyperlink>
      <w:hyperlink r:id="rId34">
        <w:r w:rsidR="001A687F">
          <w:rPr>
            <w:rFonts w:ascii="Times New Roman" w:eastAsia="Times New Roman" w:hAnsi="Times New Roman" w:cs="Times New Roman"/>
            <w:color w:val="1155CC"/>
            <w:sz w:val="24"/>
            <w:szCs w:val="24"/>
            <w:u w:val="single"/>
          </w:rPr>
          <w:t>https://doi.org/10.3390/su15086364</w:t>
        </w:r>
      </w:hyperlink>
      <w:r>
        <w:rPr>
          <w:rFonts w:ascii="Times New Roman" w:eastAsia="Times New Roman" w:hAnsi="Times New Roman" w:cs="Times New Roman"/>
          <w:sz w:val="24"/>
          <w:szCs w:val="24"/>
        </w:rPr>
        <w:t>.</w:t>
      </w:r>
    </w:p>
    <w:p w14:paraId="17B6A2D7"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Boyarchenko, N., Crump, R.K., Kovner, A. and Leonard, D. (2022). </w:t>
      </w:r>
      <w:r>
        <w:rPr>
          <w:rFonts w:ascii="Times New Roman" w:eastAsia="Times New Roman" w:hAnsi="Times New Roman" w:cs="Times New Roman"/>
          <w:i/>
          <w:iCs/>
          <w:sz w:val="24"/>
          <w:szCs w:val="24"/>
        </w:rPr>
        <w:t>The commercial paper funding facility</w:t>
      </w:r>
      <w:r>
        <w:rPr>
          <w:rFonts w:ascii="Times New Roman" w:eastAsia="Times New Roman" w:hAnsi="Times New Roman" w:cs="Times New Roman"/>
          <w:sz w:val="24"/>
          <w:szCs w:val="24"/>
        </w:rPr>
        <w:t>. [online] Rochester, NY. Available at:</w:t>
      </w:r>
      <w:hyperlink r:id="rId35">
        <w:r w:rsidR="001A687F">
          <w:rPr>
            <w:rFonts w:ascii="Times New Roman" w:eastAsia="Times New Roman" w:hAnsi="Times New Roman" w:cs="Times New Roman"/>
            <w:sz w:val="24"/>
            <w:szCs w:val="24"/>
          </w:rPr>
          <w:t xml:space="preserve"> </w:t>
        </w:r>
      </w:hyperlink>
      <w:hyperlink r:id="rId36">
        <w:r w:rsidR="001A687F">
          <w:rPr>
            <w:rFonts w:ascii="Times New Roman" w:eastAsia="Times New Roman" w:hAnsi="Times New Roman" w:cs="Times New Roman"/>
            <w:color w:val="1155CC"/>
            <w:sz w:val="24"/>
            <w:szCs w:val="24"/>
            <w:u w:val="single"/>
          </w:rPr>
          <w:t>https://papers.ssrn.com/sol3/papers.cfm?abstract_id=4155578</w:t>
        </w:r>
      </w:hyperlink>
      <w:r>
        <w:rPr>
          <w:rFonts w:ascii="Times New Roman" w:eastAsia="Times New Roman" w:hAnsi="Times New Roman" w:cs="Times New Roman"/>
          <w:sz w:val="24"/>
          <w:szCs w:val="24"/>
        </w:rPr>
        <w:t>.</w:t>
      </w:r>
    </w:p>
    <w:p w14:paraId="5491CBE0"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Campiglio, E., Daumas, L., Monnin, P. and von Jagow, A. (2022). Climate‐related risks in financial assets. </w:t>
      </w:r>
      <w:r>
        <w:rPr>
          <w:rFonts w:ascii="Times New Roman" w:eastAsia="Times New Roman" w:hAnsi="Times New Roman" w:cs="Times New Roman"/>
          <w:i/>
          <w:iCs/>
          <w:sz w:val="24"/>
          <w:szCs w:val="24"/>
        </w:rPr>
        <w:t>Journal of Economic Surveys</w:t>
      </w:r>
      <w:r>
        <w:rPr>
          <w:rFonts w:ascii="Times New Roman" w:eastAsia="Times New Roman" w:hAnsi="Times New Roman" w:cs="Times New Roman"/>
          <w:sz w:val="24"/>
          <w:szCs w:val="24"/>
        </w:rPr>
        <w:t>, 37(3).</w:t>
      </w:r>
      <w:hyperlink r:id="rId37">
        <w:r w:rsidR="001A687F">
          <w:rPr>
            <w:rFonts w:ascii="Times New Roman" w:eastAsia="Times New Roman" w:hAnsi="Times New Roman" w:cs="Times New Roman"/>
            <w:sz w:val="24"/>
            <w:szCs w:val="24"/>
          </w:rPr>
          <w:t xml:space="preserve"> </w:t>
        </w:r>
      </w:hyperlink>
      <w:hyperlink r:id="rId38">
        <w:r w:rsidR="001A687F">
          <w:rPr>
            <w:rFonts w:ascii="Times New Roman" w:eastAsia="Times New Roman" w:hAnsi="Times New Roman" w:cs="Times New Roman"/>
            <w:color w:val="1155CC"/>
            <w:sz w:val="24"/>
            <w:szCs w:val="24"/>
            <w:u w:val="single"/>
          </w:rPr>
          <w:t>https://doi.org/10.1111/joes.12525</w:t>
        </w:r>
      </w:hyperlink>
      <w:r>
        <w:rPr>
          <w:rFonts w:ascii="Times New Roman" w:eastAsia="Times New Roman" w:hAnsi="Times New Roman" w:cs="Times New Roman"/>
          <w:sz w:val="24"/>
          <w:szCs w:val="24"/>
        </w:rPr>
        <w:t>.</w:t>
      </w:r>
    </w:p>
    <w:p w14:paraId="78472BEF"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X., Guha, S. and Simu, T.H. (2025). Capital structure theories in US corporate divestitures: A study on spin-off firms. </w:t>
      </w:r>
      <w:r>
        <w:rPr>
          <w:rFonts w:ascii="Times New Roman" w:eastAsia="Times New Roman" w:hAnsi="Times New Roman" w:cs="Times New Roman"/>
          <w:i/>
          <w:iCs/>
          <w:sz w:val="24"/>
          <w:szCs w:val="24"/>
        </w:rPr>
        <w:t>International Journal of Financial Studies</w:t>
      </w:r>
      <w:r>
        <w:rPr>
          <w:rFonts w:ascii="Times New Roman" w:eastAsia="Times New Roman" w:hAnsi="Times New Roman" w:cs="Times New Roman"/>
          <w:sz w:val="24"/>
          <w:szCs w:val="24"/>
        </w:rPr>
        <w:t>, 13(3), pp.173–173.</w:t>
      </w:r>
      <w:hyperlink r:id="rId39">
        <w:r w:rsidR="001A687F">
          <w:rPr>
            <w:rFonts w:ascii="Times New Roman" w:eastAsia="Times New Roman" w:hAnsi="Times New Roman" w:cs="Times New Roman"/>
            <w:sz w:val="24"/>
            <w:szCs w:val="24"/>
          </w:rPr>
          <w:t xml:space="preserve"> </w:t>
        </w:r>
      </w:hyperlink>
      <w:hyperlink r:id="rId40">
        <w:r w:rsidR="001A687F">
          <w:rPr>
            <w:rFonts w:ascii="Times New Roman" w:eastAsia="Times New Roman" w:hAnsi="Times New Roman" w:cs="Times New Roman"/>
            <w:color w:val="1155CC"/>
            <w:sz w:val="24"/>
            <w:szCs w:val="24"/>
            <w:u w:val="single"/>
          </w:rPr>
          <w:t>https://doi.org/10.3390/ijfs13030173</w:t>
        </w:r>
      </w:hyperlink>
      <w:r>
        <w:rPr>
          <w:rFonts w:ascii="Times New Roman" w:eastAsia="Times New Roman" w:hAnsi="Times New Roman" w:cs="Times New Roman"/>
          <w:sz w:val="24"/>
          <w:szCs w:val="24"/>
        </w:rPr>
        <w:t>.</w:t>
      </w:r>
    </w:p>
    <w:p w14:paraId="5D6D6EAD" w14:textId="77777777" w:rsidR="001A687F" w:rsidRDefault="003B77CE">
      <w:pPr>
        <w:spacing w:after="160" w:line="360" w:lineRule="auto"/>
        <w:jc w:val="both"/>
        <w:rPr>
          <w:rFonts w:ascii="Times New Roman" w:eastAsia="Times New Roman" w:hAnsi="Times New Roman" w:cs="Times New Roman"/>
          <w:sz w:val="24"/>
          <w:szCs w:val="24"/>
        </w:rPr>
      </w:pPr>
      <w:r w:rsidRPr="004C3139">
        <w:rPr>
          <w:rFonts w:ascii="Times New Roman" w:eastAsia="Times New Roman" w:hAnsi="Times New Roman" w:cs="Times New Roman"/>
          <w:sz w:val="24"/>
          <w:szCs w:val="24"/>
          <w:lang w:val="it-IT"/>
        </w:rPr>
        <w:lastRenderedPageBreak/>
        <w:t xml:space="preserve">Dai, H., Li, N., Wang, Y. and Zhao, X. (2022). </w:t>
      </w:r>
      <w:r>
        <w:rPr>
          <w:rFonts w:ascii="Times New Roman" w:eastAsia="Times New Roman" w:hAnsi="Times New Roman" w:cs="Times New Roman"/>
          <w:i/>
          <w:iCs/>
          <w:sz w:val="24"/>
          <w:szCs w:val="24"/>
        </w:rPr>
        <w:t>The analysis of three main investment criteria: NPV IRR and payback period</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iCs/>
          <w:sz w:val="24"/>
          <w:szCs w:val="24"/>
        </w:rPr>
        <w:t>Advances in Economics, Business and Management Research</w:t>
      </w:r>
      <w:r>
        <w:rPr>
          <w:rFonts w:ascii="Times New Roman" w:eastAsia="Times New Roman" w:hAnsi="Times New Roman" w:cs="Times New Roman"/>
          <w:sz w:val="24"/>
          <w:szCs w:val="24"/>
        </w:rPr>
        <w:t>, Atlantis Press, pp.185–189. 10.2991/aebmr.k.220307.028.</w:t>
      </w:r>
    </w:p>
    <w:p w14:paraId="4A3BD09E"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Gonçalves, T.C., Dias, J. and Barros, V. (2022). Sustainability performance and the cost of capital. </w:t>
      </w:r>
      <w:r>
        <w:rPr>
          <w:rFonts w:ascii="Times New Roman" w:eastAsia="Times New Roman" w:hAnsi="Times New Roman" w:cs="Times New Roman"/>
          <w:i/>
          <w:iCs/>
          <w:sz w:val="24"/>
          <w:szCs w:val="24"/>
        </w:rPr>
        <w:t>International Journal of Financial Studies</w:t>
      </w:r>
      <w:r>
        <w:rPr>
          <w:rFonts w:ascii="Times New Roman" w:eastAsia="Times New Roman" w:hAnsi="Times New Roman" w:cs="Times New Roman"/>
          <w:sz w:val="24"/>
          <w:szCs w:val="24"/>
        </w:rPr>
        <w:t>, 10(3), p.63.</w:t>
      </w:r>
      <w:hyperlink r:id="rId41">
        <w:r w:rsidR="001A687F">
          <w:rPr>
            <w:rFonts w:ascii="Times New Roman" w:eastAsia="Times New Roman" w:hAnsi="Times New Roman" w:cs="Times New Roman"/>
            <w:sz w:val="24"/>
            <w:szCs w:val="24"/>
          </w:rPr>
          <w:t xml:space="preserve"> </w:t>
        </w:r>
      </w:hyperlink>
      <w:hyperlink r:id="rId42">
        <w:r w:rsidR="001A687F">
          <w:rPr>
            <w:rFonts w:ascii="Times New Roman" w:eastAsia="Times New Roman" w:hAnsi="Times New Roman" w:cs="Times New Roman"/>
            <w:color w:val="1155CC"/>
            <w:sz w:val="24"/>
            <w:szCs w:val="24"/>
            <w:u w:val="single"/>
          </w:rPr>
          <w:t>https://doi.org/10.3390/ijfs10030063</w:t>
        </w:r>
      </w:hyperlink>
      <w:r>
        <w:rPr>
          <w:rFonts w:ascii="Times New Roman" w:eastAsia="Times New Roman" w:hAnsi="Times New Roman" w:cs="Times New Roman"/>
          <w:sz w:val="24"/>
          <w:szCs w:val="24"/>
        </w:rPr>
        <w:t>.</w:t>
      </w:r>
    </w:p>
    <w:p w14:paraId="73BF1B35"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Habib, A., Khan, M.A., Popp, J. and Rákos, M. (2022). The influence of operating capital and cash holding on firm profitability. </w:t>
      </w:r>
      <w:r>
        <w:rPr>
          <w:rFonts w:ascii="Times New Roman" w:eastAsia="Times New Roman" w:hAnsi="Times New Roman" w:cs="Times New Roman"/>
          <w:i/>
          <w:iCs/>
          <w:sz w:val="24"/>
          <w:szCs w:val="24"/>
        </w:rPr>
        <w:t>Economies</w:t>
      </w:r>
      <w:r>
        <w:rPr>
          <w:rFonts w:ascii="Times New Roman" w:eastAsia="Times New Roman" w:hAnsi="Times New Roman" w:cs="Times New Roman"/>
          <w:sz w:val="24"/>
          <w:szCs w:val="24"/>
        </w:rPr>
        <w:t>, 10(3), p.69.</w:t>
      </w:r>
      <w:hyperlink r:id="rId43">
        <w:r w:rsidR="001A687F">
          <w:rPr>
            <w:rFonts w:ascii="Times New Roman" w:eastAsia="Times New Roman" w:hAnsi="Times New Roman" w:cs="Times New Roman"/>
            <w:sz w:val="24"/>
            <w:szCs w:val="24"/>
          </w:rPr>
          <w:t xml:space="preserve"> </w:t>
        </w:r>
      </w:hyperlink>
      <w:hyperlink r:id="rId44">
        <w:r w:rsidR="001A687F">
          <w:rPr>
            <w:rFonts w:ascii="Times New Roman" w:eastAsia="Times New Roman" w:hAnsi="Times New Roman" w:cs="Times New Roman"/>
            <w:color w:val="1155CC"/>
            <w:sz w:val="24"/>
            <w:szCs w:val="24"/>
            <w:u w:val="single"/>
          </w:rPr>
          <w:t>https://doi.org/10.3390/economies10030069</w:t>
        </w:r>
      </w:hyperlink>
      <w:r>
        <w:rPr>
          <w:rFonts w:ascii="Times New Roman" w:eastAsia="Times New Roman" w:hAnsi="Times New Roman" w:cs="Times New Roman"/>
          <w:sz w:val="24"/>
          <w:szCs w:val="24"/>
        </w:rPr>
        <w:t>.</w:t>
      </w:r>
    </w:p>
    <w:p w14:paraId="0583A9FB"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Hassan, N.C., Abdul-Rahman, A., Mohd Amin, S.I. and Ab Hamid, S.N. (2023). Investment intention and decision making: A systematic literature review and future research agenda.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15(5), p.3949.</w:t>
      </w:r>
      <w:hyperlink r:id="rId45">
        <w:r w:rsidR="001A687F">
          <w:rPr>
            <w:rFonts w:ascii="Times New Roman" w:eastAsia="Times New Roman" w:hAnsi="Times New Roman" w:cs="Times New Roman"/>
            <w:sz w:val="24"/>
            <w:szCs w:val="24"/>
          </w:rPr>
          <w:t xml:space="preserve"> </w:t>
        </w:r>
      </w:hyperlink>
      <w:hyperlink r:id="rId46">
        <w:r w:rsidR="001A687F">
          <w:rPr>
            <w:rFonts w:ascii="Times New Roman" w:eastAsia="Times New Roman" w:hAnsi="Times New Roman" w:cs="Times New Roman"/>
            <w:color w:val="1155CC"/>
            <w:sz w:val="24"/>
            <w:szCs w:val="24"/>
            <w:u w:val="single"/>
          </w:rPr>
          <w:t>https://doi.org/10.3390/su15053949</w:t>
        </w:r>
      </w:hyperlink>
      <w:r>
        <w:rPr>
          <w:rFonts w:ascii="Times New Roman" w:eastAsia="Times New Roman" w:hAnsi="Times New Roman" w:cs="Times New Roman"/>
          <w:sz w:val="24"/>
          <w:szCs w:val="24"/>
        </w:rPr>
        <w:t>.</w:t>
      </w:r>
    </w:p>
    <w:p w14:paraId="271CC10D"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Hoang, D., </w:t>
      </w:r>
      <w:proofErr w:type="spellStart"/>
      <w:r>
        <w:rPr>
          <w:rFonts w:ascii="Times New Roman" w:eastAsia="Times New Roman" w:hAnsi="Times New Roman" w:cs="Times New Roman"/>
          <w:sz w:val="24"/>
          <w:szCs w:val="24"/>
        </w:rPr>
        <w:t>Gatzer</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Ruckes</w:t>
      </w:r>
      <w:proofErr w:type="spellEnd"/>
      <w:r>
        <w:rPr>
          <w:rFonts w:ascii="Times New Roman" w:eastAsia="Times New Roman" w:hAnsi="Times New Roman" w:cs="Times New Roman"/>
          <w:sz w:val="24"/>
          <w:szCs w:val="24"/>
        </w:rPr>
        <w:t xml:space="preserve">, M. (2024). The economics of capital allocation in firms: Evidence from Internal Capital Markets. </w:t>
      </w:r>
      <w:r>
        <w:rPr>
          <w:rFonts w:ascii="Times New Roman" w:eastAsia="Times New Roman" w:hAnsi="Times New Roman" w:cs="Times New Roman"/>
          <w:i/>
          <w:iCs/>
          <w:sz w:val="24"/>
          <w:szCs w:val="24"/>
        </w:rPr>
        <w:t>Management Science</w:t>
      </w:r>
      <w:r>
        <w:rPr>
          <w:rFonts w:ascii="Times New Roman" w:eastAsia="Times New Roman" w:hAnsi="Times New Roman" w:cs="Times New Roman"/>
          <w:sz w:val="24"/>
          <w:szCs w:val="24"/>
        </w:rPr>
        <w:t>.</w:t>
      </w:r>
      <w:hyperlink r:id="rId47">
        <w:r w:rsidR="001A687F">
          <w:rPr>
            <w:rFonts w:ascii="Times New Roman" w:eastAsia="Times New Roman" w:hAnsi="Times New Roman" w:cs="Times New Roman"/>
            <w:sz w:val="24"/>
            <w:szCs w:val="24"/>
          </w:rPr>
          <w:t xml:space="preserve"> </w:t>
        </w:r>
      </w:hyperlink>
      <w:hyperlink r:id="rId48">
        <w:r w:rsidR="001A687F">
          <w:rPr>
            <w:rFonts w:ascii="Times New Roman" w:eastAsia="Times New Roman" w:hAnsi="Times New Roman" w:cs="Times New Roman"/>
            <w:color w:val="1155CC"/>
            <w:sz w:val="24"/>
            <w:szCs w:val="24"/>
            <w:u w:val="single"/>
          </w:rPr>
          <w:t>https://doi.org/10.1287/mnsc.2021.02755</w:t>
        </w:r>
      </w:hyperlink>
      <w:r>
        <w:rPr>
          <w:rFonts w:ascii="Times New Roman" w:eastAsia="Times New Roman" w:hAnsi="Times New Roman" w:cs="Times New Roman"/>
          <w:sz w:val="24"/>
          <w:szCs w:val="24"/>
        </w:rPr>
        <w:t>.</w:t>
      </w:r>
    </w:p>
    <w:p w14:paraId="1526D269"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Hysa, B., </w:t>
      </w:r>
      <w:proofErr w:type="spellStart"/>
      <w:r>
        <w:rPr>
          <w:rFonts w:ascii="Times New Roman" w:eastAsia="Times New Roman" w:hAnsi="Times New Roman" w:cs="Times New Roman"/>
          <w:sz w:val="24"/>
          <w:szCs w:val="24"/>
        </w:rPr>
        <w:t>Zdonek</w:t>
      </w:r>
      <w:proofErr w:type="spellEnd"/>
      <w:r>
        <w:rPr>
          <w:rFonts w:ascii="Times New Roman" w:eastAsia="Times New Roman" w:hAnsi="Times New Roman" w:cs="Times New Roman"/>
          <w:sz w:val="24"/>
          <w:szCs w:val="24"/>
        </w:rPr>
        <w:t xml:space="preserve">, I. and Karasek, A. (2022). Social media in sustainable tourism recovery.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14(2), p.760.</w:t>
      </w:r>
      <w:hyperlink r:id="rId49">
        <w:r w:rsidR="001A687F">
          <w:rPr>
            <w:rFonts w:ascii="Times New Roman" w:eastAsia="Times New Roman" w:hAnsi="Times New Roman" w:cs="Times New Roman"/>
            <w:sz w:val="24"/>
            <w:szCs w:val="24"/>
          </w:rPr>
          <w:t xml:space="preserve"> </w:t>
        </w:r>
      </w:hyperlink>
      <w:hyperlink r:id="rId50">
        <w:r w:rsidR="001A687F">
          <w:rPr>
            <w:rFonts w:ascii="Times New Roman" w:eastAsia="Times New Roman" w:hAnsi="Times New Roman" w:cs="Times New Roman"/>
            <w:color w:val="1155CC"/>
            <w:sz w:val="24"/>
            <w:szCs w:val="24"/>
            <w:u w:val="single"/>
          </w:rPr>
          <w:t>https://doi.org/10.3390/su14020760</w:t>
        </w:r>
      </w:hyperlink>
      <w:r>
        <w:rPr>
          <w:rFonts w:ascii="Times New Roman" w:eastAsia="Times New Roman" w:hAnsi="Times New Roman" w:cs="Times New Roman"/>
          <w:sz w:val="24"/>
          <w:szCs w:val="24"/>
        </w:rPr>
        <w:t>.</w:t>
      </w:r>
    </w:p>
    <w:p w14:paraId="0D62D2F3" w14:textId="77777777" w:rsidR="001A687F" w:rsidRDefault="003B77CE">
      <w:pPr>
        <w:spacing w:after="160" w:line="360" w:lineRule="auto"/>
        <w:jc w:val="both"/>
        <w:rPr>
          <w:rFonts w:ascii="Times New Roman" w:eastAsia="Times New Roman" w:hAnsi="Times New Roman" w:cs="Times New Roman"/>
          <w:sz w:val="24"/>
          <w:szCs w:val="24"/>
        </w:rPr>
      </w:pPr>
      <w:r w:rsidRPr="005400EC">
        <w:rPr>
          <w:rFonts w:ascii="Times New Roman" w:eastAsia="Times New Roman" w:hAnsi="Times New Roman" w:cs="Times New Roman"/>
          <w:sz w:val="24"/>
          <w:szCs w:val="24"/>
          <w:lang w:val="en-IN"/>
        </w:rPr>
        <w:t xml:space="preserve">Iazzolino, G., Bruni, M.E., Veltri, S., Morea, D. and </w:t>
      </w:r>
      <w:proofErr w:type="spellStart"/>
      <w:r w:rsidRPr="005400EC">
        <w:rPr>
          <w:rFonts w:ascii="Times New Roman" w:eastAsia="Times New Roman" w:hAnsi="Times New Roman" w:cs="Times New Roman"/>
          <w:sz w:val="24"/>
          <w:szCs w:val="24"/>
          <w:lang w:val="en-IN"/>
        </w:rPr>
        <w:t>Baldissarro</w:t>
      </w:r>
      <w:proofErr w:type="spellEnd"/>
      <w:r w:rsidRPr="005400EC">
        <w:rPr>
          <w:rFonts w:ascii="Times New Roman" w:eastAsia="Times New Roman" w:hAnsi="Times New Roman" w:cs="Times New Roman"/>
          <w:sz w:val="24"/>
          <w:szCs w:val="24"/>
          <w:lang w:val="en-IN"/>
        </w:rPr>
        <w:t xml:space="preserve">, G. (2023). </w:t>
      </w:r>
      <w:r>
        <w:rPr>
          <w:rFonts w:ascii="Times New Roman" w:eastAsia="Times New Roman" w:hAnsi="Times New Roman" w:cs="Times New Roman"/>
          <w:sz w:val="24"/>
          <w:szCs w:val="24"/>
        </w:rPr>
        <w:t xml:space="preserve">The impact of ESG factors on financial efficiency: An empirical analysis for the selection of sustainable firm portfolios. </w:t>
      </w:r>
      <w:r>
        <w:rPr>
          <w:rFonts w:ascii="Times New Roman" w:eastAsia="Times New Roman" w:hAnsi="Times New Roman" w:cs="Times New Roman"/>
          <w:i/>
          <w:iCs/>
          <w:sz w:val="24"/>
          <w:szCs w:val="24"/>
        </w:rPr>
        <w:t>Corporate Social Responsibility and Environmental Management</w:t>
      </w:r>
      <w:r>
        <w:rPr>
          <w:rFonts w:ascii="Times New Roman" w:eastAsia="Times New Roman" w:hAnsi="Times New Roman" w:cs="Times New Roman"/>
          <w:sz w:val="24"/>
          <w:szCs w:val="24"/>
        </w:rPr>
        <w:t>, [online] 30(4). Available at:</w:t>
      </w:r>
      <w:hyperlink r:id="rId51">
        <w:r w:rsidR="001A687F">
          <w:rPr>
            <w:rFonts w:ascii="Times New Roman" w:eastAsia="Times New Roman" w:hAnsi="Times New Roman" w:cs="Times New Roman"/>
            <w:sz w:val="24"/>
            <w:szCs w:val="24"/>
          </w:rPr>
          <w:t xml:space="preserve"> </w:t>
        </w:r>
      </w:hyperlink>
      <w:hyperlink r:id="rId52">
        <w:r w:rsidR="001A687F">
          <w:rPr>
            <w:rFonts w:ascii="Times New Roman" w:eastAsia="Times New Roman" w:hAnsi="Times New Roman" w:cs="Times New Roman"/>
            <w:color w:val="1155CC"/>
            <w:sz w:val="24"/>
            <w:szCs w:val="24"/>
            <w:u w:val="single"/>
          </w:rPr>
          <w:t>https://onlinelibrary.wiley.com/doi/abs/10.1002/csr.2463</w:t>
        </w:r>
      </w:hyperlink>
      <w:r>
        <w:rPr>
          <w:rFonts w:ascii="Times New Roman" w:eastAsia="Times New Roman" w:hAnsi="Times New Roman" w:cs="Times New Roman"/>
          <w:sz w:val="24"/>
          <w:szCs w:val="24"/>
        </w:rPr>
        <w:t xml:space="preserve">. </w:t>
      </w:r>
    </w:p>
    <w:p w14:paraId="23436EB9"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Izadi, S. and </w:t>
      </w:r>
      <w:proofErr w:type="spellStart"/>
      <w:r>
        <w:rPr>
          <w:rFonts w:ascii="Times New Roman" w:eastAsia="Times New Roman" w:hAnsi="Times New Roman" w:cs="Times New Roman"/>
          <w:sz w:val="24"/>
          <w:szCs w:val="24"/>
        </w:rPr>
        <w:t>Forouzanfar</w:t>
      </w:r>
      <w:proofErr w:type="spellEnd"/>
      <w:r>
        <w:rPr>
          <w:rFonts w:ascii="Times New Roman" w:eastAsia="Times New Roman" w:hAnsi="Times New Roman" w:cs="Times New Roman"/>
          <w:sz w:val="24"/>
          <w:szCs w:val="24"/>
        </w:rPr>
        <w:t xml:space="preserve">, M. (2024). Error correction and adaptation in conversational AI: A review of techniques and applications in Chatbots. </w:t>
      </w:r>
      <w:r>
        <w:rPr>
          <w:rFonts w:ascii="Times New Roman" w:eastAsia="Times New Roman" w:hAnsi="Times New Roman" w:cs="Times New Roman"/>
          <w:i/>
          <w:iCs/>
          <w:sz w:val="24"/>
          <w:szCs w:val="24"/>
        </w:rPr>
        <w:t>AI</w:t>
      </w:r>
      <w:r>
        <w:rPr>
          <w:rFonts w:ascii="Times New Roman" w:eastAsia="Times New Roman" w:hAnsi="Times New Roman" w:cs="Times New Roman"/>
          <w:sz w:val="24"/>
          <w:szCs w:val="24"/>
        </w:rPr>
        <w:t>, 5(2), pp.803–841.</w:t>
      </w:r>
      <w:hyperlink r:id="rId53">
        <w:r w:rsidR="001A687F">
          <w:rPr>
            <w:rFonts w:ascii="Times New Roman" w:eastAsia="Times New Roman" w:hAnsi="Times New Roman" w:cs="Times New Roman"/>
            <w:sz w:val="24"/>
            <w:szCs w:val="24"/>
          </w:rPr>
          <w:t xml:space="preserve"> </w:t>
        </w:r>
      </w:hyperlink>
      <w:hyperlink r:id="rId54">
        <w:r w:rsidR="001A687F">
          <w:rPr>
            <w:rFonts w:ascii="Times New Roman" w:eastAsia="Times New Roman" w:hAnsi="Times New Roman" w:cs="Times New Roman"/>
            <w:color w:val="1155CC"/>
            <w:sz w:val="24"/>
            <w:szCs w:val="24"/>
            <w:u w:val="single"/>
          </w:rPr>
          <w:t>https://doi.org/10.3390/ai5020041</w:t>
        </w:r>
      </w:hyperlink>
      <w:r>
        <w:rPr>
          <w:rFonts w:ascii="Times New Roman" w:eastAsia="Times New Roman" w:hAnsi="Times New Roman" w:cs="Times New Roman"/>
          <w:sz w:val="24"/>
          <w:szCs w:val="24"/>
        </w:rPr>
        <w:t>.</w:t>
      </w:r>
    </w:p>
    <w:p w14:paraId="6CFB7CC1" w14:textId="77777777"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Kalbuana</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Kusiyah</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Supriatiningsih</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Budiharjo</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Budyastuti</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Rusdiyanto</w:t>
      </w:r>
      <w:proofErr w:type="spellEnd"/>
      <w:r>
        <w:rPr>
          <w:rFonts w:ascii="Times New Roman" w:eastAsia="Times New Roman" w:hAnsi="Times New Roman" w:cs="Times New Roman"/>
          <w:sz w:val="24"/>
          <w:szCs w:val="24"/>
        </w:rPr>
        <w:t xml:space="preserve">, R. (2022). Effect of profitability, audit committee, company size, activity, and board of directors on sustainability. </w:t>
      </w:r>
      <w:r>
        <w:rPr>
          <w:rFonts w:ascii="Times New Roman" w:eastAsia="Times New Roman" w:hAnsi="Times New Roman" w:cs="Times New Roman"/>
          <w:i/>
          <w:iCs/>
          <w:sz w:val="24"/>
          <w:szCs w:val="24"/>
        </w:rPr>
        <w:t>Cogent Business &amp; Management</w:t>
      </w:r>
      <w:r>
        <w:rPr>
          <w:rFonts w:ascii="Times New Roman" w:eastAsia="Times New Roman" w:hAnsi="Times New Roman" w:cs="Times New Roman"/>
          <w:sz w:val="24"/>
          <w:szCs w:val="24"/>
        </w:rPr>
        <w:t>, 9(1).</w:t>
      </w:r>
      <w:hyperlink r:id="rId55">
        <w:r w:rsidR="001A687F">
          <w:rPr>
            <w:rFonts w:ascii="Times New Roman" w:eastAsia="Times New Roman" w:hAnsi="Times New Roman" w:cs="Times New Roman"/>
            <w:sz w:val="24"/>
            <w:szCs w:val="24"/>
          </w:rPr>
          <w:t xml:space="preserve"> </w:t>
        </w:r>
      </w:hyperlink>
      <w:hyperlink r:id="rId56">
        <w:r w:rsidR="001A687F">
          <w:rPr>
            <w:rFonts w:ascii="Times New Roman" w:eastAsia="Times New Roman" w:hAnsi="Times New Roman" w:cs="Times New Roman"/>
            <w:color w:val="1155CC"/>
            <w:sz w:val="24"/>
            <w:szCs w:val="24"/>
            <w:u w:val="single"/>
          </w:rPr>
          <w:t>https://doi.org/10.1080/23311975.2022.2129354</w:t>
        </w:r>
      </w:hyperlink>
      <w:r>
        <w:rPr>
          <w:rFonts w:ascii="Times New Roman" w:eastAsia="Times New Roman" w:hAnsi="Times New Roman" w:cs="Times New Roman"/>
          <w:sz w:val="24"/>
          <w:szCs w:val="24"/>
        </w:rPr>
        <w:t xml:space="preserve">. </w:t>
      </w:r>
    </w:p>
    <w:p w14:paraId="06EDF83F"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Matijević, J., Zielinski, S. and Ahn, Y.-J. (2025). Exploring the impact of COVID-19 recovery strategies in the hospitality and tourism industry. </w:t>
      </w:r>
      <w:r>
        <w:rPr>
          <w:rFonts w:ascii="Times New Roman" w:eastAsia="Times New Roman" w:hAnsi="Times New Roman" w:cs="Times New Roman"/>
          <w:i/>
          <w:iCs/>
          <w:sz w:val="24"/>
          <w:szCs w:val="24"/>
        </w:rPr>
        <w:t>Administrative Sciences</w:t>
      </w:r>
      <w:r>
        <w:rPr>
          <w:rFonts w:ascii="Times New Roman" w:eastAsia="Times New Roman" w:hAnsi="Times New Roman" w:cs="Times New Roman"/>
          <w:sz w:val="24"/>
          <w:szCs w:val="24"/>
        </w:rPr>
        <w:t>, 15(4), p.142.</w:t>
      </w:r>
      <w:hyperlink r:id="rId57">
        <w:r w:rsidR="001A687F">
          <w:rPr>
            <w:rFonts w:ascii="Times New Roman" w:eastAsia="Times New Roman" w:hAnsi="Times New Roman" w:cs="Times New Roman"/>
            <w:sz w:val="24"/>
            <w:szCs w:val="24"/>
          </w:rPr>
          <w:t xml:space="preserve"> </w:t>
        </w:r>
      </w:hyperlink>
      <w:hyperlink r:id="rId58">
        <w:r w:rsidR="001A687F">
          <w:rPr>
            <w:rFonts w:ascii="Times New Roman" w:eastAsia="Times New Roman" w:hAnsi="Times New Roman" w:cs="Times New Roman"/>
            <w:color w:val="1155CC"/>
            <w:sz w:val="24"/>
            <w:szCs w:val="24"/>
            <w:u w:val="single"/>
          </w:rPr>
          <w:t>https://doi.org/10.3390/admsci15040142</w:t>
        </w:r>
      </w:hyperlink>
      <w:r>
        <w:rPr>
          <w:rFonts w:ascii="Times New Roman" w:eastAsia="Times New Roman" w:hAnsi="Times New Roman" w:cs="Times New Roman"/>
          <w:sz w:val="24"/>
          <w:szCs w:val="24"/>
        </w:rPr>
        <w:t>.</w:t>
      </w:r>
    </w:p>
    <w:p w14:paraId="72592D60"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Olayinka, A.A. (2022). Financial Statement Analysis as a Tool for Investment Decisions and Assessment of Companies’ Performance. </w:t>
      </w:r>
      <w:r>
        <w:rPr>
          <w:rFonts w:ascii="Times New Roman" w:eastAsia="Times New Roman" w:hAnsi="Times New Roman" w:cs="Times New Roman"/>
          <w:i/>
          <w:iCs/>
          <w:sz w:val="24"/>
          <w:szCs w:val="24"/>
        </w:rPr>
        <w:t>International Journal of Financial, Accounting, and Management</w:t>
      </w:r>
      <w:r>
        <w:rPr>
          <w:rFonts w:ascii="Times New Roman" w:eastAsia="Times New Roman" w:hAnsi="Times New Roman" w:cs="Times New Roman"/>
          <w:sz w:val="24"/>
          <w:szCs w:val="24"/>
        </w:rPr>
        <w:t>, 4(1), pp.49–66.</w:t>
      </w:r>
      <w:hyperlink r:id="rId59">
        <w:r w:rsidR="001A687F">
          <w:rPr>
            <w:rFonts w:ascii="Times New Roman" w:eastAsia="Times New Roman" w:hAnsi="Times New Roman" w:cs="Times New Roman"/>
            <w:sz w:val="24"/>
            <w:szCs w:val="24"/>
          </w:rPr>
          <w:t xml:space="preserve"> </w:t>
        </w:r>
      </w:hyperlink>
      <w:hyperlink r:id="rId60">
        <w:r w:rsidR="001A687F">
          <w:rPr>
            <w:rFonts w:ascii="Times New Roman" w:eastAsia="Times New Roman" w:hAnsi="Times New Roman" w:cs="Times New Roman"/>
            <w:color w:val="1155CC"/>
            <w:sz w:val="24"/>
            <w:szCs w:val="24"/>
            <w:u w:val="single"/>
          </w:rPr>
          <w:t>https://doi.org/10.35912/ijfam.v4i1.852</w:t>
        </w:r>
      </w:hyperlink>
      <w:r>
        <w:rPr>
          <w:rFonts w:ascii="Times New Roman" w:eastAsia="Times New Roman" w:hAnsi="Times New Roman" w:cs="Times New Roman"/>
          <w:sz w:val="24"/>
          <w:szCs w:val="24"/>
        </w:rPr>
        <w:t xml:space="preserve">. </w:t>
      </w:r>
    </w:p>
    <w:p w14:paraId="32D5E0E9" w14:textId="77777777"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Papagiannidis</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Mikalef</w:t>
      </w:r>
      <w:proofErr w:type="spellEnd"/>
      <w:r>
        <w:rPr>
          <w:rFonts w:ascii="Times New Roman" w:eastAsia="Times New Roman" w:hAnsi="Times New Roman" w:cs="Times New Roman"/>
          <w:sz w:val="24"/>
          <w:szCs w:val="24"/>
        </w:rPr>
        <w:t xml:space="preserve">, P. and Conboy, K. (2025). Responsible artificial intelligence governance: A review and research framework. </w:t>
      </w:r>
      <w:r>
        <w:rPr>
          <w:rFonts w:ascii="Times New Roman" w:eastAsia="Times New Roman" w:hAnsi="Times New Roman" w:cs="Times New Roman"/>
          <w:i/>
          <w:iCs/>
          <w:sz w:val="24"/>
          <w:szCs w:val="24"/>
        </w:rPr>
        <w:t>The Journal of Strategic Information Systems</w:t>
      </w:r>
      <w:r>
        <w:rPr>
          <w:rFonts w:ascii="Times New Roman" w:eastAsia="Times New Roman" w:hAnsi="Times New Roman" w:cs="Times New Roman"/>
          <w:sz w:val="24"/>
          <w:szCs w:val="24"/>
        </w:rPr>
        <w:t>, 34(2).</w:t>
      </w:r>
      <w:hyperlink r:id="rId61">
        <w:r w:rsidR="001A687F">
          <w:rPr>
            <w:rFonts w:ascii="Times New Roman" w:eastAsia="Times New Roman" w:hAnsi="Times New Roman" w:cs="Times New Roman"/>
            <w:sz w:val="24"/>
            <w:szCs w:val="24"/>
          </w:rPr>
          <w:t xml:space="preserve"> </w:t>
        </w:r>
      </w:hyperlink>
      <w:hyperlink r:id="rId62">
        <w:r w:rsidR="001A687F">
          <w:rPr>
            <w:rFonts w:ascii="Times New Roman" w:eastAsia="Times New Roman" w:hAnsi="Times New Roman" w:cs="Times New Roman"/>
            <w:color w:val="1155CC"/>
            <w:sz w:val="24"/>
            <w:szCs w:val="24"/>
            <w:u w:val="single"/>
          </w:rPr>
          <w:t>https://doi.org/10.1016/j.jsis.2024.101885</w:t>
        </w:r>
      </w:hyperlink>
      <w:r>
        <w:rPr>
          <w:rFonts w:ascii="Times New Roman" w:eastAsia="Times New Roman" w:hAnsi="Times New Roman" w:cs="Times New Roman"/>
          <w:sz w:val="24"/>
          <w:szCs w:val="24"/>
        </w:rPr>
        <w:t>.</w:t>
      </w:r>
    </w:p>
    <w:p w14:paraId="5222289B"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Reyad, H.M., </w:t>
      </w:r>
      <w:proofErr w:type="spellStart"/>
      <w:r>
        <w:rPr>
          <w:rFonts w:ascii="Times New Roman" w:eastAsia="Times New Roman" w:hAnsi="Times New Roman" w:cs="Times New Roman"/>
          <w:sz w:val="24"/>
          <w:szCs w:val="24"/>
        </w:rPr>
        <w:t>Zariyawati</w:t>
      </w:r>
      <w:proofErr w:type="spellEnd"/>
      <w:r>
        <w:rPr>
          <w:rFonts w:ascii="Times New Roman" w:eastAsia="Times New Roman" w:hAnsi="Times New Roman" w:cs="Times New Roman"/>
          <w:sz w:val="24"/>
          <w:szCs w:val="24"/>
        </w:rPr>
        <w:t xml:space="preserve">, M.A., Ong, T.S. and Muhamad, H. (2022). The impact of macroeconomic risk factors, the adoption of financial derivatives on working capital management, and firm performance.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14(21), p.14447.</w:t>
      </w:r>
      <w:hyperlink r:id="rId63">
        <w:r w:rsidR="001A687F">
          <w:rPr>
            <w:rFonts w:ascii="Times New Roman" w:eastAsia="Times New Roman" w:hAnsi="Times New Roman" w:cs="Times New Roman"/>
            <w:sz w:val="24"/>
            <w:szCs w:val="24"/>
          </w:rPr>
          <w:t xml:space="preserve"> </w:t>
        </w:r>
      </w:hyperlink>
      <w:hyperlink r:id="rId64">
        <w:r w:rsidR="001A687F">
          <w:rPr>
            <w:rFonts w:ascii="Times New Roman" w:eastAsia="Times New Roman" w:hAnsi="Times New Roman" w:cs="Times New Roman"/>
            <w:color w:val="1155CC"/>
            <w:sz w:val="24"/>
            <w:szCs w:val="24"/>
            <w:u w:val="single"/>
          </w:rPr>
          <w:t>https://doi.org/10.3390/su142114447</w:t>
        </w:r>
      </w:hyperlink>
      <w:r>
        <w:rPr>
          <w:rFonts w:ascii="Times New Roman" w:eastAsia="Times New Roman" w:hAnsi="Times New Roman" w:cs="Times New Roman"/>
          <w:sz w:val="24"/>
          <w:szCs w:val="24"/>
        </w:rPr>
        <w:t>.</w:t>
      </w:r>
    </w:p>
    <w:p w14:paraId="037C939C" w14:textId="77777777"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Rookayyah</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Seetanah</w:t>
      </w:r>
      <w:proofErr w:type="spellEnd"/>
      <w:r>
        <w:rPr>
          <w:rFonts w:ascii="Times New Roman" w:eastAsia="Times New Roman" w:hAnsi="Times New Roman" w:cs="Times New Roman"/>
          <w:sz w:val="24"/>
          <w:szCs w:val="24"/>
        </w:rPr>
        <w:t xml:space="preserve">, B., Nunkoo, R. and Khan Jaffur, Z. (2024). The impact of exchange rate and exchange rate volatility on tourism demand using disaggregated data. </w:t>
      </w:r>
      <w:r>
        <w:rPr>
          <w:rFonts w:ascii="Times New Roman" w:eastAsia="Times New Roman" w:hAnsi="Times New Roman" w:cs="Times New Roman"/>
          <w:i/>
          <w:iCs/>
          <w:sz w:val="24"/>
          <w:szCs w:val="24"/>
        </w:rPr>
        <w:t>International journal of tourism research/The international journal of tourism research</w:t>
      </w:r>
      <w:r>
        <w:rPr>
          <w:rFonts w:ascii="Times New Roman" w:eastAsia="Times New Roman" w:hAnsi="Times New Roman" w:cs="Times New Roman"/>
          <w:sz w:val="24"/>
          <w:szCs w:val="24"/>
        </w:rPr>
        <w:t>, 26(2).</w:t>
      </w:r>
      <w:hyperlink r:id="rId65">
        <w:r w:rsidR="001A687F">
          <w:rPr>
            <w:rFonts w:ascii="Times New Roman" w:eastAsia="Times New Roman" w:hAnsi="Times New Roman" w:cs="Times New Roman"/>
            <w:sz w:val="24"/>
            <w:szCs w:val="24"/>
          </w:rPr>
          <w:t xml:space="preserve"> </w:t>
        </w:r>
      </w:hyperlink>
      <w:hyperlink r:id="rId66">
        <w:r w:rsidR="001A687F">
          <w:rPr>
            <w:rFonts w:ascii="Times New Roman" w:eastAsia="Times New Roman" w:hAnsi="Times New Roman" w:cs="Times New Roman"/>
            <w:color w:val="1155CC"/>
            <w:sz w:val="24"/>
            <w:szCs w:val="24"/>
            <w:u w:val="single"/>
          </w:rPr>
          <w:t>https://doi.org/10.1002/jtr.2640</w:t>
        </w:r>
      </w:hyperlink>
      <w:r>
        <w:rPr>
          <w:rFonts w:ascii="Times New Roman" w:eastAsia="Times New Roman" w:hAnsi="Times New Roman" w:cs="Times New Roman"/>
          <w:sz w:val="24"/>
          <w:szCs w:val="24"/>
        </w:rPr>
        <w:t>.</w:t>
      </w:r>
    </w:p>
    <w:p w14:paraId="5D377E38"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 R. (2025). Extending the P/E and PEG ratios: The role of the potential payback period (PPP) in modern equity valuation. [online] Available at:</w:t>
      </w:r>
      <w:hyperlink r:id="rId67">
        <w:r w:rsidR="001A687F">
          <w:rPr>
            <w:rFonts w:ascii="Times New Roman" w:eastAsia="Times New Roman" w:hAnsi="Times New Roman" w:cs="Times New Roman"/>
            <w:sz w:val="24"/>
            <w:szCs w:val="24"/>
          </w:rPr>
          <w:t xml:space="preserve"> </w:t>
        </w:r>
      </w:hyperlink>
      <w:hyperlink r:id="rId68">
        <w:r w:rsidR="001A687F">
          <w:rPr>
            <w:rFonts w:ascii="Times New Roman" w:eastAsia="Times New Roman" w:hAnsi="Times New Roman" w:cs="Times New Roman"/>
            <w:color w:val="1155CC"/>
            <w:sz w:val="24"/>
            <w:szCs w:val="24"/>
            <w:u w:val="single"/>
          </w:rPr>
          <w:t>https://papers.ssrn.com/sol3/papers.cfm?abstract_id=5240458</w:t>
        </w:r>
      </w:hyperlink>
      <w:r>
        <w:rPr>
          <w:rFonts w:ascii="Times New Roman" w:eastAsia="Times New Roman" w:hAnsi="Times New Roman" w:cs="Times New Roman"/>
          <w:sz w:val="24"/>
          <w:szCs w:val="24"/>
        </w:rPr>
        <w:t>.</w:t>
      </w:r>
    </w:p>
    <w:p w14:paraId="34F20D2D" w14:textId="77777777" w:rsidR="001A687F"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Sukma, R.P., </w:t>
      </w:r>
      <w:proofErr w:type="spellStart"/>
      <w:r>
        <w:rPr>
          <w:rFonts w:ascii="Times New Roman" w:eastAsia="Times New Roman" w:hAnsi="Times New Roman" w:cs="Times New Roman"/>
          <w:sz w:val="24"/>
          <w:szCs w:val="24"/>
        </w:rPr>
        <w:t>Nurtina</w:t>
      </w:r>
      <w:proofErr w:type="spellEnd"/>
      <w:r>
        <w:rPr>
          <w:rFonts w:ascii="Times New Roman" w:eastAsia="Times New Roman" w:hAnsi="Times New Roman" w:cs="Times New Roman"/>
          <w:sz w:val="24"/>
          <w:szCs w:val="24"/>
        </w:rPr>
        <w:t xml:space="preserve">, A.R. and MH Nainggolan, B. (2022). Effect of Debt Ratio, Long-term Debt to Equity, and Firm Size on Profitability. </w:t>
      </w:r>
      <w:r>
        <w:rPr>
          <w:rFonts w:ascii="Times New Roman" w:eastAsia="Times New Roman" w:hAnsi="Times New Roman" w:cs="Times New Roman"/>
          <w:i/>
          <w:iCs/>
          <w:sz w:val="24"/>
          <w:szCs w:val="24"/>
        </w:rPr>
        <w:t>Journal of Management and Leadership</w:t>
      </w:r>
      <w:r>
        <w:rPr>
          <w:rFonts w:ascii="Times New Roman" w:eastAsia="Times New Roman" w:hAnsi="Times New Roman" w:cs="Times New Roman"/>
          <w:sz w:val="24"/>
          <w:szCs w:val="24"/>
        </w:rPr>
        <w:t>, 5(1), pp.27–37.</w:t>
      </w:r>
      <w:hyperlink r:id="rId69">
        <w:r w:rsidR="001A687F">
          <w:rPr>
            <w:rFonts w:ascii="Times New Roman" w:eastAsia="Times New Roman" w:hAnsi="Times New Roman" w:cs="Times New Roman"/>
            <w:sz w:val="24"/>
            <w:szCs w:val="24"/>
          </w:rPr>
          <w:t xml:space="preserve"> </w:t>
        </w:r>
      </w:hyperlink>
      <w:hyperlink r:id="rId70">
        <w:r w:rsidR="001A687F">
          <w:rPr>
            <w:rFonts w:ascii="Times New Roman" w:eastAsia="Times New Roman" w:hAnsi="Times New Roman" w:cs="Times New Roman"/>
            <w:color w:val="1155CC"/>
            <w:sz w:val="24"/>
            <w:szCs w:val="24"/>
            <w:u w:val="single"/>
          </w:rPr>
          <w:t>https://doi.org/10.47970/jml.v5i1.302</w:t>
        </w:r>
      </w:hyperlink>
      <w:r>
        <w:rPr>
          <w:rFonts w:ascii="Times New Roman" w:eastAsia="Times New Roman" w:hAnsi="Times New Roman" w:cs="Times New Roman"/>
          <w:sz w:val="24"/>
          <w:szCs w:val="24"/>
        </w:rPr>
        <w:t xml:space="preserve">. </w:t>
      </w:r>
    </w:p>
    <w:p w14:paraId="44F0413A" w14:textId="77777777" w:rsidR="001A687F" w:rsidRDefault="003B77CE">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Svetek</w:t>
      </w:r>
      <w:proofErr w:type="spellEnd"/>
      <w:r>
        <w:rPr>
          <w:rFonts w:ascii="Times New Roman" w:eastAsia="Times New Roman" w:hAnsi="Times New Roman" w:cs="Times New Roman"/>
          <w:sz w:val="24"/>
          <w:szCs w:val="24"/>
        </w:rPr>
        <w:t xml:space="preserve">, M. (2022). </w:t>
      </w:r>
      <w:proofErr w:type="spellStart"/>
      <w:r>
        <w:rPr>
          <w:rFonts w:ascii="Times New Roman" w:eastAsia="Times New Roman" w:hAnsi="Times New Roman" w:cs="Times New Roman"/>
          <w:sz w:val="24"/>
          <w:szCs w:val="24"/>
        </w:rPr>
        <w:t>Signaling</w:t>
      </w:r>
      <w:proofErr w:type="spellEnd"/>
      <w:r>
        <w:rPr>
          <w:rFonts w:ascii="Times New Roman" w:eastAsia="Times New Roman" w:hAnsi="Times New Roman" w:cs="Times New Roman"/>
          <w:sz w:val="24"/>
          <w:szCs w:val="24"/>
        </w:rPr>
        <w:t xml:space="preserve"> in the context of early-stage equity financing: Review and directions. </w:t>
      </w:r>
      <w:r>
        <w:rPr>
          <w:rFonts w:ascii="Times New Roman" w:eastAsia="Times New Roman" w:hAnsi="Times New Roman" w:cs="Times New Roman"/>
          <w:i/>
          <w:iCs/>
          <w:sz w:val="24"/>
          <w:szCs w:val="24"/>
        </w:rPr>
        <w:t>Venture Capital</w:t>
      </w:r>
      <w:r>
        <w:rPr>
          <w:rFonts w:ascii="Times New Roman" w:eastAsia="Times New Roman" w:hAnsi="Times New Roman" w:cs="Times New Roman"/>
          <w:sz w:val="24"/>
          <w:szCs w:val="24"/>
        </w:rPr>
        <w:t>, 24(1), pp.1–34.</w:t>
      </w:r>
      <w:hyperlink r:id="rId71">
        <w:r w:rsidR="001A687F">
          <w:rPr>
            <w:rFonts w:ascii="Times New Roman" w:eastAsia="Times New Roman" w:hAnsi="Times New Roman" w:cs="Times New Roman"/>
            <w:sz w:val="24"/>
            <w:szCs w:val="24"/>
          </w:rPr>
          <w:t xml:space="preserve"> </w:t>
        </w:r>
      </w:hyperlink>
      <w:hyperlink r:id="rId72">
        <w:r w:rsidR="001A687F">
          <w:rPr>
            <w:rFonts w:ascii="Times New Roman" w:eastAsia="Times New Roman" w:hAnsi="Times New Roman" w:cs="Times New Roman"/>
            <w:color w:val="1155CC"/>
            <w:sz w:val="24"/>
            <w:szCs w:val="24"/>
            <w:u w:val="single"/>
          </w:rPr>
          <w:t>https://doi.org/10.1080/13691066.2022.2063092</w:t>
        </w:r>
      </w:hyperlink>
      <w:r>
        <w:rPr>
          <w:rFonts w:ascii="Times New Roman" w:eastAsia="Times New Roman" w:hAnsi="Times New Roman" w:cs="Times New Roman"/>
          <w:sz w:val="24"/>
          <w:szCs w:val="24"/>
        </w:rPr>
        <w:t>.</w:t>
      </w:r>
    </w:p>
    <w:p w14:paraId="50032BA8" w14:textId="55F28CBE" w:rsidR="004C3139" w:rsidRDefault="003B77CE">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Yahoo Finance (2025). </w:t>
      </w:r>
      <w:r>
        <w:rPr>
          <w:rFonts w:ascii="Times New Roman" w:eastAsia="Times New Roman" w:hAnsi="Times New Roman" w:cs="Times New Roman"/>
          <w:i/>
          <w:iCs/>
          <w:sz w:val="24"/>
          <w:szCs w:val="24"/>
        </w:rPr>
        <w:t>Accor SA (AC.PA) Income Statement - Yahoo Finance</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iCs/>
          <w:sz w:val="24"/>
          <w:szCs w:val="24"/>
        </w:rPr>
        <w:t>finance.yahoo.com</w:t>
      </w:r>
      <w:r>
        <w:rPr>
          <w:rFonts w:ascii="Times New Roman" w:eastAsia="Times New Roman" w:hAnsi="Times New Roman" w:cs="Times New Roman"/>
          <w:sz w:val="24"/>
          <w:szCs w:val="24"/>
        </w:rPr>
        <w:t>. Available at:</w:t>
      </w:r>
      <w:hyperlink r:id="rId73">
        <w:r w:rsidR="004C3139">
          <w:rPr>
            <w:rFonts w:ascii="Times New Roman" w:eastAsia="Times New Roman" w:hAnsi="Times New Roman" w:cs="Times New Roman"/>
            <w:sz w:val="24"/>
            <w:szCs w:val="24"/>
          </w:rPr>
          <w:t xml:space="preserve"> </w:t>
        </w:r>
      </w:hyperlink>
      <w:hyperlink r:id="rId74">
        <w:r w:rsidR="004C3139">
          <w:rPr>
            <w:rFonts w:ascii="Times New Roman" w:eastAsia="Times New Roman" w:hAnsi="Times New Roman" w:cs="Times New Roman"/>
            <w:color w:val="1155CC"/>
            <w:sz w:val="24"/>
            <w:szCs w:val="24"/>
            <w:u w:val="single"/>
          </w:rPr>
          <w:t>https://finance.yahoo.com/quote/AC.PA/financials/</w:t>
        </w:r>
      </w:hyperlink>
      <w:r>
        <w:rPr>
          <w:rFonts w:ascii="Times New Roman" w:eastAsia="Times New Roman" w:hAnsi="Times New Roman" w:cs="Times New Roman"/>
          <w:sz w:val="24"/>
          <w:szCs w:val="24"/>
        </w:rPr>
        <w:t xml:space="preserve"> [Accessed </w:t>
      </w:r>
      <w:r w:rsidR="001A2ECC">
        <w:rPr>
          <w:rFonts w:ascii="Times New Roman" w:eastAsia="Times New Roman" w:hAnsi="Times New Roman" w:cs="Times New Roman"/>
          <w:sz w:val="24"/>
          <w:szCs w:val="24"/>
        </w:rPr>
        <w:t>11</w:t>
      </w:r>
      <w:r>
        <w:rPr>
          <w:rFonts w:ascii="Times New Roman" w:eastAsia="Times New Roman" w:hAnsi="Times New Roman" w:cs="Times New Roman"/>
          <w:sz w:val="24"/>
          <w:szCs w:val="24"/>
        </w:rPr>
        <w:t xml:space="preserve"> Aug. 2026].</w:t>
      </w:r>
    </w:p>
    <w:p w14:paraId="7BCA34C1" w14:textId="77777777" w:rsidR="004C3139" w:rsidRDefault="004C313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E8E0B3B" w14:textId="37FB92EA" w:rsidR="001A687F" w:rsidRDefault="004C3139" w:rsidP="004C3139">
      <w:pPr>
        <w:pStyle w:val="Heading1"/>
      </w:pPr>
      <w:bookmarkStart w:id="50" w:name="_Toc236682388"/>
      <w:r>
        <w:lastRenderedPageBreak/>
        <w:t>Appendix</w:t>
      </w:r>
      <w:bookmarkEnd w:id="50"/>
    </w:p>
    <w:tbl>
      <w:tblPr>
        <w:tblW w:w="5000" w:type="pct"/>
        <w:tblLook w:val="04A0" w:firstRow="1" w:lastRow="0" w:firstColumn="1" w:lastColumn="0" w:noHBand="0" w:noVBand="1"/>
      </w:tblPr>
      <w:tblGrid>
        <w:gridCol w:w="1773"/>
        <w:gridCol w:w="663"/>
        <w:gridCol w:w="446"/>
        <w:gridCol w:w="654"/>
        <w:gridCol w:w="566"/>
        <w:gridCol w:w="654"/>
        <w:gridCol w:w="471"/>
        <w:gridCol w:w="654"/>
        <w:gridCol w:w="512"/>
        <w:gridCol w:w="654"/>
        <w:gridCol w:w="529"/>
        <w:gridCol w:w="654"/>
        <w:gridCol w:w="794"/>
      </w:tblGrid>
      <w:tr w:rsidR="004C3139" w:rsidRPr="004C3139" w14:paraId="581F2B84" w14:textId="77777777" w:rsidTr="004C3139">
        <w:trPr>
          <w:trHeight w:val="564"/>
        </w:trPr>
        <w:tc>
          <w:tcPr>
            <w:tcW w:w="5000" w:type="pct"/>
            <w:gridSpan w:val="13"/>
            <w:tcBorders>
              <w:top w:val="nil"/>
              <w:left w:val="single" w:sz="4" w:space="0" w:color="auto"/>
              <w:bottom w:val="nil"/>
              <w:right w:val="nil"/>
            </w:tcBorders>
            <w:shd w:val="clear" w:color="000000" w:fill="FFFFFF"/>
            <w:noWrap/>
            <w:vAlign w:val="center"/>
            <w:hideMark/>
          </w:tcPr>
          <w:p w14:paraId="1218AFDB"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Ratio Analysis for Accor</w:t>
            </w:r>
          </w:p>
        </w:tc>
      </w:tr>
      <w:tr w:rsidR="004C3139" w:rsidRPr="004C3139" w14:paraId="0A1EBFD5" w14:textId="77777777" w:rsidTr="004C3139">
        <w:trPr>
          <w:trHeight w:val="384"/>
        </w:trPr>
        <w:tc>
          <w:tcPr>
            <w:tcW w:w="1009" w:type="pct"/>
            <w:tcBorders>
              <w:top w:val="single" w:sz="4" w:space="0" w:color="FFFFFF"/>
              <w:left w:val="single" w:sz="4" w:space="0" w:color="FFFFFF"/>
              <w:bottom w:val="single" w:sz="4" w:space="0" w:color="FFFFFF"/>
              <w:right w:val="single" w:sz="4" w:space="0" w:color="FFFFFF"/>
            </w:tcBorders>
            <w:shd w:val="clear" w:color="660000" w:fill="22003E"/>
            <w:noWrap/>
            <w:vAlign w:val="center"/>
            <w:hideMark/>
          </w:tcPr>
          <w:p w14:paraId="3ED54151"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Particulars</w:t>
            </w:r>
          </w:p>
        </w:tc>
        <w:tc>
          <w:tcPr>
            <w:tcW w:w="556" w:type="pct"/>
            <w:tcBorders>
              <w:top w:val="single" w:sz="4" w:space="0" w:color="FFFFFF"/>
              <w:left w:val="nil"/>
              <w:bottom w:val="single" w:sz="4" w:space="0" w:color="FFFFFF"/>
              <w:right w:val="single" w:sz="4" w:space="0" w:color="FFFFFF"/>
            </w:tcBorders>
            <w:shd w:val="clear" w:color="660000" w:fill="22003E"/>
            <w:noWrap/>
            <w:vAlign w:val="center"/>
            <w:hideMark/>
          </w:tcPr>
          <w:p w14:paraId="16379C84"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Formula</w:t>
            </w:r>
          </w:p>
        </w:tc>
        <w:tc>
          <w:tcPr>
            <w:tcW w:w="556" w:type="pct"/>
            <w:gridSpan w:val="2"/>
            <w:tcBorders>
              <w:top w:val="single" w:sz="4" w:space="0" w:color="FFFFFF"/>
              <w:left w:val="nil"/>
              <w:bottom w:val="single" w:sz="4" w:space="0" w:color="FFFFFF"/>
              <w:right w:val="single" w:sz="4" w:space="0" w:color="FFFFFF"/>
            </w:tcBorders>
            <w:shd w:val="clear" w:color="660000" w:fill="22003E"/>
            <w:noWrap/>
            <w:vAlign w:val="center"/>
            <w:hideMark/>
          </w:tcPr>
          <w:p w14:paraId="6E7C307E"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2021</w:t>
            </w:r>
          </w:p>
        </w:tc>
        <w:tc>
          <w:tcPr>
            <w:tcW w:w="684" w:type="pct"/>
            <w:gridSpan w:val="2"/>
            <w:tcBorders>
              <w:top w:val="single" w:sz="4" w:space="0" w:color="FFFFFF"/>
              <w:left w:val="nil"/>
              <w:bottom w:val="single" w:sz="4" w:space="0" w:color="FFFFFF"/>
              <w:right w:val="single" w:sz="4" w:space="0" w:color="FFFFFF"/>
            </w:tcBorders>
            <w:shd w:val="clear" w:color="660000" w:fill="22003E"/>
            <w:noWrap/>
            <w:vAlign w:val="center"/>
            <w:hideMark/>
          </w:tcPr>
          <w:p w14:paraId="2D5D48FC"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2022</w:t>
            </w:r>
          </w:p>
        </w:tc>
        <w:tc>
          <w:tcPr>
            <w:tcW w:w="564" w:type="pct"/>
            <w:gridSpan w:val="2"/>
            <w:tcBorders>
              <w:top w:val="single" w:sz="4" w:space="0" w:color="FFFFFF"/>
              <w:left w:val="nil"/>
              <w:bottom w:val="single" w:sz="4" w:space="0" w:color="FFFFFF"/>
              <w:right w:val="single" w:sz="4" w:space="0" w:color="FFFFFF"/>
            </w:tcBorders>
            <w:shd w:val="clear" w:color="660000" w:fill="22003E"/>
            <w:noWrap/>
            <w:vAlign w:val="center"/>
            <w:hideMark/>
          </w:tcPr>
          <w:p w14:paraId="6EC5C515"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2023</w:t>
            </w:r>
          </w:p>
        </w:tc>
        <w:tc>
          <w:tcPr>
            <w:tcW w:w="632" w:type="pct"/>
            <w:gridSpan w:val="2"/>
            <w:tcBorders>
              <w:top w:val="single" w:sz="4" w:space="0" w:color="FFFFFF"/>
              <w:left w:val="nil"/>
              <w:bottom w:val="single" w:sz="4" w:space="0" w:color="FFFFFF"/>
              <w:right w:val="single" w:sz="4" w:space="0" w:color="FFFFFF"/>
            </w:tcBorders>
            <w:shd w:val="clear" w:color="660000" w:fill="22003E"/>
            <w:noWrap/>
            <w:vAlign w:val="center"/>
            <w:hideMark/>
          </w:tcPr>
          <w:p w14:paraId="3426B928"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2024</w:t>
            </w:r>
          </w:p>
        </w:tc>
        <w:tc>
          <w:tcPr>
            <w:tcW w:w="603" w:type="pct"/>
            <w:gridSpan w:val="2"/>
            <w:tcBorders>
              <w:top w:val="single" w:sz="4" w:space="0" w:color="FFFFFF"/>
              <w:left w:val="nil"/>
              <w:bottom w:val="single" w:sz="4" w:space="0" w:color="FFFFFF"/>
              <w:right w:val="single" w:sz="4" w:space="0" w:color="FFFFFF"/>
            </w:tcBorders>
            <w:shd w:val="clear" w:color="660000" w:fill="22003E"/>
            <w:noWrap/>
            <w:vAlign w:val="center"/>
            <w:hideMark/>
          </w:tcPr>
          <w:p w14:paraId="4C99F731" w14:textId="77777777" w:rsidR="004C3139" w:rsidRPr="004C3139" w:rsidRDefault="004C3139" w:rsidP="004C3139">
            <w:pPr>
              <w:spacing w:line="240" w:lineRule="auto"/>
              <w:jc w:val="center"/>
              <w:rPr>
                <w:rFonts w:eastAsia="Times New Roman"/>
                <w:b/>
                <w:bCs/>
                <w:color w:val="EAEAEA"/>
                <w:sz w:val="16"/>
                <w:szCs w:val="16"/>
                <w:lang w:val="en-IN"/>
              </w:rPr>
            </w:pPr>
            <w:r w:rsidRPr="004C3139">
              <w:rPr>
                <w:rFonts w:eastAsia="Times New Roman"/>
                <w:b/>
                <w:bCs/>
                <w:color w:val="EAEAEA"/>
                <w:sz w:val="16"/>
                <w:szCs w:val="16"/>
                <w:lang w:val="en-IN"/>
              </w:rPr>
              <w:t>2025</w:t>
            </w:r>
          </w:p>
        </w:tc>
        <w:tc>
          <w:tcPr>
            <w:tcW w:w="395" w:type="pct"/>
            <w:tcBorders>
              <w:top w:val="single" w:sz="4" w:space="0" w:color="auto"/>
              <w:left w:val="nil"/>
              <w:bottom w:val="single" w:sz="4" w:space="0" w:color="auto"/>
              <w:right w:val="single" w:sz="4" w:space="0" w:color="auto"/>
            </w:tcBorders>
            <w:shd w:val="clear" w:color="000000" w:fill="FFFF00"/>
            <w:vAlign w:val="center"/>
            <w:hideMark/>
          </w:tcPr>
          <w:p w14:paraId="49ACED77"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Industry Standard</w:t>
            </w:r>
          </w:p>
        </w:tc>
      </w:tr>
      <w:tr w:rsidR="004C3139" w:rsidRPr="004C3139" w14:paraId="240A192B" w14:textId="77777777" w:rsidTr="004C3139">
        <w:trPr>
          <w:trHeight w:val="348"/>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58B1FA70" w14:textId="77777777" w:rsidR="004C3139" w:rsidRPr="004C3139" w:rsidRDefault="004C3139" w:rsidP="004C3139">
            <w:pPr>
              <w:spacing w:line="240" w:lineRule="auto"/>
              <w:rPr>
                <w:rFonts w:eastAsia="Times New Roman"/>
                <w:b/>
                <w:bCs/>
                <w:i/>
                <w:iCs/>
                <w:sz w:val="16"/>
                <w:szCs w:val="16"/>
                <w:lang w:val="en-IN"/>
              </w:rPr>
            </w:pPr>
            <w:r w:rsidRPr="004C3139">
              <w:rPr>
                <w:rFonts w:eastAsia="Times New Roman"/>
                <w:b/>
                <w:bCs/>
                <w:i/>
                <w:iCs/>
                <w:sz w:val="16"/>
                <w:szCs w:val="16"/>
                <w:lang w:val="en-IN"/>
              </w:rPr>
              <w:t>Profitability Ratios</w:t>
            </w:r>
          </w:p>
        </w:tc>
        <w:tc>
          <w:tcPr>
            <w:tcW w:w="556" w:type="pct"/>
            <w:tcBorders>
              <w:top w:val="nil"/>
              <w:left w:val="nil"/>
              <w:bottom w:val="single" w:sz="4" w:space="0" w:color="auto"/>
              <w:right w:val="single" w:sz="4" w:space="0" w:color="auto"/>
            </w:tcBorders>
            <w:shd w:val="clear" w:color="000000" w:fill="FFFFFF"/>
            <w:noWrap/>
            <w:vAlign w:val="center"/>
            <w:hideMark/>
          </w:tcPr>
          <w:p w14:paraId="3EE16D0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6920BDA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281858C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4913A5F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1D2A10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5877D757"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88D09F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25C4D92C"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BCC318C"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3395830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9D1769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43BF7C23"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0CCF713F"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327440EB"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Net Profit Margin</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30EB36FD"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Net Profit / Total Revenue * 100</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4AA9438E"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90 / 2204 * 100 = 4.08%</w:t>
            </w:r>
          </w:p>
        </w:tc>
        <w:tc>
          <w:tcPr>
            <w:tcW w:w="304" w:type="pct"/>
            <w:tcBorders>
              <w:top w:val="nil"/>
              <w:left w:val="nil"/>
              <w:bottom w:val="single" w:sz="4" w:space="0" w:color="auto"/>
              <w:right w:val="single" w:sz="4" w:space="0" w:color="auto"/>
            </w:tcBorders>
            <w:shd w:val="clear" w:color="FFFF00" w:fill="FFFFFF"/>
            <w:noWrap/>
            <w:vAlign w:val="center"/>
            <w:hideMark/>
          </w:tcPr>
          <w:p w14:paraId="5A91688A"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4.08%</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17645AB0"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426 / 4224 * 100 = 10.09%</w:t>
            </w:r>
          </w:p>
        </w:tc>
        <w:tc>
          <w:tcPr>
            <w:tcW w:w="304" w:type="pct"/>
            <w:tcBorders>
              <w:top w:val="nil"/>
              <w:left w:val="nil"/>
              <w:bottom w:val="single" w:sz="4" w:space="0" w:color="auto"/>
              <w:right w:val="single" w:sz="4" w:space="0" w:color="auto"/>
            </w:tcBorders>
            <w:shd w:val="clear" w:color="FFFF00" w:fill="FFFFFF"/>
            <w:noWrap/>
            <w:vAlign w:val="center"/>
            <w:hideMark/>
          </w:tcPr>
          <w:p w14:paraId="7FF7E2A2"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10.09%</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63BE52BE"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650 / 5056 * 100 = 12.86%</w:t>
            </w:r>
          </w:p>
        </w:tc>
        <w:tc>
          <w:tcPr>
            <w:tcW w:w="304" w:type="pct"/>
            <w:tcBorders>
              <w:top w:val="nil"/>
              <w:left w:val="nil"/>
              <w:bottom w:val="single" w:sz="4" w:space="0" w:color="auto"/>
              <w:right w:val="single" w:sz="4" w:space="0" w:color="auto"/>
            </w:tcBorders>
            <w:shd w:val="clear" w:color="FFFF00" w:fill="FFFFFF"/>
            <w:noWrap/>
            <w:vAlign w:val="center"/>
            <w:hideMark/>
          </w:tcPr>
          <w:p w14:paraId="17792076"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12.86%</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1CDF15C0"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610 / 5606 * 100 = 10.88%</w:t>
            </w:r>
          </w:p>
        </w:tc>
        <w:tc>
          <w:tcPr>
            <w:tcW w:w="304" w:type="pct"/>
            <w:tcBorders>
              <w:top w:val="nil"/>
              <w:left w:val="nil"/>
              <w:bottom w:val="single" w:sz="4" w:space="0" w:color="auto"/>
              <w:right w:val="single" w:sz="4" w:space="0" w:color="auto"/>
            </w:tcBorders>
            <w:shd w:val="clear" w:color="FFFF00" w:fill="FFFFFF"/>
            <w:noWrap/>
            <w:vAlign w:val="center"/>
            <w:hideMark/>
          </w:tcPr>
          <w:p w14:paraId="35523A25"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10.88%</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2E8D7DA7"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499 / 5369 * = 8.85%</w:t>
            </w:r>
          </w:p>
        </w:tc>
        <w:tc>
          <w:tcPr>
            <w:tcW w:w="304" w:type="pct"/>
            <w:tcBorders>
              <w:top w:val="nil"/>
              <w:left w:val="nil"/>
              <w:bottom w:val="single" w:sz="4" w:space="0" w:color="auto"/>
              <w:right w:val="single" w:sz="4" w:space="0" w:color="auto"/>
            </w:tcBorders>
            <w:shd w:val="clear" w:color="FFFF00" w:fill="FFFFFF"/>
            <w:noWrap/>
            <w:vAlign w:val="center"/>
            <w:hideMark/>
          </w:tcPr>
          <w:p w14:paraId="051A2BD7"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8.85%</w:t>
            </w:r>
          </w:p>
        </w:tc>
        <w:tc>
          <w:tcPr>
            <w:tcW w:w="395" w:type="pct"/>
            <w:tcBorders>
              <w:top w:val="nil"/>
              <w:left w:val="nil"/>
              <w:bottom w:val="single" w:sz="4" w:space="0" w:color="auto"/>
              <w:right w:val="single" w:sz="4" w:space="0" w:color="auto"/>
            </w:tcBorders>
            <w:shd w:val="clear" w:color="000000" w:fill="FFFF00"/>
            <w:noWrap/>
            <w:vAlign w:val="center"/>
            <w:hideMark/>
          </w:tcPr>
          <w:p w14:paraId="5810851C"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8% to 15%</w:t>
            </w:r>
          </w:p>
        </w:tc>
      </w:tr>
      <w:tr w:rsidR="004C3139" w:rsidRPr="004C3139" w14:paraId="369FA908"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0D382AD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Net Profit</w:t>
            </w:r>
          </w:p>
        </w:tc>
        <w:tc>
          <w:tcPr>
            <w:tcW w:w="556" w:type="pct"/>
            <w:vMerge/>
            <w:tcBorders>
              <w:top w:val="nil"/>
              <w:left w:val="single" w:sz="4" w:space="0" w:color="auto"/>
              <w:bottom w:val="single" w:sz="4" w:space="0" w:color="auto"/>
              <w:right w:val="single" w:sz="4" w:space="0" w:color="auto"/>
            </w:tcBorders>
            <w:vAlign w:val="center"/>
            <w:hideMark/>
          </w:tcPr>
          <w:p w14:paraId="3ED079B5"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5ED9FB6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6B8E98C6"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90.00 </w:t>
            </w:r>
          </w:p>
        </w:tc>
        <w:tc>
          <w:tcPr>
            <w:tcW w:w="380" w:type="pct"/>
            <w:vMerge/>
            <w:tcBorders>
              <w:top w:val="nil"/>
              <w:left w:val="single" w:sz="4" w:space="0" w:color="auto"/>
              <w:bottom w:val="single" w:sz="4" w:space="0" w:color="auto"/>
              <w:right w:val="single" w:sz="4" w:space="0" w:color="auto"/>
            </w:tcBorders>
            <w:vAlign w:val="center"/>
            <w:hideMark/>
          </w:tcPr>
          <w:p w14:paraId="5887D58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6E17373D"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426.00 </w:t>
            </w:r>
          </w:p>
        </w:tc>
        <w:tc>
          <w:tcPr>
            <w:tcW w:w="260" w:type="pct"/>
            <w:vMerge/>
            <w:tcBorders>
              <w:top w:val="nil"/>
              <w:left w:val="single" w:sz="4" w:space="0" w:color="auto"/>
              <w:bottom w:val="single" w:sz="4" w:space="0" w:color="auto"/>
              <w:right w:val="single" w:sz="4" w:space="0" w:color="auto"/>
            </w:tcBorders>
            <w:vAlign w:val="center"/>
            <w:hideMark/>
          </w:tcPr>
          <w:p w14:paraId="0BAF1CE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57F428E0"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650.00 </w:t>
            </w:r>
          </w:p>
        </w:tc>
        <w:tc>
          <w:tcPr>
            <w:tcW w:w="328" w:type="pct"/>
            <w:vMerge/>
            <w:tcBorders>
              <w:top w:val="nil"/>
              <w:left w:val="single" w:sz="4" w:space="0" w:color="auto"/>
              <w:bottom w:val="single" w:sz="4" w:space="0" w:color="auto"/>
              <w:right w:val="single" w:sz="4" w:space="0" w:color="auto"/>
            </w:tcBorders>
            <w:vAlign w:val="center"/>
            <w:hideMark/>
          </w:tcPr>
          <w:p w14:paraId="4CD0EF3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0676FD83"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610.00 </w:t>
            </w:r>
          </w:p>
        </w:tc>
        <w:tc>
          <w:tcPr>
            <w:tcW w:w="300" w:type="pct"/>
            <w:vMerge/>
            <w:tcBorders>
              <w:top w:val="nil"/>
              <w:left w:val="single" w:sz="4" w:space="0" w:color="auto"/>
              <w:bottom w:val="single" w:sz="4" w:space="0" w:color="auto"/>
              <w:right w:val="single" w:sz="4" w:space="0" w:color="auto"/>
            </w:tcBorders>
            <w:vAlign w:val="center"/>
            <w:hideMark/>
          </w:tcPr>
          <w:p w14:paraId="1DE831DB"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6FCD58ED"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499.00 </w:t>
            </w:r>
          </w:p>
        </w:tc>
        <w:tc>
          <w:tcPr>
            <w:tcW w:w="395" w:type="pct"/>
            <w:tcBorders>
              <w:top w:val="nil"/>
              <w:left w:val="nil"/>
              <w:bottom w:val="single" w:sz="4" w:space="0" w:color="auto"/>
              <w:right w:val="single" w:sz="4" w:space="0" w:color="auto"/>
            </w:tcBorders>
            <w:shd w:val="clear" w:color="000000" w:fill="FFFFFF"/>
            <w:noWrap/>
            <w:vAlign w:val="center"/>
            <w:hideMark/>
          </w:tcPr>
          <w:p w14:paraId="33D9690B"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12535815"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624702C"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Total Revenue</w:t>
            </w:r>
          </w:p>
        </w:tc>
        <w:tc>
          <w:tcPr>
            <w:tcW w:w="556" w:type="pct"/>
            <w:vMerge/>
            <w:tcBorders>
              <w:top w:val="nil"/>
              <w:left w:val="single" w:sz="4" w:space="0" w:color="auto"/>
              <w:bottom w:val="single" w:sz="4" w:space="0" w:color="auto"/>
              <w:right w:val="single" w:sz="4" w:space="0" w:color="auto"/>
            </w:tcBorders>
            <w:vAlign w:val="center"/>
            <w:hideMark/>
          </w:tcPr>
          <w:p w14:paraId="5EF020C6"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3D262F2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CEB181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2,204.00 </w:t>
            </w:r>
          </w:p>
        </w:tc>
        <w:tc>
          <w:tcPr>
            <w:tcW w:w="380" w:type="pct"/>
            <w:vMerge/>
            <w:tcBorders>
              <w:top w:val="nil"/>
              <w:left w:val="single" w:sz="4" w:space="0" w:color="auto"/>
              <w:bottom w:val="single" w:sz="4" w:space="0" w:color="auto"/>
              <w:right w:val="single" w:sz="4" w:space="0" w:color="auto"/>
            </w:tcBorders>
            <w:vAlign w:val="center"/>
            <w:hideMark/>
          </w:tcPr>
          <w:p w14:paraId="620759E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F1009F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4,224.00 </w:t>
            </w:r>
          </w:p>
        </w:tc>
        <w:tc>
          <w:tcPr>
            <w:tcW w:w="260" w:type="pct"/>
            <w:vMerge/>
            <w:tcBorders>
              <w:top w:val="nil"/>
              <w:left w:val="single" w:sz="4" w:space="0" w:color="auto"/>
              <w:bottom w:val="single" w:sz="4" w:space="0" w:color="auto"/>
              <w:right w:val="single" w:sz="4" w:space="0" w:color="auto"/>
            </w:tcBorders>
            <w:vAlign w:val="center"/>
            <w:hideMark/>
          </w:tcPr>
          <w:p w14:paraId="355A506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4CB177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5,056.00 </w:t>
            </w:r>
          </w:p>
        </w:tc>
        <w:tc>
          <w:tcPr>
            <w:tcW w:w="328" w:type="pct"/>
            <w:vMerge/>
            <w:tcBorders>
              <w:top w:val="nil"/>
              <w:left w:val="single" w:sz="4" w:space="0" w:color="auto"/>
              <w:bottom w:val="single" w:sz="4" w:space="0" w:color="auto"/>
              <w:right w:val="single" w:sz="4" w:space="0" w:color="auto"/>
            </w:tcBorders>
            <w:vAlign w:val="center"/>
            <w:hideMark/>
          </w:tcPr>
          <w:p w14:paraId="5E503C32"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7222FB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5,606.00 </w:t>
            </w:r>
          </w:p>
        </w:tc>
        <w:tc>
          <w:tcPr>
            <w:tcW w:w="300" w:type="pct"/>
            <w:vMerge/>
            <w:tcBorders>
              <w:top w:val="nil"/>
              <w:left w:val="single" w:sz="4" w:space="0" w:color="auto"/>
              <w:bottom w:val="single" w:sz="4" w:space="0" w:color="auto"/>
              <w:right w:val="single" w:sz="4" w:space="0" w:color="auto"/>
            </w:tcBorders>
            <w:vAlign w:val="center"/>
            <w:hideMark/>
          </w:tcPr>
          <w:p w14:paraId="058C77D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8DF159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5,639.00 </w:t>
            </w:r>
          </w:p>
        </w:tc>
        <w:tc>
          <w:tcPr>
            <w:tcW w:w="395" w:type="pct"/>
            <w:tcBorders>
              <w:top w:val="nil"/>
              <w:left w:val="nil"/>
              <w:bottom w:val="single" w:sz="4" w:space="0" w:color="auto"/>
              <w:right w:val="single" w:sz="4" w:space="0" w:color="auto"/>
            </w:tcBorders>
            <w:shd w:val="clear" w:color="000000" w:fill="FFFFFF"/>
            <w:noWrap/>
            <w:vAlign w:val="center"/>
            <w:hideMark/>
          </w:tcPr>
          <w:p w14:paraId="214C9741"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B999F0E"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266CB5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556" w:type="pct"/>
            <w:tcBorders>
              <w:top w:val="nil"/>
              <w:left w:val="nil"/>
              <w:bottom w:val="single" w:sz="4" w:space="0" w:color="auto"/>
              <w:right w:val="single" w:sz="4" w:space="0" w:color="auto"/>
            </w:tcBorders>
            <w:shd w:val="clear" w:color="000000" w:fill="FFFFFF"/>
            <w:noWrap/>
            <w:vAlign w:val="center"/>
            <w:hideMark/>
          </w:tcPr>
          <w:p w14:paraId="5C93747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1FE6D07F"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4D9498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4EE61B5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CB33F5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339257B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03C7A7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7B33501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A9578C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534710B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859B6D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54C74472"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44764D60"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F77CD87"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Operating Profit Margin</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42148E2F"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Operating Profit / Total Revenue * 100</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299F6842"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22 / 2204 * 100 = 1.00%</w:t>
            </w:r>
          </w:p>
        </w:tc>
        <w:tc>
          <w:tcPr>
            <w:tcW w:w="304" w:type="pct"/>
            <w:tcBorders>
              <w:top w:val="nil"/>
              <w:left w:val="nil"/>
              <w:bottom w:val="single" w:sz="4" w:space="0" w:color="auto"/>
              <w:right w:val="single" w:sz="4" w:space="0" w:color="auto"/>
            </w:tcBorders>
            <w:shd w:val="clear" w:color="FFFF00" w:fill="FFFFFF"/>
            <w:noWrap/>
            <w:vAlign w:val="center"/>
            <w:hideMark/>
          </w:tcPr>
          <w:p w14:paraId="636F74E1"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1.00%</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45E3D1D3"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675 / 4224 * 100 = 15.98%</w:t>
            </w:r>
          </w:p>
        </w:tc>
        <w:tc>
          <w:tcPr>
            <w:tcW w:w="304" w:type="pct"/>
            <w:tcBorders>
              <w:top w:val="nil"/>
              <w:left w:val="nil"/>
              <w:bottom w:val="single" w:sz="4" w:space="0" w:color="auto"/>
              <w:right w:val="single" w:sz="4" w:space="0" w:color="auto"/>
            </w:tcBorders>
            <w:shd w:val="clear" w:color="FFFF00" w:fill="FFFFFF"/>
            <w:noWrap/>
            <w:vAlign w:val="center"/>
            <w:hideMark/>
          </w:tcPr>
          <w:p w14:paraId="4FF56FAE"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15.98%</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15CA52DC"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1003 / 5056 * 100 = 19.84%</w:t>
            </w:r>
          </w:p>
        </w:tc>
        <w:tc>
          <w:tcPr>
            <w:tcW w:w="304" w:type="pct"/>
            <w:tcBorders>
              <w:top w:val="nil"/>
              <w:left w:val="nil"/>
              <w:bottom w:val="single" w:sz="4" w:space="0" w:color="auto"/>
              <w:right w:val="single" w:sz="4" w:space="0" w:color="auto"/>
            </w:tcBorders>
            <w:shd w:val="clear" w:color="FFFF00" w:fill="FFFFFF"/>
            <w:noWrap/>
            <w:vAlign w:val="center"/>
            <w:hideMark/>
          </w:tcPr>
          <w:p w14:paraId="0DD983F0"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19.84%</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6CA742A3"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786 / 5606 * 100 = 140.26%</w:t>
            </w:r>
          </w:p>
        </w:tc>
        <w:tc>
          <w:tcPr>
            <w:tcW w:w="304" w:type="pct"/>
            <w:tcBorders>
              <w:top w:val="nil"/>
              <w:left w:val="nil"/>
              <w:bottom w:val="single" w:sz="4" w:space="0" w:color="auto"/>
              <w:right w:val="single" w:sz="4" w:space="0" w:color="auto"/>
            </w:tcBorders>
            <w:shd w:val="clear" w:color="FFFF00" w:fill="FFFFFF"/>
            <w:noWrap/>
            <w:vAlign w:val="center"/>
            <w:hideMark/>
          </w:tcPr>
          <w:p w14:paraId="67B446BF"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14.02%</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0A0AFE02"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807 / 5639 * 100 = 14.31%</w:t>
            </w:r>
          </w:p>
        </w:tc>
        <w:tc>
          <w:tcPr>
            <w:tcW w:w="304" w:type="pct"/>
            <w:tcBorders>
              <w:top w:val="nil"/>
              <w:left w:val="nil"/>
              <w:bottom w:val="single" w:sz="4" w:space="0" w:color="auto"/>
              <w:right w:val="single" w:sz="4" w:space="0" w:color="auto"/>
            </w:tcBorders>
            <w:shd w:val="clear" w:color="FFFF00" w:fill="FFFFFF"/>
            <w:noWrap/>
            <w:vAlign w:val="center"/>
            <w:hideMark/>
          </w:tcPr>
          <w:p w14:paraId="62BF466D"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14.31%</w:t>
            </w:r>
          </w:p>
        </w:tc>
        <w:tc>
          <w:tcPr>
            <w:tcW w:w="395" w:type="pct"/>
            <w:tcBorders>
              <w:top w:val="nil"/>
              <w:left w:val="nil"/>
              <w:bottom w:val="single" w:sz="4" w:space="0" w:color="auto"/>
              <w:right w:val="single" w:sz="4" w:space="0" w:color="auto"/>
            </w:tcBorders>
            <w:shd w:val="clear" w:color="000000" w:fill="FFFF00"/>
            <w:noWrap/>
            <w:vAlign w:val="center"/>
            <w:hideMark/>
          </w:tcPr>
          <w:p w14:paraId="5EFDAA2C"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15% to 25%</w:t>
            </w:r>
          </w:p>
        </w:tc>
      </w:tr>
      <w:tr w:rsidR="004C3139" w:rsidRPr="004C3139" w14:paraId="4FBB92E4"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09832B3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Operating Profit</w:t>
            </w:r>
          </w:p>
        </w:tc>
        <w:tc>
          <w:tcPr>
            <w:tcW w:w="556" w:type="pct"/>
            <w:vMerge/>
            <w:tcBorders>
              <w:top w:val="nil"/>
              <w:left w:val="single" w:sz="4" w:space="0" w:color="auto"/>
              <w:bottom w:val="single" w:sz="4" w:space="0" w:color="auto"/>
              <w:right w:val="single" w:sz="4" w:space="0" w:color="auto"/>
            </w:tcBorders>
            <w:vAlign w:val="center"/>
            <w:hideMark/>
          </w:tcPr>
          <w:p w14:paraId="081E1143"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0488EBD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13CD63CA"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22.00 </w:t>
            </w:r>
          </w:p>
        </w:tc>
        <w:tc>
          <w:tcPr>
            <w:tcW w:w="380" w:type="pct"/>
            <w:vMerge/>
            <w:tcBorders>
              <w:top w:val="nil"/>
              <w:left w:val="single" w:sz="4" w:space="0" w:color="auto"/>
              <w:bottom w:val="single" w:sz="4" w:space="0" w:color="auto"/>
              <w:right w:val="single" w:sz="4" w:space="0" w:color="auto"/>
            </w:tcBorders>
            <w:vAlign w:val="center"/>
            <w:hideMark/>
          </w:tcPr>
          <w:p w14:paraId="497A027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68BC7C85"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675.00 </w:t>
            </w:r>
          </w:p>
        </w:tc>
        <w:tc>
          <w:tcPr>
            <w:tcW w:w="260" w:type="pct"/>
            <w:vMerge/>
            <w:tcBorders>
              <w:top w:val="nil"/>
              <w:left w:val="single" w:sz="4" w:space="0" w:color="auto"/>
              <w:bottom w:val="single" w:sz="4" w:space="0" w:color="auto"/>
              <w:right w:val="single" w:sz="4" w:space="0" w:color="auto"/>
            </w:tcBorders>
            <w:vAlign w:val="center"/>
            <w:hideMark/>
          </w:tcPr>
          <w:p w14:paraId="2201E17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3D347D2F"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1,003.00 </w:t>
            </w:r>
          </w:p>
        </w:tc>
        <w:tc>
          <w:tcPr>
            <w:tcW w:w="328" w:type="pct"/>
            <w:vMerge/>
            <w:tcBorders>
              <w:top w:val="nil"/>
              <w:left w:val="single" w:sz="4" w:space="0" w:color="auto"/>
              <w:bottom w:val="single" w:sz="4" w:space="0" w:color="auto"/>
              <w:right w:val="single" w:sz="4" w:space="0" w:color="auto"/>
            </w:tcBorders>
            <w:vAlign w:val="center"/>
            <w:hideMark/>
          </w:tcPr>
          <w:p w14:paraId="21B348D2"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75FD6479"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786.00 </w:t>
            </w:r>
          </w:p>
        </w:tc>
        <w:tc>
          <w:tcPr>
            <w:tcW w:w="300" w:type="pct"/>
            <w:vMerge/>
            <w:tcBorders>
              <w:top w:val="nil"/>
              <w:left w:val="single" w:sz="4" w:space="0" w:color="auto"/>
              <w:bottom w:val="single" w:sz="4" w:space="0" w:color="auto"/>
              <w:right w:val="single" w:sz="4" w:space="0" w:color="auto"/>
            </w:tcBorders>
            <w:vAlign w:val="center"/>
            <w:hideMark/>
          </w:tcPr>
          <w:p w14:paraId="15045B0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63254375"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807.00 </w:t>
            </w:r>
          </w:p>
        </w:tc>
        <w:tc>
          <w:tcPr>
            <w:tcW w:w="395" w:type="pct"/>
            <w:tcBorders>
              <w:top w:val="nil"/>
              <w:left w:val="nil"/>
              <w:bottom w:val="single" w:sz="4" w:space="0" w:color="auto"/>
              <w:right w:val="single" w:sz="4" w:space="0" w:color="auto"/>
            </w:tcBorders>
            <w:shd w:val="clear" w:color="000000" w:fill="FFFFFF"/>
            <w:noWrap/>
            <w:vAlign w:val="center"/>
            <w:hideMark/>
          </w:tcPr>
          <w:p w14:paraId="2799BB85"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42378479"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9FF09C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Total Revenue</w:t>
            </w:r>
          </w:p>
        </w:tc>
        <w:tc>
          <w:tcPr>
            <w:tcW w:w="556" w:type="pct"/>
            <w:vMerge/>
            <w:tcBorders>
              <w:top w:val="nil"/>
              <w:left w:val="single" w:sz="4" w:space="0" w:color="auto"/>
              <w:bottom w:val="single" w:sz="4" w:space="0" w:color="auto"/>
              <w:right w:val="single" w:sz="4" w:space="0" w:color="auto"/>
            </w:tcBorders>
            <w:vAlign w:val="center"/>
            <w:hideMark/>
          </w:tcPr>
          <w:p w14:paraId="7827B032"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259F6D3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702EBFC2"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2,204.00 </w:t>
            </w:r>
          </w:p>
        </w:tc>
        <w:tc>
          <w:tcPr>
            <w:tcW w:w="380" w:type="pct"/>
            <w:vMerge/>
            <w:tcBorders>
              <w:top w:val="nil"/>
              <w:left w:val="single" w:sz="4" w:space="0" w:color="auto"/>
              <w:bottom w:val="single" w:sz="4" w:space="0" w:color="auto"/>
              <w:right w:val="single" w:sz="4" w:space="0" w:color="auto"/>
            </w:tcBorders>
            <w:vAlign w:val="center"/>
            <w:hideMark/>
          </w:tcPr>
          <w:p w14:paraId="4C7F665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4E85208B"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4,224.00 </w:t>
            </w:r>
          </w:p>
        </w:tc>
        <w:tc>
          <w:tcPr>
            <w:tcW w:w="260" w:type="pct"/>
            <w:vMerge/>
            <w:tcBorders>
              <w:top w:val="nil"/>
              <w:left w:val="single" w:sz="4" w:space="0" w:color="auto"/>
              <w:bottom w:val="single" w:sz="4" w:space="0" w:color="auto"/>
              <w:right w:val="single" w:sz="4" w:space="0" w:color="auto"/>
            </w:tcBorders>
            <w:vAlign w:val="center"/>
            <w:hideMark/>
          </w:tcPr>
          <w:p w14:paraId="643E5CA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47751236"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5,056.00 </w:t>
            </w:r>
          </w:p>
        </w:tc>
        <w:tc>
          <w:tcPr>
            <w:tcW w:w="328" w:type="pct"/>
            <w:vMerge/>
            <w:tcBorders>
              <w:top w:val="nil"/>
              <w:left w:val="single" w:sz="4" w:space="0" w:color="auto"/>
              <w:bottom w:val="single" w:sz="4" w:space="0" w:color="auto"/>
              <w:right w:val="single" w:sz="4" w:space="0" w:color="auto"/>
            </w:tcBorders>
            <w:vAlign w:val="center"/>
            <w:hideMark/>
          </w:tcPr>
          <w:p w14:paraId="71488D8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0769CA03"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5,606.00 </w:t>
            </w:r>
          </w:p>
        </w:tc>
        <w:tc>
          <w:tcPr>
            <w:tcW w:w="300" w:type="pct"/>
            <w:vMerge/>
            <w:tcBorders>
              <w:top w:val="nil"/>
              <w:left w:val="single" w:sz="4" w:space="0" w:color="auto"/>
              <w:bottom w:val="single" w:sz="4" w:space="0" w:color="auto"/>
              <w:right w:val="single" w:sz="4" w:space="0" w:color="auto"/>
            </w:tcBorders>
            <w:vAlign w:val="center"/>
            <w:hideMark/>
          </w:tcPr>
          <w:p w14:paraId="00778C7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vAlign w:val="center"/>
            <w:hideMark/>
          </w:tcPr>
          <w:p w14:paraId="05546DA0" w14:textId="77777777" w:rsidR="004C3139" w:rsidRPr="004C3139" w:rsidRDefault="004C3139" w:rsidP="004C3139">
            <w:pPr>
              <w:spacing w:line="240" w:lineRule="auto"/>
              <w:jc w:val="right"/>
              <w:rPr>
                <w:rFonts w:eastAsia="Times New Roman"/>
                <w:i/>
                <w:iCs/>
                <w:sz w:val="16"/>
                <w:szCs w:val="16"/>
                <w:lang w:val="en-IN"/>
              </w:rPr>
            </w:pPr>
            <w:r w:rsidRPr="004C3139">
              <w:rPr>
                <w:rFonts w:eastAsia="Times New Roman"/>
                <w:i/>
                <w:iCs/>
                <w:sz w:val="16"/>
                <w:szCs w:val="16"/>
                <w:lang w:val="en-IN"/>
              </w:rPr>
              <w:t xml:space="preserve"> €   5,639.00 </w:t>
            </w:r>
          </w:p>
        </w:tc>
        <w:tc>
          <w:tcPr>
            <w:tcW w:w="395" w:type="pct"/>
            <w:tcBorders>
              <w:top w:val="nil"/>
              <w:left w:val="nil"/>
              <w:bottom w:val="single" w:sz="4" w:space="0" w:color="auto"/>
              <w:right w:val="single" w:sz="4" w:space="0" w:color="auto"/>
            </w:tcBorders>
            <w:shd w:val="clear" w:color="000000" w:fill="FFFFFF"/>
            <w:noWrap/>
            <w:vAlign w:val="center"/>
            <w:hideMark/>
          </w:tcPr>
          <w:p w14:paraId="12FE560A"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04F7BBFE" w14:textId="77777777" w:rsidTr="004C3139">
        <w:trPr>
          <w:trHeight w:val="264"/>
        </w:trPr>
        <w:tc>
          <w:tcPr>
            <w:tcW w:w="5000" w:type="pct"/>
            <w:gridSpan w:val="13"/>
            <w:tcBorders>
              <w:top w:val="single" w:sz="4" w:space="0" w:color="auto"/>
              <w:left w:val="single" w:sz="4" w:space="0" w:color="auto"/>
              <w:bottom w:val="single" w:sz="4" w:space="0" w:color="auto"/>
              <w:right w:val="single" w:sz="4" w:space="0" w:color="000000"/>
            </w:tcBorders>
            <w:shd w:val="clear" w:color="F3F3F3" w:fill="FFE1CC"/>
            <w:noWrap/>
            <w:vAlign w:val="center"/>
            <w:hideMark/>
          </w:tcPr>
          <w:p w14:paraId="66E1F16C" w14:textId="77777777" w:rsidR="004C3139" w:rsidRPr="004C3139" w:rsidRDefault="004C3139" w:rsidP="004C3139">
            <w:pPr>
              <w:spacing w:line="240" w:lineRule="auto"/>
              <w:jc w:val="center"/>
              <w:rPr>
                <w:rFonts w:eastAsia="Times New Roman"/>
                <w:sz w:val="16"/>
                <w:szCs w:val="16"/>
                <w:lang w:val="en-IN"/>
              </w:rPr>
            </w:pPr>
            <w:r w:rsidRPr="004C3139">
              <w:rPr>
                <w:rFonts w:eastAsia="Times New Roman"/>
                <w:sz w:val="16"/>
                <w:szCs w:val="16"/>
                <w:lang w:val="en-IN"/>
              </w:rPr>
              <w:t> </w:t>
            </w:r>
          </w:p>
        </w:tc>
      </w:tr>
      <w:tr w:rsidR="004C3139" w:rsidRPr="004C3139" w14:paraId="61818D1F" w14:textId="77777777" w:rsidTr="004C3139">
        <w:trPr>
          <w:trHeight w:val="348"/>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EF3A723" w14:textId="77777777" w:rsidR="004C3139" w:rsidRPr="004C3139" w:rsidRDefault="004C3139" w:rsidP="004C3139">
            <w:pPr>
              <w:spacing w:line="240" w:lineRule="auto"/>
              <w:rPr>
                <w:rFonts w:eastAsia="Times New Roman"/>
                <w:b/>
                <w:bCs/>
                <w:i/>
                <w:iCs/>
                <w:sz w:val="16"/>
                <w:szCs w:val="16"/>
                <w:lang w:val="en-IN"/>
              </w:rPr>
            </w:pPr>
            <w:r w:rsidRPr="004C3139">
              <w:rPr>
                <w:rFonts w:eastAsia="Times New Roman"/>
                <w:b/>
                <w:bCs/>
                <w:i/>
                <w:iCs/>
                <w:sz w:val="16"/>
                <w:szCs w:val="16"/>
                <w:lang w:val="en-IN"/>
              </w:rPr>
              <w:t>Asset Efficiency Ratio</w:t>
            </w:r>
          </w:p>
        </w:tc>
        <w:tc>
          <w:tcPr>
            <w:tcW w:w="556" w:type="pct"/>
            <w:tcBorders>
              <w:top w:val="nil"/>
              <w:left w:val="nil"/>
              <w:bottom w:val="single" w:sz="4" w:space="0" w:color="auto"/>
              <w:right w:val="single" w:sz="4" w:space="0" w:color="auto"/>
            </w:tcBorders>
            <w:shd w:val="clear" w:color="000000" w:fill="FFFFFF"/>
            <w:noWrap/>
            <w:vAlign w:val="center"/>
            <w:hideMark/>
          </w:tcPr>
          <w:p w14:paraId="545FB577"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76C18891"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9A129E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36D2175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4D5CE3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09546ED2"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72C1E2C"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428E341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470E90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5AA7FAB2"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9495A0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0E0E9BF4"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296937A6"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20FC1EB"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Accounts Receivable Turnover</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718F1E2C"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Trade Revenue / Average Accounts Receivable</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1A857AF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xml:space="preserve">2204 / 615.50 </w:t>
            </w:r>
            <w:proofErr w:type="gramStart"/>
            <w:r w:rsidRPr="004C3139">
              <w:rPr>
                <w:rFonts w:eastAsia="Times New Roman"/>
                <w:i/>
                <w:iCs/>
                <w:sz w:val="16"/>
                <w:szCs w:val="16"/>
                <w:lang w:val="en-IN"/>
              </w:rPr>
              <w:t>=  3.58</w:t>
            </w:r>
            <w:proofErr w:type="gramEnd"/>
            <w:r w:rsidRPr="004C3139">
              <w:rPr>
                <w:rFonts w:eastAsia="Times New Roman"/>
                <w:i/>
                <w:iCs/>
                <w:sz w:val="16"/>
                <w:szCs w:val="16"/>
                <w:lang w:val="en-IN"/>
              </w:rPr>
              <w:t xml:space="preserve"> Times</w:t>
            </w:r>
          </w:p>
        </w:tc>
        <w:tc>
          <w:tcPr>
            <w:tcW w:w="304" w:type="pct"/>
            <w:tcBorders>
              <w:top w:val="nil"/>
              <w:left w:val="nil"/>
              <w:bottom w:val="single" w:sz="4" w:space="0" w:color="auto"/>
              <w:right w:val="single" w:sz="4" w:space="0" w:color="auto"/>
            </w:tcBorders>
            <w:shd w:val="clear" w:color="FFFF00" w:fill="FFFFFF"/>
            <w:noWrap/>
            <w:vAlign w:val="center"/>
            <w:hideMark/>
          </w:tcPr>
          <w:p w14:paraId="0DCB2EAC"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3.58</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46CA4743"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4224 / 745.50 = 5.67Times</w:t>
            </w:r>
          </w:p>
        </w:tc>
        <w:tc>
          <w:tcPr>
            <w:tcW w:w="304" w:type="pct"/>
            <w:tcBorders>
              <w:top w:val="nil"/>
              <w:left w:val="nil"/>
              <w:bottom w:val="single" w:sz="4" w:space="0" w:color="auto"/>
              <w:right w:val="single" w:sz="4" w:space="0" w:color="auto"/>
            </w:tcBorders>
            <w:shd w:val="clear" w:color="FFFF00" w:fill="FFFFFF"/>
            <w:noWrap/>
            <w:vAlign w:val="center"/>
            <w:hideMark/>
          </w:tcPr>
          <w:p w14:paraId="591CB9D1"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5.67</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3E117705"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5056 / 809 = 6.25 Times</w:t>
            </w:r>
          </w:p>
        </w:tc>
        <w:tc>
          <w:tcPr>
            <w:tcW w:w="304" w:type="pct"/>
            <w:tcBorders>
              <w:top w:val="nil"/>
              <w:left w:val="nil"/>
              <w:bottom w:val="single" w:sz="4" w:space="0" w:color="auto"/>
              <w:right w:val="single" w:sz="4" w:space="0" w:color="auto"/>
            </w:tcBorders>
            <w:shd w:val="clear" w:color="FFFF00" w:fill="FFFFFF"/>
            <w:noWrap/>
            <w:vAlign w:val="center"/>
            <w:hideMark/>
          </w:tcPr>
          <w:p w14:paraId="3F0FCA77"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6.25</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5BD7144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5606 / 813.50 = 6.89 Times</w:t>
            </w:r>
          </w:p>
        </w:tc>
        <w:tc>
          <w:tcPr>
            <w:tcW w:w="304" w:type="pct"/>
            <w:tcBorders>
              <w:top w:val="nil"/>
              <w:left w:val="nil"/>
              <w:bottom w:val="single" w:sz="4" w:space="0" w:color="auto"/>
              <w:right w:val="single" w:sz="4" w:space="0" w:color="auto"/>
            </w:tcBorders>
            <w:shd w:val="clear" w:color="FFFF00" w:fill="FFFFFF"/>
            <w:noWrap/>
            <w:vAlign w:val="center"/>
            <w:hideMark/>
          </w:tcPr>
          <w:p w14:paraId="65324BA6"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6.89</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558D074E"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5639 / 816 = 6.91 Times</w:t>
            </w:r>
          </w:p>
        </w:tc>
        <w:tc>
          <w:tcPr>
            <w:tcW w:w="304" w:type="pct"/>
            <w:tcBorders>
              <w:top w:val="nil"/>
              <w:left w:val="nil"/>
              <w:bottom w:val="single" w:sz="4" w:space="0" w:color="auto"/>
              <w:right w:val="single" w:sz="4" w:space="0" w:color="auto"/>
            </w:tcBorders>
            <w:shd w:val="clear" w:color="FFFF00" w:fill="FFFFFF"/>
            <w:noWrap/>
            <w:vAlign w:val="center"/>
            <w:hideMark/>
          </w:tcPr>
          <w:p w14:paraId="1E5E19AC"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6.91</w:t>
            </w:r>
          </w:p>
        </w:tc>
        <w:tc>
          <w:tcPr>
            <w:tcW w:w="395" w:type="pct"/>
            <w:tcBorders>
              <w:top w:val="nil"/>
              <w:left w:val="nil"/>
              <w:bottom w:val="single" w:sz="4" w:space="0" w:color="auto"/>
              <w:right w:val="single" w:sz="4" w:space="0" w:color="auto"/>
            </w:tcBorders>
            <w:shd w:val="clear" w:color="000000" w:fill="FFFF00"/>
            <w:noWrap/>
            <w:vAlign w:val="center"/>
            <w:hideMark/>
          </w:tcPr>
          <w:p w14:paraId="1B0BA943"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15 to 30 Times</w:t>
            </w:r>
          </w:p>
        </w:tc>
      </w:tr>
      <w:tr w:rsidR="004C3139" w:rsidRPr="004C3139" w14:paraId="1FE63E91"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48899A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Total Revenue</w:t>
            </w:r>
          </w:p>
        </w:tc>
        <w:tc>
          <w:tcPr>
            <w:tcW w:w="556" w:type="pct"/>
            <w:vMerge/>
            <w:tcBorders>
              <w:top w:val="nil"/>
              <w:left w:val="single" w:sz="4" w:space="0" w:color="auto"/>
              <w:bottom w:val="single" w:sz="4" w:space="0" w:color="auto"/>
              <w:right w:val="single" w:sz="4" w:space="0" w:color="auto"/>
            </w:tcBorders>
            <w:vAlign w:val="center"/>
            <w:hideMark/>
          </w:tcPr>
          <w:p w14:paraId="477B2D93"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5B904A0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975B2E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2,204.00 </w:t>
            </w:r>
          </w:p>
        </w:tc>
        <w:tc>
          <w:tcPr>
            <w:tcW w:w="380" w:type="pct"/>
            <w:vMerge/>
            <w:tcBorders>
              <w:top w:val="nil"/>
              <w:left w:val="single" w:sz="4" w:space="0" w:color="auto"/>
              <w:bottom w:val="single" w:sz="4" w:space="0" w:color="auto"/>
              <w:right w:val="single" w:sz="4" w:space="0" w:color="auto"/>
            </w:tcBorders>
            <w:vAlign w:val="center"/>
            <w:hideMark/>
          </w:tcPr>
          <w:p w14:paraId="435D547C"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E7EE99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4,224.00 </w:t>
            </w:r>
          </w:p>
        </w:tc>
        <w:tc>
          <w:tcPr>
            <w:tcW w:w="260" w:type="pct"/>
            <w:vMerge/>
            <w:tcBorders>
              <w:top w:val="nil"/>
              <w:left w:val="single" w:sz="4" w:space="0" w:color="auto"/>
              <w:bottom w:val="single" w:sz="4" w:space="0" w:color="auto"/>
              <w:right w:val="single" w:sz="4" w:space="0" w:color="auto"/>
            </w:tcBorders>
            <w:vAlign w:val="center"/>
            <w:hideMark/>
          </w:tcPr>
          <w:p w14:paraId="15D4502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D148DD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5,056.00 </w:t>
            </w:r>
          </w:p>
        </w:tc>
        <w:tc>
          <w:tcPr>
            <w:tcW w:w="328" w:type="pct"/>
            <w:vMerge/>
            <w:tcBorders>
              <w:top w:val="nil"/>
              <w:left w:val="single" w:sz="4" w:space="0" w:color="auto"/>
              <w:bottom w:val="single" w:sz="4" w:space="0" w:color="auto"/>
              <w:right w:val="single" w:sz="4" w:space="0" w:color="auto"/>
            </w:tcBorders>
            <w:vAlign w:val="center"/>
            <w:hideMark/>
          </w:tcPr>
          <w:p w14:paraId="689138A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636710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5,606.00 </w:t>
            </w:r>
          </w:p>
        </w:tc>
        <w:tc>
          <w:tcPr>
            <w:tcW w:w="300" w:type="pct"/>
            <w:vMerge/>
            <w:tcBorders>
              <w:top w:val="nil"/>
              <w:left w:val="single" w:sz="4" w:space="0" w:color="auto"/>
              <w:bottom w:val="single" w:sz="4" w:space="0" w:color="auto"/>
              <w:right w:val="single" w:sz="4" w:space="0" w:color="auto"/>
            </w:tcBorders>
            <w:vAlign w:val="center"/>
            <w:hideMark/>
          </w:tcPr>
          <w:p w14:paraId="119BBD2B"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EB4CC0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5,639.00 </w:t>
            </w:r>
          </w:p>
        </w:tc>
        <w:tc>
          <w:tcPr>
            <w:tcW w:w="395" w:type="pct"/>
            <w:tcBorders>
              <w:top w:val="nil"/>
              <w:left w:val="nil"/>
              <w:bottom w:val="single" w:sz="4" w:space="0" w:color="auto"/>
              <w:right w:val="single" w:sz="4" w:space="0" w:color="auto"/>
            </w:tcBorders>
            <w:shd w:val="clear" w:color="000000" w:fill="FFFFFF"/>
            <w:noWrap/>
            <w:vAlign w:val="center"/>
            <w:hideMark/>
          </w:tcPr>
          <w:p w14:paraId="1902EA61"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6F86CB39"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5EFB046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Average Accounts Receivable</w:t>
            </w:r>
          </w:p>
        </w:tc>
        <w:tc>
          <w:tcPr>
            <w:tcW w:w="556" w:type="pct"/>
            <w:vMerge/>
            <w:tcBorders>
              <w:top w:val="nil"/>
              <w:left w:val="single" w:sz="4" w:space="0" w:color="auto"/>
              <w:bottom w:val="single" w:sz="4" w:space="0" w:color="auto"/>
              <w:right w:val="single" w:sz="4" w:space="0" w:color="auto"/>
            </w:tcBorders>
            <w:vAlign w:val="center"/>
            <w:hideMark/>
          </w:tcPr>
          <w:p w14:paraId="5EE511C6"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14E7CCC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BA7745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615.50 </w:t>
            </w:r>
          </w:p>
        </w:tc>
        <w:tc>
          <w:tcPr>
            <w:tcW w:w="380" w:type="pct"/>
            <w:vMerge/>
            <w:tcBorders>
              <w:top w:val="nil"/>
              <w:left w:val="single" w:sz="4" w:space="0" w:color="auto"/>
              <w:bottom w:val="single" w:sz="4" w:space="0" w:color="auto"/>
              <w:right w:val="single" w:sz="4" w:space="0" w:color="auto"/>
            </w:tcBorders>
            <w:vAlign w:val="center"/>
            <w:hideMark/>
          </w:tcPr>
          <w:p w14:paraId="0227E29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F2D57C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745.50 </w:t>
            </w:r>
          </w:p>
        </w:tc>
        <w:tc>
          <w:tcPr>
            <w:tcW w:w="260" w:type="pct"/>
            <w:vMerge/>
            <w:tcBorders>
              <w:top w:val="nil"/>
              <w:left w:val="single" w:sz="4" w:space="0" w:color="auto"/>
              <w:bottom w:val="single" w:sz="4" w:space="0" w:color="auto"/>
              <w:right w:val="single" w:sz="4" w:space="0" w:color="auto"/>
            </w:tcBorders>
            <w:vAlign w:val="center"/>
            <w:hideMark/>
          </w:tcPr>
          <w:p w14:paraId="198E7194"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8A7E8E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809.00 </w:t>
            </w:r>
          </w:p>
        </w:tc>
        <w:tc>
          <w:tcPr>
            <w:tcW w:w="328" w:type="pct"/>
            <w:vMerge/>
            <w:tcBorders>
              <w:top w:val="nil"/>
              <w:left w:val="single" w:sz="4" w:space="0" w:color="auto"/>
              <w:bottom w:val="single" w:sz="4" w:space="0" w:color="auto"/>
              <w:right w:val="single" w:sz="4" w:space="0" w:color="auto"/>
            </w:tcBorders>
            <w:vAlign w:val="center"/>
            <w:hideMark/>
          </w:tcPr>
          <w:p w14:paraId="2C9F7B6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D4D035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813.50 </w:t>
            </w:r>
          </w:p>
        </w:tc>
        <w:tc>
          <w:tcPr>
            <w:tcW w:w="300" w:type="pct"/>
            <w:vMerge/>
            <w:tcBorders>
              <w:top w:val="nil"/>
              <w:left w:val="single" w:sz="4" w:space="0" w:color="auto"/>
              <w:bottom w:val="single" w:sz="4" w:space="0" w:color="auto"/>
              <w:right w:val="single" w:sz="4" w:space="0" w:color="auto"/>
            </w:tcBorders>
            <w:vAlign w:val="center"/>
            <w:hideMark/>
          </w:tcPr>
          <w:p w14:paraId="0E85146B"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26D063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816.00 </w:t>
            </w:r>
          </w:p>
        </w:tc>
        <w:tc>
          <w:tcPr>
            <w:tcW w:w="395" w:type="pct"/>
            <w:tcBorders>
              <w:top w:val="nil"/>
              <w:left w:val="nil"/>
              <w:bottom w:val="single" w:sz="4" w:space="0" w:color="auto"/>
              <w:right w:val="single" w:sz="4" w:space="0" w:color="auto"/>
            </w:tcBorders>
            <w:shd w:val="clear" w:color="000000" w:fill="FFFFFF"/>
            <w:noWrap/>
            <w:vAlign w:val="center"/>
            <w:hideMark/>
          </w:tcPr>
          <w:p w14:paraId="4B935DEB"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27BB6FF"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12F3528"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556" w:type="pct"/>
            <w:tcBorders>
              <w:top w:val="nil"/>
              <w:left w:val="nil"/>
              <w:bottom w:val="single" w:sz="4" w:space="0" w:color="auto"/>
              <w:right w:val="single" w:sz="4" w:space="0" w:color="auto"/>
            </w:tcBorders>
            <w:shd w:val="clear" w:color="000000" w:fill="FFFFFF"/>
            <w:vAlign w:val="center"/>
            <w:hideMark/>
          </w:tcPr>
          <w:p w14:paraId="2B17054B"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w:t>
            </w:r>
          </w:p>
        </w:tc>
        <w:tc>
          <w:tcPr>
            <w:tcW w:w="253" w:type="pct"/>
            <w:tcBorders>
              <w:top w:val="nil"/>
              <w:left w:val="nil"/>
              <w:bottom w:val="single" w:sz="4" w:space="0" w:color="auto"/>
              <w:right w:val="single" w:sz="4" w:space="0" w:color="auto"/>
            </w:tcBorders>
            <w:shd w:val="clear" w:color="000000" w:fill="FFFFFF"/>
            <w:vAlign w:val="center"/>
            <w:hideMark/>
          </w:tcPr>
          <w:p w14:paraId="2D32C5D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FDCC0C5"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vAlign w:val="center"/>
            <w:hideMark/>
          </w:tcPr>
          <w:p w14:paraId="22DBFC1E"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C63C75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vAlign w:val="center"/>
            <w:hideMark/>
          </w:tcPr>
          <w:p w14:paraId="4AE42B07"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2E53894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vAlign w:val="center"/>
            <w:hideMark/>
          </w:tcPr>
          <w:p w14:paraId="55C64B8C"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34D232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vAlign w:val="center"/>
            <w:hideMark/>
          </w:tcPr>
          <w:p w14:paraId="3149B10F"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31A60E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5603FFDD"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E997776"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0F283C31"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Total Asset Turnover</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1599D87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Total Revenue / Average Total Assets</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4A128E65"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2204 / 10611 = 0.21 Times</w:t>
            </w:r>
          </w:p>
        </w:tc>
        <w:tc>
          <w:tcPr>
            <w:tcW w:w="304" w:type="pct"/>
            <w:tcBorders>
              <w:top w:val="nil"/>
              <w:left w:val="nil"/>
              <w:bottom w:val="single" w:sz="4" w:space="0" w:color="auto"/>
              <w:right w:val="single" w:sz="4" w:space="0" w:color="auto"/>
            </w:tcBorders>
            <w:shd w:val="clear" w:color="FFFF00" w:fill="FFFFFF"/>
            <w:noWrap/>
            <w:vAlign w:val="center"/>
            <w:hideMark/>
          </w:tcPr>
          <w:p w14:paraId="44ED9CDF"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0.21</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6AA7EB3B"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4224 / 11191 = 0.38 Times</w:t>
            </w:r>
          </w:p>
        </w:tc>
        <w:tc>
          <w:tcPr>
            <w:tcW w:w="304" w:type="pct"/>
            <w:tcBorders>
              <w:top w:val="nil"/>
              <w:left w:val="nil"/>
              <w:bottom w:val="single" w:sz="4" w:space="0" w:color="auto"/>
              <w:right w:val="single" w:sz="4" w:space="0" w:color="auto"/>
            </w:tcBorders>
            <w:shd w:val="clear" w:color="FFFF00" w:fill="FFFFFF"/>
            <w:noWrap/>
            <w:vAlign w:val="center"/>
            <w:hideMark/>
          </w:tcPr>
          <w:p w14:paraId="46F81691"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0.38</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3686943D"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5056 / 11490 = 0.44 Times</w:t>
            </w:r>
          </w:p>
        </w:tc>
        <w:tc>
          <w:tcPr>
            <w:tcW w:w="304" w:type="pct"/>
            <w:tcBorders>
              <w:top w:val="nil"/>
              <w:left w:val="nil"/>
              <w:bottom w:val="single" w:sz="4" w:space="0" w:color="auto"/>
              <w:right w:val="single" w:sz="4" w:space="0" w:color="auto"/>
            </w:tcBorders>
            <w:shd w:val="clear" w:color="FFFF00" w:fill="FFFFFF"/>
            <w:noWrap/>
            <w:vAlign w:val="center"/>
            <w:hideMark/>
          </w:tcPr>
          <w:p w14:paraId="63F1C0A6"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0.44</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4C788E00"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5606 / 11662 = 0.48 Times</w:t>
            </w:r>
          </w:p>
        </w:tc>
        <w:tc>
          <w:tcPr>
            <w:tcW w:w="304" w:type="pct"/>
            <w:tcBorders>
              <w:top w:val="nil"/>
              <w:left w:val="nil"/>
              <w:bottom w:val="single" w:sz="4" w:space="0" w:color="auto"/>
              <w:right w:val="single" w:sz="4" w:space="0" w:color="auto"/>
            </w:tcBorders>
            <w:shd w:val="clear" w:color="FFFF00" w:fill="FFFFFF"/>
            <w:noWrap/>
            <w:vAlign w:val="center"/>
            <w:hideMark/>
          </w:tcPr>
          <w:p w14:paraId="47EC6CD7"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0.48</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541861F3"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5639 / 11900.50 = 0.47 Times</w:t>
            </w:r>
          </w:p>
        </w:tc>
        <w:tc>
          <w:tcPr>
            <w:tcW w:w="304" w:type="pct"/>
            <w:tcBorders>
              <w:top w:val="nil"/>
              <w:left w:val="nil"/>
              <w:bottom w:val="single" w:sz="4" w:space="0" w:color="auto"/>
              <w:right w:val="single" w:sz="4" w:space="0" w:color="auto"/>
            </w:tcBorders>
            <w:shd w:val="clear" w:color="FFFF00" w:fill="FFFFFF"/>
            <w:noWrap/>
            <w:vAlign w:val="center"/>
            <w:hideMark/>
          </w:tcPr>
          <w:p w14:paraId="46728C0E"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0.47</w:t>
            </w:r>
          </w:p>
        </w:tc>
        <w:tc>
          <w:tcPr>
            <w:tcW w:w="395" w:type="pct"/>
            <w:tcBorders>
              <w:top w:val="nil"/>
              <w:left w:val="nil"/>
              <w:bottom w:val="single" w:sz="4" w:space="0" w:color="auto"/>
              <w:right w:val="single" w:sz="4" w:space="0" w:color="auto"/>
            </w:tcBorders>
            <w:shd w:val="clear" w:color="000000" w:fill="FFFF00"/>
            <w:noWrap/>
            <w:vAlign w:val="center"/>
            <w:hideMark/>
          </w:tcPr>
          <w:p w14:paraId="3373DAB1"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0.35 to 0.60 Times</w:t>
            </w:r>
          </w:p>
        </w:tc>
      </w:tr>
      <w:tr w:rsidR="004C3139" w:rsidRPr="004C3139" w14:paraId="1A80F6F2"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088EEC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Total Revenue</w:t>
            </w:r>
          </w:p>
        </w:tc>
        <w:tc>
          <w:tcPr>
            <w:tcW w:w="556" w:type="pct"/>
            <w:vMerge/>
            <w:tcBorders>
              <w:top w:val="nil"/>
              <w:left w:val="single" w:sz="4" w:space="0" w:color="auto"/>
              <w:bottom w:val="single" w:sz="4" w:space="0" w:color="auto"/>
              <w:right w:val="single" w:sz="4" w:space="0" w:color="auto"/>
            </w:tcBorders>
            <w:vAlign w:val="center"/>
            <w:hideMark/>
          </w:tcPr>
          <w:p w14:paraId="003D9E38"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56EB6DDC"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0E26E83"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2,204.00 </w:t>
            </w:r>
          </w:p>
        </w:tc>
        <w:tc>
          <w:tcPr>
            <w:tcW w:w="380" w:type="pct"/>
            <w:vMerge/>
            <w:tcBorders>
              <w:top w:val="nil"/>
              <w:left w:val="single" w:sz="4" w:space="0" w:color="auto"/>
              <w:bottom w:val="single" w:sz="4" w:space="0" w:color="auto"/>
              <w:right w:val="single" w:sz="4" w:space="0" w:color="auto"/>
            </w:tcBorders>
            <w:vAlign w:val="center"/>
            <w:hideMark/>
          </w:tcPr>
          <w:p w14:paraId="29B6546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2D1ECA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4,224.00 </w:t>
            </w:r>
          </w:p>
        </w:tc>
        <w:tc>
          <w:tcPr>
            <w:tcW w:w="260" w:type="pct"/>
            <w:vMerge/>
            <w:tcBorders>
              <w:top w:val="nil"/>
              <w:left w:val="single" w:sz="4" w:space="0" w:color="auto"/>
              <w:bottom w:val="single" w:sz="4" w:space="0" w:color="auto"/>
              <w:right w:val="single" w:sz="4" w:space="0" w:color="auto"/>
            </w:tcBorders>
            <w:vAlign w:val="center"/>
            <w:hideMark/>
          </w:tcPr>
          <w:p w14:paraId="5A71BE8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8A82447"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5,056.00 </w:t>
            </w:r>
          </w:p>
        </w:tc>
        <w:tc>
          <w:tcPr>
            <w:tcW w:w="328" w:type="pct"/>
            <w:vMerge/>
            <w:tcBorders>
              <w:top w:val="nil"/>
              <w:left w:val="single" w:sz="4" w:space="0" w:color="auto"/>
              <w:bottom w:val="single" w:sz="4" w:space="0" w:color="auto"/>
              <w:right w:val="single" w:sz="4" w:space="0" w:color="auto"/>
            </w:tcBorders>
            <w:vAlign w:val="center"/>
            <w:hideMark/>
          </w:tcPr>
          <w:p w14:paraId="458497B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ABC9B0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5,606.00 </w:t>
            </w:r>
          </w:p>
        </w:tc>
        <w:tc>
          <w:tcPr>
            <w:tcW w:w="300" w:type="pct"/>
            <w:vMerge/>
            <w:tcBorders>
              <w:top w:val="nil"/>
              <w:left w:val="single" w:sz="4" w:space="0" w:color="auto"/>
              <w:bottom w:val="single" w:sz="4" w:space="0" w:color="auto"/>
              <w:right w:val="single" w:sz="4" w:space="0" w:color="auto"/>
            </w:tcBorders>
            <w:vAlign w:val="center"/>
            <w:hideMark/>
          </w:tcPr>
          <w:p w14:paraId="0095003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F36043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5,639.00 </w:t>
            </w:r>
          </w:p>
        </w:tc>
        <w:tc>
          <w:tcPr>
            <w:tcW w:w="395" w:type="pct"/>
            <w:tcBorders>
              <w:top w:val="nil"/>
              <w:left w:val="nil"/>
              <w:bottom w:val="single" w:sz="4" w:space="0" w:color="auto"/>
              <w:right w:val="single" w:sz="4" w:space="0" w:color="auto"/>
            </w:tcBorders>
            <w:shd w:val="clear" w:color="000000" w:fill="FFFFFF"/>
            <w:noWrap/>
            <w:vAlign w:val="center"/>
            <w:hideMark/>
          </w:tcPr>
          <w:p w14:paraId="064B86D9"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CEEF5D0"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08E59A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Average Total Assets</w:t>
            </w:r>
          </w:p>
        </w:tc>
        <w:tc>
          <w:tcPr>
            <w:tcW w:w="556" w:type="pct"/>
            <w:vMerge/>
            <w:tcBorders>
              <w:top w:val="nil"/>
              <w:left w:val="single" w:sz="4" w:space="0" w:color="auto"/>
              <w:bottom w:val="single" w:sz="4" w:space="0" w:color="auto"/>
              <w:right w:val="single" w:sz="4" w:space="0" w:color="auto"/>
            </w:tcBorders>
            <w:vAlign w:val="center"/>
            <w:hideMark/>
          </w:tcPr>
          <w:p w14:paraId="501287A1"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71EA002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914E21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w:t>
            </w:r>
            <w:proofErr w:type="gramStart"/>
            <w:r w:rsidRPr="004C3139">
              <w:rPr>
                <w:rFonts w:eastAsia="Times New Roman"/>
                <w:sz w:val="16"/>
                <w:szCs w:val="16"/>
                <w:lang w:val="en-IN"/>
              </w:rPr>
              <w:t>€  10,611.00</w:t>
            </w:r>
            <w:proofErr w:type="gramEnd"/>
            <w:r w:rsidRPr="004C3139">
              <w:rPr>
                <w:rFonts w:eastAsia="Times New Roman"/>
                <w:sz w:val="16"/>
                <w:szCs w:val="16"/>
                <w:lang w:val="en-IN"/>
              </w:rPr>
              <w:t xml:space="preserve"> </w:t>
            </w:r>
          </w:p>
        </w:tc>
        <w:tc>
          <w:tcPr>
            <w:tcW w:w="380" w:type="pct"/>
            <w:vMerge/>
            <w:tcBorders>
              <w:top w:val="nil"/>
              <w:left w:val="single" w:sz="4" w:space="0" w:color="auto"/>
              <w:bottom w:val="single" w:sz="4" w:space="0" w:color="auto"/>
              <w:right w:val="single" w:sz="4" w:space="0" w:color="auto"/>
            </w:tcBorders>
            <w:vAlign w:val="center"/>
            <w:hideMark/>
          </w:tcPr>
          <w:p w14:paraId="71333572"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496381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w:t>
            </w:r>
            <w:proofErr w:type="gramStart"/>
            <w:r w:rsidRPr="004C3139">
              <w:rPr>
                <w:rFonts w:eastAsia="Times New Roman"/>
                <w:sz w:val="16"/>
                <w:szCs w:val="16"/>
                <w:lang w:val="en-IN"/>
              </w:rPr>
              <w:t>€  11,191.00</w:t>
            </w:r>
            <w:proofErr w:type="gramEnd"/>
            <w:r w:rsidRPr="004C3139">
              <w:rPr>
                <w:rFonts w:eastAsia="Times New Roman"/>
                <w:sz w:val="16"/>
                <w:szCs w:val="16"/>
                <w:lang w:val="en-IN"/>
              </w:rPr>
              <w:t xml:space="preserve"> </w:t>
            </w:r>
          </w:p>
        </w:tc>
        <w:tc>
          <w:tcPr>
            <w:tcW w:w="260" w:type="pct"/>
            <w:vMerge/>
            <w:tcBorders>
              <w:top w:val="nil"/>
              <w:left w:val="single" w:sz="4" w:space="0" w:color="auto"/>
              <w:bottom w:val="single" w:sz="4" w:space="0" w:color="auto"/>
              <w:right w:val="single" w:sz="4" w:space="0" w:color="auto"/>
            </w:tcBorders>
            <w:vAlign w:val="center"/>
            <w:hideMark/>
          </w:tcPr>
          <w:p w14:paraId="21F3D1B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1C0DB6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w:t>
            </w:r>
            <w:proofErr w:type="gramStart"/>
            <w:r w:rsidRPr="004C3139">
              <w:rPr>
                <w:rFonts w:eastAsia="Times New Roman"/>
                <w:sz w:val="16"/>
                <w:szCs w:val="16"/>
                <w:lang w:val="en-IN"/>
              </w:rPr>
              <w:t>€  11,490.00</w:t>
            </w:r>
            <w:proofErr w:type="gramEnd"/>
            <w:r w:rsidRPr="004C3139">
              <w:rPr>
                <w:rFonts w:eastAsia="Times New Roman"/>
                <w:sz w:val="16"/>
                <w:szCs w:val="16"/>
                <w:lang w:val="en-IN"/>
              </w:rPr>
              <w:t xml:space="preserve"> </w:t>
            </w:r>
          </w:p>
        </w:tc>
        <w:tc>
          <w:tcPr>
            <w:tcW w:w="328" w:type="pct"/>
            <w:vMerge/>
            <w:tcBorders>
              <w:top w:val="nil"/>
              <w:left w:val="single" w:sz="4" w:space="0" w:color="auto"/>
              <w:bottom w:val="single" w:sz="4" w:space="0" w:color="auto"/>
              <w:right w:val="single" w:sz="4" w:space="0" w:color="auto"/>
            </w:tcBorders>
            <w:vAlign w:val="center"/>
            <w:hideMark/>
          </w:tcPr>
          <w:p w14:paraId="7EAEDA2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4F43083"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w:t>
            </w:r>
            <w:proofErr w:type="gramStart"/>
            <w:r w:rsidRPr="004C3139">
              <w:rPr>
                <w:rFonts w:eastAsia="Times New Roman"/>
                <w:sz w:val="16"/>
                <w:szCs w:val="16"/>
                <w:lang w:val="en-IN"/>
              </w:rPr>
              <w:t>€  11,662.00</w:t>
            </w:r>
            <w:proofErr w:type="gramEnd"/>
            <w:r w:rsidRPr="004C3139">
              <w:rPr>
                <w:rFonts w:eastAsia="Times New Roman"/>
                <w:sz w:val="16"/>
                <w:szCs w:val="16"/>
                <w:lang w:val="en-IN"/>
              </w:rPr>
              <w:t xml:space="preserve"> </w:t>
            </w:r>
          </w:p>
        </w:tc>
        <w:tc>
          <w:tcPr>
            <w:tcW w:w="300" w:type="pct"/>
            <w:vMerge/>
            <w:tcBorders>
              <w:top w:val="nil"/>
              <w:left w:val="single" w:sz="4" w:space="0" w:color="auto"/>
              <w:bottom w:val="single" w:sz="4" w:space="0" w:color="auto"/>
              <w:right w:val="single" w:sz="4" w:space="0" w:color="auto"/>
            </w:tcBorders>
            <w:vAlign w:val="center"/>
            <w:hideMark/>
          </w:tcPr>
          <w:p w14:paraId="76F5CE5B"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EFA5ED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w:t>
            </w:r>
            <w:proofErr w:type="gramStart"/>
            <w:r w:rsidRPr="004C3139">
              <w:rPr>
                <w:rFonts w:eastAsia="Times New Roman"/>
                <w:sz w:val="16"/>
                <w:szCs w:val="16"/>
                <w:lang w:val="en-IN"/>
              </w:rPr>
              <w:t>€  11,900.50</w:t>
            </w:r>
            <w:proofErr w:type="gramEnd"/>
            <w:r w:rsidRPr="004C3139">
              <w:rPr>
                <w:rFonts w:eastAsia="Times New Roman"/>
                <w:sz w:val="16"/>
                <w:szCs w:val="16"/>
                <w:lang w:val="en-IN"/>
              </w:rPr>
              <w:t xml:space="preserve"> </w:t>
            </w:r>
          </w:p>
        </w:tc>
        <w:tc>
          <w:tcPr>
            <w:tcW w:w="395" w:type="pct"/>
            <w:tcBorders>
              <w:top w:val="nil"/>
              <w:left w:val="nil"/>
              <w:bottom w:val="single" w:sz="4" w:space="0" w:color="auto"/>
              <w:right w:val="single" w:sz="4" w:space="0" w:color="auto"/>
            </w:tcBorders>
            <w:shd w:val="clear" w:color="000000" w:fill="FFFFFF"/>
            <w:noWrap/>
            <w:vAlign w:val="center"/>
            <w:hideMark/>
          </w:tcPr>
          <w:p w14:paraId="76141ED0"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5650AA5D" w14:textId="77777777" w:rsidTr="004C3139">
        <w:trPr>
          <w:trHeight w:val="264"/>
        </w:trPr>
        <w:tc>
          <w:tcPr>
            <w:tcW w:w="5000" w:type="pct"/>
            <w:gridSpan w:val="13"/>
            <w:tcBorders>
              <w:top w:val="single" w:sz="4" w:space="0" w:color="auto"/>
              <w:left w:val="single" w:sz="4" w:space="0" w:color="auto"/>
              <w:bottom w:val="single" w:sz="4" w:space="0" w:color="auto"/>
              <w:right w:val="single" w:sz="4" w:space="0" w:color="000000"/>
            </w:tcBorders>
            <w:shd w:val="clear" w:color="F3F3F3" w:fill="FFE1CC"/>
            <w:noWrap/>
            <w:vAlign w:val="center"/>
            <w:hideMark/>
          </w:tcPr>
          <w:p w14:paraId="76592E43" w14:textId="77777777" w:rsidR="004C3139" w:rsidRPr="004C3139" w:rsidRDefault="004C3139" w:rsidP="004C3139">
            <w:pPr>
              <w:spacing w:line="240" w:lineRule="auto"/>
              <w:jc w:val="center"/>
              <w:rPr>
                <w:rFonts w:eastAsia="Times New Roman"/>
                <w:sz w:val="16"/>
                <w:szCs w:val="16"/>
                <w:lang w:val="en-IN"/>
              </w:rPr>
            </w:pPr>
            <w:r w:rsidRPr="004C3139">
              <w:rPr>
                <w:rFonts w:eastAsia="Times New Roman"/>
                <w:sz w:val="16"/>
                <w:szCs w:val="16"/>
                <w:lang w:val="en-IN"/>
              </w:rPr>
              <w:t> </w:t>
            </w:r>
          </w:p>
        </w:tc>
      </w:tr>
      <w:tr w:rsidR="004C3139" w:rsidRPr="004C3139" w14:paraId="6264D74A" w14:textId="77777777" w:rsidTr="004C3139">
        <w:trPr>
          <w:trHeight w:val="348"/>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FA48C85" w14:textId="77777777" w:rsidR="004C3139" w:rsidRPr="004C3139" w:rsidRDefault="004C3139" w:rsidP="004C3139">
            <w:pPr>
              <w:spacing w:line="240" w:lineRule="auto"/>
              <w:rPr>
                <w:rFonts w:eastAsia="Times New Roman"/>
                <w:b/>
                <w:bCs/>
                <w:i/>
                <w:iCs/>
                <w:sz w:val="16"/>
                <w:szCs w:val="16"/>
                <w:lang w:val="en-IN"/>
              </w:rPr>
            </w:pPr>
            <w:r w:rsidRPr="004C3139">
              <w:rPr>
                <w:rFonts w:eastAsia="Times New Roman"/>
                <w:b/>
                <w:bCs/>
                <w:i/>
                <w:iCs/>
                <w:sz w:val="16"/>
                <w:szCs w:val="16"/>
                <w:lang w:val="en-IN"/>
              </w:rPr>
              <w:t>Liquidity Ratios</w:t>
            </w:r>
          </w:p>
        </w:tc>
        <w:tc>
          <w:tcPr>
            <w:tcW w:w="556" w:type="pct"/>
            <w:tcBorders>
              <w:top w:val="nil"/>
              <w:left w:val="nil"/>
              <w:bottom w:val="single" w:sz="4" w:space="0" w:color="auto"/>
              <w:right w:val="single" w:sz="4" w:space="0" w:color="auto"/>
            </w:tcBorders>
            <w:shd w:val="clear" w:color="000000" w:fill="FFFFFF"/>
            <w:noWrap/>
            <w:vAlign w:val="center"/>
            <w:hideMark/>
          </w:tcPr>
          <w:p w14:paraId="16AFC93F"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70C8445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4DF277E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69EE98A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1643B28"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7D3E2F3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55A742D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0CBB943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331A34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72509A9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947E34F"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75E80DC3"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00BCB89B"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51A42FFD"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Current Ratio</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22D1CB4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Current Assets / Current Liabilities</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65708935"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3079 / 2635 = 1.17 Ti</w:t>
            </w:r>
            <w:r w:rsidRPr="004C3139">
              <w:rPr>
                <w:rFonts w:eastAsia="Times New Roman"/>
                <w:i/>
                <w:iCs/>
                <w:sz w:val="16"/>
                <w:szCs w:val="16"/>
                <w:lang w:val="en-IN"/>
              </w:rPr>
              <w:lastRenderedPageBreak/>
              <w:t>mes</w:t>
            </w:r>
          </w:p>
        </w:tc>
        <w:tc>
          <w:tcPr>
            <w:tcW w:w="304" w:type="pct"/>
            <w:tcBorders>
              <w:top w:val="nil"/>
              <w:left w:val="nil"/>
              <w:bottom w:val="single" w:sz="4" w:space="0" w:color="auto"/>
              <w:right w:val="single" w:sz="4" w:space="0" w:color="auto"/>
            </w:tcBorders>
            <w:shd w:val="clear" w:color="FFFF00" w:fill="FFFFFF"/>
            <w:noWrap/>
            <w:vAlign w:val="center"/>
            <w:hideMark/>
          </w:tcPr>
          <w:p w14:paraId="294CA05B"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lastRenderedPageBreak/>
              <w:t>1.17</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7BB07E53"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3584 / 2920 = 1.23 Times</w:t>
            </w:r>
          </w:p>
        </w:tc>
        <w:tc>
          <w:tcPr>
            <w:tcW w:w="304" w:type="pct"/>
            <w:tcBorders>
              <w:top w:val="nil"/>
              <w:left w:val="nil"/>
              <w:bottom w:val="single" w:sz="4" w:space="0" w:color="auto"/>
              <w:right w:val="single" w:sz="4" w:space="0" w:color="auto"/>
            </w:tcBorders>
            <w:shd w:val="clear" w:color="FFFF00" w:fill="FFFFFF"/>
            <w:noWrap/>
            <w:vAlign w:val="center"/>
            <w:hideMark/>
          </w:tcPr>
          <w:p w14:paraId="3CEB29FE"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1.23</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24B6C839"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2781 / 2829 = 0.98 Ti</w:t>
            </w:r>
            <w:r w:rsidRPr="004C3139">
              <w:rPr>
                <w:rFonts w:eastAsia="Times New Roman"/>
                <w:i/>
                <w:iCs/>
                <w:sz w:val="16"/>
                <w:szCs w:val="16"/>
                <w:lang w:val="en-IN"/>
              </w:rPr>
              <w:lastRenderedPageBreak/>
              <w:t>mes</w:t>
            </w:r>
          </w:p>
        </w:tc>
        <w:tc>
          <w:tcPr>
            <w:tcW w:w="304" w:type="pct"/>
            <w:tcBorders>
              <w:top w:val="nil"/>
              <w:left w:val="nil"/>
              <w:bottom w:val="single" w:sz="4" w:space="0" w:color="auto"/>
              <w:right w:val="single" w:sz="4" w:space="0" w:color="auto"/>
            </w:tcBorders>
            <w:shd w:val="clear" w:color="FFFF00" w:fill="FFFFFF"/>
            <w:noWrap/>
            <w:vAlign w:val="center"/>
            <w:hideMark/>
          </w:tcPr>
          <w:p w14:paraId="132BE91C"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lastRenderedPageBreak/>
              <w:t>0.98</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169A85B5"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2970 / 2819 = 1.05 Times</w:t>
            </w:r>
          </w:p>
        </w:tc>
        <w:tc>
          <w:tcPr>
            <w:tcW w:w="304" w:type="pct"/>
            <w:tcBorders>
              <w:top w:val="nil"/>
              <w:left w:val="nil"/>
              <w:bottom w:val="single" w:sz="4" w:space="0" w:color="auto"/>
              <w:right w:val="single" w:sz="4" w:space="0" w:color="auto"/>
            </w:tcBorders>
            <w:shd w:val="clear" w:color="FFFF00" w:fill="FFFFFF"/>
            <w:noWrap/>
            <w:vAlign w:val="center"/>
            <w:hideMark/>
          </w:tcPr>
          <w:p w14:paraId="41081C83"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1.05</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6F3AAA6C"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2905 / 2773 = 1.05 Times</w:t>
            </w:r>
          </w:p>
        </w:tc>
        <w:tc>
          <w:tcPr>
            <w:tcW w:w="304" w:type="pct"/>
            <w:tcBorders>
              <w:top w:val="nil"/>
              <w:left w:val="nil"/>
              <w:bottom w:val="single" w:sz="4" w:space="0" w:color="auto"/>
              <w:right w:val="single" w:sz="4" w:space="0" w:color="auto"/>
            </w:tcBorders>
            <w:shd w:val="clear" w:color="FFFF00" w:fill="FFFFFF"/>
            <w:noWrap/>
            <w:vAlign w:val="center"/>
            <w:hideMark/>
          </w:tcPr>
          <w:p w14:paraId="38A8F376"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1.05</w:t>
            </w:r>
          </w:p>
        </w:tc>
        <w:tc>
          <w:tcPr>
            <w:tcW w:w="395" w:type="pct"/>
            <w:tcBorders>
              <w:top w:val="nil"/>
              <w:left w:val="nil"/>
              <w:bottom w:val="single" w:sz="4" w:space="0" w:color="auto"/>
              <w:right w:val="single" w:sz="4" w:space="0" w:color="auto"/>
            </w:tcBorders>
            <w:shd w:val="clear" w:color="000000" w:fill="FFFF00"/>
            <w:noWrap/>
            <w:vAlign w:val="center"/>
            <w:hideMark/>
          </w:tcPr>
          <w:p w14:paraId="4490C404"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0.80 to 1.20</w:t>
            </w:r>
          </w:p>
        </w:tc>
      </w:tr>
      <w:tr w:rsidR="004C3139" w:rsidRPr="004C3139" w14:paraId="27D6DE34"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302BC0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Current Assets</w:t>
            </w:r>
          </w:p>
        </w:tc>
        <w:tc>
          <w:tcPr>
            <w:tcW w:w="556" w:type="pct"/>
            <w:vMerge/>
            <w:tcBorders>
              <w:top w:val="nil"/>
              <w:left w:val="single" w:sz="4" w:space="0" w:color="auto"/>
              <w:bottom w:val="single" w:sz="4" w:space="0" w:color="auto"/>
              <w:right w:val="single" w:sz="4" w:space="0" w:color="auto"/>
            </w:tcBorders>
            <w:vAlign w:val="center"/>
            <w:hideMark/>
          </w:tcPr>
          <w:p w14:paraId="7AF4D280"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1D3C825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562326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3,079.00 </w:t>
            </w:r>
          </w:p>
        </w:tc>
        <w:tc>
          <w:tcPr>
            <w:tcW w:w="380" w:type="pct"/>
            <w:vMerge/>
            <w:tcBorders>
              <w:top w:val="nil"/>
              <w:left w:val="single" w:sz="4" w:space="0" w:color="auto"/>
              <w:bottom w:val="single" w:sz="4" w:space="0" w:color="auto"/>
              <w:right w:val="single" w:sz="4" w:space="0" w:color="auto"/>
            </w:tcBorders>
            <w:vAlign w:val="center"/>
            <w:hideMark/>
          </w:tcPr>
          <w:p w14:paraId="1333921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C78A146"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3,584.00 </w:t>
            </w:r>
          </w:p>
        </w:tc>
        <w:tc>
          <w:tcPr>
            <w:tcW w:w="260" w:type="pct"/>
            <w:vMerge/>
            <w:tcBorders>
              <w:top w:val="nil"/>
              <w:left w:val="single" w:sz="4" w:space="0" w:color="auto"/>
              <w:bottom w:val="single" w:sz="4" w:space="0" w:color="auto"/>
              <w:right w:val="single" w:sz="4" w:space="0" w:color="auto"/>
            </w:tcBorders>
            <w:vAlign w:val="center"/>
            <w:hideMark/>
          </w:tcPr>
          <w:p w14:paraId="7ACFCC40"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0DB9A9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2,781.00 </w:t>
            </w:r>
          </w:p>
        </w:tc>
        <w:tc>
          <w:tcPr>
            <w:tcW w:w="328" w:type="pct"/>
            <w:vMerge/>
            <w:tcBorders>
              <w:top w:val="nil"/>
              <w:left w:val="single" w:sz="4" w:space="0" w:color="auto"/>
              <w:bottom w:val="single" w:sz="4" w:space="0" w:color="auto"/>
              <w:right w:val="single" w:sz="4" w:space="0" w:color="auto"/>
            </w:tcBorders>
            <w:vAlign w:val="center"/>
            <w:hideMark/>
          </w:tcPr>
          <w:p w14:paraId="53C5E5D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A0EA31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2,970.00 </w:t>
            </w:r>
          </w:p>
        </w:tc>
        <w:tc>
          <w:tcPr>
            <w:tcW w:w="300" w:type="pct"/>
            <w:vMerge/>
            <w:tcBorders>
              <w:top w:val="nil"/>
              <w:left w:val="single" w:sz="4" w:space="0" w:color="auto"/>
              <w:bottom w:val="single" w:sz="4" w:space="0" w:color="auto"/>
              <w:right w:val="single" w:sz="4" w:space="0" w:color="auto"/>
            </w:tcBorders>
            <w:vAlign w:val="center"/>
            <w:hideMark/>
          </w:tcPr>
          <w:p w14:paraId="4E94C370"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C1A7E1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2,905.00 </w:t>
            </w:r>
          </w:p>
        </w:tc>
        <w:tc>
          <w:tcPr>
            <w:tcW w:w="395" w:type="pct"/>
            <w:tcBorders>
              <w:top w:val="nil"/>
              <w:left w:val="nil"/>
              <w:bottom w:val="single" w:sz="4" w:space="0" w:color="auto"/>
              <w:right w:val="single" w:sz="4" w:space="0" w:color="auto"/>
            </w:tcBorders>
            <w:shd w:val="clear" w:color="000000" w:fill="FFFFFF"/>
            <w:noWrap/>
            <w:vAlign w:val="center"/>
            <w:hideMark/>
          </w:tcPr>
          <w:p w14:paraId="5F6459D3"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59FA7018"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79172F9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Current Liabilities</w:t>
            </w:r>
          </w:p>
        </w:tc>
        <w:tc>
          <w:tcPr>
            <w:tcW w:w="556" w:type="pct"/>
            <w:vMerge/>
            <w:tcBorders>
              <w:top w:val="nil"/>
              <w:left w:val="single" w:sz="4" w:space="0" w:color="auto"/>
              <w:bottom w:val="single" w:sz="4" w:space="0" w:color="auto"/>
              <w:right w:val="single" w:sz="4" w:space="0" w:color="auto"/>
            </w:tcBorders>
            <w:vAlign w:val="center"/>
            <w:hideMark/>
          </w:tcPr>
          <w:p w14:paraId="098A286D"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143D8C4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83B5FDB"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2,635.00 </w:t>
            </w:r>
          </w:p>
        </w:tc>
        <w:tc>
          <w:tcPr>
            <w:tcW w:w="380" w:type="pct"/>
            <w:vMerge/>
            <w:tcBorders>
              <w:top w:val="nil"/>
              <w:left w:val="single" w:sz="4" w:space="0" w:color="auto"/>
              <w:bottom w:val="single" w:sz="4" w:space="0" w:color="auto"/>
              <w:right w:val="single" w:sz="4" w:space="0" w:color="auto"/>
            </w:tcBorders>
            <w:vAlign w:val="center"/>
            <w:hideMark/>
          </w:tcPr>
          <w:p w14:paraId="38D902C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84CDBF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2,920.00 </w:t>
            </w:r>
          </w:p>
        </w:tc>
        <w:tc>
          <w:tcPr>
            <w:tcW w:w="260" w:type="pct"/>
            <w:vMerge/>
            <w:tcBorders>
              <w:top w:val="nil"/>
              <w:left w:val="single" w:sz="4" w:space="0" w:color="auto"/>
              <w:bottom w:val="single" w:sz="4" w:space="0" w:color="auto"/>
              <w:right w:val="single" w:sz="4" w:space="0" w:color="auto"/>
            </w:tcBorders>
            <w:vAlign w:val="center"/>
            <w:hideMark/>
          </w:tcPr>
          <w:p w14:paraId="37A08C9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53E7DA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2,829.00 </w:t>
            </w:r>
          </w:p>
        </w:tc>
        <w:tc>
          <w:tcPr>
            <w:tcW w:w="328" w:type="pct"/>
            <w:vMerge/>
            <w:tcBorders>
              <w:top w:val="nil"/>
              <w:left w:val="single" w:sz="4" w:space="0" w:color="auto"/>
              <w:bottom w:val="single" w:sz="4" w:space="0" w:color="auto"/>
              <w:right w:val="single" w:sz="4" w:space="0" w:color="auto"/>
            </w:tcBorders>
            <w:vAlign w:val="center"/>
            <w:hideMark/>
          </w:tcPr>
          <w:p w14:paraId="6967791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19D1FC7"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2,819.00 </w:t>
            </w:r>
          </w:p>
        </w:tc>
        <w:tc>
          <w:tcPr>
            <w:tcW w:w="300" w:type="pct"/>
            <w:vMerge/>
            <w:tcBorders>
              <w:top w:val="nil"/>
              <w:left w:val="single" w:sz="4" w:space="0" w:color="auto"/>
              <w:bottom w:val="single" w:sz="4" w:space="0" w:color="auto"/>
              <w:right w:val="single" w:sz="4" w:space="0" w:color="auto"/>
            </w:tcBorders>
            <w:vAlign w:val="center"/>
            <w:hideMark/>
          </w:tcPr>
          <w:p w14:paraId="43D8E684"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3102BE5"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2,773.00 </w:t>
            </w:r>
          </w:p>
        </w:tc>
        <w:tc>
          <w:tcPr>
            <w:tcW w:w="395" w:type="pct"/>
            <w:tcBorders>
              <w:top w:val="nil"/>
              <w:left w:val="nil"/>
              <w:bottom w:val="single" w:sz="4" w:space="0" w:color="auto"/>
              <w:right w:val="single" w:sz="4" w:space="0" w:color="auto"/>
            </w:tcBorders>
            <w:shd w:val="clear" w:color="000000" w:fill="FFFFFF"/>
            <w:noWrap/>
            <w:vAlign w:val="center"/>
            <w:hideMark/>
          </w:tcPr>
          <w:p w14:paraId="4E70D724"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D3E90BE"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77AB37C2"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556" w:type="pct"/>
            <w:tcBorders>
              <w:top w:val="nil"/>
              <w:left w:val="nil"/>
              <w:bottom w:val="single" w:sz="4" w:space="0" w:color="auto"/>
              <w:right w:val="single" w:sz="4" w:space="0" w:color="auto"/>
            </w:tcBorders>
            <w:shd w:val="clear" w:color="000000" w:fill="FFFFFF"/>
            <w:noWrap/>
            <w:vAlign w:val="center"/>
            <w:hideMark/>
          </w:tcPr>
          <w:p w14:paraId="7E87150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1F3E514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4C129B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716A6DA1"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AFCA80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69C62B91"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282478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0AFE9E1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503E46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615DE33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9E182E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0B66AE6F"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4375139B"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443C09B"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Cash Ratio</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1640F69E"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Cash &amp; Cash Equivalent / Current Liabilities</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5541CBFC"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1666 / 2635 = 0.63 Times</w:t>
            </w:r>
          </w:p>
        </w:tc>
        <w:tc>
          <w:tcPr>
            <w:tcW w:w="304" w:type="pct"/>
            <w:tcBorders>
              <w:top w:val="nil"/>
              <w:left w:val="nil"/>
              <w:bottom w:val="single" w:sz="4" w:space="0" w:color="auto"/>
              <w:right w:val="single" w:sz="4" w:space="0" w:color="auto"/>
            </w:tcBorders>
            <w:shd w:val="clear" w:color="FFFF00" w:fill="FFFFFF"/>
            <w:noWrap/>
            <w:vAlign w:val="center"/>
            <w:hideMark/>
          </w:tcPr>
          <w:p w14:paraId="583B726A"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0.63</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7BA12D9D"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1643 / 2920 = 0.56 Times</w:t>
            </w:r>
          </w:p>
        </w:tc>
        <w:tc>
          <w:tcPr>
            <w:tcW w:w="304" w:type="pct"/>
            <w:tcBorders>
              <w:top w:val="nil"/>
              <w:left w:val="nil"/>
              <w:bottom w:val="single" w:sz="4" w:space="0" w:color="auto"/>
              <w:right w:val="single" w:sz="4" w:space="0" w:color="auto"/>
            </w:tcBorders>
            <w:shd w:val="clear" w:color="FFFF00" w:fill="FFFFFF"/>
            <w:noWrap/>
            <w:vAlign w:val="center"/>
            <w:hideMark/>
          </w:tcPr>
          <w:p w14:paraId="715FC975"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0.56</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02C07D3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1283 / 2829 = 0.45 Times</w:t>
            </w:r>
          </w:p>
        </w:tc>
        <w:tc>
          <w:tcPr>
            <w:tcW w:w="304" w:type="pct"/>
            <w:tcBorders>
              <w:top w:val="nil"/>
              <w:left w:val="nil"/>
              <w:bottom w:val="single" w:sz="4" w:space="0" w:color="auto"/>
              <w:right w:val="single" w:sz="4" w:space="0" w:color="auto"/>
            </w:tcBorders>
            <w:shd w:val="clear" w:color="FFFF00" w:fill="FFFFFF"/>
            <w:noWrap/>
            <w:vAlign w:val="center"/>
            <w:hideMark/>
          </w:tcPr>
          <w:p w14:paraId="2D90C6F4"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0.45</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262D50EB"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1244 / 2819 = 0.44 Times</w:t>
            </w:r>
          </w:p>
        </w:tc>
        <w:tc>
          <w:tcPr>
            <w:tcW w:w="304" w:type="pct"/>
            <w:tcBorders>
              <w:top w:val="nil"/>
              <w:left w:val="nil"/>
              <w:bottom w:val="single" w:sz="4" w:space="0" w:color="auto"/>
              <w:right w:val="single" w:sz="4" w:space="0" w:color="auto"/>
            </w:tcBorders>
            <w:shd w:val="clear" w:color="FFFF00" w:fill="FFFFFF"/>
            <w:noWrap/>
            <w:vAlign w:val="center"/>
            <w:hideMark/>
          </w:tcPr>
          <w:p w14:paraId="3385FC6C"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0.44</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363185C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1205 / 2773 = 0.43 Times</w:t>
            </w:r>
          </w:p>
        </w:tc>
        <w:tc>
          <w:tcPr>
            <w:tcW w:w="304" w:type="pct"/>
            <w:tcBorders>
              <w:top w:val="nil"/>
              <w:left w:val="nil"/>
              <w:bottom w:val="single" w:sz="4" w:space="0" w:color="auto"/>
              <w:right w:val="single" w:sz="4" w:space="0" w:color="auto"/>
            </w:tcBorders>
            <w:shd w:val="clear" w:color="FFFF00" w:fill="FFFFFF"/>
            <w:noWrap/>
            <w:vAlign w:val="center"/>
            <w:hideMark/>
          </w:tcPr>
          <w:p w14:paraId="24E665F5"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0.43</w:t>
            </w:r>
          </w:p>
        </w:tc>
        <w:tc>
          <w:tcPr>
            <w:tcW w:w="395" w:type="pct"/>
            <w:tcBorders>
              <w:top w:val="nil"/>
              <w:left w:val="nil"/>
              <w:bottom w:val="single" w:sz="4" w:space="0" w:color="auto"/>
              <w:right w:val="single" w:sz="4" w:space="0" w:color="auto"/>
            </w:tcBorders>
            <w:shd w:val="clear" w:color="000000" w:fill="FFFF00"/>
            <w:noWrap/>
            <w:vAlign w:val="center"/>
            <w:hideMark/>
          </w:tcPr>
          <w:p w14:paraId="35E23E19"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0.20 to 0.50</w:t>
            </w:r>
          </w:p>
        </w:tc>
      </w:tr>
      <w:tr w:rsidR="004C3139" w:rsidRPr="004C3139" w14:paraId="4237D056"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7D7E08E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xml:space="preserve">Cash &amp; Cash Equivalent </w:t>
            </w:r>
          </w:p>
        </w:tc>
        <w:tc>
          <w:tcPr>
            <w:tcW w:w="556" w:type="pct"/>
            <w:vMerge/>
            <w:tcBorders>
              <w:top w:val="nil"/>
              <w:left w:val="single" w:sz="4" w:space="0" w:color="auto"/>
              <w:bottom w:val="single" w:sz="4" w:space="0" w:color="auto"/>
              <w:right w:val="single" w:sz="4" w:space="0" w:color="auto"/>
            </w:tcBorders>
            <w:vAlign w:val="center"/>
            <w:hideMark/>
          </w:tcPr>
          <w:p w14:paraId="67299AAE"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421FE7B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D0A386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1,666.00 </w:t>
            </w:r>
          </w:p>
        </w:tc>
        <w:tc>
          <w:tcPr>
            <w:tcW w:w="380" w:type="pct"/>
            <w:vMerge/>
            <w:tcBorders>
              <w:top w:val="nil"/>
              <w:left w:val="single" w:sz="4" w:space="0" w:color="auto"/>
              <w:bottom w:val="single" w:sz="4" w:space="0" w:color="auto"/>
              <w:right w:val="single" w:sz="4" w:space="0" w:color="auto"/>
            </w:tcBorders>
            <w:vAlign w:val="center"/>
            <w:hideMark/>
          </w:tcPr>
          <w:p w14:paraId="6C22426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95A165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1,643.00 </w:t>
            </w:r>
          </w:p>
        </w:tc>
        <w:tc>
          <w:tcPr>
            <w:tcW w:w="260" w:type="pct"/>
            <w:vMerge/>
            <w:tcBorders>
              <w:top w:val="nil"/>
              <w:left w:val="single" w:sz="4" w:space="0" w:color="auto"/>
              <w:bottom w:val="single" w:sz="4" w:space="0" w:color="auto"/>
              <w:right w:val="single" w:sz="4" w:space="0" w:color="auto"/>
            </w:tcBorders>
            <w:vAlign w:val="center"/>
            <w:hideMark/>
          </w:tcPr>
          <w:p w14:paraId="10193A1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2D75143"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1,283.00 </w:t>
            </w:r>
          </w:p>
        </w:tc>
        <w:tc>
          <w:tcPr>
            <w:tcW w:w="328" w:type="pct"/>
            <w:vMerge/>
            <w:tcBorders>
              <w:top w:val="nil"/>
              <w:left w:val="single" w:sz="4" w:space="0" w:color="auto"/>
              <w:bottom w:val="single" w:sz="4" w:space="0" w:color="auto"/>
              <w:right w:val="single" w:sz="4" w:space="0" w:color="auto"/>
            </w:tcBorders>
            <w:vAlign w:val="center"/>
            <w:hideMark/>
          </w:tcPr>
          <w:p w14:paraId="0955524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943417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1,244.00 </w:t>
            </w:r>
          </w:p>
        </w:tc>
        <w:tc>
          <w:tcPr>
            <w:tcW w:w="300" w:type="pct"/>
            <w:vMerge/>
            <w:tcBorders>
              <w:top w:val="nil"/>
              <w:left w:val="single" w:sz="4" w:space="0" w:color="auto"/>
              <w:bottom w:val="single" w:sz="4" w:space="0" w:color="auto"/>
              <w:right w:val="single" w:sz="4" w:space="0" w:color="auto"/>
            </w:tcBorders>
            <w:vAlign w:val="center"/>
            <w:hideMark/>
          </w:tcPr>
          <w:p w14:paraId="1432745B"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EA6748A"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1,205.00 </w:t>
            </w:r>
          </w:p>
        </w:tc>
        <w:tc>
          <w:tcPr>
            <w:tcW w:w="395" w:type="pct"/>
            <w:tcBorders>
              <w:top w:val="nil"/>
              <w:left w:val="nil"/>
              <w:bottom w:val="single" w:sz="4" w:space="0" w:color="auto"/>
              <w:right w:val="single" w:sz="4" w:space="0" w:color="auto"/>
            </w:tcBorders>
            <w:shd w:val="clear" w:color="000000" w:fill="FFFFFF"/>
            <w:noWrap/>
            <w:vAlign w:val="center"/>
            <w:hideMark/>
          </w:tcPr>
          <w:p w14:paraId="02D1B5CB"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363F7BCE"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724057CC"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Current Liabilities</w:t>
            </w:r>
          </w:p>
        </w:tc>
        <w:tc>
          <w:tcPr>
            <w:tcW w:w="556" w:type="pct"/>
            <w:vMerge/>
            <w:tcBorders>
              <w:top w:val="nil"/>
              <w:left w:val="single" w:sz="4" w:space="0" w:color="auto"/>
              <w:bottom w:val="single" w:sz="4" w:space="0" w:color="auto"/>
              <w:right w:val="single" w:sz="4" w:space="0" w:color="auto"/>
            </w:tcBorders>
            <w:vAlign w:val="center"/>
            <w:hideMark/>
          </w:tcPr>
          <w:p w14:paraId="297514D0"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0BAC320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807EE7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2,635.00 </w:t>
            </w:r>
          </w:p>
        </w:tc>
        <w:tc>
          <w:tcPr>
            <w:tcW w:w="380" w:type="pct"/>
            <w:vMerge/>
            <w:tcBorders>
              <w:top w:val="nil"/>
              <w:left w:val="single" w:sz="4" w:space="0" w:color="auto"/>
              <w:bottom w:val="single" w:sz="4" w:space="0" w:color="auto"/>
              <w:right w:val="single" w:sz="4" w:space="0" w:color="auto"/>
            </w:tcBorders>
            <w:vAlign w:val="center"/>
            <w:hideMark/>
          </w:tcPr>
          <w:p w14:paraId="13532BDC"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8C6635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2,920.00 </w:t>
            </w:r>
          </w:p>
        </w:tc>
        <w:tc>
          <w:tcPr>
            <w:tcW w:w="260" w:type="pct"/>
            <w:vMerge/>
            <w:tcBorders>
              <w:top w:val="nil"/>
              <w:left w:val="single" w:sz="4" w:space="0" w:color="auto"/>
              <w:bottom w:val="single" w:sz="4" w:space="0" w:color="auto"/>
              <w:right w:val="single" w:sz="4" w:space="0" w:color="auto"/>
            </w:tcBorders>
            <w:vAlign w:val="center"/>
            <w:hideMark/>
          </w:tcPr>
          <w:p w14:paraId="6DDE31A9"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02402A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2,829.00 </w:t>
            </w:r>
          </w:p>
        </w:tc>
        <w:tc>
          <w:tcPr>
            <w:tcW w:w="328" w:type="pct"/>
            <w:vMerge/>
            <w:tcBorders>
              <w:top w:val="nil"/>
              <w:left w:val="single" w:sz="4" w:space="0" w:color="auto"/>
              <w:bottom w:val="single" w:sz="4" w:space="0" w:color="auto"/>
              <w:right w:val="single" w:sz="4" w:space="0" w:color="auto"/>
            </w:tcBorders>
            <w:vAlign w:val="center"/>
            <w:hideMark/>
          </w:tcPr>
          <w:p w14:paraId="00859310"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F67859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2,819.00 </w:t>
            </w:r>
          </w:p>
        </w:tc>
        <w:tc>
          <w:tcPr>
            <w:tcW w:w="300" w:type="pct"/>
            <w:vMerge/>
            <w:tcBorders>
              <w:top w:val="nil"/>
              <w:left w:val="single" w:sz="4" w:space="0" w:color="auto"/>
              <w:bottom w:val="single" w:sz="4" w:space="0" w:color="auto"/>
              <w:right w:val="single" w:sz="4" w:space="0" w:color="auto"/>
            </w:tcBorders>
            <w:vAlign w:val="center"/>
            <w:hideMark/>
          </w:tcPr>
          <w:p w14:paraId="617D8DB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8B3AFE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2,773.00 </w:t>
            </w:r>
          </w:p>
        </w:tc>
        <w:tc>
          <w:tcPr>
            <w:tcW w:w="395" w:type="pct"/>
            <w:tcBorders>
              <w:top w:val="nil"/>
              <w:left w:val="nil"/>
              <w:bottom w:val="single" w:sz="4" w:space="0" w:color="auto"/>
              <w:right w:val="single" w:sz="4" w:space="0" w:color="auto"/>
            </w:tcBorders>
            <w:shd w:val="clear" w:color="000000" w:fill="FFFFFF"/>
            <w:noWrap/>
            <w:vAlign w:val="center"/>
            <w:hideMark/>
          </w:tcPr>
          <w:p w14:paraId="107010C1"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2E84119D" w14:textId="77777777" w:rsidTr="004C3139">
        <w:trPr>
          <w:trHeight w:val="264"/>
        </w:trPr>
        <w:tc>
          <w:tcPr>
            <w:tcW w:w="5000" w:type="pct"/>
            <w:gridSpan w:val="13"/>
            <w:tcBorders>
              <w:top w:val="single" w:sz="4" w:space="0" w:color="auto"/>
              <w:left w:val="single" w:sz="4" w:space="0" w:color="auto"/>
              <w:bottom w:val="single" w:sz="4" w:space="0" w:color="auto"/>
              <w:right w:val="single" w:sz="4" w:space="0" w:color="000000"/>
            </w:tcBorders>
            <w:shd w:val="clear" w:color="F3F3F3" w:fill="FFE1CC"/>
            <w:noWrap/>
            <w:vAlign w:val="center"/>
            <w:hideMark/>
          </w:tcPr>
          <w:p w14:paraId="3C7D5073" w14:textId="77777777" w:rsidR="004C3139" w:rsidRPr="004C3139" w:rsidRDefault="004C3139" w:rsidP="004C3139">
            <w:pPr>
              <w:spacing w:line="240" w:lineRule="auto"/>
              <w:jc w:val="center"/>
              <w:rPr>
                <w:rFonts w:eastAsia="Times New Roman"/>
                <w:sz w:val="16"/>
                <w:szCs w:val="16"/>
                <w:lang w:val="en-IN"/>
              </w:rPr>
            </w:pPr>
            <w:r w:rsidRPr="004C3139">
              <w:rPr>
                <w:rFonts w:eastAsia="Times New Roman"/>
                <w:sz w:val="16"/>
                <w:szCs w:val="16"/>
                <w:lang w:val="en-IN"/>
              </w:rPr>
              <w:t> </w:t>
            </w:r>
          </w:p>
        </w:tc>
      </w:tr>
      <w:tr w:rsidR="004C3139" w:rsidRPr="004C3139" w14:paraId="7B64DF45" w14:textId="77777777" w:rsidTr="004C3139">
        <w:trPr>
          <w:trHeight w:val="348"/>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1BA4729A" w14:textId="77777777" w:rsidR="004C3139" w:rsidRPr="004C3139" w:rsidRDefault="004C3139" w:rsidP="004C3139">
            <w:pPr>
              <w:spacing w:line="240" w:lineRule="auto"/>
              <w:rPr>
                <w:rFonts w:eastAsia="Times New Roman"/>
                <w:b/>
                <w:bCs/>
                <w:i/>
                <w:iCs/>
                <w:sz w:val="16"/>
                <w:szCs w:val="16"/>
                <w:lang w:val="en-IN"/>
              </w:rPr>
            </w:pPr>
            <w:r w:rsidRPr="004C3139">
              <w:rPr>
                <w:rFonts w:eastAsia="Times New Roman"/>
                <w:b/>
                <w:bCs/>
                <w:i/>
                <w:iCs/>
                <w:sz w:val="16"/>
                <w:szCs w:val="16"/>
                <w:lang w:val="en-IN"/>
              </w:rPr>
              <w:t>Investment Ratio</w:t>
            </w:r>
          </w:p>
        </w:tc>
        <w:tc>
          <w:tcPr>
            <w:tcW w:w="556" w:type="pct"/>
            <w:tcBorders>
              <w:top w:val="nil"/>
              <w:left w:val="nil"/>
              <w:bottom w:val="single" w:sz="4" w:space="0" w:color="auto"/>
              <w:right w:val="single" w:sz="4" w:space="0" w:color="auto"/>
            </w:tcBorders>
            <w:shd w:val="clear" w:color="000000" w:fill="FFFFFF"/>
            <w:noWrap/>
            <w:vAlign w:val="center"/>
            <w:hideMark/>
          </w:tcPr>
          <w:p w14:paraId="0ECD4B2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74C7C18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2E58F72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260F084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29BCAB7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4609AAE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BEE10C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77063FE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45CDDE1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05CD6D6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4EB9F01"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4E3FA9E0"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36F22932"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7D665A8" w14:textId="77777777" w:rsidR="004C3139" w:rsidRPr="004C3139" w:rsidRDefault="004C3139" w:rsidP="004C3139">
            <w:pPr>
              <w:spacing w:line="240" w:lineRule="auto"/>
              <w:rPr>
                <w:rFonts w:eastAsia="Times New Roman"/>
                <w:b/>
                <w:bCs/>
                <w:sz w:val="16"/>
                <w:szCs w:val="16"/>
                <w:lang w:val="en-IN"/>
              </w:rPr>
            </w:pPr>
            <w:proofErr w:type="spellStart"/>
            <w:r w:rsidRPr="004C3139">
              <w:rPr>
                <w:rFonts w:eastAsia="Times New Roman"/>
                <w:b/>
                <w:bCs/>
                <w:sz w:val="16"/>
                <w:szCs w:val="16"/>
                <w:lang w:val="en-IN"/>
              </w:rPr>
              <w:t>Earning</w:t>
            </w:r>
            <w:proofErr w:type="spellEnd"/>
            <w:r w:rsidRPr="004C3139">
              <w:rPr>
                <w:rFonts w:eastAsia="Times New Roman"/>
                <w:b/>
                <w:bCs/>
                <w:sz w:val="16"/>
                <w:szCs w:val="16"/>
                <w:lang w:val="en-IN"/>
              </w:rPr>
              <w:t xml:space="preserve"> Per Share (EPS)</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2706C72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(Profit Attributable to Ordinary Shareholders / Weighted Average Number of Ordinary Shares)</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4A131D4D"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xml:space="preserve">90 / 255.80 = €0.35  </w:t>
            </w:r>
          </w:p>
        </w:tc>
        <w:tc>
          <w:tcPr>
            <w:tcW w:w="304" w:type="pct"/>
            <w:tcBorders>
              <w:top w:val="nil"/>
              <w:left w:val="nil"/>
              <w:bottom w:val="single" w:sz="4" w:space="0" w:color="auto"/>
              <w:right w:val="single" w:sz="4" w:space="0" w:color="auto"/>
            </w:tcBorders>
            <w:shd w:val="clear" w:color="FFFF00" w:fill="FFFFFF"/>
            <w:noWrap/>
            <w:vAlign w:val="center"/>
            <w:hideMark/>
          </w:tcPr>
          <w:p w14:paraId="5A57EFA8"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 xml:space="preserve"> €          0.35 </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7A91F451"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xml:space="preserve">426 / 252.90 = €1.68  </w:t>
            </w:r>
          </w:p>
        </w:tc>
        <w:tc>
          <w:tcPr>
            <w:tcW w:w="304" w:type="pct"/>
            <w:tcBorders>
              <w:top w:val="nil"/>
              <w:left w:val="nil"/>
              <w:bottom w:val="single" w:sz="4" w:space="0" w:color="auto"/>
              <w:right w:val="single" w:sz="4" w:space="0" w:color="auto"/>
            </w:tcBorders>
            <w:shd w:val="clear" w:color="FFFF00" w:fill="FFFFFF"/>
            <w:noWrap/>
            <w:vAlign w:val="center"/>
            <w:hideMark/>
          </w:tcPr>
          <w:p w14:paraId="4C56C408"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 xml:space="preserve"> €          1.68 </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37AB4372"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650 / 249.30 = €2.61</w:t>
            </w:r>
          </w:p>
        </w:tc>
        <w:tc>
          <w:tcPr>
            <w:tcW w:w="304" w:type="pct"/>
            <w:tcBorders>
              <w:top w:val="nil"/>
              <w:left w:val="nil"/>
              <w:bottom w:val="single" w:sz="4" w:space="0" w:color="auto"/>
              <w:right w:val="single" w:sz="4" w:space="0" w:color="auto"/>
            </w:tcBorders>
            <w:shd w:val="clear" w:color="FFFF00" w:fill="FFFFFF"/>
            <w:noWrap/>
            <w:vAlign w:val="center"/>
            <w:hideMark/>
          </w:tcPr>
          <w:p w14:paraId="40472C67"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 xml:space="preserve"> €          2.61 </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057F49E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610 / 245.70 = €2.48</w:t>
            </w:r>
          </w:p>
        </w:tc>
        <w:tc>
          <w:tcPr>
            <w:tcW w:w="304" w:type="pct"/>
            <w:tcBorders>
              <w:top w:val="nil"/>
              <w:left w:val="nil"/>
              <w:bottom w:val="single" w:sz="4" w:space="0" w:color="auto"/>
              <w:right w:val="single" w:sz="4" w:space="0" w:color="auto"/>
            </w:tcBorders>
            <w:shd w:val="clear" w:color="FFFF00" w:fill="FFFFFF"/>
            <w:noWrap/>
            <w:vAlign w:val="center"/>
            <w:hideMark/>
          </w:tcPr>
          <w:p w14:paraId="7F42FEA0"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 xml:space="preserve"> €          2.48 </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482F4CE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499 / 239.40 = €2.08</w:t>
            </w:r>
          </w:p>
        </w:tc>
        <w:tc>
          <w:tcPr>
            <w:tcW w:w="304" w:type="pct"/>
            <w:tcBorders>
              <w:top w:val="nil"/>
              <w:left w:val="nil"/>
              <w:bottom w:val="single" w:sz="4" w:space="0" w:color="auto"/>
              <w:right w:val="single" w:sz="4" w:space="0" w:color="auto"/>
            </w:tcBorders>
            <w:shd w:val="clear" w:color="FFFF00" w:fill="FFFFFF"/>
            <w:noWrap/>
            <w:vAlign w:val="center"/>
            <w:hideMark/>
          </w:tcPr>
          <w:p w14:paraId="59A69289"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 xml:space="preserve"> €          2.08 </w:t>
            </w:r>
          </w:p>
        </w:tc>
        <w:tc>
          <w:tcPr>
            <w:tcW w:w="395" w:type="pct"/>
            <w:tcBorders>
              <w:top w:val="nil"/>
              <w:left w:val="nil"/>
              <w:bottom w:val="single" w:sz="4" w:space="0" w:color="auto"/>
              <w:right w:val="single" w:sz="4" w:space="0" w:color="auto"/>
            </w:tcBorders>
            <w:shd w:val="clear" w:color="000000" w:fill="FFFF00"/>
            <w:noWrap/>
            <w:vAlign w:val="center"/>
            <w:hideMark/>
          </w:tcPr>
          <w:p w14:paraId="66507054"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€ 3</w:t>
            </w:r>
          </w:p>
        </w:tc>
      </w:tr>
      <w:tr w:rsidR="004C3139" w:rsidRPr="004C3139" w14:paraId="49FE4B04"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0323457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Profit Attributable to Ordinary Shareholders</w:t>
            </w:r>
          </w:p>
        </w:tc>
        <w:tc>
          <w:tcPr>
            <w:tcW w:w="556" w:type="pct"/>
            <w:vMerge/>
            <w:tcBorders>
              <w:top w:val="nil"/>
              <w:left w:val="single" w:sz="4" w:space="0" w:color="auto"/>
              <w:bottom w:val="single" w:sz="4" w:space="0" w:color="auto"/>
              <w:right w:val="single" w:sz="4" w:space="0" w:color="auto"/>
            </w:tcBorders>
            <w:vAlign w:val="center"/>
            <w:hideMark/>
          </w:tcPr>
          <w:p w14:paraId="7B2CF26B"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065CED4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608B29C"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90.00 </w:t>
            </w:r>
          </w:p>
        </w:tc>
        <w:tc>
          <w:tcPr>
            <w:tcW w:w="380" w:type="pct"/>
            <w:vMerge/>
            <w:tcBorders>
              <w:top w:val="nil"/>
              <w:left w:val="single" w:sz="4" w:space="0" w:color="auto"/>
              <w:bottom w:val="single" w:sz="4" w:space="0" w:color="auto"/>
              <w:right w:val="single" w:sz="4" w:space="0" w:color="auto"/>
            </w:tcBorders>
            <w:vAlign w:val="center"/>
            <w:hideMark/>
          </w:tcPr>
          <w:p w14:paraId="06B8EC62"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F5119A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426.00 </w:t>
            </w:r>
          </w:p>
        </w:tc>
        <w:tc>
          <w:tcPr>
            <w:tcW w:w="260" w:type="pct"/>
            <w:vMerge/>
            <w:tcBorders>
              <w:top w:val="nil"/>
              <w:left w:val="single" w:sz="4" w:space="0" w:color="auto"/>
              <w:bottom w:val="single" w:sz="4" w:space="0" w:color="auto"/>
              <w:right w:val="single" w:sz="4" w:space="0" w:color="auto"/>
            </w:tcBorders>
            <w:vAlign w:val="center"/>
            <w:hideMark/>
          </w:tcPr>
          <w:p w14:paraId="65531D3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095EF9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650.00 </w:t>
            </w:r>
          </w:p>
        </w:tc>
        <w:tc>
          <w:tcPr>
            <w:tcW w:w="328" w:type="pct"/>
            <w:vMerge/>
            <w:tcBorders>
              <w:top w:val="nil"/>
              <w:left w:val="single" w:sz="4" w:space="0" w:color="auto"/>
              <w:bottom w:val="single" w:sz="4" w:space="0" w:color="auto"/>
              <w:right w:val="single" w:sz="4" w:space="0" w:color="auto"/>
            </w:tcBorders>
            <w:vAlign w:val="center"/>
            <w:hideMark/>
          </w:tcPr>
          <w:p w14:paraId="5315A822"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0DFFB3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610.00 </w:t>
            </w:r>
          </w:p>
        </w:tc>
        <w:tc>
          <w:tcPr>
            <w:tcW w:w="300" w:type="pct"/>
            <w:vMerge/>
            <w:tcBorders>
              <w:top w:val="nil"/>
              <w:left w:val="single" w:sz="4" w:space="0" w:color="auto"/>
              <w:bottom w:val="single" w:sz="4" w:space="0" w:color="auto"/>
              <w:right w:val="single" w:sz="4" w:space="0" w:color="auto"/>
            </w:tcBorders>
            <w:vAlign w:val="center"/>
            <w:hideMark/>
          </w:tcPr>
          <w:p w14:paraId="2BB639A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8CEF4D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499.00 </w:t>
            </w:r>
          </w:p>
        </w:tc>
        <w:tc>
          <w:tcPr>
            <w:tcW w:w="395" w:type="pct"/>
            <w:tcBorders>
              <w:top w:val="nil"/>
              <w:left w:val="nil"/>
              <w:bottom w:val="single" w:sz="4" w:space="0" w:color="auto"/>
              <w:right w:val="single" w:sz="4" w:space="0" w:color="auto"/>
            </w:tcBorders>
            <w:shd w:val="clear" w:color="000000" w:fill="FFFFFF"/>
            <w:noWrap/>
            <w:vAlign w:val="center"/>
            <w:hideMark/>
          </w:tcPr>
          <w:p w14:paraId="0692D4E7"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DF63E73"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3B90B747"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Weighted Average Number of Ordinary Shares</w:t>
            </w:r>
          </w:p>
        </w:tc>
        <w:tc>
          <w:tcPr>
            <w:tcW w:w="556" w:type="pct"/>
            <w:vMerge/>
            <w:tcBorders>
              <w:top w:val="nil"/>
              <w:left w:val="single" w:sz="4" w:space="0" w:color="auto"/>
              <w:bottom w:val="single" w:sz="4" w:space="0" w:color="auto"/>
              <w:right w:val="single" w:sz="4" w:space="0" w:color="auto"/>
            </w:tcBorders>
            <w:vAlign w:val="center"/>
            <w:hideMark/>
          </w:tcPr>
          <w:p w14:paraId="39D3E048"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104FFA8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74BEF9A"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255.80</w:t>
            </w:r>
          </w:p>
        </w:tc>
        <w:tc>
          <w:tcPr>
            <w:tcW w:w="380" w:type="pct"/>
            <w:vMerge/>
            <w:tcBorders>
              <w:top w:val="nil"/>
              <w:left w:val="single" w:sz="4" w:space="0" w:color="auto"/>
              <w:bottom w:val="single" w:sz="4" w:space="0" w:color="auto"/>
              <w:right w:val="single" w:sz="4" w:space="0" w:color="auto"/>
            </w:tcBorders>
            <w:vAlign w:val="center"/>
            <w:hideMark/>
          </w:tcPr>
          <w:p w14:paraId="6733D4D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A7A0E0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252.90</w:t>
            </w:r>
          </w:p>
        </w:tc>
        <w:tc>
          <w:tcPr>
            <w:tcW w:w="260" w:type="pct"/>
            <w:vMerge/>
            <w:tcBorders>
              <w:top w:val="nil"/>
              <w:left w:val="single" w:sz="4" w:space="0" w:color="auto"/>
              <w:bottom w:val="single" w:sz="4" w:space="0" w:color="auto"/>
              <w:right w:val="single" w:sz="4" w:space="0" w:color="auto"/>
            </w:tcBorders>
            <w:vAlign w:val="center"/>
            <w:hideMark/>
          </w:tcPr>
          <w:p w14:paraId="47792A6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E5BFDD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249.30</w:t>
            </w:r>
          </w:p>
        </w:tc>
        <w:tc>
          <w:tcPr>
            <w:tcW w:w="328" w:type="pct"/>
            <w:vMerge/>
            <w:tcBorders>
              <w:top w:val="nil"/>
              <w:left w:val="single" w:sz="4" w:space="0" w:color="auto"/>
              <w:bottom w:val="single" w:sz="4" w:space="0" w:color="auto"/>
              <w:right w:val="single" w:sz="4" w:space="0" w:color="auto"/>
            </w:tcBorders>
            <w:vAlign w:val="center"/>
            <w:hideMark/>
          </w:tcPr>
          <w:p w14:paraId="7A2708A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6851603"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245.70</w:t>
            </w:r>
          </w:p>
        </w:tc>
        <w:tc>
          <w:tcPr>
            <w:tcW w:w="300" w:type="pct"/>
            <w:vMerge/>
            <w:tcBorders>
              <w:top w:val="nil"/>
              <w:left w:val="single" w:sz="4" w:space="0" w:color="auto"/>
              <w:bottom w:val="single" w:sz="4" w:space="0" w:color="auto"/>
              <w:right w:val="single" w:sz="4" w:space="0" w:color="auto"/>
            </w:tcBorders>
            <w:vAlign w:val="center"/>
            <w:hideMark/>
          </w:tcPr>
          <w:p w14:paraId="7AAA556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39BCC06"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239.40</w:t>
            </w:r>
          </w:p>
        </w:tc>
        <w:tc>
          <w:tcPr>
            <w:tcW w:w="395" w:type="pct"/>
            <w:tcBorders>
              <w:top w:val="nil"/>
              <w:left w:val="nil"/>
              <w:bottom w:val="single" w:sz="4" w:space="0" w:color="auto"/>
              <w:right w:val="single" w:sz="4" w:space="0" w:color="auto"/>
            </w:tcBorders>
            <w:shd w:val="clear" w:color="000000" w:fill="FFFFFF"/>
            <w:noWrap/>
            <w:vAlign w:val="center"/>
            <w:hideMark/>
          </w:tcPr>
          <w:p w14:paraId="3AEF0096"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7CCF1CBC"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AC6B85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556" w:type="pct"/>
            <w:tcBorders>
              <w:top w:val="nil"/>
              <w:left w:val="nil"/>
              <w:bottom w:val="single" w:sz="4" w:space="0" w:color="auto"/>
              <w:right w:val="single" w:sz="4" w:space="0" w:color="auto"/>
            </w:tcBorders>
            <w:shd w:val="clear" w:color="000000" w:fill="FFFFFF"/>
            <w:noWrap/>
            <w:vAlign w:val="center"/>
            <w:hideMark/>
          </w:tcPr>
          <w:p w14:paraId="6499BCB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78E88DD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C97670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noWrap/>
            <w:vAlign w:val="center"/>
            <w:hideMark/>
          </w:tcPr>
          <w:p w14:paraId="27572D77"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5677E62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50C446C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4DCCC8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759F8818"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435093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01B0413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1C22BC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71163A7F"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2270D823"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308E4937"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Price-to-Earnings (P/E) Ratio</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5D9B92A1"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Market Price Per Share / EPS</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3455078D"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31.60 / 0.35 = 89.81 Times</w:t>
            </w:r>
          </w:p>
        </w:tc>
        <w:tc>
          <w:tcPr>
            <w:tcW w:w="304" w:type="pct"/>
            <w:tcBorders>
              <w:top w:val="nil"/>
              <w:left w:val="nil"/>
              <w:bottom w:val="single" w:sz="4" w:space="0" w:color="auto"/>
              <w:right w:val="single" w:sz="4" w:space="0" w:color="auto"/>
            </w:tcBorders>
            <w:shd w:val="clear" w:color="FFFF00" w:fill="FFFFFF"/>
            <w:noWrap/>
            <w:vAlign w:val="center"/>
            <w:hideMark/>
          </w:tcPr>
          <w:p w14:paraId="3D0F76A1"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89.81</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1546C021"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27.90 / 1.68 = 16.56 Times</w:t>
            </w:r>
          </w:p>
        </w:tc>
        <w:tc>
          <w:tcPr>
            <w:tcW w:w="304" w:type="pct"/>
            <w:tcBorders>
              <w:top w:val="nil"/>
              <w:left w:val="nil"/>
              <w:bottom w:val="single" w:sz="4" w:space="0" w:color="auto"/>
              <w:right w:val="single" w:sz="4" w:space="0" w:color="auto"/>
            </w:tcBorders>
            <w:shd w:val="clear" w:color="FFFF00" w:fill="FFFFFF"/>
            <w:noWrap/>
            <w:vAlign w:val="center"/>
            <w:hideMark/>
          </w:tcPr>
          <w:p w14:paraId="564569F5"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16.56</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3FFED025"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35.80 / 2.61 = 13.73 Times</w:t>
            </w:r>
          </w:p>
        </w:tc>
        <w:tc>
          <w:tcPr>
            <w:tcW w:w="304" w:type="pct"/>
            <w:tcBorders>
              <w:top w:val="nil"/>
              <w:left w:val="nil"/>
              <w:bottom w:val="single" w:sz="4" w:space="0" w:color="auto"/>
              <w:right w:val="single" w:sz="4" w:space="0" w:color="auto"/>
            </w:tcBorders>
            <w:shd w:val="clear" w:color="FFFF00" w:fill="FFFFFF"/>
            <w:noWrap/>
            <w:vAlign w:val="center"/>
            <w:hideMark/>
          </w:tcPr>
          <w:p w14:paraId="2D83E3C0"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13.73</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37C4FB17"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40.20 / 2.48 = 16.19 Times</w:t>
            </w:r>
          </w:p>
        </w:tc>
        <w:tc>
          <w:tcPr>
            <w:tcW w:w="304" w:type="pct"/>
            <w:tcBorders>
              <w:top w:val="nil"/>
              <w:left w:val="nil"/>
              <w:bottom w:val="single" w:sz="4" w:space="0" w:color="auto"/>
              <w:right w:val="single" w:sz="4" w:space="0" w:color="auto"/>
            </w:tcBorders>
            <w:shd w:val="clear" w:color="FFFF00" w:fill="FFFFFF"/>
            <w:noWrap/>
            <w:vAlign w:val="center"/>
            <w:hideMark/>
          </w:tcPr>
          <w:p w14:paraId="1AE17FFE"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16.19</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57F7F68F"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46.50 / 2.08 = 22.31 Times</w:t>
            </w:r>
          </w:p>
        </w:tc>
        <w:tc>
          <w:tcPr>
            <w:tcW w:w="304" w:type="pct"/>
            <w:tcBorders>
              <w:top w:val="nil"/>
              <w:left w:val="nil"/>
              <w:bottom w:val="single" w:sz="4" w:space="0" w:color="auto"/>
              <w:right w:val="single" w:sz="4" w:space="0" w:color="auto"/>
            </w:tcBorders>
            <w:shd w:val="clear" w:color="FFFF00" w:fill="FFFFFF"/>
            <w:noWrap/>
            <w:vAlign w:val="center"/>
            <w:hideMark/>
          </w:tcPr>
          <w:p w14:paraId="5EBAAA22"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22.31</w:t>
            </w:r>
          </w:p>
        </w:tc>
        <w:tc>
          <w:tcPr>
            <w:tcW w:w="395" w:type="pct"/>
            <w:tcBorders>
              <w:top w:val="nil"/>
              <w:left w:val="nil"/>
              <w:bottom w:val="single" w:sz="4" w:space="0" w:color="auto"/>
              <w:right w:val="single" w:sz="4" w:space="0" w:color="auto"/>
            </w:tcBorders>
            <w:shd w:val="clear" w:color="000000" w:fill="FFFF00"/>
            <w:noWrap/>
            <w:vAlign w:val="center"/>
            <w:hideMark/>
          </w:tcPr>
          <w:p w14:paraId="3A1DC08E"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xml:space="preserve">20 </w:t>
            </w:r>
            <w:proofErr w:type="spellStart"/>
            <w:r w:rsidRPr="004C3139">
              <w:rPr>
                <w:rFonts w:ascii="Times New Roman" w:eastAsia="Times New Roman" w:hAnsi="Times New Roman" w:cs="Times New Roman"/>
                <w:b/>
                <w:bCs/>
                <w:sz w:val="16"/>
                <w:szCs w:val="16"/>
                <w:lang w:val="en-IN"/>
              </w:rPr>
              <w:t>ro</w:t>
            </w:r>
            <w:proofErr w:type="spellEnd"/>
            <w:r w:rsidRPr="004C3139">
              <w:rPr>
                <w:rFonts w:ascii="Times New Roman" w:eastAsia="Times New Roman" w:hAnsi="Times New Roman" w:cs="Times New Roman"/>
                <w:b/>
                <w:bCs/>
                <w:sz w:val="16"/>
                <w:szCs w:val="16"/>
                <w:lang w:val="en-IN"/>
              </w:rPr>
              <w:t xml:space="preserve"> 35 times</w:t>
            </w:r>
          </w:p>
        </w:tc>
      </w:tr>
      <w:tr w:rsidR="004C3139" w:rsidRPr="004C3139" w14:paraId="5433C1AE"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5E20744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Market Price Per Share</w:t>
            </w:r>
          </w:p>
        </w:tc>
        <w:tc>
          <w:tcPr>
            <w:tcW w:w="556" w:type="pct"/>
            <w:vMerge/>
            <w:tcBorders>
              <w:top w:val="nil"/>
              <w:left w:val="single" w:sz="4" w:space="0" w:color="auto"/>
              <w:bottom w:val="single" w:sz="4" w:space="0" w:color="auto"/>
              <w:right w:val="single" w:sz="4" w:space="0" w:color="auto"/>
            </w:tcBorders>
            <w:vAlign w:val="center"/>
            <w:hideMark/>
          </w:tcPr>
          <w:p w14:paraId="1E1ABA04"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025EF19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F66E1E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31.60 </w:t>
            </w:r>
          </w:p>
        </w:tc>
        <w:tc>
          <w:tcPr>
            <w:tcW w:w="380" w:type="pct"/>
            <w:vMerge/>
            <w:tcBorders>
              <w:top w:val="nil"/>
              <w:left w:val="single" w:sz="4" w:space="0" w:color="auto"/>
              <w:bottom w:val="single" w:sz="4" w:space="0" w:color="auto"/>
              <w:right w:val="single" w:sz="4" w:space="0" w:color="auto"/>
            </w:tcBorders>
            <w:vAlign w:val="center"/>
            <w:hideMark/>
          </w:tcPr>
          <w:p w14:paraId="78F64A84"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B959FB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27.90 </w:t>
            </w:r>
          </w:p>
        </w:tc>
        <w:tc>
          <w:tcPr>
            <w:tcW w:w="260" w:type="pct"/>
            <w:vMerge/>
            <w:tcBorders>
              <w:top w:val="nil"/>
              <w:left w:val="single" w:sz="4" w:space="0" w:color="auto"/>
              <w:bottom w:val="single" w:sz="4" w:space="0" w:color="auto"/>
              <w:right w:val="single" w:sz="4" w:space="0" w:color="auto"/>
            </w:tcBorders>
            <w:vAlign w:val="center"/>
            <w:hideMark/>
          </w:tcPr>
          <w:p w14:paraId="561E042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8932F7A"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35.80 </w:t>
            </w:r>
          </w:p>
        </w:tc>
        <w:tc>
          <w:tcPr>
            <w:tcW w:w="328" w:type="pct"/>
            <w:vMerge/>
            <w:tcBorders>
              <w:top w:val="nil"/>
              <w:left w:val="single" w:sz="4" w:space="0" w:color="auto"/>
              <w:bottom w:val="single" w:sz="4" w:space="0" w:color="auto"/>
              <w:right w:val="single" w:sz="4" w:space="0" w:color="auto"/>
            </w:tcBorders>
            <w:vAlign w:val="center"/>
            <w:hideMark/>
          </w:tcPr>
          <w:p w14:paraId="2191423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CA5611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40.20 </w:t>
            </w:r>
          </w:p>
        </w:tc>
        <w:tc>
          <w:tcPr>
            <w:tcW w:w="300" w:type="pct"/>
            <w:vMerge/>
            <w:tcBorders>
              <w:top w:val="nil"/>
              <w:left w:val="single" w:sz="4" w:space="0" w:color="auto"/>
              <w:bottom w:val="single" w:sz="4" w:space="0" w:color="auto"/>
              <w:right w:val="single" w:sz="4" w:space="0" w:color="auto"/>
            </w:tcBorders>
            <w:vAlign w:val="center"/>
            <w:hideMark/>
          </w:tcPr>
          <w:p w14:paraId="4F89880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A34D0A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46.50 </w:t>
            </w:r>
          </w:p>
        </w:tc>
        <w:tc>
          <w:tcPr>
            <w:tcW w:w="395" w:type="pct"/>
            <w:tcBorders>
              <w:top w:val="nil"/>
              <w:left w:val="nil"/>
              <w:bottom w:val="single" w:sz="4" w:space="0" w:color="auto"/>
              <w:right w:val="single" w:sz="4" w:space="0" w:color="auto"/>
            </w:tcBorders>
            <w:shd w:val="clear" w:color="000000" w:fill="FFFFFF"/>
            <w:noWrap/>
            <w:vAlign w:val="center"/>
            <w:hideMark/>
          </w:tcPr>
          <w:p w14:paraId="07369661"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3AE19A81"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09A2420" w14:textId="77777777" w:rsidR="004C3139" w:rsidRPr="004C3139" w:rsidRDefault="004C3139" w:rsidP="004C3139">
            <w:pPr>
              <w:spacing w:line="240" w:lineRule="auto"/>
              <w:rPr>
                <w:rFonts w:eastAsia="Times New Roman"/>
                <w:sz w:val="16"/>
                <w:szCs w:val="16"/>
                <w:lang w:val="en-IN"/>
              </w:rPr>
            </w:pPr>
            <w:proofErr w:type="spellStart"/>
            <w:r w:rsidRPr="004C3139">
              <w:rPr>
                <w:rFonts w:eastAsia="Times New Roman"/>
                <w:sz w:val="16"/>
                <w:szCs w:val="16"/>
                <w:lang w:val="en-IN"/>
              </w:rPr>
              <w:t>Earning</w:t>
            </w:r>
            <w:proofErr w:type="spellEnd"/>
            <w:r w:rsidRPr="004C3139">
              <w:rPr>
                <w:rFonts w:eastAsia="Times New Roman"/>
                <w:sz w:val="16"/>
                <w:szCs w:val="16"/>
                <w:lang w:val="en-IN"/>
              </w:rPr>
              <w:t xml:space="preserve"> Per Share (EPS)</w:t>
            </w:r>
          </w:p>
        </w:tc>
        <w:tc>
          <w:tcPr>
            <w:tcW w:w="556" w:type="pct"/>
            <w:vMerge/>
            <w:tcBorders>
              <w:top w:val="nil"/>
              <w:left w:val="single" w:sz="4" w:space="0" w:color="auto"/>
              <w:bottom w:val="single" w:sz="4" w:space="0" w:color="auto"/>
              <w:right w:val="single" w:sz="4" w:space="0" w:color="auto"/>
            </w:tcBorders>
            <w:vAlign w:val="center"/>
            <w:hideMark/>
          </w:tcPr>
          <w:p w14:paraId="1468B964"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109CFC09"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17D9C6A"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0.35 </w:t>
            </w:r>
          </w:p>
        </w:tc>
        <w:tc>
          <w:tcPr>
            <w:tcW w:w="380" w:type="pct"/>
            <w:vMerge/>
            <w:tcBorders>
              <w:top w:val="nil"/>
              <w:left w:val="single" w:sz="4" w:space="0" w:color="auto"/>
              <w:bottom w:val="single" w:sz="4" w:space="0" w:color="auto"/>
              <w:right w:val="single" w:sz="4" w:space="0" w:color="auto"/>
            </w:tcBorders>
            <w:vAlign w:val="center"/>
            <w:hideMark/>
          </w:tcPr>
          <w:p w14:paraId="7AE682B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831C28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1.68 </w:t>
            </w:r>
          </w:p>
        </w:tc>
        <w:tc>
          <w:tcPr>
            <w:tcW w:w="260" w:type="pct"/>
            <w:vMerge/>
            <w:tcBorders>
              <w:top w:val="nil"/>
              <w:left w:val="single" w:sz="4" w:space="0" w:color="auto"/>
              <w:bottom w:val="single" w:sz="4" w:space="0" w:color="auto"/>
              <w:right w:val="single" w:sz="4" w:space="0" w:color="auto"/>
            </w:tcBorders>
            <w:vAlign w:val="center"/>
            <w:hideMark/>
          </w:tcPr>
          <w:p w14:paraId="2801A93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2C55E8C"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2.61 </w:t>
            </w:r>
          </w:p>
        </w:tc>
        <w:tc>
          <w:tcPr>
            <w:tcW w:w="328" w:type="pct"/>
            <w:vMerge/>
            <w:tcBorders>
              <w:top w:val="nil"/>
              <w:left w:val="single" w:sz="4" w:space="0" w:color="auto"/>
              <w:bottom w:val="single" w:sz="4" w:space="0" w:color="auto"/>
              <w:right w:val="single" w:sz="4" w:space="0" w:color="auto"/>
            </w:tcBorders>
            <w:vAlign w:val="center"/>
            <w:hideMark/>
          </w:tcPr>
          <w:p w14:paraId="48C90A3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3997BE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2.48 </w:t>
            </w:r>
          </w:p>
        </w:tc>
        <w:tc>
          <w:tcPr>
            <w:tcW w:w="300" w:type="pct"/>
            <w:vMerge/>
            <w:tcBorders>
              <w:top w:val="nil"/>
              <w:left w:val="single" w:sz="4" w:space="0" w:color="auto"/>
              <w:bottom w:val="single" w:sz="4" w:space="0" w:color="auto"/>
              <w:right w:val="single" w:sz="4" w:space="0" w:color="auto"/>
            </w:tcBorders>
            <w:vAlign w:val="center"/>
            <w:hideMark/>
          </w:tcPr>
          <w:p w14:paraId="123429C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633D31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2.08 </w:t>
            </w:r>
          </w:p>
        </w:tc>
        <w:tc>
          <w:tcPr>
            <w:tcW w:w="395" w:type="pct"/>
            <w:tcBorders>
              <w:top w:val="nil"/>
              <w:left w:val="nil"/>
              <w:bottom w:val="single" w:sz="4" w:space="0" w:color="auto"/>
              <w:right w:val="single" w:sz="4" w:space="0" w:color="auto"/>
            </w:tcBorders>
            <w:shd w:val="clear" w:color="000000" w:fill="FFFFFF"/>
            <w:noWrap/>
            <w:vAlign w:val="center"/>
            <w:hideMark/>
          </w:tcPr>
          <w:p w14:paraId="3D352538"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56E8E7A1" w14:textId="77777777" w:rsidTr="004C3139">
        <w:trPr>
          <w:trHeight w:val="312"/>
        </w:trPr>
        <w:tc>
          <w:tcPr>
            <w:tcW w:w="4605" w:type="pct"/>
            <w:gridSpan w:val="12"/>
            <w:tcBorders>
              <w:top w:val="single" w:sz="4" w:space="0" w:color="auto"/>
              <w:left w:val="single" w:sz="4" w:space="0" w:color="auto"/>
              <w:bottom w:val="single" w:sz="4" w:space="0" w:color="auto"/>
              <w:right w:val="single" w:sz="4" w:space="0" w:color="auto"/>
            </w:tcBorders>
            <w:shd w:val="clear" w:color="F3F3F3" w:fill="FFE1CC"/>
            <w:noWrap/>
            <w:vAlign w:val="center"/>
            <w:hideMark/>
          </w:tcPr>
          <w:p w14:paraId="7BF1137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6A83A1F3"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27E9938E" w14:textId="77777777" w:rsidTr="004C3139">
        <w:trPr>
          <w:trHeight w:val="348"/>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00AEB19" w14:textId="77777777" w:rsidR="004C3139" w:rsidRPr="004C3139" w:rsidRDefault="004C3139" w:rsidP="004C3139">
            <w:pPr>
              <w:spacing w:line="240" w:lineRule="auto"/>
              <w:rPr>
                <w:rFonts w:eastAsia="Times New Roman"/>
                <w:b/>
                <w:bCs/>
                <w:i/>
                <w:iCs/>
                <w:sz w:val="16"/>
                <w:szCs w:val="16"/>
                <w:lang w:val="en-IN"/>
              </w:rPr>
            </w:pPr>
            <w:r w:rsidRPr="004C3139">
              <w:rPr>
                <w:rFonts w:eastAsia="Times New Roman"/>
                <w:b/>
                <w:bCs/>
                <w:i/>
                <w:iCs/>
                <w:sz w:val="16"/>
                <w:szCs w:val="16"/>
                <w:lang w:val="en-IN"/>
              </w:rPr>
              <w:t>Cash Flow</w:t>
            </w:r>
          </w:p>
        </w:tc>
        <w:tc>
          <w:tcPr>
            <w:tcW w:w="556" w:type="pct"/>
            <w:tcBorders>
              <w:top w:val="nil"/>
              <w:left w:val="nil"/>
              <w:bottom w:val="single" w:sz="4" w:space="0" w:color="auto"/>
              <w:right w:val="single" w:sz="4" w:space="0" w:color="auto"/>
            </w:tcBorders>
            <w:shd w:val="clear" w:color="000000" w:fill="FFFFFF"/>
            <w:noWrap/>
            <w:vAlign w:val="center"/>
            <w:hideMark/>
          </w:tcPr>
          <w:p w14:paraId="7DE9EF3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128B796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0BBD7602"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7E64DB6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E42E758"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67B219D2"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6957B0F"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1F9ECC4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2A0EE9B4"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19285D2F"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C8B8FCB"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51182FAB"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14F598F0"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6CE7FA9"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Operating cash Flow Ratio</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7B043E66"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Cash Flow from Operating Activities / Current Liabilities</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6CDABE3F"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552 / 2635 = 0.21 Times</w:t>
            </w:r>
          </w:p>
        </w:tc>
        <w:tc>
          <w:tcPr>
            <w:tcW w:w="304" w:type="pct"/>
            <w:tcBorders>
              <w:top w:val="nil"/>
              <w:left w:val="nil"/>
              <w:bottom w:val="single" w:sz="4" w:space="0" w:color="auto"/>
              <w:right w:val="single" w:sz="4" w:space="0" w:color="auto"/>
            </w:tcBorders>
            <w:shd w:val="clear" w:color="FFFF00" w:fill="FFFFFF"/>
            <w:noWrap/>
            <w:vAlign w:val="center"/>
            <w:hideMark/>
          </w:tcPr>
          <w:p w14:paraId="1EC16602"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0.21</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7C731C96"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704 / 2920 = 0.24 Times</w:t>
            </w:r>
          </w:p>
        </w:tc>
        <w:tc>
          <w:tcPr>
            <w:tcW w:w="304" w:type="pct"/>
            <w:tcBorders>
              <w:top w:val="nil"/>
              <w:left w:val="nil"/>
              <w:bottom w:val="single" w:sz="4" w:space="0" w:color="auto"/>
              <w:right w:val="single" w:sz="4" w:space="0" w:color="auto"/>
            </w:tcBorders>
            <w:shd w:val="clear" w:color="FFFF00" w:fill="FFFFFF"/>
            <w:noWrap/>
            <w:vAlign w:val="center"/>
            <w:hideMark/>
          </w:tcPr>
          <w:p w14:paraId="671C99BB"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0.24</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4F4282DC"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875 / 2829 = 0.31 Times</w:t>
            </w:r>
          </w:p>
        </w:tc>
        <w:tc>
          <w:tcPr>
            <w:tcW w:w="304" w:type="pct"/>
            <w:tcBorders>
              <w:top w:val="nil"/>
              <w:left w:val="nil"/>
              <w:bottom w:val="single" w:sz="4" w:space="0" w:color="auto"/>
              <w:right w:val="single" w:sz="4" w:space="0" w:color="auto"/>
            </w:tcBorders>
            <w:shd w:val="clear" w:color="FFFF00" w:fill="FFFFFF"/>
            <w:noWrap/>
            <w:vAlign w:val="center"/>
            <w:hideMark/>
          </w:tcPr>
          <w:p w14:paraId="45A3094A"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0.31</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1AA82DC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733 / 2819 = 0.26 Times</w:t>
            </w:r>
          </w:p>
        </w:tc>
        <w:tc>
          <w:tcPr>
            <w:tcW w:w="304" w:type="pct"/>
            <w:tcBorders>
              <w:top w:val="nil"/>
              <w:left w:val="nil"/>
              <w:bottom w:val="single" w:sz="4" w:space="0" w:color="auto"/>
              <w:right w:val="single" w:sz="4" w:space="0" w:color="auto"/>
            </w:tcBorders>
            <w:shd w:val="clear" w:color="FFFF00" w:fill="FFFFFF"/>
            <w:noWrap/>
            <w:vAlign w:val="center"/>
            <w:hideMark/>
          </w:tcPr>
          <w:p w14:paraId="40F11996"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0.26</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7C6F77B7"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810 / 2773 = 0.29 Times</w:t>
            </w:r>
          </w:p>
        </w:tc>
        <w:tc>
          <w:tcPr>
            <w:tcW w:w="304" w:type="pct"/>
            <w:tcBorders>
              <w:top w:val="nil"/>
              <w:left w:val="nil"/>
              <w:bottom w:val="single" w:sz="4" w:space="0" w:color="auto"/>
              <w:right w:val="single" w:sz="4" w:space="0" w:color="auto"/>
            </w:tcBorders>
            <w:shd w:val="clear" w:color="FFFF00" w:fill="FFFFFF"/>
            <w:noWrap/>
            <w:vAlign w:val="center"/>
            <w:hideMark/>
          </w:tcPr>
          <w:p w14:paraId="5B509AB8"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0.29</w:t>
            </w:r>
          </w:p>
        </w:tc>
        <w:tc>
          <w:tcPr>
            <w:tcW w:w="395" w:type="pct"/>
            <w:tcBorders>
              <w:top w:val="nil"/>
              <w:left w:val="nil"/>
              <w:bottom w:val="single" w:sz="4" w:space="0" w:color="auto"/>
              <w:right w:val="single" w:sz="4" w:space="0" w:color="auto"/>
            </w:tcBorders>
            <w:shd w:val="clear" w:color="000000" w:fill="FFFF00"/>
            <w:noWrap/>
            <w:vAlign w:val="center"/>
            <w:hideMark/>
          </w:tcPr>
          <w:p w14:paraId="3E4C6CC5"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0.30 to 0.80</w:t>
            </w:r>
          </w:p>
        </w:tc>
      </w:tr>
      <w:tr w:rsidR="004C3139" w:rsidRPr="004C3139" w14:paraId="510EE618"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CF8DAB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Cash Flow from Operating Activities</w:t>
            </w:r>
          </w:p>
        </w:tc>
        <w:tc>
          <w:tcPr>
            <w:tcW w:w="556" w:type="pct"/>
            <w:vMerge/>
            <w:tcBorders>
              <w:top w:val="nil"/>
              <w:left w:val="single" w:sz="4" w:space="0" w:color="auto"/>
              <w:bottom w:val="single" w:sz="4" w:space="0" w:color="auto"/>
              <w:right w:val="single" w:sz="4" w:space="0" w:color="auto"/>
            </w:tcBorders>
            <w:vAlign w:val="center"/>
            <w:hideMark/>
          </w:tcPr>
          <w:p w14:paraId="61EBB323"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2A442DF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4A3436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552.00 </w:t>
            </w:r>
          </w:p>
        </w:tc>
        <w:tc>
          <w:tcPr>
            <w:tcW w:w="380" w:type="pct"/>
            <w:vMerge/>
            <w:tcBorders>
              <w:top w:val="nil"/>
              <w:left w:val="single" w:sz="4" w:space="0" w:color="auto"/>
              <w:bottom w:val="single" w:sz="4" w:space="0" w:color="auto"/>
              <w:right w:val="single" w:sz="4" w:space="0" w:color="auto"/>
            </w:tcBorders>
            <w:vAlign w:val="center"/>
            <w:hideMark/>
          </w:tcPr>
          <w:p w14:paraId="565E945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56EF04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704.00 </w:t>
            </w:r>
          </w:p>
        </w:tc>
        <w:tc>
          <w:tcPr>
            <w:tcW w:w="260" w:type="pct"/>
            <w:vMerge/>
            <w:tcBorders>
              <w:top w:val="nil"/>
              <w:left w:val="single" w:sz="4" w:space="0" w:color="auto"/>
              <w:bottom w:val="single" w:sz="4" w:space="0" w:color="auto"/>
              <w:right w:val="single" w:sz="4" w:space="0" w:color="auto"/>
            </w:tcBorders>
            <w:vAlign w:val="center"/>
            <w:hideMark/>
          </w:tcPr>
          <w:p w14:paraId="0C05BA7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2CFA180"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875.00 </w:t>
            </w:r>
          </w:p>
        </w:tc>
        <w:tc>
          <w:tcPr>
            <w:tcW w:w="328" w:type="pct"/>
            <w:vMerge/>
            <w:tcBorders>
              <w:top w:val="nil"/>
              <w:left w:val="single" w:sz="4" w:space="0" w:color="auto"/>
              <w:bottom w:val="single" w:sz="4" w:space="0" w:color="auto"/>
              <w:right w:val="single" w:sz="4" w:space="0" w:color="auto"/>
            </w:tcBorders>
            <w:vAlign w:val="center"/>
            <w:hideMark/>
          </w:tcPr>
          <w:p w14:paraId="02739AC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805474B"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733.00 </w:t>
            </w:r>
          </w:p>
        </w:tc>
        <w:tc>
          <w:tcPr>
            <w:tcW w:w="300" w:type="pct"/>
            <w:vMerge/>
            <w:tcBorders>
              <w:top w:val="nil"/>
              <w:left w:val="single" w:sz="4" w:space="0" w:color="auto"/>
              <w:bottom w:val="single" w:sz="4" w:space="0" w:color="auto"/>
              <w:right w:val="single" w:sz="4" w:space="0" w:color="auto"/>
            </w:tcBorders>
            <w:vAlign w:val="center"/>
            <w:hideMark/>
          </w:tcPr>
          <w:p w14:paraId="6D8CC5E9"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C917F4B"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810.00 </w:t>
            </w:r>
          </w:p>
        </w:tc>
        <w:tc>
          <w:tcPr>
            <w:tcW w:w="395" w:type="pct"/>
            <w:tcBorders>
              <w:top w:val="nil"/>
              <w:left w:val="nil"/>
              <w:bottom w:val="single" w:sz="4" w:space="0" w:color="auto"/>
              <w:right w:val="single" w:sz="4" w:space="0" w:color="auto"/>
            </w:tcBorders>
            <w:shd w:val="clear" w:color="000000" w:fill="FFFFFF"/>
            <w:noWrap/>
            <w:vAlign w:val="center"/>
            <w:hideMark/>
          </w:tcPr>
          <w:p w14:paraId="04CD3FA2"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30A1B1D0"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39E020E"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Current Liabilities</w:t>
            </w:r>
          </w:p>
        </w:tc>
        <w:tc>
          <w:tcPr>
            <w:tcW w:w="556" w:type="pct"/>
            <w:vMerge/>
            <w:tcBorders>
              <w:top w:val="nil"/>
              <w:left w:val="single" w:sz="4" w:space="0" w:color="auto"/>
              <w:bottom w:val="single" w:sz="4" w:space="0" w:color="auto"/>
              <w:right w:val="single" w:sz="4" w:space="0" w:color="auto"/>
            </w:tcBorders>
            <w:vAlign w:val="center"/>
            <w:hideMark/>
          </w:tcPr>
          <w:p w14:paraId="1FC1BD09"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667DD5F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4863A7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2,635.00 </w:t>
            </w:r>
          </w:p>
        </w:tc>
        <w:tc>
          <w:tcPr>
            <w:tcW w:w="380" w:type="pct"/>
            <w:vMerge/>
            <w:tcBorders>
              <w:top w:val="nil"/>
              <w:left w:val="single" w:sz="4" w:space="0" w:color="auto"/>
              <w:bottom w:val="single" w:sz="4" w:space="0" w:color="auto"/>
              <w:right w:val="single" w:sz="4" w:space="0" w:color="auto"/>
            </w:tcBorders>
            <w:vAlign w:val="center"/>
            <w:hideMark/>
          </w:tcPr>
          <w:p w14:paraId="2C7D1FD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73AB785"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2,920.00 </w:t>
            </w:r>
          </w:p>
        </w:tc>
        <w:tc>
          <w:tcPr>
            <w:tcW w:w="260" w:type="pct"/>
            <w:vMerge/>
            <w:tcBorders>
              <w:top w:val="nil"/>
              <w:left w:val="single" w:sz="4" w:space="0" w:color="auto"/>
              <w:bottom w:val="single" w:sz="4" w:space="0" w:color="auto"/>
              <w:right w:val="single" w:sz="4" w:space="0" w:color="auto"/>
            </w:tcBorders>
            <w:vAlign w:val="center"/>
            <w:hideMark/>
          </w:tcPr>
          <w:p w14:paraId="029F494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3CBDC9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2,829.00 </w:t>
            </w:r>
          </w:p>
        </w:tc>
        <w:tc>
          <w:tcPr>
            <w:tcW w:w="328" w:type="pct"/>
            <w:vMerge/>
            <w:tcBorders>
              <w:top w:val="nil"/>
              <w:left w:val="single" w:sz="4" w:space="0" w:color="auto"/>
              <w:bottom w:val="single" w:sz="4" w:space="0" w:color="auto"/>
              <w:right w:val="single" w:sz="4" w:space="0" w:color="auto"/>
            </w:tcBorders>
            <w:vAlign w:val="center"/>
            <w:hideMark/>
          </w:tcPr>
          <w:p w14:paraId="2EDABA51"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82A930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2,819.00 </w:t>
            </w:r>
          </w:p>
        </w:tc>
        <w:tc>
          <w:tcPr>
            <w:tcW w:w="300" w:type="pct"/>
            <w:vMerge/>
            <w:tcBorders>
              <w:top w:val="nil"/>
              <w:left w:val="single" w:sz="4" w:space="0" w:color="auto"/>
              <w:bottom w:val="single" w:sz="4" w:space="0" w:color="auto"/>
              <w:right w:val="single" w:sz="4" w:space="0" w:color="auto"/>
            </w:tcBorders>
            <w:vAlign w:val="center"/>
            <w:hideMark/>
          </w:tcPr>
          <w:p w14:paraId="3456AEE9"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C80EBCB"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2,773.00 </w:t>
            </w:r>
          </w:p>
        </w:tc>
        <w:tc>
          <w:tcPr>
            <w:tcW w:w="395" w:type="pct"/>
            <w:tcBorders>
              <w:top w:val="nil"/>
              <w:left w:val="nil"/>
              <w:bottom w:val="single" w:sz="4" w:space="0" w:color="auto"/>
              <w:right w:val="single" w:sz="4" w:space="0" w:color="auto"/>
            </w:tcBorders>
            <w:shd w:val="clear" w:color="000000" w:fill="FFFFFF"/>
            <w:noWrap/>
            <w:vAlign w:val="center"/>
            <w:hideMark/>
          </w:tcPr>
          <w:p w14:paraId="78E2D210"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22519C56"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62F581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556" w:type="pct"/>
            <w:tcBorders>
              <w:top w:val="nil"/>
              <w:left w:val="nil"/>
              <w:bottom w:val="single" w:sz="4" w:space="0" w:color="auto"/>
              <w:right w:val="single" w:sz="4" w:space="0" w:color="auto"/>
            </w:tcBorders>
            <w:shd w:val="clear" w:color="000000" w:fill="FFFFFF"/>
            <w:noWrap/>
            <w:vAlign w:val="center"/>
            <w:hideMark/>
          </w:tcPr>
          <w:p w14:paraId="2153814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53" w:type="pct"/>
            <w:tcBorders>
              <w:top w:val="nil"/>
              <w:left w:val="nil"/>
              <w:bottom w:val="single" w:sz="4" w:space="0" w:color="auto"/>
              <w:right w:val="single" w:sz="4" w:space="0" w:color="auto"/>
            </w:tcBorders>
            <w:shd w:val="clear" w:color="000000" w:fill="FFFFFF"/>
            <w:noWrap/>
            <w:vAlign w:val="center"/>
            <w:hideMark/>
          </w:tcPr>
          <w:p w14:paraId="1B92BA7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67071F05"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80" w:type="pct"/>
            <w:tcBorders>
              <w:top w:val="nil"/>
              <w:left w:val="nil"/>
              <w:bottom w:val="single" w:sz="4" w:space="0" w:color="auto"/>
              <w:right w:val="single" w:sz="4" w:space="0" w:color="auto"/>
            </w:tcBorders>
            <w:shd w:val="clear" w:color="000000" w:fill="FFFFFF"/>
            <w:noWrap/>
            <w:vAlign w:val="center"/>
            <w:hideMark/>
          </w:tcPr>
          <w:p w14:paraId="173DF5D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F0CBF40"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260" w:type="pct"/>
            <w:tcBorders>
              <w:top w:val="nil"/>
              <w:left w:val="nil"/>
              <w:bottom w:val="single" w:sz="4" w:space="0" w:color="auto"/>
              <w:right w:val="single" w:sz="4" w:space="0" w:color="auto"/>
            </w:tcBorders>
            <w:shd w:val="clear" w:color="000000" w:fill="FFFFFF"/>
            <w:noWrap/>
            <w:vAlign w:val="center"/>
            <w:hideMark/>
          </w:tcPr>
          <w:p w14:paraId="6711D00A"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31670F03"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28" w:type="pct"/>
            <w:tcBorders>
              <w:top w:val="nil"/>
              <w:left w:val="nil"/>
              <w:bottom w:val="single" w:sz="4" w:space="0" w:color="auto"/>
              <w:right w:val="single" w:sz="4" w:space="0" w:color="auto"/>
            </w:tcBorders>
            <w:shd w:val="clear" w:color="000000" w:fill="FFFFFF"/>
            <w:noWrap/>
            <w:vAlign w:val="center"/>
            <w:hideMark/>
          </w:tcPr>
          <w:p w14:paraId="59B7B7D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78146D1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0" w:type="pct"/>
            <w:tcBorders>
              <w:top w:val="nil"/>
              <w:left w:val="nil"/>
              <w:bottom w:val="single" w:sz="4" w:space="0" w:color="auto"/>
              <w:right w:val="single" w:sz="4" w:space="0" w:color="auto"/>
            </w:tcBorders>
            <w:shd w:val="clear" w:color="000000" w:fill="FFFFFF"/>
            <w:noWrap/>
            <w:vAlign w:val="center"/>
            <w:hideMark/>
          </w:tcPr>
          <w:p w14:paraId="42AA488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04" w:type="pct"/>
            <w:tcBorders>
              <w:top w:val="nil"/>
              <w:left w:val="nil"/>
              <w:bottom w:val="single" w:sz="4" w:space="0" w:color="auto"/>
              <w:right w:val="single" w:sz="4" w:space="0" w:color="auto"/>
            </w:tcBorders>
            <w:shd w:val="clear" w:color="000000" w:fill="FFFFFF"/>
            <w:noWrap/>
            <w:vAlign w:val="center"/>
            <w:hideMark/>
          </w:tcPr>
          <w:p w14:paraId="19AE156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w:t>
            </w:r>
          </w:p>
        </w:tc>
        <w:tc>
          <w:tcPr>
            <w:tcW w:w="395" w:type="pct"/>
            <w:tcBorders>
              <w:top w:val="nil"/>
              <w:left w:val="nil"/>
              <w:bottom w:val="single" w:sz="4" w:space="0" w:color="auto"/>
              <w:right w:val="single" w:sz="4" w:space="0" w:color="auto"/>
            </w:tcBorders>
            <w:shd w:val="clear" w:color="000000" w:fill="FFFFFF"/>
            <w:noWrap/>
            <w:vAlign w:val="center"/>
            <w:hideMark/>
          </w:tcPr>
          <w:p w14:paraId="4678C606"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1C197C7F"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FE76603"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Free Cash Flow Ratio</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5B41419A"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Free Cash Flow (Operating Cash Flow - capital Expe</w:t>
            </w:r>
            <w:r w:rsidRPr="004C3139">
              <w:rPr>
                <w:rFonts w:eastAsia="Times New Roman"/>
                <w:i/>
                <w:iCs/>
                <w:sz w:val="16"/>
                <w:szCs w:val="16"/>
                <w:lang w:val="en-IN"/>
              </w:rPr>
              <w:lastRenderedPageBreak/>
              <w:t>nditure) / Total Revenue</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717E99D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lastRenderedPageBreak/>
              <w:t>382 / 2204 = 0.17 Times</w:t>
            </w:r>
          </w:p>
        </w:tc>
        <w:tc>
          <w:tcPr>
            <w:tcW w:w="304" w:type="pct"/>
            <w:tcBorders>
              <w:top w:val="nil"/>
              <w:left w:val="nil"/>
              <w:bottom w:val="single" w:sz="4" w:space="0" w:color="auto"/>
              <w:right w:val="single" w:sz="4" w:space="0" w:color="auto"/>
            </w:tcBorders>
            <w:shd w:val="clear" w:color="FFFF00" w:fill="FFFFFF"/>
            <w:noWrap/>
            <w:vAlign w:val="center"/>
            <w:hideMark/>
          </w:tcPr>
          <w:p w14:paraId="20E0D8B3"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0.17</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6CE60DC9"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485 / 4224 = 0.11 Times</w:t>
            </w:r>
          </w:p>
        </w:tc>
        <w:tc>
          <w:tcPr>
            <w:tcW w:w="304" w:type="pct"/>
            <w:tcBorders>
              <w:top w:val="nil"/>
              <w:left w:val="nil"/>
              <w:bottom w:val="single" w:sz="4" w:space="0" w:color="auto"/>
              <w:right w:val="single" w:sz="4" w:space="0" w:color="auto"/>
            </w:tcBorders>
            <w:shd w:val="clear" w:color="FFFF00" w:fill="FFFFFF"/>
            <w:noWrap/>
            <w:vAlign w:val="center"/>
            <w:hideMark/>
          </w:tcPr>
          <w:p w14:paraId="50ABD227"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0.11</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6AA9FF00"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510 / 5056 = 0.10 Times</w:t>
            </w:r>
          </w:p>
        </w:tc>
        <w:tc>
          <w:tcPr>
            <w:tcW w:w="304" w:type="pct"/>
            <w:tcBorders>
              <w:top w:val="nil"/>
              <w:left w:val="nil"/>
              <w:bottom w:val="single" w:sz="4" w:space="0" w:color="auto"/>
              <w:right w:val="single" w:sz="4" w:space="0" w:color="auto"/>
            </w:tcBorders>
            <w:shd w:val="clear" w:color="FFFF00" w:fill="FFFFFF"/>
            <w:noWrap/>
            <w:vAlign w:val="center"/>
            <w:hideMark/>
          </w:tcPr>
          <w:p w14:paraId="16A8A53A"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0.10</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5ED77012"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269 / 5606 = 0.05 Times</w:t>
            </w:r>
          </w:p>
        </w:tc>
        <w:tc>
          <w:tcPr>
            <w:tcW w:w="304" w:type="pct"/>
            <w:tcBorders>
              <w:top w:val="nil"/>
              <w:left w:val="nil"/>
              <w:bottom w:val="single" w:sz="4" w:space="0" w:color="auto"/>
              <w:right w:val="single" w:sz="4" w:space="0" w:color="auto"/>
            </w:tcBorders>
            <w:shd w:val="clear" w:color="FFFF00" w:fill="FFFFFF"/>
            <w:noWrap/>
            <w:vAlign w:val="center"/>
            <w:hideMark/>
          </w:tcPr>
          <w:p w14:paraId="09F33FC1"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0.05</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53E18117"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380 / 5639 = 0.07 Times</w:t>
            </w:r>
          </w:p>
        </w:tc>
        <w:tc>
          <w:tcPr>
            <w:tcW w:w="304" w:type="pct"/>
            <w:tcBorders>
              <w:top w:val="nil"/>
              <w:left w:val="nil"/>
              <w:bottom w:val="single" w:sz="4" w:space="0" w:color="auto"/>
              <w:right w:val="single" w:sz="4" w:space="0" w:color="auto"/>
            </w:tcBorders>
            <w:shd w:val="clear" w:color="FFFF00" w:fill="FFFFFF"/>
            <w:noWrap/>
            <w:vAlign w:val="center"/>
            <w:hideMark/>
          </w:tcPr>
          <w:p w14:paraId="0D222F1E"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0.07</w:t>
            </w:r>
          </w:p>
        </w:tc>
        <w:tc>
          <w:tcPr>
            <w:tcW w:w="395" w:type="pct"/>
            <w:tcBorders>
              <w:top w:val="nil"/>
              <w:left w:val="nil"/>
              <w:bottom w:val="single" w:sz="4" w:space="0" w:color="auto"/>
              <w:right w:val="single" w:sz="4" w:space="0" w:color="auto"/>
            </w:tcBorders>
            <w:shd w:val="clear" w:color="000000" w:fill="FFFF00"/>
            <w:noWrap/>
            <w:vAlign w:val="center"/>
            <w:hideMark/>
          </w:tcPr>
          <w:p w14:paraId="73764A9E"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0.8 to 0.15</w:t>
            </w:r>
          </w:p>
        </w:tc>
      </w:tr>
      <w:tr w:rsidR="004C3139" w:rsidRPr="004C3139" w14:paraId="2D4B7F1E"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18C9D999"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xml:space="preserve">Free Cash Flow   </w:t>
            </w:r>
          </w:p>
        </w:tc>
        <w:tc>
          <w:tcPr>
            <w:tcW w:w="556" w:type="pct"/>
            <w:vMerge/>
            <w:tcBorders>
              <w:top w:val="nil"/>
              <w:left w:val="single" w:sz="4" w:space="0" w:color="auto"/>
              <w:bottom w:val="single" w:sz="4" w:space="0" w:color="auto"/>
              <w:right w:val="single" w:sz="4" w:space="0" w:color="auto"/>
            </w:tcBorders>
            <w:vAlign w:val="center"/>
            <w:hideMark/>
          </w:tcPr>
          <w:p w14:paraId="12AD84AC"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25C775E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002FA5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382.00 </w:t>
            </w:r>
          </w:p>
        </w:tc>
        <w:tc>
          <w:tcPr>
            <w:tcW w:w="380" w:type="pct"/>
            <w:vMerge/>
            <w:tcBorders>
              <w:top w:val="nil"/>
              <w:left w:val="single" w:sz="4" w:space="0" w:color="auto"/>
              <w:bottom w:val="single" w:sz="4" w:space="0" w:color="auto"/>
              <w:right w:val="single" w:sz="4" w:space="0" w:color="auto"/>
            </w:tcBorders>
            <w:vAlign w:val="center"/>
            <w:hideMark/>
          </w:tcPr>
          <w:p w14:paraId="3D4A596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855C6F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485.00 </w:t>
            </w:r>
          </w:p>
        </w:tc>
        <w:tc>
          <w:tcPr>
            <w:tcW w:w="260" w:type="pct"/>
            <w:vMerge/>
            <w:tcBorders>
              <w:top w:val="nil"/>
              <w:left w:val="single" w:sz="4" w:space="0" w:color="auto"/>
              <w:bottom w:val="single" w:sz="4" w:space="0" w:color="auto"/>
              <w:right w:val="single" w:sz="4" w:space="0" w:color="auto"/>
            </w:tcBorders>
            <w:vAlign w:val="center"/>
            <w:hideMark/>
          </w:tcPr>
          <w:p w14:paraId="3DBF1B8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78F87B8"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510.00 </w:t>
            </w:r>
          </w:p>
        </w:tc>
        <w:tc>
          <w:tcPr>
            <w:tcW w:w="328" w:type="pct"/>
            <w:vMerge/>
            <w:tcBorders>
              <w:top w:val="nil"/>
              <w:left w:val="single" w:sz="4" w:space="0" w:color="auto"/>
              <w:bottom w:val="single" w:sz="4" w:space="0" w:color="auto"/>
              <w:right w:val="single" w:sz="4" w:space="0" w:color="auto"/>
            </w:tcBorders>
            <w:vAlign w:val="center"/>
            <w:hideMark/>
          </w:tcPr>
          <w:p w14:paraId="085685D9"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A598DC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269.00 </w:t>
            </w:r>
          </w:p>
        </w:tc>
        <w:tc>
          <w:tcPr>
            <w:tcW w:w="300" w:type="pct"/>
            <w:vMerge/>
            <w:tcBorders>
              <w:top w:val="nil"/>
              <w:left w:val="single" w:sz="4" w:space="0" w:color="auto"/>
              <w:bottom w:val="single" w:sz="4" w:space="0" w:color="auto"/>
              <w:right w:val="single" w:sz="4" w:space="0" w:color="auto"/>
            </w:tcBorders>
            <w:vAlign w:val="center"/>
            <w:hideMark/>
          </w:tcPr>
          <w:p w14:paraId="58A1E59C"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5F2807D"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380.00 </w:t>
            </w:r>
          </w:p>
        </w:tc>
        <w:tc>
          <w:tcPr>
            <w:tcW w:w="395" w:type="pct"/>
            <w:tcBorders>
              <w:top w:val="nil"/>
              <w:left w:val="nil"/>
              <w:bottom w:val="single" w:sz="4" w:space="0" w:color="auto"/>
              <w:right w:val="single" w:sz="4" w:space="0" w:color="auto"/>
            </w:tcBorders>
            <w:shd w:val="clear" w:color="000000" w:fill="FFFFFF"/>
            <w:noWrap/>
            <w:vAlign w:val="center"/>
            <w:hideMark/>
          </w:tcPr>
          <w:p w14:paraId="53382E0D"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21854B4C"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445865EF"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Total Revenue</w:t>
            </w:r>
          </w:p>
        </w:tc>
        <w:tc>
          <w:tcPr>
            <w:tcW w:w="556" w:type="pct"/>
            <w:vMerge/>
            <w:tcBorders>
              <w:top w:val="nil"/>
              <w:left w:val="single" w:sz="4" w:space="0" w:color="auto"/>
              <w:bottom w:val="single" w:sz="4" w:space="0" w:color="auto"/>
              <w:right w:val="single" w:sz="4" w:space="0" w:color="auto"/>
            </w:tcBorders>
            <w:vAlign w:val="center"/>
            <w:hideMark/>
          </w:tcPr>
          <w:p w14:paraId="0E4B58F8"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7BA0DF15"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59B234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2,204.00 </w:t>
            </w:r>
          </w:p>
        </w:tc>
        <w:tc>
          <w:tcPr>
            <w:tcW w:w="380" w:type="pct"/>
            <w:vMerge/>
            <w:tcBorders>
              <w:top w:val="nil"/>
              <w:left w:val="single" w:sz="4" w:space="0" w:color="auto"/>
              <w:bottom w:val="single" w:sz="4" w:space="0" w:color="auto"/>
              <w:right w:val="single" w:sz="4" w:space="0" w:color="auto"/>
            </w:tcBorders>
            <w:vAlign w:val="center"/>
            <w:hideMark/>
          </w:tcPr>
          <w:p w14:paraId="0BA58EB3"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960211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4,224.00 </w:t>
            </w:r>
          </w:p>
        </w:tc>
        <w:tc>
          <w:tcPr>
            <w:tcW w:w="260" w:type="pct"/>
            <w:vMerge/>
            <w:tcBorders>
              <w:top w:val="nil"/>
              <w:left w:val="single" w:sz="4" w:space="0" w:color="auto"/>
              <w:bottom w:val="single" w:sz="4" w:space="0" w:color="auto"/>
              <w:right w:val="single" w:sz="4" w:space="0" w:color="auto"/>
            </w:tcBorders>
            <w:vAlign w:val="center"/>
            <w:hideMark/>
          </w:tcPr>
          <w:p w14:paraId="27E1AAA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175C667E"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5,056.00 </w:t>
            </w:r>
          </w:p>
        </w:tc>
        <w:tc>
          <w:tcPr>
            <w:tcW w:w="328" w:type="pct"/>
            <w:vMerge/>
            <w:tcBorders>
              <w:top w:val="nil"/>
              <w:left w:val="single" w:sz="4" w:space="0" w:color="auto"/>
              <w:bottom w:val="single" w:sz="4" w:space="0" w:color="auto"/>
              <w:right w:val="single" w:sz="4" w:space="0" w:color="auto"/>
            </w:tcBorders>
            <w:vAlign w:val="center"/>
            <w:hideMark/>
          </w:tcPr>
          <w:p w14:paraId="4ED4AE7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5036CC86"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5,606.00 </w:t>
            </w:r>
          </w:p>
        </w:tc>
        <w:tc>
          <w:tcPr>
            <w:tcW w:w="300" w:type="pct"/>
            <w:vMerge/>
            <w:tcBorders>
              <w:top w:val="nil"/>
              <w:left w:val="single" w:sz="4" w:space="0" w:color="auto"/>
              <w:bottom w:val="single" w:sz="4" w:space="0" w:color="auto"/>
              <w:right w:val="single" w:sz="4" w:space="0" w:color="auto"/>
            </w:tcBorders>
            <w:vAlign w:val="center"/>
            <w:hideMark/>
          </w:tcPr>
          <w:p w14:paraId="615105B9"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7C556A43"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5,639.00 </w:t>
            </w:r>
          </w:p>
        </w:tc>
        <w:tc>
          <w:tcPr>
            <w:tcW w:w="395" w:type="pct"/>
            <w:tcBorders>
              <w:top w:val="nil"/>
              <w:left w:val="nil"/>
              <w:bottom w:val="single" w:sz="4" w:space="0" w:color="auto"/>
              <w:right w:val="single" w:sz="4" w:space="0" w:color="auto"/>
            </w:tcBorders>
            <w:shd w:val="clear" w:color="000000" w:fill="FFFFFF"/>
            <w:noWrap/>
            <w:vAlign w:val="center"/>
            <w:hideMark/>
          </w:tcPr>
          <w:p w14:paraId="73DA874B"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393AEDE2" w14:textId="77777777" w:rsidTr="004C3139">
        <w:trPr>
          <w:trHeight w:val="300"/>
        </w:trPr>
        <w:tc>
          <w:tcPr>
            <w:tcW w:w="5000" w:type="pct"/>
            <w:gridSpan w:val="13"/>
            <w:tcBorders>
              <w:top w:val="single" w:sz="4" w:space="0" w:color="auto"/>
              <w:left w:val="single" w:sz="4" w:space="0" w:color="auto"/>
              <w:bottom w:val="single" w:sz="4" w:space="0" w:color="auto"/>
              <w:right w:val="single" w:sz="4" w:space="0" w:color="000000"/>
            </w:tcBorders>
            <w:shd w:val="clear" w:color="000000" w:fill="FFE1CC"/>
            <w:noWrap/>
            <w:vAlign w:val="center"/>
            <w:hideMark/>
          </w:tcPr>
          <w:p w14:paraId="11A6709D" w14:textId="77777777" w:rsidR="004C3139" w:rsidRPr="004C3139" w:rsidRDefault="004C3139" w:rsidP="004C3139">
            <w:pPr>
              <w:spacing w:line="240" w:lineRule="auto"/>
              <w:jc w:val="center"/>
              <w:rPr>
                <w:rFonts w:eastAsia="Times New Roman"/>
                <w:sz w:val="16"/>
                <w:szCs w:val="16"/>
                <w:lang w:val="en-IN"/>
              </w:rPr>
            </w:pPr>
            <w:r w:rsidRPr="004C3139">
              <w:rPr>
                <w:rFonts w:eastAsia="Times New Roman"/>
                <w:sz w:val="16"/>
                <w:szCs w:val="16"/>
                <w:lang w:val="en-IN"/>
              </w:rPr>
              <w:t> </w:t>
            </w:r>
          </w:p>
        </w:tc>
      </w:tr>
      <w:tr w:rsidR="004C3139" w:rsidRPr="004C3139" w14:paraId="2B367502"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24C4CF72" w14:textId="77777777" w:rsidR="004C3139" w:rsidRPr="004C3139" w:rsidRDefault="004C3139" w:rsidP="004C3139">
            <w:pPr>
              <w:spacing w:line="240" w:lineRule="auto"/>
              <w:rPr>
                <w:rFonts w:eastAsia="Times New Roman"/>
                <w:b/>
                <w:bCs/>
                <w:sz w:val="16"/>
                <w:szCs w:val="16"/>
                <w:lang w:val="en-IN"/>
              </w:rPr>
            </w:pPr>
            <w:r w:rsidRPr="004C3139">
              <w:rPr>
                <w:rFonts w:eastAsia="Times New Roman"/>
                <w:b/>
                <w:bCs/>
                <w:sz w:val="16"/>
                <w:szCs w:val="16"/>
                <w:lang w:val="en-IN"/>
              </w:rPr>
              <w:t>Gearing Ratio</w:t>
            </w:r>
          </w:p>
        </w:tc>
        <w:tc>
          <w:tcPr>
            <w:tcW w:w="556" w:type="pct"/>
            <w:vMerge w:val="restart"/>
            <w:tcBorders>
              <w:top w:val="nil"/>
              <w:left w:val="single" w:sz="4" w:space="0" w:color="auto"/>
              <w:bottom w:val="single" w:sz="4" w:space="0" w:color="auto"/>
              <w:right w:val="single" w:sz="4" w:space="0" w:color="auto"/>
            </w:tcBorders>
            <w:shd w:val="clear" w:color="FCE5CD" w:fill="FFFFFF"/>
            <w:vAlign w:val="center"/>
            <w:hideMark/>
          </w:tcPr>
          <w:p w14:paraId="2D5701D0"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 xml:space="preserve">Total Debt / Total </w:t>
            </w:r>
            <w:proofErr w:type="spellStart"/>
            <w:r w:rsidRPr="004C3139">
              <w:rPr>
                <w:rFonts w:eastAsia="Times New Roman"/>
                <w:i/>
                <w:iCs/>
                <w:sz w:val="16"/>
                <w:szCs w:val="16"/>
                <w:lang w:val="en-IN"/>
              </w:rPr>
              <w:t>Shareholders</w:t>
            </w:r>
            <w:proofErr w:type="spellEnd"/>
            <w:r w:rsidRPr="004C3139">
              <w:rPr>
                <w:rFonts w:eastAsia="Times New Roman"/>
                <w:i/>
                <w:iCs/>
                <w:sz w:val="16"/>
                <w:szCs w:val="16"/>
                <w:lang w:val="en-IN"/>
              </w:rPr>
              <w:t xml:space="preserve"> Equity * 100</w:t>
            </w:r>
          </w:p>
        </w:tc>
        <w:tc>
          <w:tcPr>
            <w:tcW w:w="253" w:type="pct"/>
            <w:vMerge w:val="restart"/>
            <w:tcBorders>
              <w:top w:val="nil"/>
              <w:left w:val="single" w:sz="4" w:space="0" w:color="auto"/>
              <w:bottom w:val="single" w:sz="4" w:space="0" w:color="auto"/>
              <w:right w:val="single" w:sz="4" w:space="0" w:color="auto"/>
            </w:tcBorders>
            <w:shd w:val="clear" w:color="F3F3F3" w:fill="DAF1F3"/>
            <w:vAlign w:val="center"/>
            <w:hideMark/>
          </w:tcPr>
          <w:p w14:paraId="7DED414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3202 / 4549 * 100 = 70%</w:t>
            </w:r>
          </w:p>
        </w:tc>
        <w:tc>
          <w:tcPr>
            <w:tcW w:w="304" w:type="pct"/>
            <w:tcBorders>
              <w:top w:val="nil"/>
              <w:left w:val="nil"/>
              <w:bottom w:val="single" w:sz="4" w:space="0" w:color="auto"/>
              <w:right w:val="single" w:sz="4" w:space="0" w:color="auto"/>
            </w:tcBorders>
            <w:shd w:val="clear" w:color="FFFF00" w:fill="FFFFFF"/>
            <w:noWrap/>
            <w:vAlign w:val="center"/>
            <w:hideMark/>
          </w:tcPr>
          <w:p w14:paraId="11EE5441"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70%</w:t>
            </w:r>
          </w:p>
        </w:tc>
        <w:tc>
          <w:tcPr>
            <w:tcW w:w="380" w:type="pct"/>
            <w:vMerge w:val="restart"/>
            <w:tcBorders>
              <w:top w:val="nil"/>
              <w:left w:val="single" w:sz="4" w:space="0" w:color="auto"/>
              <w:bottom w:val="single" w:sz="4" w:space="0" w:color="auto"/>
              <w:right w:val="single" w:sz="4" w:space="0" w:color="auto"/>
            </w:tcBorders>
            <w:shd w:val="clear" w:color="F3F3F3" w:fill="DAF1F3"/>
            <w:vAlign w:val="center"/>
            <w:hideMark/>
          </w:tcPr>
          <w:p w14:paraId="7F230711"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2869 / 5456 * 100 = 53%</w:t>
            </w:r>
          </w:p>
        </w:tc>
        <w:tc>
          <w:tcPr>
            <w:tcW w:w="304" w:type="pct"/>
            <w:tcBorders>
              <w:top w:val="nil"/>
              <w:left w:val="nil"/>
              <w:bottom w:val="single" w:sz="4" w:space="0" w:color="auto"/>
              <w:right w:val="single" w:sz="4" w:space="0" w:color="auto"/>
            </w:tcBorders>
            <w:shd w:val="clear" w:color="FFFF00" w:fill="FFFFFF"/>
            <w:noWrap/>
            <w:vAlign w:val="center"/>
            <w:hideMark/>
          </w:tcPr>
          <w:p w14:paraId="7DD325FC"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53%</w:t>
            </w:r>
          </w:p>
        </w:tc>
        <w:tc>
          <w:tcPr>
            <w:tcW w:w="260" w:type="pct"/>
            <w:vMerge w:val="restart"/>
            <w:tcBorders>
              <w:top w:val="nil"/>
              <w:left w:val="single" w:sz="4" w:space="0" w:color="auto"/>
              <w:bottom w:val="single" w:sz="4" w:space="0" w:color="auto"/>
              <w:right w:val="single" w:sz="4" w:space="0" w:color="auto"/>
            </w:tcBorders>
            <w:shd w:val="clear" w:color="F3F3F3" w:fill="DAF1F3"/>
            <w:vAlign w:val="center"/>
            <w:hideMark/>
          </w:tcPr>
          <w:p w14:paraId="28653CD8"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2623 / 5311 * 100 = 49%</w:t>
            </w:r>
          </w:p>
        </w:tc>
        <w:tc>
          <w:tcPr>
            <w:tcW w:w="304" w:type="pct"/>
            <w:tcBorders>
              <w:top w:val="nil"/>
              <w:left w:val="nil"/>
              <w:bottom w:val="single" w:sz="4" w:space="0" w:color="auto"/>
              <w:right w:val="single" w:sz="4" w:space="0" w:color="auto"/>
            </w:tcBorders>
            <w:shd w:val="clear" w:color="FFFF00" w:fill="FFFFFF"/>
            <w:noWrap/>
            <w:vAlign w:val="center"/>
            <w:hideMark/>
          </w:tcPr>
          <w:p w14:paraId="4EDBED87"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49%</w:t>
            </w:r>
          </w:p>
        </w:tc>
        <w:tc>
          <w:tcPr>
            <w:tcW w:w="328" w:type="pct"/>
            <w:vMerge w:val="restart"/>
            <w:tcBorders>
              <w:top w:val="nil"/>
              <w:left w:val="single" w:sz="4" w:space="0" w:color="auto"/>
              <w:bottom w:val="single" w:sz="4" w:space="0" w:color="auto"/>
              <w:right w:val="single" w:sz="4" w:space="0" w:color="auto"/>
            </w:tcBorders>
            <w:shd w:val="clear" w:color="F3F3F3" w:fill="DAF1F3"/>
            <w:vAlign w:val="center"/>
            <w:hideMark/>
          </w:tcPr>
          <w:p w14:paraId="663443AF"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3002 / 5469 * 100 = 55%</w:t>
            </w:r>
          </w:p>
        </w:tc>
        <w:tc>
          <w:tcPr>
            <w:tcW w:w="304" w:type="pct"/>
            <w:tcBorders>
              <w:top w:val="nil"/>
              <w:left w:val="nil"/>
              <w:bottom w:val="single" w:sz="4" w:space="0" w:color="auto"/>
              <w:right w:val="single" w:sz="4" w:space="0" w:color="auto"/>
            </w:tcBorders>
            <w:shd w:val="clear" w:color="FFFF00" w:fill="FFFFFF"/>
            <w:noWrap/>
            <w:vAlign w:val="center"/>
            <w:hideMark/>
          </w:tcPr>
          <w:p w14:paraId="7E158323"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55%</w:t>
            </w:r>
          </w:p>
        </w:tc>
        <w:tc>
          <w:tcPr>
            <w:tcW w:w="300" w:type="pct"/>
            <w:vMerge w:val="restart"/>
            <w:tcBorders>
              <w:top w:val="nil"/>
              <w:left w:val="single" w:sz="4" w:space="0" w:color="auto"/>
              <w:bottom w:val="single" w:sz="4" w:space="0" w:color="auto"/>
              <w:right w:val="single" w:sz="4" w:space="0" w:color="auto"/>
            </w:tcBorders>
            <w:shd w:val="clear" w:color="F3F3F3" w:fill="DAF1F3"/>
            <w:vAlign w:val="center"/>
            <w:hideMark/>
          </w:tcPr>
          <w:p w14:paraId="1A54CB81" w14:textId="77777777" w:rsidR="004C3139" w:rsidRPr="004C3139" w:rsidRDefault="004C3139" w:rsidP="004C3139">
            <w:pPr>
              <w:spacing w:line="240" w:lineRule="auto"/>
              <w:jc w:val="center"/>
              <w:rPr>
                <w:rFonts w:eastAsia="Times New Roman"/>
                <w:i/>
                <w:iCs/>
                <w:sz w:val="16"/>
                <w:szCs w:val="16"/>
                <w:lang w:val="en-IN"/>
              </w:rPr>
            </w:pPr>
            <w:r w:rsidRPr="004C3139">
              <w:rPr>
                <w:rFonts w:eastAsia="Times New Roman"/>
                <w:i/>
                <w:iCs/>
                <w:sz w:val="16"/>
                <w:szCs w:val="16"/>
                <w:lang w:val="en-IN"/>
              </w:rPr>
              <w:t>3663 / 4717 * 100 = 78%</w:t>
            </w:r>
          </w:p>
        </w:tc>
        <w:tc>
          <w:tcPr>
            <w:tcW w:w="304" w:type="pct"/>
            <w:tcBorders>
              <w:top w:val="nil"/>
              <w:left w:val="nil"/>
              <w:bottom w:val="single" w:sz="4" w:space="0" w:color="auto"/>
              <w:right w:val="single" w:sz="4" w:space="0" w:color="auto"/>
            </w:tcBorders>
            <w:shd w:val="clear" w:color="FFFF00" w:fill="FFFFFF"/>
            <w:noWrap/>
            <w:vAlign w:val="center"/>
            <w:hideMark/>
          </w:tcPr>
          <w:p w14:paraId="420FDC05" w14:textId="77777777" w:rsidR="004C3139" w:rsidRPr="004C3139" w:rsidRDefault="004C3139" w:rsidP="004C3139">
            <w:pPr>
              <w:spacing w:line="240" w:lineRule="auto"/>
              <w:jc w:val="center"/>
              <w:rPr>
                <w:rFonts w:eastAsia="Times New Roman"/>
                <w:b/>
                <w:bCs/>
                <w:sz w:val="16"/>
                <w:szCs w:val="16"/>
                <w:lang w:val="en-IN"/>
              </w:rPr>
            </w:pPr>
            <w:r w:rsidRPr="004C3139">
              <w:rPr>
                <w:rFonts w:eastAsia="Times New Roman"/>
                <w:b/>
                <w:bCs/>
                <w:sz w:val="16"/>
                <w:szCs w:val="16"/>
                <w:lang w:val="en-IN"/>
              </w:rPr>
              <w:t>78%</w:t>
            </w:r>
          </w:p>
        </w:tc>
        <w:tc>
          <w:tcPr>
            <w:tcW w:w="395" w:type="pct"/>
            <w:tcBorders>
              <w:top w:val="nil"/>
              <w:left w:val="nil"/>
              <w:bottom w:val="single" w:sz="4" w:space="0" w:color="auto"/>
              <w:right w:val="single" w:sz="4" w:space="0" w:color="auto"/>
            </w:tcBorders>
            <w:shd w:val="clear" w:color="000000" w:fill="FFFF00"/>
            <w:noWrap/>
            <w:vAlign w:val="center"/>
            <w:hideMark/>
          </w:tcPr>
          <w:p w14:paraId="75788295"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80% to 150%</w:t>
            </w:r>
          </w:p>
        </w:tc>
      </w:tr>
      <w:tr w:rsidR="004C3139" w:rsidRPr="004C3139" w14:paraId="1EB197D2"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63339056"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Total Debt</w:t>
            </w:r>
          </w:p>
        </w:tc>
        <w:tc>
          <w:tcPr>
            <w:tcW w:w="556" w:type="pct"/>
            <w:vMerge/>
            <w:tcBorders>
              <w:top w:val="nil"/>
              <w:left w:val="single" w:sz="4" w:space="0" w:color="auto"/>
              <w:bottom w:val="single" w:sz="4" w:space="0" w:color="auto"/>
              <w:right w:val="single" w:sz="4" w:space="0" w:color="auto"/>
            </w:tcBorders>
            <w:vAlign w:val="center"/>
            <w:hideMark/>
          </w:tcPr>
          <w:p w14:paraId="4C351F70"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2D03F09E"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B32AA9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3,202.00 </w:t>
            </w:r>
          </w:p>
        </w:tc>
        <w:tc>
          <w:tcPr>
            <w:tcW w:w="380" w:type="pct"/>
            <w:vMerge/>
            <w:tcBorders>
              <w:top w:val="nil"/>
              <w:left w:val="single" w:sz="4" w:space="0" w:color="auto"/>
              <w:bottom w:val="single" w:sz="4" w:space="0" w:color="auto"/>
              <w:right w:val="single" w:sz="4" w:space="0" w:color="auto"/>
            </w:tcBorders>
            <w:vAlign w:val="center"/>
            <w:hideMark/>
          </w:tcPr>
          <w:p w14:paraId="31C6A6B0"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2CF58D3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2,869.00 </w:t>
            </w:r>
          </w:p>
        </w:tc>
        <w:tc>
          <w:tcPr>
            <w:tcW w:w="260" w:type="pct"/>
            <w:vMerge/>
            <w:tcBorders>
              <w:top w:val="nil"/>
              <w:left w:val="single" w:sz="4" w:space="0" w:color="auto"/>
              <w:bottom w:val="single" w:sz="4" w:space="0" w:color="auto"/>
              <w:right w:val="single" w:sz="4" w:space="0" w:color="auto"/>
            </w:tcBorders>
            <w:vAlign w:val="center"/>
            <w:hideMark/>
          </w:tcPr>
          <w:p w14:paraId="63388586"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A67452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2,623.00 </w:t>
            </w:r>
          </w:p>
        </w:tc>
        <w:tc>
          <w:tcPr>
            <w:tcW w:w="328" w:type="pct"/>
            <w:vMerge/>
            <w:tcBorders>
              <w:top w:val="nil"/>
              <w:left w:val="single" w:sz="4" w:space="0" w:color="auto"/>
              <w:bottom w:val="single" w:sz="4" w:space="0" w:color="auto"/>
              <w:right w:val="single" w:sz="4" w:space="0" w:color="auto"/>
            </w:tcBorders>
            <w:vAlign w:val="center"/>
            <w:hideMark/>
          </w:tcPr>
          <w:p w14:paraId="36D4394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6A6A31A"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3,002.00 </w:t>
            </w:r>
          </w:p>
        </w:tc>
        <w:tc>
          <w:tcPr>
            <w:tcW w:w="300" w:type="pct"/>
            <w:vMerge/>
            <w:tcBorders>
              <w:top w:val="nil"/>
              <w:left w:val="single" w:sz="4" w:space="0" w:color="auto"/>
              <w:bottom w:val="single" w:sz="4" w:space="0" w:color="auto"/>
              <w:right w:val="single" w:sz="4" w:space="0" w:color="auto"/>
            </w:tcBorders>
            <w:vAlign w:val="center"/>
            <w:hideMark/>
          </w:tcPr>
          <w:p w14:paraId="41CBE068"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56CC5F4"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3,663.00 </w:t>
            </w:r>
          </w:p>
        </w:tc>
        <w:tc>
          <w:tcPr>
            <w:tcW w:w="395" w:type="pct"/>
            <w:tcBorders>
              <w:top w:val="nil"/>
              <w:left w:val="nil"/>
              <w:bottom w:val="single" w:sz="4" w:space="0" w:color="auto"/>
              <w:right w:val="single" w:sz="4" w:space="0" w:color="auto"/>
            </w:tcBorders>
            <w:shd w:val="clear" w:color="000000" w:fill="FFFFFF"/>
            <w:noWrap/>
            <w:vAlign w:val="center"/>
            <w:hideMark/>
          </w:tcPr>
          <w:p w14:paraId="78F3091D"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r w:rsidR="004C3139" w:rsidRPr="004C3139" w14:paraId="62C629C6" w14:textId="77777777" w:rsidTr="004C3139">
        <w:trPr>
          <w:trHeight w:val="312"/>
        </w:trPr>
        <w:tc>
          <w:tcPr>
            <w:tcW w:w="1009" w:type="pct"/>
            <w:tcBorders>
              <w:top w:val="nil"/>
              <w:left w:val="single" w:sz="4" w:space="0" w:color="auto"/>
              <w:bottom w:val="single" w:sz="4" w:space="0" w:color="auto"/>
              <w:right w:val="single" w:sz="4" w:space="0" w:color="auto"/>
            </w:tcBorders>
            <w:shd w:val="clear" w:color="000000" w:fill="FFFFFF"/>
            <w:noWrap/>
            <w:vAlign w:val="center"/>
            <w:hideMark/>
          </w:tcPr>
          <w:p w14:paraId="1E1A178D" w14:textId="77777777" w:rsidR="004C3139" w:rsidRPr="004C3139" w:rsidRDefault="004C3139" w:rsidP="004C3139">
            <w:pPr>
              <w:spacing w:line="240" w:lineRule="auto"/>
              <w:rPr>
                <w:rFonts w:eastAsia="Times New Roman"/>
                <w:sz w:val="16"/>
                <w:szCs w:val="16"/>
                <w:lang w:val="en-IN"/>
              </w:rPr>
            </w:pPr>
            <w:r w:rsidRPr="004C3139">
              <w:rPr>
                <w:rFonts w:eastAsia="Times New Roman"/>
                <w:sz w:val="16"/>
                <w:szCs w:val="16"/>
                <w:lang w:val="en-IN"/>
              </w:rPr>
              <w:t xml:space="preserve">Total </w:t>
            </w:r>
            <w:proofErr w:type="spellStart"/>
            <w:r w:rsidRPr="004C3139">
              <w:rPr>
                <w:rFonts w:eastAsia="Times New Roman"/>
                <w:sz w:val="16"/>
                <w:szCs w:val="16"/>
                <w:lang w:val="en-IN"/>
              </w:rPr>
              <w:t>Shareholders</w:t>
            </w:r>
            <w:proofErr w:type="spellEnd"/>
            <w:r w:rsidRPr="004C3139">
              <w:rPr>
                <w:rFonts w:eastAsia="Times New Roman"/>
                <w:sz w:val="16"/>
                <w:szCs w:val="16"/>
                <w:lang w:val="en-IN"/>
              </w:rPr>
              <w:t xml:space="preserve"> Equity</w:t>
            </w:r>
          </w:p>
        </w:tc>
        <w:tc>
          <w:tcPr>
            <w:tcW w:w="556" w:type="pct"/>
            <w:vMerge/>
            <w:tcBorders>
              <w:top w:val="nil"/>
              <w:left w:val="single" w:sz="4" w:space="0" w:color="auto"/>
              <w:bottom w:val="single" w:sz="4" w:space="0" w:color="auto"/>
              <w:right w:val="single" w:sz="4" w:space="0" w:color="auto"/>
            </w:tcBorders>
            <w:vAlign w:val="center"/>
            <w:hideMark/>
          </w:tcPr>
          <w:p w14:paraId="6A0641E7" w14:textId="77777777" w:rsidR="004C3139" w:rsidRPr="004C3139" w:rsidRDefault="004C3139" w:rsidP="004C3139">
            <w:pPr>
              <w:spacing w:line="240" w:lineRule="auto"/>
              <w:rPr>
                <w:rFonts w:eastAsia="Times New Roman"/>
                <w:i/>
                <w:iCs/>
                <w:sz w:val="16"/>
                <w:szCs w:val="16"/>
                <w:lang w:val="en-IN"/>
              </w:rPr>
            </w:pPr>
          </w:p>
        </w:tc>
        <w:tc>
          <w:tcPr>
            <w:tcW w:w="253" w:type="pct"/>
            <w:vMerge/>
            <w:tcBorders>
              <w:top w:val="nil"/>
              <w:left w:val="single" w:sz="4" w:space="0" w:color="auto"/>
              <w:bottom w:val="single" w:sz="4" w:space="0" w:color="auto"/>
              <w:right w:val="single" w:sz="4" w:space="0" w:color="auto"/>
            </w:tcBorders>
            <w:vAlign w:val="center"/>
            <w:hideMark/>
          </w:tcPr>
          <w:p w14:paraId="0D1B384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684AAAD9"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4,549.00 </w:t>
            </w:r>
          </w:p>
        </w:tc>
        <w:tc>
          <w:tcPr>
            <w:tcW w:w="380" w:type="pct"/>
            <w:vMerge/>
            <w:tcBorders>
              <w:top w:val="nil"/>
              <w:left w:val="single" w:sz="4" w:space="0" w:color="auto"/>
              <w:bottom w:val="single" w:sz="4" w:space="0" w:color="auto"/>
              <w:right w:val="single" w:sz="4" w:space="0" w:color="auto"/>
            </w:tcBorders>
            <w:vAlign w:val="center"/>
            <w:hideMark/>
          </w:tcPr>
          <w:p w14:paraId="1389235F"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0F1EB381"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5,456.00 </w:t>
            </w:r>
          </w:p>
        </w:tc>
        <w:tc>
          <w:tcPr>
            <w:tcW w:w="260" w:type="pct"/>
            <w:vMerge/>
            <w:tcBorders>
              <w:top w:val="nil"/>
              <w:left w:val="single" w:sz="4" w:space="0" w:color="auto"/>
              <w:bottom w:val="single" w:sz="4" w:space="0" w:color="auto"/>
              <w:right w:val="single" w:sz="4" w:space="0" w:color="auto"/>
            </w:tcBorders>
            <w:vAlign w:val="center"/>
            <w:hideMark/>
          </w:tcPr>
          <w:p w14:paraId="27D913FD"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4DE08642"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5,311.00 </w:t>
            </w:r>
          </w:p>
        </w:tc>
        <w:tc>
          <w:tcPr>
            <w:tcW w:w="328" w:type="pct"/>
            <w:vMerge/>
            <w:tcBorders>
              <w:top w:val="nil"/>
              <w:left w:val="single" w:sz="4" w:space="0" w:color="auto"/>
              <w:bottom w:val="single" w:sz="4" w:space="0" w:color="auto"/>
              <w:right w:val="single" w:sz="4" w:space="0" w:color="auto"/>
            </w:tcBorders>
            <w:vAlign w:val="center"/>
            <w:hideMark/>
          </w:tcPr>
          <w:p w14:paraId="398B7867"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696ECD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5,469.00 </w:t>
            </w:r>
          </w:p>
        </w:tc>
        <w:tc>
          <w:tcPr>
            <w:tcW w:w="300" w:type="pct"/>
            <w:vMerge/>
            <w:tcBorders>
              <w:top w:val="nil"/>
              <w:left w:val="single" w:sz="4" w:space="0" w:color="auto"/>
              <w:bottom w:val="single" w:sz="4" w:space="0" w:color="auto"/>
              <w:right w:val="single" w:sz="4" w:space="0" w:color="auto"/>
            </w:tcBorders>
            <w:vAlign w:val="center"/>
            <w:hideMark/>
          </w:tcPr>
          <w:p w14:paraId="5709FE9A" w14:textId="77777777" w:rsidR="004C3139" w:rsidRPr="004C3139" w:rsidRDefault="004C3139" w:rsidP="004C3139">
            <w:pPr>
              <w:spacing w:line="240" w:lineRule="auto"/>
              <w:rPr>
                <w:rFonts w:eastAsia="Times New Roman"/>
                <w:i/>
                <w:iCs/>
                <w:sz w:val="16"/>
                <w:szCs w:val="16"/>
                <w:lang w:val="en-IN"/>
              </w:rPr>
            </w:pPr>
          </w:p>
        </w:tc>
        <w:tc>
          <w:tcPr>
            <w:tcW w:w="304" w:type="pct"/>
            <w:tcBorders>
              <w:top w:val="nil"/>
              <w:left w:val="nil"/>
              <w:bottom w:val="single" w:sz="4" w:space="0" w:color="auto"/>
              <w:right w:val="single" w:sz="4" w:space="0" w:color="auto"/>
            </w:tcBorders>
            <w:shd w:val="clear" w:color="000000" w:fill="FFFFFF"/>
            <w:noWrap/>
            <w:vAlign w:val="center"/>
            <w:hideMark/>
          </w:tcPr>
          <w:p w14:paraId="357940BF" w14:textId="77777777" w:rsidR="004C3139" w:rsidRPr="004C3139" w:rsidRDefault="004C3139" w:rsidP="004C3139">
            <w:pPr>
              <w:spacing w:line="240" w:lineRule="auto"/>
              <w:jc w:val="right"/>
              <w:rPr>
                <w:rFonts w:eastAsia="Times New Roman"/>
                <w:sz w:val="16"/>
                <w:szCs w:val="16"/>
                <w:lang w:val="en-IN"/>
              </w:rPr>
            </w:pPr>
            <w:r w:rsidRPr="004C3139">
              <w:rPr>
                <w:rFonts w:eastAsia="Times New Roman"/>
                <w:sz w:val="16"/>
                <w:szCs w:val="16"/>
                <w:lang w:val="en-IN"/>
              </w:rPr>
              <w:t xml:space="preserve"> €   4,717.00 </w:t>
            </w:r>
          </w:p>
        </w:tc>
        <w:tc>
          <w:tcPr>
            <w:tcW w:w="395" w:type="pct"/>
            <w:tcBorders>
              <w:top w:val="nil"/>
              <w:left w:val="nil"/>
              <w:bottom w:val="single" w:sz="4" w:space="0" w:color="auto"/>
              <w:right w:val="single" w:sz="4" w:space="0" w:color="auto"/>
            </w:tcBorders>
            <w:shd w:val="clear" w:color="000000" w:fill="FFFFFF"/>
            <w:noWrap/>
            <w:vAlign w:val="center"/>
            <w:hideMark/>
          </w:tcPr>
          <w:p w14:paraId="07B5C152" w14:textId="77777777" w:rsidR="004C3139" w:rsidRPr="004C3139" w:rsidRDefault="004C3139" w:rsidP="004C3139">
            <w:pPr>
              <w:spacing w:line="240" w:lineRule="auto"/>
              <w:jc w:val="center"/>
              <w:rPr>
                <w:rFonts w:ascii="Times New Roman" w:eastAsia="Times New Roman" w:hAnsi="Times New Roman" w:cs="Times New Roman"/>
                <w:b/>
                <w:bCs/>
                <w:sz w:val="16"/>
                <w:szCs w:val="16"/>
                <w:lang w:val="en-IN"/>
              </w:rPr>
            </w:pPr>
            <w:r w:rsidRPr="004C3139">
              <w:rPr>
                <w:rFonts w:ascii="Times New Roman" w:eastAsia="Times New Roman" w:hAnsi="Times New Roman" w:cs="Times New Roman"/>
                <w:b/>
                <w:bCs/>
                <w:sz w:val="16"/>
                <w:szCs w:val="16"/>
                <w:lang w:val="en-IN"/>
              </w:rPr>
              <w:t> </w:t>
            </w:r>
          </w:p>
        </w:tc>
      </w:tr>
    </w:tbl>
    <w:p w14:paraId="04A34E86" w14:textId="77777777" w:rsidR="004C3139" w:rsidRDefault="004C3139">
      <w:pPr>
        <w:spacing w:after="160" w:line="360" w:lineRule="auto"/>
        <w:jc w:val="both"/>
        <w:rPr>
          <w:rFonts w:ascii="Times New Roman" w:eastAsia="Times New Roman" w:hAnsi="Times New Roman" w:cs="Times New Roman"/>
          <w:sz w:val="24"/>
          <w:szCs w:val="24"/>
        </w:rPr>
      </w:pPr>
    </w:p>
    <w:p w14:paraId="24AEA0DA" w14:textId="77777777" w:rsidR="001A687F" w:rsidRDefault="001A687F">
      <w:pPr>
        <w:spacing w:before="240" w:after="240" w:line="360" w:lineRule="auto"/>
        <w:jc w:val="both"/>
        <w:rPr>
          <w:rFonts w:ascii="Times New Roman" w:eastAsia="Times New Roman" w:hAnsi="Times New Roman" w:cs="Times New Roman"/>
          <w:sz w:val="24"/>
          <w:szCs w:val="24"/>
        </w:rPr>
      </w:pPr>
    </w:p>
    <w:p w14:paraId="5A5D9659" w14:textId="77777777" w:rsidR="001A687F" w:rsidRDefault="001A687F">
      <w:pPr>
        <w:spacing w:before="240" w:after="240" w:line="360" w:lineRule="auto"/>
        <w:jc w:val="both"/>
        <w:rPr>
          <w:rFonts w:ascii="Times New Roman" w:eastAsia="Times New Roman" w:hAnsi="Times New Roman" w:cs="Times New Roman"/>
          <w:sz w:val="24"/>
          <w:szCs w:val="24"/>
        </w:rPr>
      </w:pPr>
    </w:p>
    <w:p w14:paraId="535DB54A" w14:textId="77777777" w:rsidR="001A687F" w:rsidRDefault="001A687F">
      <w:pPr>
        <w:spacing w:line="360" w:lineRule="auto"/>
        <w:jc w:val="both"/>
        <w:rPr>
          <w:rFonts w:ascii="Times New Roman" w:eastAsia="Times New Roman" w:hAnsi="Times New Roman" w:cs="Times New Roman"/>
          <w:sz w:val="24"/>
          <w:szCs w:val="24"/>
        </w:rPr>
      </w:pPr>
    </w:p>
    <w:sectPr w:rsidR="001A687F">
      <w:headerReference w:type="default" r:id="rId75"/>
      <w:footerReference w:type="default" r:id="rId7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411B6" w14:textId="77777777" w:rsidR="003B77CE" w:rsidRDefault="003B77CE">
      <w:pPr>
        <w:spacing w:line="240" w:lineRule="auto"/>
      </w:pPr>
      <w:r>
        <w:separator/>
      </w:r>
    </w:p>
  </w:endnote>
  <w:endnote w:type="continuationSeparator" w:id="0">
    <w:p w14:paraId="43F926B0" w14:textId="77777777" w:rsidR="003B77CE" w:rsidRDefault="003B77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1940A97-40A0-4E17-926A-17E36AD3ADBA}"/>
  </w:font>
  <w:font w:name="Cambria">
    <w:panose1 w:val="02040503050406030204"/>
    <w:charset w:val="00"/>
    <w:family w:val="roman"/>
    <w:pitch w:val="variable"/>
    <w:sig w:usb0="E00006FF" w:usb1="420024FF" w:usb2="02000000" w:usb3="00000000" w:csb0="0000019F" w:csb1="00000000"/>
    <w:embedRegular r:id="rId2" w:fontKey="{193FD975-8EB7-4154-8EAE-369E8C15449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824670"/>
      <w:docPartObj>
        <w:docPartGallery w:val="Page Numbers (Bottom of Page)"/>
        <w:docPartUnique/>
      </w:docPartObj>
    </w:sdtPr>
    <w:sdtEndPr>
      <w:rPr>
        <w:noProof/>
      </w:rPr>
    </w:sdtEndPr>
    <w:sdtContent>
      <w:p w14:paraId="78EDF802" w14:textId="005802CA" w:rsidR="00623135" w:rsidRDefault="006231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785020" w14:textId="77777777" w:rsidR="001A687F" w:rsidRDefault="001A687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FD444" w14:textId="77777777" w:rsidR="003B77CE" w:rsidRDefault="003B77CE">
      <w:pPr>
        <w:spacing w:line="240" w:lineRule="auto"/>
      </w:pPr>
      <w:r>
        <w:separator/>
      </w:r>
    </w:p>
  </w:footnote>
  <w:footnote w:type="continuationSeparator" w:id="0">
    <w:p w14:paraId="0A776345" w14:textId="77777777" w:rsidR="003B77CE" w:rsidRDefault="003B77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584FD" w14:textId="77777777" w:rsidR="001A687F" w:rsidRDefault="001A687F">
    <w:pPr>
      <w:pBdr>
        <w:top w:val="nil"/>
        <w:left w:val="nil"/>
        <w:bottom w:val="nil"/>
        <w:right w:val="nil"/>
        <w:between w:val="nil"/>
      </w:pBdr>
      <w:tabs>
        <w:tab w:val="center" w:pos="4513"/>
        <w:tab w:val="right" w:pos="9026"/>
      </w:tabs>
      <w:spacing w:line="240" w:lineRule="auto"/>
      <w:jc w:val="right"/>
      <w:rPr>
        <w:color w:val="000000"/>
      </w:rPr>
    </w:pPr>
  </w:p>
  <w:p w14:paraId="437BC89C" w14:textId="77777777" w:rsidR="001A687F" w:rsidRDefault="001A687F">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BD3043"/>
    <w:multiLevelType w:val="hybridMultilevel"/>
    <w:tmpl w:val="868885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4509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87F"/>
    <w:rsid w:val="001A2ECC"/>
    <w:rsid w:val="001A687F"/>
    <w:rsid w:val="00220BA5"/>
    <w:rsid w:val="003134D3"/>
    <w:rsid w:val="00396843"/>
    <w:rsid w:val="003B47BC"/>
    <w:rsid w:val="003B77CE"/>
    <w:rsid w:val="004C3139"/>
    <w:rsid w:val="005400EC"/>
    <w:rsid w:val="00623135"/>
    <w:rsid w:val="006B384C"/>
    <w:rsid w:val="0075732A"/>
    <w:rsid w:val="008B7C79"/>
    <w:rsid w:val="009E4453"/>
    <w:rsid w:val="00A91103"/>
    <w:rsid w:val="00B6666D"/>
    <w:rsid w:val="00E72A1D"/>
    <w:rsid w:val="00E833C2"/>
    <w:rsid w:val="00FC3C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F7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C3139"/>
    <w:pPr>
      <w:spacing w:before="240" w:after="24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spacing w:before="240" w:after="24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spacing w:before="240" w:after="24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ListParagraph">
    <w:name w:val="List Paragraph"/>
    <w:basedOn w:val="Normal"/>
    <w:uiPriority w:val="34"/>
    <w:qFormat/>
    <w:rsid w:val="004C3139"/>
    <w:pPr>
      <w:ind w:left="720"/>
      <w:contextualSpacing/>
    </w:pPr>
  </w:style>
  <w:style w:type="paragraph" w:styleId="TOCHeading">
    <w:name w:val="TOC Heading"/>
    <w:basedOn w:val="Heading1"/>
    <w:next w:val="Normal"/>
    <w:uiPriority w:val="39"/>
    <w:unhideWhenUsed/>
    <w:qFormat/>
    <w:rsid w:val="006B384C"/>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B384C"/>
    <w:pPr>
      <w:spacing w:after="100"/>
    </w:pPr>
  </w:style>
  <w:style w:type="paragraph" w:styleId="TOC2">
    <w:name w:val="toc 2"/>
    <w:basedOn w:val="Normal"/>
    <w:next w:val="Normal"/>
    <w:autoRedefine/>
    <w:uiPriority w:val="39"/>
    <w:unhideWhenUsed/>
    <w:rsid w:val="006B384C"/>
    <w:pPr>
      <w:spacing w:after="100"/>
      <w:ind w:left="220"/>
    </w:pPr>
  </w:style>
  <w:style w:type="paragraph" w:styleId="TOC3">
    <w:name w:val="toc 3"/>
    <w:basedOn w:val="Normal"/>
    <w:next w:val="Normal"/>
    <w:autoRedefine/>
    <w:uiPriority w:val="39"/>
    <w:unhideWhenUsed/>
    <w:rsid w:val="006B384C"/>
    <w:pPr>
      <w:spacing w:after="100"/>
      <w:ind w:left="440"/>
    </w:pPr>
  </w:style>
  <w:style w:type="character" w:styleId="Hyperlink">
    <w:name w:val="Hyperlink"/>
    <w:basedOn w:val="DefaultParagraphFont"/>
    <w:uiPriority w:val="99"/>
    <w:unhideWhenUsed/>
    <w:rsid w:val="006B384C"/>
    <w:rPr>
      <w:color w:val="0000FF" w:themeColor="hyperlink"/>
      <w:u w:val="single"/>
    </w:rPr>
  </w:style>
  <w:style w:type="paragraph" w:styleId="Header">
    <w:name w:val="header"/>
    <w:basedOn w:val="Normal"/>
    <w:link w:val="HeaderChar"/>
    <w:uiPriority w:val="99"/>
    <w:unhideWhenUsed/>
    <w:rsid w:val="00623135"/>
    <w:pPr>
      <w:tabs>
        <w:tab w:val="center" w:pos="4513"/>
        <w:tab w:val="right" w:pos="9026"/>
      </w:tabs>
      <w:spacing w:line="240" w:lineRule="auto"/>
    </w:pPr>
  </w:style>
  <w:style w:type="character" w:customStyle="1" w:styleId="HeaderChar">
    <w:name w:val="Header Char"/>
    <w:basedOn w:val="DefaultParagraphFont"/>
    <w:link w:val="Header"/>
    <w:uiPriority w:val="99"/>
    <w:rsid w:val="00623135"/>
  </w:style>
  <w:style w:type="paragraph" w:styleId="Footer">
    <w:name w:val="footer"/>
    <w:basedOn w:val="Normal"/>
    <w:link w:val="FooterChar"/>
    <w:uiPriority w:val="99"/>
    <w:unhideWhenUsed/>
    <w:rsid w:val="00623135"/>
    <w:pPr>
      <w:tabs>
        <w:tab w:val="center" w:pos="4513"/>
        <w:tab w:val="right" w:pos="9026"/>
      </w:tabs>
      <w:spacing w:line="240" w:lineRule="auto"/>
    </w:pPr>
  </w:style>
  <w:style w:type="character" w:customStyle="1" w:styleId="FooterChar">
    <w:name w:val="Footer Char"/>
    <w:basedOn w:val="DefaultParagraphFont"/>
    <w:link w:val="Footer"/>
    <w:uiPriority w:val="99"/>
    <w:rsid w:val="00623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90/su16135511" TargetMode="External"/><Relationship Id="rId21" Type="http://schemas.openxmlformats.org/officeDocument/2006/relationships/image" Target="media/image7.png"/><Relationship Id="rId42" Type="http://schemas.openxmlformats.org/officeDocument/2006/relationships/hyperlink" Target="https://doi.org/10.3390/ijfs10030063" TargetMode="External"/><Relationship Id="rId47" Type="http://schemas.openxmlformats.org/officeDocument/2006/relationships/hyperlink" Target="https://doi.org/10.1287/mnsc.2021.02755" TargetMode="External"/><Relationship Id="rId63" Type="http://schemas.openxmlformats.org/officeDocument/2006/relationships/hyperlink" Target="https://doi.org/10.3390/su142114447" TargetMode="External"/><Relationship Id="rId68" Type="http://schemas.openxmlformats.org/officeDocument/2006/relationships/hyperlink" Target="https://papers.ssrn.com/sol3/papers.cfm?abstract_id=5240458" TargetMode="External"/><Relationship Id="rId16" Type="http://schemas.openxmlformats.org/officeDocument/2006/relationships/chart" Target="charts/chart6.xml"/><Relationship Id="rId11" Type="http://schemas.openxmlformats.org/officeDocument/2006/relationships/chart" Target="charts/chart1.xml"/><Relationship Id="rId24" Type="http://schemas.openxmlformats.org/officeDocument/2006/relationships/hyperlink" Target="https://group.accor.com/en/group" TargetMode="External"/><Relationship Id="rId32" Type="http://schemas.openxmlformats.org/officeDocument/2006/relationships/hyperlink" Target="https://journals.iarn.or.id/index.php/ARJ/article/view/208" TargetMode="External"/><Relationship Id="rId37" Type="http://schemas.openxmlformats.org/officeDocument/2006/relationships/hyperlink" Target="https://doi.org/10.1111/joes.12525" TargetMode="External"/><Relationship Id="rId40" Type="http://schemas.openxmlformats.org/officeDocument/2006/relationships/hyperlink" Target="https://doi.org/10.3390/ijfs13030173" TargetMode="External"/><Relationship Id="rId45" Type="http://schemas.openxmlformats.org/officeDocument/2006/relationships/hyperlink" Target="https://doi.org/10.3390/su15053949" TargetMode="External"/><Relationship Id="rId53" Type="http://schemas.openxmlformats.org/officeDocument/2006/relationships/hyperlink" Target="https://doi.org/10.3390/ai5020041" TargetMode="External"/><Relationship Id="rId58" Type="http://schemas.openxmlformats.org/officeDocument/2006/relationships/hyperlink" Target="https://doi.org/10.3390/admsci15040142" TargetMode="External"/><Relationship Id="rId66" Type="http://schemas.openxmlformats.org/officeDocument/2006/relationships/hyperlink" Target="https://doi.org/10.1002/jtr.2640" TargetMode="External"/><Relationship Id="rId74" Type="http://schemas.openxmlformats.org/officeDocument/2006/relationships/hyperlink" Target="https://finance.yahoo.com/quote/AC.PA/financials/" TargetMode="External"/><Relationship Id="rId5" Type="http://schemas.openxmlformats.org/officeDocument/2006/relationships/settings" Target="settings.xml"/><Relationship Id="rId61" Type="http://schemas.openxmlformats.org/officeDocument/2006/relationships/hyperlink" Target="https://doi.org/10.1016/j.jsis.2024.101885" TargetMode="External"/><Relationship Id="rId19" Type="http://schemas.openxmlformats.org/officeDocument/2006/relationships/image" Target="media/image5.png"/><Relationship Id="rId14" Type="http://schemas.openxmlformats.org/officeDocument/2006/relationships/chart" Target="charts/chart4.xml"/><Relationship Id="rId22" Type="http://schemas.openxmlformats.org/officeDocument/2006/relationships/image" Target="media/image8.png"/><Relationship Id="rId27" Type="http://schemas.openxmlformats.org/officeDocument/2006/relationships/hyperlink" Target="https://pdfs.semanticscholar.org/b297/a823988fa5f3b58516df9f08c16c2c20d0e5.pdf" TargetMode="External"/><Relationship Id="rId30" Type="http://schemas.openxmlformats.org/officeDocument/2006/relationships/hyperlink" Target="https://www.nber.org/system/files/working_papers/w34892/w34892.pdf" TargetMode="External"/><Relationship Id="rId35" Type="http://schemas.openxmlformats.org/officeDocument/2006/relationships/hyperlink" Target="https://papers.ssrn.com/sol3/papers.cfm?abstract_id=4155578" TargetMode="External"/><Relationship Id="rId43" Type="http://schemas.openxmlformats.org/officeDocument/2006/relationships/hyperlink" Target="https://doi.org/10.3390/economies10030069" TargetMode="External"/><Relationship Id="rId48" Type="http://schemas.openxmlformats.org/officeDocument/2006/relationships/hyperlink" Target="https://doi.org/10.1287/mnsc.2021.02755" TargetMode="External"/><Relationship Id="rId56" Type="http://schemas.openxmlformats.org/officeDocument/2006/relationships/hyperlink" Target="https://doi.org/10.1080/23311975.2022.2129354" TargetMode="External"/><Relationship Id="rId64" Type="http://schemas.openxmlformats.org/officeDocument/2006/relationships/hyperlink" Target="https://doi.org/10.3390/su142114447" TargetMode="External"/><Relationship Id="rId69" Type="http://schemas.openxmlformats.org/officeDocument/2006/relationships/hyperlink" Target="https://doi.org/10.47970/jml.v5i1.302" TargetMode="External"/><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onlinelibrary.wiley.com/doi/abs/10.1002/csr.2463" TargetMode="External"/><Relationship Id="rId72" Type="http://schemas.openxmlformats.org/officeDocument/2006/relationships/hyperlink" Target="https://doi.org/10.1080/13691066.2022.2063092" TargetMode="External"/><Relationship Id="rId3" Type="http://schemas.openxmlformats.org/officeDocument/2006/relationships/numbering" Target="numbering.xml"/><Relationship Id="rId12" Type="http://schemas.openxmlformats.org/officeDocument/2006/relationships/chart" Target="charts/chart2.xml"/><Relationship Id="rId17" Type="http://schemas.openxmlformats.org/officeDocument/2006/relationships/image" Target="media/image3.png"/><Relationship Id="rId25" Type="http://schemas.openxmlformats.org/officeDocument/2006/relationships/hyperlink" Target="https://doi.org/10.3390/su16135511" TargetMode="External"/><Relationship Id="rId33" Type="http://schemas.openxmlformats.org/officeDocument/2006/relationships/hyperlink" Target="https://doi.org/10.3390/su15086364" TargetMode="External"/><Relationship Id="rId38" Type="http://schemas.openxmlformats.org/officeDocument/2006/relationships/hyperlink" Target="https://doi.org/10.1111/joes.12525" TargetMode="External"/><Relationship Id="rId46" Type="http://schemas.openxmlformats.org/officeDocument/2006/relationships/hyperlink" Target="https://doi.org/10.3390/su15053949" TargetMode="External"/><Relationship Id="rId59" Type="http://schemas.openxmlformats.org/officeDocument/2006/relationships/hyperlink" Target="https://doi.org/10.35912/ijfam.v4i1.852" TargetMode="External"/><Relationship Id="rId67" Type="http://schemas.openxmlformats.org/officeDocument/2006/relationships/hyperlink" Target="https://papers.ssrn.com/sol3/papers.cfm?abstract_id=5240458" TargetMode="External"/><Relationship Id="rId20" Type="http://schemas.openxmlformats.org/officeDocument/2006/relationships/image" Target="media/image6.png"/><Relationship Id="rId41" Type="http://schemas.openxmlformats.org/officeDocument/2006/relationships/hyperlink" Target="https://doi.org/10.3390/ijfs10030063" TargetMode="External"/><Relationship Id="rId54" Type="http://schemas.openxmlformats.org/officeDocument/2006/relationships/hyperlink" Target="https://doi.org/10.3390/ai5020041" TargetMode="External"/><Relationship Id="rId62" Type="http://schemas.openxmlformats.org/officeDocument/2006/relationships/hyperlink" Target="https://doi.org/10.1016/j.jsis.2024.101885" TargetMode="External"/><Relationship Id="rId70" Type="http://schemas.openxmlformats.org/officeDocument/2006/relationships/hyperlink" Target="https://doi.org/10.47970/jml.v5i1.302"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group.accor.com/en/group" TargetMode="External"/><Relationship Id="rId28" Type="http://schemas.openxmlformats.org/officeDocument/2006/relationships/hyperlink" Target="https://pdfs.semanticscholar.org/b297/a823988fa5f3b58516df9f08c16c2c20d0e5.pdf" TargetMode="External"/><Relationship Id="rId36" Type="http://schemas.openxmlformats.org/officeDocument/2006/relationships/hyperlink" Target="https://papers.ssrn.com/sol3/papers.cfm?abstract_id=4155578" TargetMode="External"/><Relationship Id="rId49" Type="http://schemas.openxmlformats.org/officeDocument/2006/relationships/hyperlink" Target="https://doi.org/10.3390/su14020760" TargetMode="External"/><Relationship Id="rId57" Type="http://schemas.openxmlformats.org/officeDocument/2006/relationships/hyperlink" Target="https://doi.org/10.3390/admsci15040142" TargetMode="External"/><Relationship Id="rId10" Type="http://schemas.openxmlformats.org/officeDocument/2006/relationships/image" Target="media/image2.png"/><Relationship Id="rId31" Type="http://schemas.openxmlformats.org/officeDocument/2006/relationships/hyperlink" Target="https://journals.iarn.or.id/index.php/ARJ/article/view/208" TargetMode="External"/><Relationship Id="rId44" Type="http://schemas.openxmlformats.org/officeDocument/2006/relationships/hyperlink" Target="https://doi.org/10.3390/economies10030069" TargetMode="External"/><Relationship Id="rId52" Type="http://schemas.openxmlformats.org/officeDocument/2006/relationships/hyperlink" Target="https://onlinelibrary.wiley.com/doi/abs/10.1002/csr.2463" TargetMode="External"/><Relationship Id="rId60" Type="http://schemas.openxmlformats.org/officeDocument/2006/relationships/hyperlink" Target="https://doi.org/10.35912/ijfam.v4i1.852" TargetMode="External"/><Relationship Id="rId65" Type="http://schemas.openxmlformats.org/officeDocument/2006/relationships/hyperlink" Target="https://doi.org/10.1002/jtr.2640" TargetMode="External"/><Relationship Id="rId73" Type="http://schemas.openxmlformats.org/officeDocument/2006/relationships/hyperlink" Target="https://finance.yahoo.com/quote/AC.PA/financials/" TargetMode="External"/><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4.png"/><Relationship Id="rId39" Type="http://schemas.openxmlformats.org/officeDocument/2006/relationships/hyperlink" Target="https://doi.org/10.3390/ijfs13030173" TargetMode="External"/><Relationship Id="rId34" Type="http://schemas.openxmlformats.org/officeDocument/2006/relationships/hyperlink" Target="https://doi.org/10.3390/su15086364" TargetMode="External"/><Relationship Id="rId50" Type="http://schemas.openxmlformats.org/officeDocument/2006/relationships/hyperlink" Target="https://doi.org/10.3390/su14020760" TargetMode="External"/><Relationship Id="rId55" Type="http://schemas.openxmlformats.org/officeDocument/2006/relationships/hyperlink" Target="https://doi.org/10.1080/23311975.2022.2129354" TargetMode="External"/><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1080/13691066.2022.2063092" TargetMode="External"/><Relationship Id="rId2" Type="http://schemas.openxmlformats.org/officeDocument/2006/relationships/customXml" Target="../customXml/item2.xml"/><Relationship Id="rId29" Type="http://schemas.openxmlformats.org/officeDocument/2006/relationships/hyperlink" Target="https://www.nber.org/system/files/working_papers/w34892/w34892.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rgbClr val="002060"/>
                </a:solidFill>
                <a:latin typeface="Bradley Hand ITC" panose="03070402050302030203" pitchFamily="66" charset="0"/>
                <a:ea typeface="+mj-ea"/>
                <a:cs typeface="+mj-cs"/>
              </a:defRPr>
            </a:pPr>
            <a:r>
              <a:rPr lang="en-IN">
                <a:solidFill>
                  <a:srgbClr val="002060"/>
                </a:solidFill>
                <a:latin typeface="Bradley Hand ITC" panose="03070402050302030203" pitchFamily="66" charset="0"/>
              </a:rPr>
              <a:t>Profitability Ratios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rgbClr val="002060"/>
              </a:solidFill>
              <a:latin typeface="Bradley Hand ITC" panose="03070402050302030203" pitchFamily="66" charset="0"/>
              <a:ea typeface="+mj-ea"/>
              <a:cs typeface="+mj-cs"/>
            </a:defRPr>
          </a:pPr>
          <a:endParaRPr lang="en-US"/>
        </a:p>
      </c:txPr>
    </c:title>
    <c:autoTitleDeleted val="0"/>
    <c:plotArea>
      <c:layout/>
      <c:barChart>
        <c:barDir val="col"/>
        <c:grouping val="clustered"/>
        <c:varyColors val="0"/>
        <c:ser>
          <c:idx val="0"/>
          <c:order val="0"/>
          <c:tx>
            <c:strRef>
              <c:f>Graphs!$A$4</c:f>
              <c:strCache>
                <c:ptCount val="1"/>
                <c:pt idx="0">
                  <c:v>Net Profit Margin</c:v>
                </c:pt>
              </c:strCache>
            </c:strRef>
          </c:tx>
          <c:spPr>
            <a:solidFill>
              <a:schemeClr val="accent1"/>
            </a:solidFill>
            <a:ln>
              <a:noFill/>
            </a:ln>
            <a:effectLst/>
            <a:scene3d>
              <a:camera prst="orthographicFront"/>
              <a:lightRig rig="threePt" dir="t"/>
            </a:scene3d>
            <a:sp3d>
              <a:bevelT w="114300" prst="artDeco"/>
            </a:sp3d>
          </c:spPr>
          <c:invertIfNegative val="0"/>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Graphs!$B$2:$F$3</c:f>
              <c:strCache>
                <c:ptCount val="5"/>
                <c:pt idx="0">
                  <c:v>2021</c:v>
                </c:pt>
                <c:pt idx="1">
                  <c:v>2022</c:v>
                </c:pt>
                <c:pt idx="2">
                  <c:v>2023</c:v>
                </c:pt>
                <c:pt idx="3">
                  <c:v>2024</c:v>
                </c:pt>
                <c:pt idx="4">
                  <c:v>2025</c:v>
                </c:pt>
              </c:strCache>
            </c:strRef>
          </c:cat>
          <c:val>
            <c:numRef>
              <c:f>Graphs!$B$4:$F$4</c:f>
              <c:numCache>
                <c:formatCode>0.00%</c:formatCode>
                <c:ptCount val="5"/>
                <c:pt idx="0">
                  <c:v>4.0800000000000003E-2</c:v>
                </c:pt>
                <c:pt idx="1">
                  <c:v>0.1009</c:v>
                </c:pt>
                <c:pt idx="2">
                  <c:v>0.12859999999999999</c:v>
                </c:pt>
                <c:pt idx="3">
                  <c:v>0.10879999999999999</c:v>
                </c:pt>
                <c:pt idx="4">
                  <c:v>8.8499999999999995E-2</c:v>
                </c:pt>
              </c:numCache>
            </c:numRef>
          </c:val>
          <c:extLst>
            <c:ext xmlns:c16="http://schemas.microsoft.com/office/drawing/2014/chart" uri="{C3380CC4-5D6E-409C-BE32-E72D297353CC}">
              <c16:uniqueId val="{00000000-4188-498D-9D5D-53CA6A2F2D24}"/>
            </c:ext>
          </c:extLst>
        </c:ser>
        <c:ser>
          <c:idx val="1"/>
          <c:order val="1"/>
          <c:tx>
            <c:strRef>
              <c:f>Graphs!$A$5</c:f>
              <c:strCache>
                <c:ptCount val="1"/>
                <c:pt idx="0">
                  <c:v>Operating Profit Margin</c:v>
                </c:pt>
              </c:strCache>
            </c:strRef>
          </c:tx>
          <c:spPr>
            <a:solidFill>
              <a:schemeClr val="accent3"/>
            </a:solidFill>
            <a:ln>
              <a:noFill/>
            </a:ln>
            <a:effectLst/>
            <a:scene3d>
              <a:camera prst="orthographicFront"/>
              <a:lightRig rig="threePt" dir="t"/>
            </a:scene3d>
            <a:sp3d>
              <a:bevelT w="114300" prst="hardEdge"/>
            </a:sp3d>
          </c:spPr>
          <c:invertIfNegative val="0"/>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Graphs!$B$2:$F$3</c:f>
              <c:strCache>
                <c:ptCount val="5"/>
                <c:pt idx="0">
                  <c:v>2021</c:v>
                </c:pt>
                <c:pt idx="1">
                  <c:v>2022</c:v>
                </c:pt>
                <c:pt idx="2">
                  <c:v>2023</c:v>
                </c:pt>
                <c:pt idx="3">
                  <c:v>2024</c:v>
                </c:pt>
                <c:pt idx="4">
                  <c:v>2025</c:v>
                </c:pt>
              </c:strCache>
            </c:strRef>
          </c:cat>
          <c:val>
            <c:numRef>
              <c:f>Graphs!$B$5:$F$5</c:f>
              <c:numCache>
                <c:formatCode>0.00%</c:formatCode>
                <c:ptCount val="5"/>
                <c:pt idx="0">
                  <c:v>0.01</c:v>
                </c:pt>
                <c:pt idx="1">
                  <c:v>0.1598</c:v>
                </c:pt>
                <c:pt idx="2">
                  <c:v>0.19839999999999999</c:v>
                </c:pt>
                <c:pt idx="3">
                  <c:v>0.14019999999999999</c:v>
                </c:pt>
                <c:pt idx="4">
                  <c:v>0.1431</c:v>
                </c:pt>
              </c:numCache>
            </c:numRef>
          </c:val>
          <c:extLst>
            <c:ext xmlns:c16="http://schemas.microsoft.com/office/drawing/2014/chart" uri="{C3380CC4-5D6E-409C-BE32-E72D297353CC}">
              <c16:uniqueId val="{00000001-4188-498D-9D5D-53CA6A2F2D24}"/>
            </c:ext>
          </c:extLst>
        </c:ser>
        <c:dLbls>
          <c:dLblPos val="outEnd"/>
          <c:showLegendKey val="0"/>
          <c:showVal val="1"/>
          <c:showCatName val="0"/>
          <c:showSerName val="0"/>
          <c:showPercent val="0"/>
          <c:showBubbleSize val="0"/>
        </c:dLbls>
        <c:gapWidth val="267"/>
        <c:overlap val="-43"/>
        <c:axId val="1888737280"/>
        <c:axId val="1786272880"/>
      </c:barChart>
      <c:catAx>
        <c:axId val="188873728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rgbClr val="002060"/>
                </a:solidFill>
                <a:latin typeface="+mn-lt"/>
                <a:ea typeface="+mn-ea"/>
                <a:cs typeface="+mn-cs"/>
              </a:defRPr>
            </a:pPr>
            <a:endParaRPr lang="en-US"/>
          </a:p>
        </c:txPr>
        <c:crossAx val="1786272880"/>
        <c:crosses val="autoZero"/>
        <c:auto val="1"/>
        <c:lblAlgn val="ctr"/>
        <c:lblOffset val="100"/>
        <c:noMultiLvlLbl val="0"/>
      </c:catAx>
      <c:valAx>
        <c:axId val="1786272880"/>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crossAx val="1888737280"/>
        <c:crosses val="autoZero"/>
        <c:crossBetween val="between"/>
      </c:valAx>
      <c:spPr>
        <a:pattFill prst="ltDnDiag">
          <a:fgClr>
            <a:schemeClr val="dk1">
              <a:lumMod val="15000"/>
              <a:lumOff val="85000"/>
            </a:schemeClr>
          </a:fgClr>
          <a:bgClr>
            <a:schemeClr val="lt1"/>
          </a:bgClr>
        </a:pattFill>
        <a:ln>
          <a:noFill/>
        </a:ln>
        <a:effectLst>
          <a:outerShdw blurRad="50800" dist="38100" algn="l" rotWithShape="0">
            <a:prstClr val="black">
              <a:alpha val="40000"/>
            </a:prstClr>
          </a:outerShdw>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a:glow rad="139700">
        <a:schemeClr val="accent5">
          <a:satMod val="175000"/>
          <a:alpha val="40000"/>
        </a:schemeClr>
      </a:glow>
    </a:effectLst>
    <a:scene3d>
      <a:camera prst="orthographicFront"/>
      <a:lightRig rig="threePt" dir="t"/>
    </a:scene3d>
    <a:sp3d>
      <a:bevelT prst="convex"/>
    </a:sp3d>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rgbClr val="002060"/>
                </a:solidFill>
                <a:latin typeface="Bradley Hand ITC" panose="03070402050302030203" pitchFamily="66" charset="0"/>
                <a:ea typeface="+mn-ea"/>
                <a:cs typeface="+mn-cs"/>
              </a:defRPr>
            </a:pPr>
            <a:r>
              <a:rPr lang="en-IN">
                <a:solidFill>
                  <a:srgbClr val="002060"/>
                </a:solidFill>
                <a:latin typeface="Bradley Hand ITC" panose="03070402050302030203" pitchFamily="66" charset="0"/>
              </a:rPr>
              <a:t>Liquidity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rgbClr val="002060"/>
              </a:solidFill>
              <a:latin typeface="Bradley Hand ITC" panose="03070402050302030203" pitchFamily="66" charset="0"/>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outerShdw blurRad="50800" dist="38100" algn="l" rotWithShape="0">
            <a:prstClr val="black">
              <a:alpha val="40000"/>
            </a:prstClr>
          </a:outerShdw>
        </a:effectLst>
        <a:sp3d/>
      </c:spPr>
    </c:sideWall>
    <c:backWall>
      <c:thickness val="0"/>
      <c:spPr>
        <a:noFill/>
        <a:ln>
          <a:noFill/>
        </a:ln>
        <a:effectLst>
          <a:outerShdw blurRad="50800" dist="38100" algn="l" rotWithShape="0">
            <a:prstClr val="black">
              <a:alpha val="40000"/>
            </a:prstClr>
          </a:outerShdw>
        </a:effectLst>
        <a:sp3d/>
      </c:spPr>
    </c:backWall>
    <c:plotArea>
      <c:layout/>
      <c:bar3DChart>
        <c:barDir val="col"/>
        <c:grouping val="clustered"/>
        <c:varyColors val="0"/>
        <c:ser>
          <c:idx val="0"/>
          <c:order val="0"/>
          <c:tx>
            <c:strRef>
              <c:f>Graphs!$A$12</c:f>
              <c:strCache>
                <c:ptCount val="1"/>
                <c:pt idx="0">
                  <c:v>Current Ratio</c:v>
                </c:pt>
              </c:strCache>
            </c:strRef>
          </c:tx>
          <c:spPr>
            <a:solidFill>
              <a:schemeClr val="accent1">
                <a:alpha val="85000"/>
              </a:schemeClr>
            </a:solidFill>
            <a:ln w="9525" cap="flat" cmpd="sng" algn="ctr">
              <a:solidFill>
                <a:schemeClr val="accent1">
                  <a:lumMod val="75000"/>
                </a:schemeClr>
              </a:solidFill>
              <a:round/>
            </a:ln>
            <a:effectLst/>
            <a:scene3d>
              <a:camera prst="orthographicFront"/>
              <a:lightRig rig="threePt" dir="t"/>
            </a:scene3d>
            <a:sp3d contourW="9525">
              <a:bevelT w="114300" prst="artDeco"/>
              <a:contourClr>
                <a:schemeClr val="accent1">
                  <a:lumMod val="75000"/>
                </a:schemeClr>
              </a:contourClr>
            </a:sp3d>
          </c:spPr>
          <c:invertIfNegative val="0"/>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Graphs!$B$10:$F$11</c:f>
              <c:strCache>
                <c:ptCount val="5"/>
                <c:pt idx="0">
                  <c:v>2021</c:v>
                </c:pt>
                <c:pt idx="1">
                  <c:v>2022</c:v>
                </c:pt>
                <c:pt idx="2">
                  <c:v>2023</c:v>
                </c:pt>
                <c:pt idx="3">
                  <c:v>2024</c:v>
                </c:pt>
                <c:pt idx="4">
                  <c:v>2025</c:v>
                </c:pt>
              </c:strCache>
            </c:strRef>
          </c:cat>
          <c:val>
            <c:numRef>
              <c:f>Graphs!$B$12:$F$12</c:f>
              <c:numCache>
                <c:formatCode>General</c:formatCode>
                <c:ptCount val="5"/>
                <c:pt idx="0">
                  <c:v>1.17</c:v>
                </c:pt>
                <c:pt idx="1">
                  <c:v>1.23</c:v>
                </c:pt>
                <c:pt idx="2">
                  <c:v>0.98</c:v>
                </c:pt>
                <c:pt idx="3">
                  <c:v>1.05</c:v>
                </c:pt>
                <c:pt idx="4">
                  <c:v>1.05</c:v>
                </c:pt>
              </c:numCache>
            </c:numRef>
          </c:val>
          <c:extLst>
            <c:ext xmlns:c16="http://schemas.microsoft.com/office/drawing/2014/chart" uri="{C3380CC4-5D6E-409C-BE32-E72D297353CC}">
              <c16:uniqueId val="{00000000-E792-438C-B6A8-22C11EE0D3EB}"/>
            </c:ext>
          </c:extLst>
        </c:ser>
        <c:ser>
          <c:idx val="1"/>
          <c:order val="1"/>
          <c:tx>
            <c:strRef>
              <c:f>Graphs!$A$13</c:f>
              <c:strCache>
                <c:ptCount val="1"/>
                <c:pt idx="0">
                  <c:v>Cash Ratio</c:v>
                </c:pt>
              </c:strCache>
            </c:strRef>
          </c:tx>
          <c:spPr>
            <a:solidFill>
              <a:schemeClr val="accent3">
                <a:alpha val="85000"/>
              </a:schemeClr>
            </a:solidFill>
            <a:ln w="9525" cap="flat" cmpd="sng" algn="ctr">
              <a:solidFill>
                <a:schemeClr val="accent3">
                  <a:lumMod val="75000"/>
                </a:schemeClr>
              </a:solidFill>
              <a:round/>
            </a:ln>
            <a:effectLst/>
            <a:scene3d>
              <a:camera prst="orthographicFront"/>
              <a:lightRig rig="threePt" dir="t"/>
            </a:scene3d>
            <a:sp3d contourW="9525">
              <a:bevelT w="114300" prst="hardEdge"/>
              <a:contourClr>
                <a:schemeClr val="accent3">
                  <a:lumMod val="75000"/>
                </a:schemeClr>
              </a:contourClr>
            </a:sp3d>
          </c:spPr>
          <c:invertIfNegative val="0"/>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Graphs!$B$10:$F$11</c:f>
              <c:strCache>
                <c:ptCount val="5"/>
                <c:pt idx="0">
                  <c:v>2021</c:v>
                </c:pt>
                <c:pt idx="1">
                  <c:v>2022</c:v>
                </c:pt>
                <c:pt idx="2">
                  <c:v>2023</c:v>
                </c:pt>
                <c:pt idx="3">
                  <c:v>2024</c:v>
                </c:pt>
                <c:pt idx="4">
                  <c:v>2025</c:v>
                </c:pt>
              </c:strCache>
            </c:strRef>
          </c:cat>
          <c:val>
            <c:numRef>
              <c:f>Graphs!$B$13:$F$13</c:f>
              <c:numCache>
                <c:formatCode>General</c:formatCode>
                <c:ptCount val="5"/>
                <c:pt idx="0">
                  <c:v>0.63</c:v>
                </c:pt>
                <c:pt idx="1">
                  <c:v>0.56000000000000005</c:v>
                </c:pt>
                <c:pt idx="2">
                  <c:v>0.45</c:v>
                </c:pt>
                <c:pt idx="3">
                  <c:v>0.44</c:v>
                </c:pt>
                <c:pt idx="4">
                  <c:v>0.43</c:v>
                </c:pt>
              </c:numCache>
            </c:numRef>
          </c:val>
          <c:extLst>
            <c:ext xmlns:c16="http://schemas.microsoft.com/office/drawing/2014/chart" uri="{C3380CC4-5D6E-409C-BE32-E72D297353CC}">
              <c16:uniqueId val="{00000001-E792-438C-B6A8-22C11EE0D3EB}"/>
            </c:ext>
          </c:extLst>
        </c:ser>
        <c:dLbls>
          <c:showLegendKey val="0"/>
          <c:showVal val="1"/>
          <c:showCatName val="0"/>
          <c:showSerName val="0"/>
          <c:showPercent val="0"/>
          <c:showBubbleSize val="0"/>
        </c:dLbls>
        <c:gapWidth val="65"/>
        <c:shape val="box"/>
        <c:axId val="2002994736"/>
        <c:axId val="1879942768"/>
        <c:axId val="0"/>
      </c:bar3DChart>
      <c:catAx>
        <c:axId val="20029947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rgbClr val="002060"/>
                </a:solidFill>
                <a:latin typeface="+mn-lt"/>
                <a:ea typeface="+mn-ea"/>
                <a:cs typeface="+mn-cs"/>
              </a:defRPr>
            </a:pPr>
            <a:endParaRPr lang="en-US"/>
          </a:p>
        </c:txPr>
        <c:crossAx val="1879942768"/>
        <c:crosses val="autoZero"/>
        <c:auto val="1"/>
        <c:lblAlgn val="ctr"/>
        <c:lblOffset val="100"/>
        <c:noMultiLvlLbl val="0"/>
      </c:catAx>
      <c:valAx>
        <c:axId val="18799427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rgbClr val="002060"/>
                </a:solidFill>
                <a:latin typeface="+mn-lt"/>
                <a:ea typeface="+mn-ea"/>
                <a:cs typeface="+mn-cs"/>
              </a:defRPr>
            </a:pPr>
            <a:endParaRPr lang="en-US"/>
          </a:p>
        </c:txPr>
        <c:crossAx val="2002994736"/>
        <c:crosses val="autoZero"/>
        <c:crossBetween val="between"/>
      </c:valAx>
      <c:spPr>
        <a:noFill/>
        <a:ln>
          <a:noFill/>
        </a:ln>
        <a:effectLst>
          <a:outerShdw blurRad="50800" dist="38100" algn="l" rotWithShape="0">
            <a:prstClr val="black">
              <a:alpha val="40000"/>
            </a:prstClr>
          </a:outerShdw>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glow rad="139700">
        <a:schemeClr val="accent5">
          <a:satMod val="175000"/>
          <a:alpha val="40000"/>
        </a:schemeClr>
      </a:glow>
    </a:effectLst>
    <a:scene3d>
      <a:camera prst="orthographicFront"/>
      <a:lightRig rig="threePt" dir="t"/>
    </a:scene3d>
    <a:sp3d>
      <a:bevelT prst="convex"/>
    </a:sp3d>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Bradley Hand ITC" panose="03070402050302030203" pitchFamily="66" charset="0"/>
                <a:ea typeface="+mn-ea"/>
                <a:cs typeface="+mn-cs"/>
              </a:defRPr>
            </a:pPr>
            <a:r>
              <a:rPr lang="en-IN">
                <a:latin typeface="Bradley Hand ITC" panose="03070402050302030203" pitchFamily="66" charset="0"/>
              </a:rPr>
              <a:t>Asset Efficiency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Bradley Hand ITC" panose="03070402050302030203" pitchFamily="66" charset="0"/>
              <a:ea typeface="+mn-ea"/>
              <a:cs typeface="+mn-cs"/>
            </a:defRPr>
          </a:pPr>
          <a:endParaRPr lang="en-US"/>
        </a:p>
      </c:txPr>
    </c:title>
    <c:autoTitleDeleted val="0"/>
    <c:plotArea>
      <c:layout/>
      <c:barChart>
        <c:barDir val="col"/>
        <c:grouping val="clustered"/>
        <c:varyColors val="0"/>
        <c:ser>
          <c:idx val="1"/>
          <c:order val="1"/>
          <c:tx>
            <c:strRef>
              <c:f>Graphs!$A$8</c:f>
              <c:strCache>
                <c:ptCount val="1"/>
                <c:pt idx="0">
                  <c:v>Accounts Receivable Turnover</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invertIfNegative val="0"/>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Graphs!$B$6:$F$6</c:f>
              <c:numCache>
                <c:formatCode>General</c:formatCode>
                <c:ptCount val="5"/>
                <c:pt idx="0">
                  <c:v>2021</c:v>
                </c:pt>
                <c:pt idx="1">
                  <c:v>2022</c:v>
                </c:pt>
                <c:pt idx="2">
                  <c:v>2023</c:v>
                </c:pt>
                <c:pt idx="3">
                  <c:v>2024</c:v>
                </c:pt>
                <c:pt idx="4">
                  <c:v>2025</c:v>
                </c:pt>
              </c:numCache>
            </c:numRef>
          </c:cat>
          <c:val>
            <c:numRef>
              <c:f>Graphs!$B$8:$F$8</c:f>
              <c:numCache>
                <c:formatCode>General</c:formatCode>
                <c:ptCount val="5"/>
                <c:pt idx="0">
                  <c:v>3.58</c:v>
                </c:pt>
                <c:pt idx="1">
                  <c:v>5.67</c:v>
                </c:pt>
                <c:pt idx="2">
                  <c:v>6.25</c:v>
                </c:pt>
                <c:pt idx="3">
                  <c:v>6.89</c:v>
                </c:pt>
                <c:pt idx="4">
                  <c:v>6.91</c:v>
                </c:pt>
              </c:numCache>
            </c:numRef>
          </c:val>
          <c:extLst>
            <c:ext xmlns:c16="http://schemas.microsoft.com/office/drawing/2014/chart" uri="{C3380CC4-5D6E-409C-BE32-E72D297353CC}">
              <c16:uniqueId val="{00000000-26B2-43AB-B3C5-ADD733E92358}"/>
            </c:ext>
          </c:extLst>
        </c:ser>
        <c:ser>
          <c:idx val="2"/>
          <c:order val="2"/>
          <c:tx>
            <c:strRef>
              <c:f>Graphs!$A$9</c:f>
              <c:strCache>
                <c:ptCount val="1"/>
                <c:pt idx="0">
                  <c:v>Total Asset Turnover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hardEdge"/>
            </a:sp3d>
          </c:spPr>
          <c:invertIfNegative val="0"/>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Graphs!$B$6:$F$6</c:f>
              <c:numCache>
                <c:formatCode>General</c:formatCode>
                <c:ptCount val="5"/>
                <c:pt idx="0">
                  <c:v>2021</c:v>
                </c:pt>
                <c:pt idx="1">
                  <c:v>2022</c:v>
                </c:pt>
                <c:pt idx="2">
                  <c:v>2023</c:v>
                </c:pt>
                <c:pt idx="3">
                  <c:v>2024</c:v>
                </c:pt>
                <c:pt idx="4">
                  <c:v>2025</c:v>
                </c:pt>
              </c:numCache>
            </c:numRef>
          </c:cat>
          <c:val>
            <c:numRef>
              <c:f>Graphs!$B$9:$F$9</c:f>
              <c:numCache>
                <c:formatCode>General</c:formatCode>
                <c:ptCount val="5"/>
                <c:pt idx="0">
                  <c:v>0.21</c:v>
                </c:pt>
                <c:pt idx="1">
                  <c:v>0.38</c:v>
                </c:pt>
                <c:pt idx="2">
                  <c:v>0.44</c:v>
                </c:pt>
                <c:pt idx="3">
                  <c:v>0.48</c:v>
                </c:pt>
                <c:pt idx="4">
                  <c:v>0.47</c:v>
                </c:pt>
              </c:numCache>
            </c:numRef>
          </c:val>
          <c:extLst>
            <c:ext xmlns:c16="http://schemas.microsoft.com/office/drawing/2014/chart" uri="{C3380CC4-5D6E-409C-BE32-E72D297353CC}">
              <c16:uniqueId val="{00000001-26B2-43AB-B3C5-ADD733E92358}"/>
            </c:ext>
          </c:extLst>
        </c:ser>
        <c:dLbls>
          <c:dLblPos val="outEnd"/>
          <c:showLegendKey val="0"/>
          <c:showVal val="1"/>
          <c:showCatName val="0"/>
          <c:showSerName val="0"/>
          <c:showPercent val="0"/>
          <c:showBubbleSize val="0"/>
        </c:dLbls>
        <c:gapWidth val="100"/>
        <c:overlap val="-24"/>
        <c:axId val="1888760944"/>
        <c:axId val="1786190320"/>
        <c:extLst>
          <c:ext xmlns:c15="http://schemas.microsoft.com/office/drawing/2012/chart" uri="{02D57815-91ED-43cb-92C2-25804820EDAC}">
            <c15:filteredBarSeries>
              <c15:ser>
                <c:idx val="0"/>
                <c:order val="0"/>
                <c:tx>
                  <c:strRef>
                    <c:extLst>
                      <c:ext uri="{02D57815-91ED-43cb-92C2-25804820EDAC}">
                        <c15:formulaRef>
                          <c15:sqref>Graphs!#REF!</c15:sqref>
                        </c15:formulaRef>
                      </c:ext>
                    </c:extLst>
                    <c:strCache>
                      <c:ptCount val="1"/>
                      <c:pt idx="0">
                        <c:v>#REF!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Graphs!$B$6:$F$6</c15:sqref>
                        </c15:formulaRef>
                      </c:ext>
                    </c:extLst>
                    <c:numCache>
                      <c:formatCode>General</c:formatCode>
                      <c:ptCount val="5"/>
                      <c:pt idx="0">
                        <c:v>2021</c:v>
                      </c:pt>
                      <c:pt idx="1">
                        <c:v>2022</c:v>
                      </c:pt>
                      <c:pt idx="2">
                        <c:v>2023</c:v>
                      </c:pt>
                      <c:pt idx="3">
                        <c:v>2024</c:v>
                      </c:pt>
                      <c:pt idx="4">
                        <c:v>2025</c:v>
                      </c:pt>
                    </c:numCache>
                  </c:numRef>
                </c:cat>
                <c:val>
                  <c:numRef>
                    <c:extLst>
                      <c:ext uri="{02D57815-91ED-43cb-92C2-25804820EDAC}">
                        <c15:formulaRef>
                          <c15:sqref>Graphs!$B$7:$F$7</c15:sqref>
                        </c15:formulaRef>
                      </c:ext>
                    </c:extLst>
                    <c:numCache>
                      <c:formatCode>General</c:formatCode>
                      <c:ptCount val="5"/>
                    </c:numCache>
                  </c:numRef>
                </c:val>
                <c:extLst>
                  <c:ext xmlns:c16="http://schemas.microsoft.com/office/drawing/2014/chart" uri="{C3380CC4-5D6E-409C-BE32-E72D297353CC}">
                    <c16:uniqueId val="{00000002-26B2-43AB-B3C5-ADD733E92358}"/>
                  </c:ext>
                </c:extLst>
              </c15:ser>
            </c15:filteredBarSeries>
          </c:ext>
        </c:extLst>
      </c:barChart>
      <c:catAx>
        <c:axId val="18887609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1786190320"/>
        <c:crosses val="autoZero"/>
        <c:auto val="1"/>
        <c:lblAlgn val="ctr"/>
        <c:lblOffset val="100"/>
        <c:noMultiLvlLbl val="0"/>
      </c:catAx>
      <c:valAx>
        <c:axId val="178619032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1888760944"/>
        <c:crosses val="autoZero"/>
        <c:crossBetween val="between"/>
      </c:valAx>
      <c:spPr>
        <a:noFill/>
        <a:ln>
          <a:noFill/>
        </a:ln>
        <a:effectLst>
          <a:outerShdw blurRad="50800" dist="38100" sx="101000" sy="101000" algn="l" rotWithShape="0">
            <a:prstClr val="black">
              <a:alpha val="40000"/>
            </a:prstClr>
          </a:outerShdw>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a:glow rad="139700">
        <a:schemeClr val="accent5">
          <a:satMod val="175000"/>
          <a:alpha val="40000"/>
        </a:schemeClr>
      </a:glow>
    </a:effectLst>
    <a:scene3d>
      <a:camera prst="orthographicFront"/>
      <a:lightRig rig="threePt" dir="t"/>
    </a:scene3d>
    <a:sp3d>
      <a:bevelT prst="convex"/>
    </a:sp3d>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rgbClr val="002060"/>
              </a:solidFill>
              <a:latin typeface="Bradley Hand ITC" panose="03070402050302030203" pitchFamily="66" charset="0"/>
              <a:ea typeface="+mn-ea"/>
              <a:cs typeface="+mn-cs"/>
            </a:defRPr>
          </a:pPr>
          <a:endParaRPr lang="en-US"/>
        </a:p>
      </c:txPr>
    </c:title>
    <c:autoTitleDeleted val="0"/>
    <c:plotArea>
      <c:layout/>
      <c:pieChart>
        <c:varyColors val="1"/>
        <c:ser>
          <c:idx val="0"/>
          <c:order val="0"/>
          <c:tx>
            <c:strRef>
              <c:f>Graphs!$A$24</c:f>
              <c:strCache>
                <c:ptCount val="1"/>
                <c:pt idx="0">
                  <c:v>Gearing Ratio</c:v>
                </c:pt>
              </c:strCache>
            </c:strRef>
          </c:tx>
          <c:spPr>
            <a:scene3d>
              <a:camera prst="orthographicFront"/>
              <a:lightRig rig="threePt" dir="t"/>
            </a:scene3d>
            <a:sp3d>
              <a:bevelT w="114300" prst="artDeco"/>
            </a:sp3d>
          </c:spPr>
          <c:dPt>
            <c:idx val="0"/>
            <c:bubble3D val="0"/>
            <c:spPr>
              <a:solidFill>
                <a:schemeClr val="accent6"/>
              </a:solidFill>
              <a:ln>
                <a:noFill/>
              </a:ln>
              <a:effectLst>
                <a:outerShdw blurRad="254000" sx="102000" sy="102000" algn="ctr" rotWithShape="0">
                  <a:prstClr val="black">
                    <a:alpha val="20000"/>
                  </a:prstClr>
                </a:outerShdw>
              </a:effectLst>
              <a:scene3d>
                <a:camera prst="orthographicFront"/>
                <a:lightRig rig="threePt" dir="t"/>
              </a:scene3d>
              <a:sp3d>
                <a:bevelT w="114300" prst="artDeco"/>
              </a:sp3d>
            </c:spPr>
            <c:extLst>
              <c:ext xmlns:c16="http://schemas.microsoft.com/office/drawing/2014/chart" uri="{C3380CC4-5D6E-409C-BE32-E72D297353CC}">
                <c16:uniqueId val="{00000001-9217-44EB-8F70-BE30BC01E7E5}"/>
              </c:ext>
            </c:extLst>
          </c:dPt>
          <c:dPt>
            <c:idx val="1"/>
            <c:bubble3D val="0"/>
            <c:spPr>
              <a:solidFill>
                <a:schemeClr val="accent5"/>
              </a:solidFill>
              <a:ln>
                <a:noFill/>
              </a:ln>
              <a:effectLst>
                <a:outerShdw blurRad="254000" sx="102000" sy="102000" algn="ctr" rotWithShape="0">
                  <a:prstClr val="black">
                    <a:alpha val="20000"/>
                  </a:prstClr>
                </a:outerShdw>
              </a:effectLst>
              <a:scene3d>
                <a:camera prst="orthographicFront"/>
                <a:lightRig rig="threePt" dir="t"/>
              </a:scene3d>
              <a:sp3d>
                <a:bevelT w="114300" prst="artDeco"/>
              </a:sp3d>
            </c:spPr>
            <c:extLst>
              <c:ext xmlns:c16="http://schemas.microsoft.com/office/drawing/2014/chart" uri="{C3380CC4-5D6E-409C-BE32-E72D297353CC}">
                <c16:uniqueId val="{00000003-9217-44EB-8F70-BE30BC01E7E5}"/>
              </c:ext>
            </c:extLst>
          </c:dPt>
          <c:dPt>
            <c:idx val="2"/>
            <c:bubble3D val="0"/>
            <c:spPr>
              <a:solidFill>
                <a:schemeClr val="accent4"/>
              </a:solidFill>
              <a:ln>
                <a:noFill/>
              </a:ln>
              <a:effectLst>
                <a:outerShdw blurRad="254000" sx="102000" sy="102000" algn="ctr" rotWithShape="0">
                  <a:prstClr val="black">
                    <a:alpha val="20000"/>
                  </a:prstClr>
                </a:outerShdw>
              </a:effectLst>
              <a:scene3d>
                <a:camera prst="orthographicFront"/>
                <a:lightRig rig="threePt" dir="t"/>
              </a:scene3d>
              <a:sp3d>
                <a:bevelT w="114300" prst="artDeco"/>
              </a:sp3d>
            </c:spPr>
            <c:extLst>
              <c:ext xmlns:c16="http://schemas.microsoft.com/office/drawing/2014/chart" uri="{C3380CC4-5D6E-409C-BE32-E72D297353CC}">
                <c16:uniqueId val="{00000005-9217-44EB-8F70-BE30BC01E7E5}"/>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a:scene3d>
                <a:camera prst="orthographicFront"/>
                <a:lightRig rig="threePt" dir="t"/>
              </a:scene3d>
              <a:sp3d>
                <a:bevelT w="114300" prst="artDeco"/>
              </a:sp3d>
            </c:spPr>
            <c:extLst>
              <c:ext xmlns:c16="http://schemas.microsoft.com/office/drawing/2014/chart" uri="{C3380CC4-5D6E-409C-BE32-E72D297353CC}">
                <c16:uniqueId val="{00000007-9217-44EB-8F70-BE30BC01E7E5}"/>
              </c:ext>
            </c:extLst>
          </c:dPt>
          <c:dPt>
            <c:idx val="4"/>
            <c:bubble3D val="0"/>
            <c:spPr>
              <a:solidFill>
                <a:schemeClr val="accent5">
                  <a:lumMod val="60000"/>
                </a:schemeClr>
              </a:solidFill>
              <a:ln>
                <a:noFill/>
              </a:ln>
              <a:effectLst>
                <a:outerShdw blurRad="254000" sx="102000" sy="102000" algn="ctr" rotWithShape="0">
                  <a:prstClr val="black">
                    <a:alpha val="20000"/>
                  </a:prstClr>
                </a:outerShdw>
              </a:effectLst>
              <a:scene3d>
                <a:camera prst="orthographicFront"/>
                <a:lightRig rig="threePt" dir="t"/>
              </a:scene3d>
              <a:sp3d>
                <a:bevelT w="114300" prst="artDeco"/>
              </a:sp3d>
            </c:spPr>
            <c:extLst>
              <c:ext xmlns:c16="http://schemas.microsoft.com/office/drawing/2014/chart" uri="{C3380CC4-5D6E-409C-BE32-E72D297353CC}">
                <c16:uniqueId val="{00000009-9217-44EB-8F70-BE30BC01E7E5}"/>
              </c:ext>
            </c:extLst>
          </c:dPt>
          <c:dLbls>
            <c:spPr>
              <a:solidFill>
                <a:schemeClr val="accent6">
                  <a:lumMod val="20000"/>
                  <a:lumOff val="80000"/>
                </a:schemeClr>
              </a:solid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Graphs!$B$23:$F$23</c:f>
              <c:numCache>
                <c:formatCode>General</c:formatCode>
                <c:ptCount val="5"/>
                <c:pt idx="0">
                  <c:v>2021</c:v>
                </c:pt>
                <c:pt idx="1">
                  <c:v>2022</c:v>
                </c:pt>
                <c:pt idx="2">
                  <c:v>2023</c:v>
                </c:pt>
                <c:pt idx="3">
                  <c:v>2024</c:v>
                </c:pt>
                <c:pt idx="4">
                  <c:v>2025</c:v>
                </c:pt>
              </c:numCache>
            </c:numRef>
          </c:cat>
          <c:val>
            <c:numRef>
              <c:f>Graphs!$B$24:$F$24</c:f>
              <c:numCache>
                <c:formatCode>0%</c:formatCode>
                <c:ptCount val="5"/>
                <c:pt idx="0">
                  <c:v>0.7</c:v>
                </c:pt>
                <c:pt idx="1">
                  <c:v>0.53</c:v>
                </c:pt>
                <c:pt idx="2">
                  <c:v>0.49</c:v>
                </c:pt>
                <c:pt idx="3">
                  <c:v>0.55000000000000004</c:v>
                </c:pt>
                <c:pt idx="4">
                  <c:v>0.78</c:v>
                </c:pt>
              </c:numCache>
            </c:numRef>
          </c:val>
          <c:extLst>
            <c:ext xmlns:c16="http://schemas.microsoft.com/office/drawing/2014/chart" uri="{C3380CC4-5D6E-409C-BE32-E72D297353CC}">
              <c16:uniqueId val="{0000000A-9217-44EB-8F70-BE30BC01E7E5}"/>
            </c:ext>
          </c:extLst>
        </c:ser>
        <c:dLbls>
          <c:showLegendKey val="0"/>
          <c:showVal val="0"/>
          <c:showCatName val="0"/>
          <c:showSerName val="0"/>
          <c:showPercent val="0"/>
          <c:showBubbleSize val="0"/>
          <c:showLeaderLines val="1"/>
        </c:dLbls>
        <c:firstSliceAng val="0"/>
      </c:pieChart>
      <c:spPr>
        <a:noFill/>
        <a:ln>
          <a:noFill/>
        </a:ln>
        <a:effectLst>
          <a:outerShdw blurRad="50800" dist="38100" algn="l" rotWithShape="0">
            <a:prstClr val="black">
              <a:alpha val="40000"/>
            </a:prstClr>
          </a:outerShdw>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glow rad="139700">
        <a:schemeClr val="accent5">
          <a:satMod val="175000"/>
          <a:alpha val="40000"/>
        </a:schemeClr>
      </a:glow>
    </a:effectLst>
    <a:scene3d>
      <a:camera prst="orthographicFront"/>
      <a:lightRig rig="threePt" dir="t"/>
    </a:scene3d>
    <a:sp3d>
      <a:bevelT prst="convex"/>
    </a:sp3d>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spc="20" baseline="0">
                <a:solidFill>
                  <a:srgbClr val="002060"/>
                </a:solidFill>
                <a:latin typeface="Bradley Hand ITC" panose="03070402050302030203" pitchFamily="66" charset="0"/>
                <a:ea typeface="+mn-ea"/>
                <a:cs typeface="+mn-cs"/>
              </a:defRPr>
            </a:pPr>
            <a:r>
              <a:rPr lang="en-IN" b="1">
                <a:solidFill>
                  <a:srgbClr val="002060"/>
                </a:solidFill>
                <a:latin typeface="Bradley Hand ITC" panose="03070402050302030203" pitchFamily="66" charset="0"/>
              </a:rPr>
              <a:t>Investor Ratio</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rgbClr val="002060"/>
              </a:solidFill>
              <a:latin typeface="Bradley Hand ITC" panose="03070402050302030203" pitchFamily="66" charset="0"/>
              <a:ea typeface="+mn-ea"/>
              <a:cs typeface="+mn-cs"/>
            </a:defRPr>
          </a:pPr>
          <a:endParaRPr lang="en-US"/>
        </a:p>
      </c:txPr>
    </c:title>
    <c:autoTitleDeleted val="0"/>
    <c:plotArea>
      <c:layout/>
      <c:lineChart>
        <c:grouping val="standard"/>
        <c:varyColors val="0"/>
        <c:ser>
          <c:idx val="0"/>
          <c:order val="0"/>
          <c:tx>
            <c:strRef>
              <c:f>Graphs!$A$16</c:f>
              <c:strCache>
                <c:ptCount val="1"/>
                <c:pt idx="0">
                  <c:v>Earning Per Share (EPS)</c:v>
                </c:pt>
              </c:strCache>
            </c:strRef>
          </c:tx>
          <c:spPr>
            <a:ln w="22225" cap="rnd" cmpd="sng" algn="ctr">
              <a:solidFill>
                <a:schemeClr val="accent6"/>
              </a:solidFill>
              <a:round/>
            </a:ln>
            <a:effectLst/>
          </c:spPr>
          <c:marker>
            <c:symbol val="none"/>
          </c:marker>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Graphs!$B$14:$F$15</c:f>
              <c:strCache>
                <c:ptCount val="5"/>
                <c:pt idx="0">
                  <c:v>2021</c:v>
                </c:pt>
                <c:pt idx="1">
                  <c:v>2022</c:v>
                </c:pt>
                <c:pt idx="2">
                  <c:v>2023</c:v>
                </c:pt>
                <c:pt idx="3">
                  <c:v>2024</c:v>
                </c:pt>
                <c:pt idx="4">
                  <c:v>2025</c:v>
                </c:pt>
              </c:strCache>
            </c:strRef>
          </c:cat>
          <c:val>
            <c:numRef>
              <c:f>Graphs!$B$16:$F$16</c:f>
              <c:numCache>
                <c:formatCode>General</c:formatCode>
                <c:ptCount val="5"/>
                <c:pt idx="0">
                  <c:v>0.35</c:v>
                </c:pt>
                <c:pt idx="1">
                  <c:v>1.68</c:v>
                </c:pt>
                <c:pt idx="2">
                  <c:v>2.61</c:v>
                </c:pt>
                <c:pt idx="3">
                  <c:v>2.48</c:v>
                </c:pt>
                <c:pt idx="4">
                  <c:v>2.08</c:v>
                </c:pt>
              </c:numCache>
            </c:numRef>
          </c:val>
          <c:smooth val="0"/>
          <c:extLst>
            <c:ext xmlns:c16="http://schemas.microsoft.com/office/drawing/2014/chart" uri="{C3380CC4-5D6E-409C-BE32-E72D297353CC}">
              <c16:uniqueId val="{00000000-4F77-4493-A697-07839FFB65CF}"/>
            </c:ext>
          </c:extLst>
        </c:ser>
        <c:ser>
          <c:idx val="1"/>
          <c:order val="1"/>
          <c:tx>
            <c:strRef>
              <c:f>Graphs!$A$17</c:f>
              <c:strCache>
                <c:ptCount val="1"/>
                <c:pt idx="0">
                  <c:v>Price-to-Earnings (P/E) Ratio</c:v>
                </c:pt>
              </c:strCache>
            </c:strRef>
          </c:tx>
          <c:spPr>
            <a:ln w="22225" cap="rnd" cmpd="sng" algn="ctr">
              <a:solidFill>
                <a:schemeClr val="accent5"/>
              </a:solidFill>
              <a:round/>
            </a:ln>
            <a:effectLst/>
          </c:spPr>
          <c:marker>
            <c:symbol val="none"/>
          </c:marker>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Graphs!$B$14:$F$15</c:f>
              <c:strCache>
                <c:ptCount val="5"/>
                <c:pt idx="0">
                  <c:v>2021</c:v>
                </c:pt>
                <c:pt idx="1">
                  <c:v>2022</c:v>
                </c:pt>
                <c:pt idx="2">
                  <c:v>2023</c:v>
                </c:pt>
                <c:pt idx="3">
                  <c:v>2024</c:v>
                </c:pt>
                <c:pt idx="4">
                  <c:v>2025</c:v>
                </c:pt>
              </c:strCache>
            </c:strRef>
          </c:cat>
          <c:val>
            <c:numRef>
              <c:f>Graphs!$B$17:$F$17</c:f>
              <c:numCache>
                <c:formatCode>General</c:formatCode>
                <c:ptCount val="5"/>
                <c:pt idx="0">
                  <c:v>89.81</c:v>
                </c:pt>
                <c:pt idx="1">
                  <c:v>16.559999999999999</c:v>
                </c:pt>
                <c:pt idx="2">
                  <c:v>13.73</c:v>
                </c:pt>
                <c:pt idx="3">
                  <c:v>16.190000000000001</c:v>
                </c:pt>
                <c:pt idx="4">
                  <c:v>22.31</c:v>
                </c:pt>
              </c:numCache>
            </c:numRef>
          </c:val>
          <c:smooth val="0"/>
          <c:extLst>
            <c:ext xmlns:c16="http://schemas.microsoft.com/office/drawing/2014/chart" uri="{C3380CC4-5D6E-409C-BE32-E72D297353CC}">
              <c16:uniqueId val="{00000001-4F77-4493-A697-07839FFB65C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034663488"/>
        <c:axId val="1879990288"/>
      </c:lineChart>
      <c:catAx>
        <c:axId val="2034663488"/>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rgbClr val="002060"/>
                </a:solidFill>
                <a:latin typeface="+mn-lt"/>
                <a:ea typeface="+mn-ea"/>
                <a:cs typeface="+mn-cs"/>
              </a:defRPr>
            </a:pPr>
            <a:endParaRPr lang="en-US"/>
          </a:p>
        </c:txPr>
        <c:crossAx val="1879990288"/>
        <c:crosses val="autoZero"/>
        <c:auto val="1"/>
        <c:lblAlgn val="ctr"/>
        <c:lblOffset val="100"/>
        <c:noMultiLvlLbl val="0"/>
      </c:catAx>
      <c:valAx>
        <c:axId val="18799902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rgbClr val="002060"/>
                </a:solidFill>
                <a:latin typeface="+mn-lt"/>
                <a:ea typeface="+mn-ea"/>
                <a:cs typeface="+mn-cs"/>
              </a:defRPr>
            </a:pPr>
            <a:endParaRPr lang="en-US"/>
          </a:p>
        </c:txPr>
        <c:crossAx val="2034663488"/>
        <c:crosses val="autoZero"/>
        <c:crossBetween val="between"/>
      </c:valAx>
      <c:spPr>
        <a:gradFill>
          <a:gsLst>
            <a:gs pos="100000">
              <a:schemeClr val="lt1">
                <a:lumMod val="95000"/>
              </a:schemeClr>
            </a:gs>
            <a:gs pos="0">
              <a:schemeClr val="lt1"/>
            </a:gs>
          </a:gsLst>
          <a:lin ang="5400000" scaled="0"/>
        </a:gradFill>
        <a:ln>
          <a:noFill/>
        </a:ln>
        <a:effectLst>
          <a:outerShdw blurRad="50800" dist="38100" algn="l" rotWithShape="0">
            <a:prstClr val="black">
              <a:alpha val="40000"/>
            </a:prstClr>
          </a:outerShdw>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a:glow rad="139700">
        <a:schemeClr val="accent5">
          <a:satMod val="175000"/>
          <a:alpha val="40000"/>
        </a:schemeClr>
      </a:glow>
    </a:effectLst>
    <a:scene3d>
      <a:camera prst="orthographicFront"/>
      <a:lightRig rig="threePt" dir="t"/>
    </a:scene3d>
    <a:sp3d>
      <a:bevelT prst="convex"/>
    </a:sp3d>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rgbClr val="002060"/>
                </a:solidFill>
                <a:latin typeface="Bradley Hand ITC" panose="03070402050302030203" pitchFamily="66" charset="0"/>
                <a:ea typeface="+mn-ea"/>
                <a:cs typeface="+mn-cs"/>
              </a:defRPr>
            </a:pPr>
            <a:r>
              <a:rPr lang="en-IN">
                <a:solidFill>
                  <a:srgbClr val="002060"/>
                </a:solidFill>
                <a:latin typeface="Bradley Hand ITC" panose="03070402050302030203" pitchFamily="66" charset="0"/>
              </a:rPr>
              <a:t>Cash Flow</a:t>
            </a:r>
          </a:p>
        </c:rich>
      </c:tx>
      <c:overlay val="0"/>
      <c:spPr>
        <a:noFill/>
        <a:ln>
          <a:noFill/>
        </a:ln>
        <a:effectLst/>
      </c:spPr>
      <c:txPr>
        <a:bodyPr rot="0" spcFirstLastPara="1" vertOverflow="ellipsis" vert="horz" wrap="square" anchor="ctr" anchorCtr="1"/>
        <a:lstStyle/>
        <a:p>
          <a:pPr>
            <a:defRPr sz="1600" b="1" i="0" u="none" strike="noStrike" kern="1200" baseline="0">
              <a:solidFill>
                <a:srgbClr val="002060"/>
              </a:solidFill>
              <a:latin typeface="Bradley Hand ITC" panose="03070402050302030203" pitchFamily="66" charset="0"/>
              <a:ea typeface="+mn-ea"/>
              <a:cs typeface="+mn-cs"/>
            </a:defRPr>
          </a:pPr>
          <a:endParaRPr lang="en-US"/>
        </a:p>
      </c:txPr>
    </c:title>
    <c:autoTitleDeleted val="0"/>
    <c:plotArea>
      <c:layout/>
      <c:barChart>
        <c:barDir val="bar"/>
        <c:grouping val="clustered"/>
        <c:varyColors val="0"/>
        <c:ser>
          <c:idx val="0"/>
          <c:order val="0"/>
          <c:tx>
            <c:strRef>
              <c:f>Graphs!$A$20</c:f>
              <c:strCache>
                <c:ptCount val="1"/>
                <c:pt idx="0">
                  <c:v>Operating cash Flow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hardEdge"/>
            </a:sp3d>
          </c:spPr>
          <c:invertIfNegative val="0"/>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Graphs!$B$18:$F$19</c:f>
              <c:strCache>
                <c:ptCount val="5"/>
                <c:pt idx="0">
                  <c:v>2021</c:v>
                </c:pt>
                <c:pt idx="1">
                  <c:v>2022</c:v>
                </c:pt>
                <c:pt idx="2">
                  <c:v>2023</c:v>
                </c:pt>
                <c:pt idx="3">
                  <c:v>2024</c:v>
                </c:pt>
                <c:pt idx="4">
                  <c:v>2025</c:v>
                </c:pt>
              </c:strCache>
            </c:strRef>
          </c:cat>
          <c:val>
            <c:numRef>
              <c:f>Graphs!$B$20:$F$20</c:f>
              <c:numCache>
                <c:formatCode>General</c:formatCode>
                <c:ptCount val="5"/>
                <c:pt idx="0">
                  <c:v>0.21</c:v>
                </c:pt>
                <c:pt idx="1">
                  <c:v>0.24</c:v>
                </c:pt>
                <c:pt idx="2">
                  <c:v>0.31</c:v>
                </c:pt>
                <c:pt idx="3">
                  <c:v>0.26</c:v>
                </c:pt>
                <c:pt idx="4">
                  <c:v>0.28999999999999998</c:v>
                </c:pt>
              </c:numCache>
            </c:numRef>
          </c:val>
          <c:extLst>
            <c:ext xmlns:c16="http://schemas.microsoft.com/office/drawing/2014/chart" uri="{C3380CC4-5D6E-409C-BE32-E72D297353CC}">
              <c16:uniqueId val="{00000000-9E30-4314-892E-15A3B22BA096}"/>
            </c:ext>
          </c:extLst>
        </c:ser>
        <c:ser>
          <c:idx val="1"/>
          <c:order val="1"/>
          <c:tx>
            <c:strRef>
              <c:f>Graphs!$A$21</c:f>
              <c:strCache>
                <c:ptCount val="1"/>
                <c:pt idx="0">
                  <c:v>Free Cash Flow Ratio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invertIfNegative val="0"/>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Graphs!$B$18:$F$19</c:f>
              <c:strCache>
                <c:ptCount val="5"/>
                <c:pt idx="0">
                  <c:v>2021</c:v>
                </c:pt>
                <c:pt idx="1">
                  <c:v>2022</c:v>
                </c:pt>
                <c:pt idx="2">
                  <c:v>2023</c:v>
                </c:pt>
                <c:pt idx="3">
                  <c:v>2024</c:v>
                </c:pt>
                <c:pt idx="4">
                  <c:v>2025</c:v>
                </c:pt>
              </c:strCache>
            </c:strRef>
          </c:cat>
          <c:val>
            <c:numRef>
              <c:f>Graphs!$B$21:$F$21</c:f>
              <c:numCache>
                <c:formatCode>General</c:formatCode>
                <c:ptCount val="5"/>
                <c:pt idx="0">
                  <c:v>0.17</c:v>
                </c:pt>
                <c:pt idx="1">
                  <c:v>0.11</c:v>
                </c:pt>
                <c:pt idx="2">
                  <c:v>0.1</c:v>
                </c:pt>
                <c:pt idx="3">
                  <c:v>0.05</c:v>
                </c:pt>
                <c:pt idx="4">
                  <c:v>7.0000000000000007E-2</c:v>
                </c:pt>
              </c:numCache>
            </c:numRef>
          </c:val>
          <c:extLst>
            <c:ext xmlns:c16="http://schemas.microsoft.com/office/drawing/2014/chart" uri="{C3380CC4-5D6E-409C-BE32-E72D297353CC}">
              <c16:uniqueId val="{00000001-9E30-4314-892E-15A3B22BA096}"/>
            </c:ext>
          </c:extLst>
        </c:ser>
        <c:dLbls>
          <c:dLblPos val="outEnd"/>
          <c:showLegendKey val="0"/>
          <c:showVal val="1"/>
          <c:showCatName val="0"/>
          <c:showSerName val="0"/>
          <c:showPercent val="0"/>
          <c:showBubbleSize val="0"/>
        </c:dLbls>
        <c:gapWidth val="115"/>
        <c:overlap val="-20"/>
        <c:axId val="2045042288"/>
        <c:axId val="1880066608"/>
      </c:barChart>
      <c:catAx>
        <c:axId val="2045042288"/>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crossAx val="1880066608"/>
        <c:crosses val="autoZero"/>
        <c:auto val="1"/>
        <c:lblAlgn val="ctr"/>
        <c:lblOffset val="100"/>
        <c:noMultiLvlLbl val="0"/>
      </c:catAx>
      <c:valAx>
        <c:axId val="18800666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crossAx val="2045042288"/>
        <c:crosses val="autoZero"/>
        <c:crossBetween val="between"/>
      </c:valAx>
      <c:spPr>
        <a:noFill/>
        <a:ln>
          <a:noFill/>
        </a:ln>
        <a:effectLst>
          <a:outerShdw blurRad="50800" dist="38100" algn="l" rotWithShape="0">
            <a:prstClr val="black">
              <a:alpha val="40000"/>
            </a:prstClr>
          </a:outerShdw>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a:glow rad="139700">
        <a:schemeClr val="accent5">
          <a:satMod val="175000"/>
          <a:alpha val="40000"/>
        </a:schemeClr>
      </a:glow>
    </a:effectLst>
    <a:scene3d>
      <a:camera prst="orthographicFront"/>
      <a:lightRig rig="threePt" dir="t"/>
    </a:scene3d>
    <a:sp3d>
      <a:bevelT prst="convex"/>
    </a:sp3d>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KkCAoC2A5qZ4F2KWxZJwacK93w==">CgMxLjAaJQoBMBIgCh4IB0IaCg9UaW1lcyBOZXcgUm9tYW4SB0d1bmdzdWgaJQoBMRIgCh4IB0IaCg9UaW1lcyBOZXcgUm9tYW4SB0d1bmdzdWgyDmgudHZkenBqa2JybWF4Mg1oLm02OTF2ZnRjcmhxMg5oLmVvb2YwZmwzZW9idTIOaC5rbTcxdmV5MzhwZHoyDmgudGJmZXN1ZWZvNGZ2Mg5oLjM5dzM4cnFobmd2NTIOaC41am1wb3FqejNmMjUyDmguN2NuZnN2ZXdnc3JkMg5oLnBlZ2gzNjlheDM1djIOaC41a2ZncmNvYzl1dXUyDWguZDVzcXExcHhkZjMyDmguaHdzZ3Q0ODllZHRxMg5oLmJ4eWpzeXllYXYxMTIOaC5jZGozc2VpcHV6dWY4AHIhMVJtT0J6ak5GeGtwNUppZW0tU0FwSHNud3BaSXk5WS1B</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C4151D7-95CC-4A75-9342-FEBC3E301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7926</Words>
  <Characters>45180</Characters>
  <Application>Microsoft Office Word</Application>
  <DocSecurity>0</DocSecurity>
  <Lines>376</Lines>
  <Paragraphs>105</Paragraphs>
  <ScaleCrop>false</ScaleCrop>
  <Company/>
  <LinksUpToDate>false</LinksUpToDate>
  <CharactersWithSpaces>53001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
  <cp:revision>5</cp:revision>
  <dcterms:created xsi:type="dcterms:W3CDTF">2026-08-13T10:05:00Z</dcterms:created>
  <dcterms:modified xsi:type="dcterms:W3CDTF">2026-08-13T10:05:00Z</dcterms:modified>
</cp:coreProperties>
</file>