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78ECF" w14:textId="77777777" w:rsidR="001F1D25" w:rsidRPr="00F504CD" w:rsidRDefault="001F1D25" w:rsidP="001F1D25">
      <w:pPr>
        <w:jc w:val="center"/>
        <w:rPr>
          <w:rFonts w:ascii="Arial" w:hAnsi="Arial" w:cs="Arial"/>
          <w:b/>
          <w:bCs/>
          <w:lang w:val=""/>
        </w:rPr>
      </w:pPr>
      <w:r w:rsidRPr="00F504CD">
        <w:rPr>
          <w:rFonts w:ascii="Arial" w:hAnsi="Arial" w:cs="Arial"/>
          <w:noProof/>
          <w:lang w:val="en-AU"/>
        </w:rPr>
        <w:drawing>
          <wp:inline distT="0" distB="0" distL="0" distR="0" wp14:anchorId="6397722B" wp14:editId="4403D7C7">
            <wp:extent cx="3512820" cy="2031268"/>
            <wp:effectExtent l="0" t="0" r="0" b="7620"/>
            <wp:docPr id="1569182336" name="Picture 1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182336" name="Picture 12"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3284" cy="2037319"/>
                    </a:xfrm>
                    <a:prstGeom prst="rect">
                      <a:avLst/>
                    </a:prstGeom>
                    <a:noFill/>
                    <a:ln>
                      <a:noFill/>
                    </a:ln>
                  </pic:spPr>
                </pic:pic>
              </a:graphicData>
            </a:graphic>
          </wp:inline>
        </w:drawing>
      </w:r>
    </w:p>
    <w:p w14:paraId="050E6DB3" w14:textId="77777777" w:rsidR="001F1D25" w:rsidRPr="00F504CD" w:rsidRDefault="001F1D25" w:rsidP="001F1D25">
      <w:pPr>
        <w:jc w:val="center"/>
        <w:rPr>
          <w:rFonts w:ascii="Arial" w:hAnsi="Arial" w:cs="Arial"/>
          <w:b/>
          <w:bCs/>
          <w:lang w:val=""/>
        </w:rPr>
      </w:pPr>
    </w:p>
    <w:p w14:paraId="15931EFB" w14:textId="77777777" w:rsidR="001F1D25" w:rsidRPr="00F504CD" w:rsidRDefault="001F1D25" w:rsidP="001F1D25">
      <w:pPr>
        <w:jc w:val="center"/>
        <w:rPr>
          <w:rFonts w:ascii="Arial" w:hAnsi="Arial" w:cs="Arial"/>
          <w:b/>
          <w:bCs/>
          <w:lang w:val=""/>
        </w:rPr>
      </w:pPr>
    </w:p>
    <w:p w14:paraId="48184A71" w14:textId="77777777" w:rsidR="001F1D25" w:rsidRPr="00F504CD" w:rsidRDefault="001F1D25" w:rsidP="001F1D25">
      <w:pPr>
        <w:jc w:val="center"/>
        <w:rPr>
          <w:rFonts w:ascii="Arial" w:hAnsi="Arial" w:cs="Arial"/>
          <w:b/>
          <w:bCs/>
          <w:lang w:val=""/>
        </w:rPr>
      </w:pPr>
    </w:p>
    <w:p w14:paraId="66ECA0EC" w14:textId="77777777" w:rsidR="001F1D25" w:rsidRPr="00F504CD" w:rsidRDefault="001F1D25" w:rsidP="001F1D25">
      <w:pPr>
        <w:jc w:val="center"/>
        <w:rPr>
          <w:rFonts w:ascii="Arial" w:hAnsi="Arial" w:cs="Arial"/>
          <w:b/>
          <w:bCs/>
          <w:lang w:val=""/>
        </w:rPr>
      </w:pPr>
    </w:p>
    <w:p w14:paraId="1EE66FB4" w14:textId="77777777" w:rsidR="001F1D25" w:rsidRPr="00F504CD" w:rsidRDefault="001F1D25" w:rsidP="001F1D25">
      <w:pPr>
        <w:jc w:val="center"/>
        <w:rPr>
          <w:rFonts w:ascii="Arial" w:hAnsi="Arial" w:cs="Arial"/>
          <w:bCs/>
          <w:lang w:val=""/>
        </w:rPr>
      </w:pPr>
    </w:p>
    <w:p w14:paraId="09580A6F" w14:textId="77777777" w:rsidR="001F1D25" w:rsidRPr="00F504CD" w:rsidRDefault="001F1D25" w:rsidP="001F1D25">
      <w:pPr>
        <w:jc w:val="center"/>
        <w:rPr>
          <w:rFonts w:ascii="Arial" w:hAnsi="Arial" w:cs="Arial"/>
          <w:bCs/>
          <w:lang w:val=""/>
        </w:rPr>
      </w:pPr>
    </w:p>
    <w:p w14:paraId="11950717" w14:textId="77777777" w:rsidR="001F1D25" w:rsidRPr="00F504CD" w:rsidRDefault="001F1D25" w:rsidP="001F1D25">
      <w:pPr>
        <w:jc w:val="center"/>
        <w:rPr>
          <w:rFonts w:ascii="Arial" w:hAnsi="Arial" w:cs="Arial"/>
          <w:bCs/>
          <w:lang w:val=""/>
        </w:rPr>
      </w:pPr>
    </w:p>
    <w:p w14:paraId="1D3DAAC4" w14:textId="77777777" w:rsidR="001F1D25" w:rsidRDefault="001F1D25" w:rsidP="001F1D25">
      <w:pPr>
        <w:rPr>
          <w:b/>
          <w:bCs/>
        </w:rPr>
      </w:pPr>
    </w:p>
    <w:p w14:paraId="61CCD786" w14:textId="319A3B71" w:rsidR="001F1D25" w:rsidRPr="00C96AA4" w:rsidRDefault="001F1D25" w:rsidP="001F1D25">
      <w:pPr>
        <w:jc w:val="center"/>
        <w:rPr>
          <w:rFonts w:ascii="Arial" w:hAnsi="Arial" w:cs="Arial"/>
          <w:b/>
          <w:bCs/>
        </w:rPr>
      </w:pPr>
      <w:r w:rsidRPr="00C96AA4">
        <w:rPr>
          <w:rFonts w:ascii="Arial" w:hAnsi="Arial" w:cs="Arial"/>
          <w:b/>
          <w:bCs/>
        </w:rPr>
        <w:t xml:space="preserve">Assessment </w:t>
      </w:r>
      <w:r w:rsidRPr="00C96AA4">
        <w:rPr>
          <w:rFonts w:ascii="Arial" w:hAnsi="Arial" w:cs="Arial"/>
          <w:b/>
          <w:bCs/>
        </w:rPr>
        <w:t>1</w:t>
      </w:r>
    </w:p>
    <w:p w14:paraId="0A7523F9" w14:textId="77777777" w:rsidR="001F1D25" w:rsidRPr="00C96AA4" w:rsidRDefault="001F1D25" w:rsidP="001F1D25">
      <w:pPr>
        <w:rPr>
          <w:rFonts w:ascii="Arial" w:hAnsi="Arial" w:cs="Arial"/>
          <w:b/>
          <w:bCs/>
        </w:rPr>
      </w:pPr>
    </w:p>
    <w:p w14:paraId="4AF1B756" w14:textId="13A2B20E" w:rsidR="001F1D25" w:rsidRPr="00C96AA4" w:rsidRDefault="001F1D25" w:rsidP="001F1D25">
      <w:pPr>
        <w:jc w:val="center"/>
        <w:rPr>
          <w:rFonts w:ascii="Arial" w:hAnsi="Arial" w:cs="Arial"/>
        </w:rPr>
      </w:pPr>
      <w:r w:rsidRPr="00C96AA4">
        <w:rPr>
          <w:rFonts w:ascii="Arial" w:hAnsi="Arial" w:cs="Arial"/>
          <w:b/>
          <w:bCs/>
        </w:rPr>
        <w:t xml:space="preserve">Module </w:t>
      </w:r>
      <w:proofErr w:type="gramStart"/>
      <w:r w:rsidRPr="00C96AA4">
        <w:rPr>
          <w:rFonts w:ascii="Arial" w:hAnsi="Arial" w:cs="Arial"/>
          <w:b/>
          <w:bCs/>
        </w:rPr>
        <w:t>Name :</w:t>
      </w:r>
      <w:proofErr w:type="gramEnd"/>
      <w:r w:rsidRPr="00C96AA4">
        <w:rPr>
          <w:rFonts w:ascii="Arial" w:hAnsi="Arial" w:cs="Arial"/>
          <w:b/>
          <w:bCs/>
        </w:rPr>
        <w:t xml:space="preserve"> </w:t>
      </w:r>
      <w:r w:rsidRPr="00C96AA4">
        <w:rPr>
          <w:rFonts w:ascii="Arial" w:hAnsi="Arial" w:cs="Arial"/>
        </w:rPr>
        <w:t xml:space="preserve"> </w:t>
      </w:r>
      <w:r w:rsidRPr="00C96AA4">
        <w:rPr>
          <w:rFonts w:ascii="Arial" w:hAnsi="Arial" w:cs="Arial"/>
        </w:rPr>
        <w:t xml:space="preserve">Financial Management </w:t>
      </w:r>
    </w:p>
    <w:p w14:paraId="36133AB4" w14:textId="7C99531A" w:rsidR="001F1D25" w:rsidRPr="00C96AA4" w:rsidRDefault="001F1D25" w:rsidP="001F1D25">
      <w:pPr>
        <w:tabs>
          <w:tab w:val="center" w:pos="4513"/>
          <w:tab w:val="left" w:pos="6300"/>
        </w:tabs>
        <w:rPr>
          <w:rFonts w:ascii="Arial" w:hAnsi="Arial" w:cs="Arial"/>
        </w:rPr>
      </w:pPr>
      <w:r w:rsidRPr="00C96AA4">
        <w:rPr>
          <w:rFonts w:ascii="Arial" w:hAnsi="Arial" w:cs="Arial"/>
          <w:b/>
          <w:bCs/>
        </w:rPr>
        <w:tab/>
        <w:t xml:space="preserve">Module </w:t>
      </w:r>
      <w:proofErr w:type="gramStart"/>
      <w:r w:rsidRPr="00C96AA4">
        <w:rPr>
          <w:rFonts w:ascii="Arial" w:hAnsi="Arial" w:cs="Arial"/>
          <w:b/>
          <w:bCs/>
        </w:rPr>
        <w:t>Code :</w:t>
      </w:r>
      <w:proofErr w:type="gramEnd"/>
      <w:r w:rsidRPr="00C96AA4">
        <w:rPr>
          <w:rFonts w:ascii="Arial" w:hAnsi="Arial" w:cs="Arial"/>
          <w:b/>
          <w:bCs/>
        </w:rPr>
        <w:t xml:space="preserve">  </w:t>
      </w:r>
      <w:r w:rsidRPr="00C96AA4">
        <w:rPr>
          <w:rFonts w:ascii="Arial" w:hAnsi="Arial" w:cs="Arial"/>
        </w:rPr>
        <w:t>LCMB70</w:t>
      </w:r>
      <w:r w:rsidRPr="00C96AA4">
        <w:rPr>
          <w:rFonts w:ascii="Arial" w:hAnsi="Arial" w:cs="Arial"/>
        </w:rPr>
        <w:t>02</w:t>
      </w:r>
      <w:r w:rsidRPr="00C96AA4">
        <w:rPr>
          <w:rFonts w:ascii="Arial" w:hAnsi="Arial" w:cs="Arial"/>
        </w:rPr>
        <w:t>_LON</w:t>
      </w:r>
    </w:p>
    <w:p w14:paraId="1ABFEAC7" w14:textId="77777777" w:rsidR="001F1D25" w:rsidRPr="00C96AA4" w:rsidRDefault="001F1D25" w:rsidP="001F1D25">
      <w:pPr>
        <w:jc w:val="center"/>
        <w:rPr>
          <w:rFonts w:ascii="Arial" w:hAnsi="Arial" w:cs="Arial"/>
        </w:rPr>
      </w:pPr>
      <w:r w:rsidRPr="00C96AA4">
        <w:rPr>
          <w:rFonts w:ascii="Arial" w:hAnsi="Arial" w:cs="Arial"/>
          <w:b/>
          <w:bCs/>
        </w:rPr>
        <w:t>Student Name</w:t>
      </w:r>
      <w:r w:rsidRPr="00C96AA4">
        <w:rPr>
          <w:rFonts w:ascii="Arial" w:hAnsi="Arial" w:cs="Arial"/>
        </w:rPr>
        <w:t>: Kush Jani</w:t>
      </w:r>
    </w:p>
    <w:p w14:paraId="4F9E9089" w14:textId="77777777" w:rsidR="001F1D25" w:rsidRPr="00C96AA4" w:rsidRDefault="001F1D25" w:rsidP="001F1D25">
      <w:pPr>
        <w:jc w:val="center"/>
        <w:rPr>
          <w:rFonts w:ascii="Arial" w:hAnsi="Arial" w:cs="Arial"/>
        </w:rPr>
      </w:pPr>
      <w:r w:rsidRPr="00C96AA4">
        <w:rPr>
          <w:rFonts w:ascii="Arial" w:hAnsi="Arial" w:cs="Arial"/>
          <w:b/>
          <w:bCs/>
        </w:rPr>
        <w:t xml:space="preserve">Student Number: </w:t>
      </w:r>
      <w:r w:rsidRPr="00C96AA4">
        <w:rPr>
          <w:rFonts w:ascii="Arial" w:hAnsi="Arial" w:cs="Arial"/>
        </w:rPr>
        <w:t>2504341</w:t>
      </w:r>
    </w:p>
    <w:p w14:paraId="111BB31C" w14:textId="070FAADA" w:rsidR="001F1D25" w:rsidRPr="00C96AA4" w:rsidRDefault="001F1D25" w:rsidP="001F1D25">
      <w:pPr>
        <w:jc w:val="center"/>
        <w:rPr>
          <w:rFonts w:ascii="Arial" w:hAnsi="Arial" w:cs="Arial"/>
          <w:bCs/>
          <w:lang w:val=""/>
        </w:rPr>
      </w:pPr>
      <w:r w:rsidRPr="00C96AA4">
        <w:rPr>
          <w:rFonts w:ascii="Arial" w:hAnsi="Arial" w:cs="Arial"/>
          <w:b/>
          <w:bCs/>
        </w:rPr>
        <w:t xml:space="preserve">Lecturer’s Name: </w:t>
      </w:r>
      <w:r w:rsidRPr="00C96AA4">
        <w:rPr>
          <w:rFonts w:ascii="Arial" w:hAnsi="Arial" w:cs="Arial"/>
        </w:rPr>
        <w:t xml:space="preserve">Dr. </w:t>
      </w:r>
      <w:proofErr w:type="spellStart"/>
      <w:r w:rsidRPr="00C96AA4">
        <w:rPr>
          <w:rFonts w:ascii="Arial" w:hAnsi="Arial" w:cs="Arial"/>
        </w:rPr>
        <w:t>Shengfeng</w:t>
      </w:r>
      <w:proofErr w:type="spellEnd"/>
      <w:r w:rsidRPr="00C96AA4">
        <w:rPr>
          <w:rFonts w:ascii="Arial" w:hAnsi="Arial" w:cs="Arial"/>
        </w:rPr>
        <w:t xml:space="preserve"> Mei</w:t>
      </w:r>
    </w:p>
    <w:p w14:paraId="6EB2FCC1" w14:textId="7DFCF4C2" w:rsidR="001F1D25" w:rsidRPr="00C96AA4" w:rsidRDefault="001F1D25" w:rsidP="001F1D25">
      <w:pPr>
        <w:jc w:val="center"/>
        <w:rPr>
          <w:rFonts w:ascii="Arial" w:hAnsi="Arial" w:cs="Arial"/>
          <w:bCs/>
          <w:lang w:val=""/>
        </w:rPr>
      </w:pPr>
      <w:r w:rsidRPr="00C96AA4">
        <w:rPr>
          <w:rFonts w:ascii="Arial" w:hAnsi="Arial" w:cs="Arial"/>
          <w:bCs/>
          <w:lang w:val=""/>
        </w:rPr>
        <w:t xml:space="preserve">Word Count: </w:t>
      </w:r>
      <w:r w:rsidRPr="00C96AA4">
        <w:rPr>
          <w:rFonts w:ascii="Arial" w:hAnsi="Arial" w:cs="Arial"/>
          <w:bCs/>
          <w:lang w:val=""/>
        </w:rPr>
        <w:t>5,220 Words</w:t>
      </w:r>
    </w:p>
    <w:p w14:paraId="6D909D56" w14:textId="5FF0EFBD" w:rsidR="001F1D25" w:rsidRPr="00C96AA4" w:rsidRDefault="001F1D25" w:rsidP="001F1D25">
      <w:pPr>
        <w:jc w:val="center"/>
        <w:rPr>
          <w:rFonts w:ascii="Arial" w:hAnsi="Arial" w:cs="Arial"/>
          <w:bCs/>
          <w:lang w:val=""/>
        </w:rPr>
      </w:pPr>
      <w:r w:rsidRPr="00C96AA4">
        <w:rPr>
          <w:rFonts w:ascii="Arial" w:hAnsi="Arial" w:cs="Arial"/>
          <w:bCs/>
          <w:lang w:val=""/>
        </w:rPr>
        <w:t xml:space="preserve"> </w:t>
      </w:r>
    </w:p>
    <w:p w14:paraId="1FB96F72" w14:textId="77777777" w:rsidR="001F1D25" w:rsidRPr="00C96AA4" w:rsidRDefault="001F1D25" w:rsidP="001F1D25">
      <w:pPr>
        <w:jc w:val="center"/>
        <w:rPr>
          <w:rFonts w:ascii="Arial" w:hAnsi="Arial" w:cs="Arial"/>
          <w:bCs/>
          <w:lang w:val=""/>
        </w:rPr>
      </w:pPr>
    </w:p>
    <w:p w14:paraId="01588A36" w14:textId="77777777" w:rsidR="001F1D25" w:rsidRPr="00C96AA4" w:rsidRDefault="001F1D25" w:rsidP="001F1D25">
      <w:pPr>
        <w:jc w:val="center"/>
        <w:rPr>
          <w:rFonts w:ascii="Arial" w:hAnsi="Arial" w:cs="Arial"/>
          <w:bCs/>
          <w:lang w:val=""/>
        </w:rPr>
      </w:pPr>
    </w:p>
    <w:p w14:paraId="69A80914" w14:textId="77777777" w:rsidR="001F1D25" w:rsidRPr="00C96AA4" w:rsidRDefault="001F1D25" w:rsidP="001F1D25">
      <w:pPr>
        <w:jc w:val="center"/>
        <w:rPr>
          <w:rFonts w:ascii="Arial" w:hAnsi="Arial" w:cs="Arial"/>
          <w:bCs/>
          <w:lang w:val=""/>
        </w:rPr>
      </w:pPr>
    </w:p>
    <w:p w14:paraId="0A70A05D" w14:textId="77777777" w:rsidR="001F1D25" w:rsidRPr="00C96AA4" w:rsidRDefault="001F1D25" w:rsidP="001F1D25">
      <w:pPr>
        <w:jc w:val="center"/>
        <w:rPr>
          <w:rFonts w:ascii="Arial" w:hAnsi="Arial" w:cs="Arial"/>
          <w:bCs/>
          <w:lang w:val=""/>
        </w:rPr>
      </w:pPr>
    </w:p>
    <w:p w14:paraId="21E2633C" w14:textId="77777777" w:rsidR="001F1D25" w:rsidRPr="00C96AA4" w:rsidRDefault="001F1D25" w:rsidP="001F1D25">
      <w:pPr>
        <w:jc w:val="center"/>
        <w:rPr>
          <w:rFonts w:ascii="Arial" w:hAnsi="Arial" w:cs="Arial"/>
          <w:bCs/>
          <w:lang w:val=""/>
        </w:rPr>
      </w:pPr>
    </w:p>
    <w:p w14:paraId="55089FA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lastRenderedPageBreak/>
        <w:t>Executive Summary</w:t>
      </w:r>
    </w:p>
    <w:p w14:paraId="46E0C857"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The report focused on evaluating General Electronics' financial performance to determine core problems. Accordingly, the report focused on various aspects, including ratios, cash operating cycle, financial restructuring, and capital budgeting decisions. The findings revealed that the financial performance of the company is not well as it has reported losses since the last few years. Similarly, high debt, losses, and inefficient use of inventory are also some of the major threats of the company. Cash operating cycle also increased due to inefficient use of receivables and inventory. However, investing in project C can be a turnaround strategy, which is not ethically sound but also financially viable due to the generation of the highest ARR and NPV compared to other projects. Although project C will improve financial performance; however, late collection can be the main risk of the project. Besides this, the findings also revealed that the company can adopt difference working capital reforms as a turnaround strategy like improving receivables management, cutting unnecessary costs, boosting sales, and others for improving the cash operating cycle. Turnaround strategies like equity injection, debt restructuring, selective </w:t>
      </w:r>
      <w:proofErr w:type="gramStart"/>
      <w:r w:rsidRPr="001F1D25">
        <w:rPr>
          <w:rFonts w:ascii="Arial" w:hAnsi="Arial" w:cs="Arial"/>
          <w:bCs/>
          <w:lang w:val="en-US"/>
        </w:rPr>
        <w:t>divestiture,  and</w:t>
      </w:r>
      <w:proofErr w:type="gramEnd"/>
      <w:r w:rsidRPr="001F1D25">
        <w:rPr>
          <w:rFonts w:ascii="Arial" w:hAnsi="Arial" w:cs="Arial"/>
          <w:bCs/>
          <w:lang w:val="en-US"/>
        </w:rPr>
        <w:t xml:space="preserve"> others can balance finances and restore company’s long run viability. The report also highlighted different short-term as well as long-term sources of finance, which companies like General Electronics can use for different business purposes. </w:t>
      </w:r>
    </w:p>
    <w:p w14:paraId="38729E2D" w14:textId="77777777" w:rsidR="001F1D25" w:rsidRPr="001F1D25" w:rsidRDefault="001F1D25" w:rsidP="001F1D25">
      <w:pPr>
        <w:jc w:val="center"/>
        <w:rPr>
          <w:rFonts w:ascii="Arial" w:hAnsi="Arial" w:cs="Arial"/>
          <w:bCs/>
          <w:lang w:val="en-US"/>
        </w:rPr>
      </w:pPr>
      <w:r w:rsidRPr="001F1D25">
        <w:rPr>
          <w:rFonts w:ascii="Arial" w:hAnsi="Arial" w:cs="Arial"/>
          <w:bCs/>
          <w:lang w:val="en-US"/>
        </w:rPr>
        <w:br w:type="page"/>
      </w:r>
    </w:p>
    <w:sdt>
      <w:sdtPr>
        <w:rPr>
          <w:rFonts w:ascii="Arial" w:hAnsi="Arial" w:cs="Arial"/>
          <w:b/>
          <w:bCs/>
          <w:lang w:val="en-US"/>
        </w:rPr>
        <w:id w:val="339842808"/>
        <w:docPartObj>
          <w:docPartGallery w:val="Table of Contents"/>
          <w:docPartUnique/>
        </w:docPartObj>
      </w:sdtPr>
      <w:sdtContent>
        <w:p w14:paraId="202B05C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Table of Content</w:t>
          </w:r>
        </w:p>
        <w:p w14:paraId="2D889C0D" w14:textId="77777777" w:rsidR="001F1D25" w:rsidRPr="001F1D25" w:rsidRDefault="001F1D25" w:rsidP="001F1D25">
          <w:pPr>
            <w:jc w:val="center"/>
            <w:rPr>
              <w:rFonts w:ascii="Arial" w:hAnsi="Arial" w:cs="Arial"/>
              <w:bCs/>
            </w:rPr>
          </w:pPr>
          <w:r w:rsidRPr="001F1D25">
            <w:rPr>
              <w:rFonts w:ascii="Arial" w:hAnsi="Arial" w:cs="Arial"/>
              <w:bCs/>
            </w:rPr>
            <w:fldChar w:fldCharType="begin"/>
          </w:r>
          <w:r w:rsidRPr="001F1D25">
            <w:rPr>
              <w:rFonts w:ascii="Arial" w:hAnsi="Arial" w:cs="Arial"/>
              <w:bCs/>
            </w:rPr>
            <w:instrText xml:space="preserve">TOC \o "1-2" \h \u </w:instrText>
          </w:r>
          <w:r w:rsidRPr="001F1D25">
            <w:rPr>
              <w:rFonts w:ascii="Arial" w:hAnsi="Arial" w:cs="Arial"/>
              <w:bCs/>
            </w:rPr>
            <w:fldChar w:fldCharType="separate"/>
          </w:r>
          <w:hyperlink r:id="rId9" w:anchor="_Toc1699196974" w:history="1">
            <w:r w:rsidRPr="001F1D25">
              <w:rPr>
                <w:rStyle w:val="Hyperlink"/>
                <w:rFonts w:ascii="Arial" w:hAnsi="Arial" w:cs="Arial"/>
                <w:bCs/>
              </w:rPr>
              <w:t>Introduction</w:t>
            </w:r>
            <w:r w:rsidRPr="001F1D25">
              <w:rPr>
                <w:rStyle w:val="Hyperlink"/>
                <w:rFonts w:ascii="Arial" w:hAnsi="Arial" w:cs="Arial"/>
                <w:bCs/>
              </w:rPr>
              <w:tab/>
            </w:r>
            <w:r w:rsidRPr="001F1D25">
              <w:rPr>
                <w:rStyle w:val="Hyperlink"/>
                <w:rFonts w:ascii="Arial" w:hAnsi="Arial" w:cs="Arial"/>
                <w:bCs/>
              </w:rPr>
              <w:fldChar w:fldCharType="begin"/>
            </w:r>
            <w:r w:rsidRPr="001F1D25">
              <w:rPr>
                <w:rStyle w:val="Hyperlink"/>
                <w:rFonts w:ascii="Arial" w:hAnsi="Arial" w:cs="Arial"/>
                <w:bCs/>
              </w:rPr>
              <w:instrText xml:space="preserve"> PAGEREF _Toc1699196974 \h </w:instrText>
            </w:r>
            <w:r w:rsidRPr="001F1D25">
              <w:rPr>
                <w:rStyle w:val="Hyperlink"/>
                <w:rFonts w:ascii="Arial" w:hAnsi="Arial" w:cs="Arial"/>
                <w:bCs/>
              </w:rPr>
            </w:r>
            <w:r w:rsidRPr="001F1D25">
              <w:rPr>
                <w:rStyle w:val="Hyperlink"/>
                <w:rFonts w:ascii="Arial" w:hAnsi="Arial" w:cs="Arial"/>
                <w:bCs/>
              </w:rPr>
              <w:fldChar w:fldCharType="separate"/>
            </w:r>
            <w:r w:rsidRPr="001F1D25">
              <w:rPr>
                <w:rStyle w:val="Hyperlink"/>
                <w:rFonts w:ascii="Arial" w:hAnsi="Arial" w:cs="Arial"/>
                <w:bCs/>
              </w:rPr>
              <w:t>4</w:t>
            </w:r>
            <w:r w:rsidRPr="001F1D25">
              <w:rPr>
                <w:rStyle w:val="Hyperlink"/>
                <w:rFonts w:ascii="Arial" w:hAnsi="Arial" w:cs="Arial"/>
                <w:bCs/>
                <w:lang w:val=""/>
              </w:rPr>
              <w:fldChar w:fldCharType="end"/>
            </w:r>
          </w:hyperlink>
        </w:p>
        <w:p w14:paraId="6CD75784" w14:textId="77777777" w:rsidR="001F1D25" w:rsidRPr="001F1D25" w:rsidRDefault="001F1D25" w:rsidP="001F1D25">
          <w:pPr>
            <w:jc w:val="center"/>
            <w:rPr>
              <w:rFonts w:ascii="Arial" w:hAnsi="Arial" w:cs="Arial"/>
              <w:bCs/>
            </w:rPr>
          </w:pPr>
          <w:hyperlink r:id="rId10" w:anchor="_Toc1166004212" w:history="1">
            <w:r w:rsidRPr="001F1D25">
              <w:rPr>
                <w:rStyle w:val="Hyperlink"/>
                <w:rFonts w:ascii="Arial" w:hAnsi="Arial" w:cs="Arial"/>
                <w:bCs/>
              </w:rPr>
              <w:t>1. Financial Health Check</w:t>
            </w:r>
            <w:r w:rsidRPr="001F1D25">
              <w:rPr>
                <w:rStyle w:val="Hyperlink"/>
                <w:rFonts w:ascii="Arial" w:hAnsi="Arial" w:cs="Arial"/>
                <w:bCs/>
              </w:rPr>
              <w:tab/>
            </w:r>
            <w:r w:rsidRPr="001F1D25">
              <w:rPr>
                <w:rStyle w:val="Hyperlink"/>
                <w:rFonts w:ascii="Arial" w:hAnsi="Arial" w:cs="Arial"/>
                <w:bCs/>
              </w:rPr>
              <w:fldChar w:fldCharType="begin"/>
            </w:r>
            <w:r w:rsidRPr="001F1D25">
              <w:rPr>
                <w:rStyle w:val="Hyperlink"/>
                <w:rFonts w:ascii="Arial" w:hAnsi="Arial" w:cs="Arial"/>
                <w:bCs/>
              </w:rPr>
              <w:instrText xml:space="preserve"> PAGEREF _Toc1166004212 \h </w:instrText>
            </w:r>
            <w:r w:rsidRPr="001F1D25">
              <w:rPr>
                <w:rStyle w:val="Hyperlink"/>
                <w:rFonts w:ascii="Arial" w:hAnsi="Arial" w:cs="Arial"/>
                <w:bCs/>
              </w:rPr>
            </w:r>
            <w:r w:rsidRPr="001F1D25">
              <w:rPr>
                <w:rStyle w:val="Hyperlink"/>
                <w:rFonts w:ascii="Arial" w:hAnsi="Arial" w:cs="Arial"/>
                <w:bCs/>
              </w:rPr>
              <w:fldChar w:fldCharType="separate"/>
            </w:r>
            <w:r w:rsidRPr="001F1D25">
              <w:rPr>
                <w:rStyle w:val="Hyperlink"/>
                <w:rFonts w:ascii="Arial" w:hAnsi="Arial" w:cs="Arial"/>
                <w:bCs/>
              </w:rPr>
              <w:t>4</w:t>
            </w:r>
            <w:r w:rsidRPr="001F1D25">
              <w:rPr>
                <w:rStyle w:val="Hyperlink"/>
                <w:rFonts w:ascii="Arial" w:hAnsi="Arial" w:cs="Arial"/>
                <w:bCs/>
                <w:lang w:val=""/>
              </w:rPr>
              <w:fldChar w:fldCharType="end"/>
            </w:r>
          </w:hyperlink>
        </w:p>
        <w:p w14:paraId="1C455705" w14:textId="77777777" w:rsidR="001F1D25" w:rsidRPr="001F1D25" w:rsidRDefault="001F1D25" w:rsidP="001F1D25">
          <w:pPr>
            <w:jc w:val="center"/>
            <w:rPr>
              <w:rFonts w:ascii="Arial" w:hAnsi="Arial" w:cs="Arial"/>
              <w:bCs/>
            </w:rPr>
          </w:pPr>
          <w:hyperlink r:id="rId11" w:anchor="_Toc1244512209" w:history="1">
            <w:r w:rsidRPr="001F1D25">
              <w:rPr>
                <w:rStyle w:val="Hyperlink"/>
                <w:rFonts w:ascii="Arial" w:hAnsi="Arial" w:cs="Arial"/>
                <w:bCs/>
              </w:rPr>
              <w:t>2. Analysis of Working Capital Management</w:t>
            </w:r>
            <w:r w:rsidRPr="001F1D25">
              <w:rPr>
                <w:rStyle w:val="Hyperlink"/>
                <w:rFonts w:ascii="Arial" w:hAnsi="Arial" w:cs="Arial"/>
                <w:bCs/>
              </w:rPr>
              <w:tab/>
            </w:r>
            <w:r w:rsidRPr="001F1D25">
              <w:rPr>
                <w:rStyle w:val="Hyperlink"/>
                <w:rFonts w:ascii="Arial" w:hAnsi="Arial" w:cs="Arial"/>
                <w:bCs/>
              </w:rPr>
              <w:fldChar w:fldCharType="begin"/>
            </w:r>
            <w:r w:rsidRPr="001F1D25">
              <w:rPr>
                <w:rStyle w:val="Hyperlink"/>
                <w:rFonts w:ascii="Arial" w:hAnsi="Arial" w:cs="Arial"/>
                <w:bCs/>
              </w:rPr>
              <w:instrText xml:space="preserve"> PAGEREF _Toc1244512209 \h </w:instrText>
            </w:r>
            <w:r w:rsidRPr="001F1D25">
              <w:rPr>
                <w:rStyle w:val="Hyperlink"/>
                <w:rFonts w:ascii="Arial" w:hAnsi="Arial" w:cs="Arial"/>
                <w:bCs/>
              </w:rPr>
            </w:r>
            <w:r w:rsidRPr="001F1D25">
              <w:rPr>
                <w:rStyle w:val="Hyperlink"/>
                <w:rFonts w:ascii="Arial" w:hAnsi="Arial" w:cs="Arial"/>
                <w:bCs/>
              </w:rPr>
              <w:fldChar w:fldCharType="separate"/>
            </w:r>
            <w:r w:rsidRPr="001F1D25">
              <w:rPr>
                <w:rStyle w:val="Hyperlink"/>
                <w:rFonts w:ascii="Arial" w:hAnsi="Arial" w:cs="Arial"/>
                <w:bCs/>
              </w:rPr>
              <w:t>11</w:t>
            </w:r>
            <w:r w:rsidRPr="001F1D25">
              <w:rPr>
                <w:rStyle w:val="Hyperlink"/>
                <w:rFonts w:ascii="Arial" w:hAnsi="Arial" w:cs="Arial"/>
                <w:bCs/>
                <w:lang w:val=""/>
              </w:rPr>
              <w:fldChar w:fldCharType="end"/>
            </w:r>
          </w:hyperlink>
        </w:p>
        <w:p w14:paraId="2B281C3B" w14:textId="77777777" w:rsidR="001F1D25" w:rsidRPr="001F1D25" w:rsidRDefault="001F1D25" w:rsidP="001F1D25">
          <w:pPr>
            <w:jc w:val="center"/>
            <w:rPr>
              <w:rFonts w:ascii="Arial" w:hAnsi="Arial" w:cs="Arial"/>
              <w:bCs/>
            </w:rPr>
          </w:pPr>
          <w:hyperlink r:id="rId12" w:anchor="_Toc25974883" w:history="1">
            <w:r w:rsidRPr="001F1D25">
              <w:rPr>
                <w:rStyle w:val="Hyperlink"/>
                <w:rFonts w:ascii="Arial" w:hAnsi="Arial" w:cs="Arial"/>
                <w:bCs/>
              </w:rPr>
              <w:t>3. Strategic Financial Restructuring Plan</w:t>
            </w:r>
            <w:r w:rsidRPr="001F1D25">
              <w:rPr>
                <w:rStyle w:val="Hyperlink"/>
                <w:rFonts w:ascii="Arial" w:hAnsi="Arial" w:cs="Arial"/>
                <w:bCs/>
              </w:rPr>
              <w:tab/>
            </w:r>
            <w:r w:rsidRPr="001F1D25">
              <w:rPr>
                <w:rStyle w:val="Hyperlink"/>
                <w:rFonts w:ascii="Arial" w:hAnsi="Arial" w:cs="Arial"/>
                <w:bCs/>
              </w:rPr>
              <w:fldChar w:fldCharType="begin"/>
            </w:r>
            <w:r w:rsidRPr="001F1D25">
              <w:rPr>
                <w:rStyle w:val="Hyperlink"/>
                <w:rFonts w:ascii="Arial" w:hAnsi="Arial" w:cs="Arial"/>
                <w:bCs/>
              </w:rPr>
              <w:instrText xml:space="preserve"> PAGEREF _Toc25974883 \h </w:instrText>
            </w:r>
            <w:r w:rsidRPr="001F1D25">
              <w:rPr>
                <w:rStyle w:val="Hyperlink"/>
                <w:rFonts w:ascii="Arial" w:hAnsi="Arial" w:cs="Arial"/>
                <w:bCs/>
              </w:rPr>
            </w:r>
            <w:r w:rsidRPr="001F1D25">
              <w:rPr>
                <w:rStyle w:val="Hyperlink"/>
                <w:rFonts w:ascii="Arial" w:hAnsi="Arial" w:cs="Arial"/>
                <w:bCs/>
              </w:rPr>
              <w:fldChar w:fldCharType="separate"/>
            </w:r>
            <w:r w:rsidRPr="001F1D25">
              <w:rPr>
                <w:rStyle w:val="Hyperlink"/>
                <w:rFonts w:ascii="Arial" w:hAnsi="Arial" w:cs="Arial"/>
                <w:bCs/>
              </w:rPr>
              <w:t>13</w:t>
            </w:r>
            <w:r w:rsidRPr="001F1D25">
              <w:rPr>
                <w:rStyle w:val="Hyperlink"/>
                <w:rFonts w:ascii="Arial" w:hAnsi="Arial" w:cs="Arial"/>
                <w:bCs/>
                <w:lang w:val=""/>
              </w:rPr>
              <w:fldChar w:fldCharType="end"/>
            </w:r>
          </w:hyperlink>
        </w:p>
        <w:p w14:paraId="3CCFCCDD" w14:textId="77777777" w:rsidR="001F1D25" w:rsidRPr="001F1D25" w:rsidRDefault="001F1D25" w:rsidP="001F1D25">
          <w:pPr>
            <w:jc w:val="center"/>
            <w:rPr>
              <w:rFonts w:ascii="Arial" w:hAnsi="Arial" w:cs="Arial"/>
              <w:bCs/>
            </w:rPr>
          </w:pPr>
          <w:hyperlink r:id="rId13" w:anchor="_Toc620678240" w:history="1">
            <w:r w:rsidRPr="001F1D25">
              <w:rPr>
                <w:rStyle w:val="Hyperlink"/>
                <w:rFonts w:ascii="Arial" w:hAnsi="Arial" w:cs="Arial"/>
                <w:bCs/>
              </w:rPr>
              <w:t>4. Investment Appraisal and Capital Budgeting</w:t>
            </w:r>
            <w:r w:rsidRPr="001F1D25">
              <w:rPr>
                <w:rStyle w:val="Hyperlink"/>
                <w:rFonts w:ascii="Arial" w:hAnsi="Arial" w:cs="Arial"/>
                <w:bCs/>
              </w:rPr>
              <w:tab/>
            </w:r>
            <w:r w:rsidRPr="001F1D25">
              <w:rPr>
                <w:rStyle w:val="Hyperlink"/>
                <w:rFonts w:ascii="Arial" w:hAnsi="Arial" w:cs="Arial"/>
                <w:bCs/>
              </w:rPr>
              <w:fldChar w:fldCharType="begin"/>
            </w:r>
            <w:r w:rsidRPr="001F1D25">
              <w:rPr>
                <w:rStyle w:val="Hyperlink"/>
                <w:rFonts w:ascii="Arial" w:hAnsi="Arial" w:cs="Arial"/>
                <w:bCs/>
              </w:rPr>
              <w:instrText xml:space="preserve"> PAGEREF _Toc620678240 \h </w:instrText>
            </w:r>
            <w:r w:rsidRPr="001F1D25">
              <w:rPr>
                <w:rStyle w:val="Hyperlink"/>
                <w:rFonts w:ascii="Arial" w:hAnsi="Arial" w:cs="Arial"/>
                <w:bCs/>
              </w:rPr>
            </w:r>
            <w:r w:rsidRPr="001F1D25">
              <w:rPr>
                <w:rStyle w:val="Hyperlink"/>
                <w:rFonts w:ascii="Arial" w:hAnsi="Arial" w:cs="Arial"/>
                <w:bCs/>
              </w:rPr>
              <w:fldChar w:fldCharType="separate"/>
            </w:r>
            <w:r w:rsidRPr="001F1D25">
              <w:rPr>
                <w:rStyle w:val="Hyperlink"/>
                <w:rFonts w:ascii="Arial" w:hAnsi="Arial" w:cs="Arial"/>
                <w:bCs/>
              </w:rPr>
              <w:t>16</w:t>
            </w:r>
            <w:r w:rsidRPr="001F1D25">
              <w:rPr>
                <w:rStyle w:val="Hyperlink"/>
                <w:rFonts w:ascii="Arial" w:hAnsi="Arial" w:cs="Arial"/>
                <w:bCs/>
                <w:lang w:val=""/>
              </w:rPr>
              <w:fldChar w:fldCharType="end"/>
            </w:r>
          </w:hyperlink>
        </w:p>
        <w:p w14:paraId="0AF3146D" w14:textId="77777777" w:rsidR="001F1D25" w:rsidRPr="001F1D25" w:rsidRDefault="001F1D25" w:rsidP="001F1D25">
          <w:pPr>
            <w:jc w:val="center"/>
            <w:rPr>
              <w:rFonts w:ascii="Arial" w:hAnsi="Arial" w:cs="Arial"/>
              <w:bCs/>
            </w:rPr>
          </w:pPr>
          <w:hyperlink r:id="rId14" w:anchor="_Toc1411106201" w:history="1">
            <w:r w:rsidRPr="001F1D25">
              <w:rPr>
                <w:rStyle w:val="Hyperlink"/>
                <w:rFonts w:ascii="Arial" w:hAnsi="Arial" w:cs="Arial"/>
                <w:bCs/>
              </w:rPr>
              <w:t>Conclusion</w:t>
            </w:r>
            <w:r w:rsidRPr="001F1D25">
              <w:rPr>
                <w:rStyle w:val="Hyperlink"/>
                <w:rFonts w:ascii="Arial" w:hAnsi="Arial" w:cs="Arial"/>
                <w:bCs/>
              </w:rPr>
              <w:tab/>
            </w:r>
            <w:r w:rsidRPr="001F1D25">
              <w:rPr>
                <w:rStyle w:val="Hyperlink"/>
                <w:rFonts w:ascii="Arial" w:hAnsi="Arial" w:cs="Arial"/>
                <w:bCs/>
              </w:rPr>
              <w:fldChar w:fldCharType="begin"/>
            </w:r>
            <w:r w:rsidRPr="001F1D25">
              <w:rPr>
                <w:rStyle w:val="Hyperlink"/>
                <w:rFonts w:ascii="Arial" w:hAnsi="Arial" w:cs="Arial"/>
                <w:bCs/>
              </w:rPr>
              <w:instrText xml:space="preserve"> PAGEREF _Toc1411106201 \h </w:instrText>
            </w:r>
            <w:r w:rsidRPr="001F1D25">
              <w:rPr>
                <w:rStyle w:val="Hyperlink"/>
                <w:rFonts w:ascii="Arial" w:hAnsi="Arial" w:cs="Arial"/>
                <w:bCs/>
              </w:rPr>
            </w:r>
            <w:r w:rsidRPr="001F1D25">
              <w:rPr>
                <w:rStyle w:val="Hyperlink"/>
                <w:rFonts w:ascii="Arial" w:hAnsi="Arial" w:cs="Arial"/>
                <w:bCs/>
              </w:rPr>
              <w:fldChar w:fldCharType="separate"/>
            </w:r>
            <w:r w:rsidRPr="001F1D25">
              <w:rPr>
                <w:rStyle w:val="Hyperlink"/>
                <w:rFonts w:ascii="Arial" w:hAnsi="Arial" w:cs="Arial"/>
                <w:bCs/>
              </w:rPr>
              <w:t>19</w:t>
            </w:r>
            <w:r w:rsidRPr="001F1D25">
              <w:rPr>
                <w:rStyle w:val="Hyperlink"/>
                <w:rFonts w:ascii="Arial" w:hAnsi="Arial" w:cs="Arial"/>
                <w:bCs/>
                <w:lang w:val=""/>
              </w:rPr>
              <w:fldChar w:fldCharType="end"/>
            </w:r>
          </w:hyperlink>
        </w:p>
        <w:p w14:paraId="2A6360C8" w14:textId="77777777" w:rsidR="001F1D25" w:rsidRPr="001F1D25" w:rsidRDefault="001F1D25" w:rsidP="001F1D25">
          <w:pPr>
            <w:jc w:val="center"/>
            <w:rPr>
              <w:rFonts w:ascii="Arial" w:hAnsi="Arial" w:cs="Arial"/>
              <w:bCs/>
            </w:rPr>
          </w:pPr>
          <w:hyperlink r:id="rId15" w:anchor="_Toc1800006386" w:history="1">
            <w:r w:rsidRPr="001F1D25">
              <w:rPr>
                <w:rStyle w:val="Hyperlink"/>
                <w:rFonts w:ascii="Arial" w:hAnsi="Arial" w:cs="Arial"/>
                <w:bCs/>
              </w:rPr>
              <w:t>References</w:t>
            </w:r>
            <w:r w:rsidRPr="001F1D25">
              <w:rPr>
                <w:rStyle w:val="Hyperlink"/>
                <w:rFonts w:ascii="Arial" w:hAnsi="Arial" w:cs="Arial"/>
                <w:bCs/>
              </w:rPr>
              <w:tab/>
            </w:r>
            <w:r w:rsidRPr="001F1D25">
              <w:rPr>
                <w:rStyle w:val="Hyperlink"/>
                <w:rFonts w:ascii="Arial" w:hAnsi="Arial" w:cs="Arial"/>
                <w:bCs/>
              </w:rPr>
              <w:fldChar w:fldCharType="begin"/>
            </w:r>
            <w:r w:rsidRPr="001F1D25">
              <w:rPr>
                <w:rStyle w:val="Hyperlink"/>
                <w:rFonts w:ascii="Arial" w:hAnsi="Arial" w:cs="Arial"/>
                <w:bCs/>
              </w:rPr>
              <w:instrText xml:space="preserve"> PAGEREF _Toc1800006386 \h </w:instrText>
            </w:r>
            <w:r w:rsidRPr="001F1D25">
              <w:rPr>
                <w:rStyle w:val="Hyperlink"/>
                <w:rFonts w:ascii="Arial" w:hAnsi="Arial" w:cs="Arial"/>
                <w:bCs/>
              </w:rPr>
            </w:r>
            <w:r w:rsidRPr="001F1D25">
              <w:rPr>
                <w:rStyle w:val="Hyperlink"/>
                <w:rFonts w:ascii="Arial" w:hAnsi="Arial" w:cs="Arial"/>
                <w:bCs/>
              </w:rPr>
              <w:fldChar w:fldCharType="separate"/>
            </w:r>
            <w:r w:rsidRPr="001F1D25">
              <w:rPr>
                <w:rStyle w:val="Hyperlink"/>
                <w:rFonts w:ascii="Arial" w:hAnsi="Arial" w:cs="Arial"/>
                <w:bCs/>
              </w:rPr>
              <w:t>21</w:t>
            </w:r>
            <w:r w:rsidRPr="001F1D25">
              <w:rPr>
                <w:rStyle w:val="Hyperlink"/>
                <w:rFonts w:ascii="Arial" w:hAnsi="Arial" w:cs="Arial"/>
                <w:bCs/>
                <w:lang w:val=""/>
              </w:rPr>
              <w:fldChar w:fldCharType="end"/>
            </w:r>
          </w:hyperlink>
        </w:p>
        <w:p w14:paraId="4184A190" w14:textId="77777777" w:rsidR="001F1D25" w:rsidRPr="001F1D25" w:rsidRDefault="001F1D25" w:rsidP="001F1D25">
          <w:pPr>
            <w:jc w:val="center"/>
            <w:rPr>
              <w:rFonts w:ascii="Arial" w:hAnsi="Arial" w:cs="Arial"/>
              <w:bCs/>
            </w:rPr>
          </w:pPr>
          <w:hyperlink r:id="rId16" w:anchor="_Toc1105194213" w:history="1">
            <w:r w:rsidRPr="001F1D25">
              <w:rPr>
                <w:rStyle w:val="Hyperlink"/>
                <w:rFonts w:ascii="Arial" w:hAnsi="Arial" w:cs="Arial"/>
                <w:bCs/>
              </w:rPr>
              <w:t>Appendices</w:t>
            </w:r>
            <w:r w:rsidRPr="001F1D25">
              <w:rPr>
                <w:rStyle w:val="Hyperlink"/>
                <w:rFonts w:ascii="Arial" w:hAnsi="Arial" w:cs="Arial"/>
                <w:bCs/>
              </w:rPr>
              <w:tab/>
            </w:r>
            <w:r w:rsidRPr="001F1D25">
              <w:rPr>
                <w:rStyle w:val="Hyperlink"/>
                <w:rFonts w:ascii="Arial" w:hAnsi="Arial" w:cs="Arial"/>
                <w:bCs/>
              </w:rPr>
              <w:fldChar w:fldCharType="begin"/>
            </w:r>
            <w:r w:rsidRPr="001F1D25">
              <w:rPr>
                <w:rStyle w:val="Hyperlink"/>
                <w:rFonts w:ascii="Arial" w:hAnsi="Arial" w:cs="Arial"/>
                <w:bCs/>
              </w:rPr>
              <w:instrText xml:space="preserve"> PAGEREF _Toc1105194213 \h </w:instrText>
            </w:r>
            <w:r w:rsidRPr="001F1D25">
              <w:rPr>
                <w:rStyle w:val="Hyperlink"/>
                <w:rFonts w:ascii="Arial" w:hAnsi="Arial" w:cs="Arial"/>
                <w:bCs/>
              </w:rPr>
            </w:r>
            <w:r w:rsidRPr="001F1D25">
              <w:rPr>
                <w:rStyle w:val="Hyperlink"/>
                <w:rFonts w:ascii="Arial" w:hAnsi="Arial" w:cs="Arial"/>
                <w:bCs/>
              </w:rPr>
              <w:fldChar w:fldCharType="separate"/>
            </w:r>
            <w:r w:rsidRPr="001F1D25">
              <w:rPr>
                <w:rStyle w:val="Hyperlink"/>
                <w:rFonts w:ascii="Arial" w:hAnsi="Arial" w:cs="Arial"/>
                <w:bCs/>
              </w:rPr>
              <w:t>25</w:t>
            </w:r>
            <w:r w:rsidRPr="001F1D25">
              <w:rPr>
                <w:rStyle w:val="Hyperlink"/>
                <w:rFonts w:ascii="Arial" w:hAnsi="Arial" w:cs="Arial"/>
                <w:bCs/>
                <w:lang w:val=""/>
              </w:rPr>
              <w:fldChar w:fldCharType="end"/>
            </w:r>
          </w:hyperlink>
        </w:p>
        <w:p w14:paraId="1836E10A" w14:textId="77777777" w:rsidR="001F1D25" w:rsidRPr="001F1D25" w:rsidRDefault="001F1D25" w:rsidP="001F1D25">
          <w:pPr>
            <w:jc w:val="center"/>
            <w:rPr>
              <w:rFonts w:ascii="Arial" w:hAnsi="Arial" w:cs="Arial"/>
              <w:bCs/>
              <w:lang w:val="en-US"/>
            </w:rPr>
          </w:pPr>
          <w:r w:rsidRPr="001F1D25">
            <w:rPr>
              <w:rFonts w:ascii="Arial" w:hAnsi="Arial" w:cs="Arial"/>
              <w:bCs/>
              <w:lang w:val=""/>
            </w:rPr>
            <w:fldChar w:fldCharType="end"/>
          </w:r>
        </w:p>
      </w:sdtContent>
    </w:sdt>
    <w:p w14:paraId="0C63FA4D" w14:textId="77777777" w:rsidR="001F1D25" w:rsidRPr="001F1D25" w:rsidRDefault="001F1D25" w:rsidP="001F1D25">
      <w:pPr>
        <w:jc w:val="center"/>
        <w:rPr>
          <w:rFonts w:ascii="Arial" w:hAnsi="Arial" w:cs="Arial"/>
          <w:bCs/>
          <w:lang w:val="en-US"/>
        </w:rPr>
      </w:pPr>
      <w:r w:rsidRPr="001F1D25">
        <w:rPr>
          <w:rFonts w:ascii="Arial" w:hAnsi="Arial" w:cs="Arial"/>
          <w:b/>
          <w:bCs/>
          <w:lang w:val="en-US"/>
        </w:rPr>
        <w:t>List of Figures</w:t>
      </w:r>
    </w:p>
    <w:p w14:paraId="72862241" w14:textId="77777777" w:rsidR="001F1D25" w:rsidRPr="001F1D25" w:rsidRDefault="001F1D25" w:rsidP="001F1D25">
      <w:pPr>
        <w:jc w:val="center"/>
        <w:rPr>
          <w:rFonts w:ascii="Arial" w:hAnsi="Arial" w:cs="Arial"/>
          <w:bCs/>
          <w:lang w:val="en-US"/>
        </w:rPr>
      </w:pPr>
      <w:r w:rsidRPr="001F1D25">
        <w:rPr>
          <w:rFonts w:ascii="Arial" w:hAnsi="Arial" w:cs="Arial"/>
          <w:bCs/>
          <w:lang w:val="en-US"/>
        </w:rPr>
        <w:fldChar w:fldCharType="begin"/>
      </w:r>
      <w:r w:rsidRPr="001F1D25">
        <w:rPr>
          <w:rFonts w:ascii="Arial" w:hAnsi="Arial" w:cs="Arial"/>
          <w:bCs/>
          <w:lang w:val="en-US"/>
        </w:rPr>
        <w:instrText>TOC \h \c "Figure"</w:instrText>
      </w:r>
      <w:r w:rsidRPr="001F1D25">
        <w:rPr>
          <w:rFonts w:ascii="Arial" w:hAnsi="Arial" w:cs="Arial"/>
          <w:bCs/>
          <w:lang w:val="en-US"/>
        </w:rPr>
        <w:fldChar w:fldCharType="separate"/>
      </w:r>
      <w:hyperlink r:id="rId17" w:anchor="_Toc207525420" w:history="1">
        <w:r w:rsidRPr="001F1D25">
          <w:rPr>
            <w:rStyle w:val="Hyperlink"/>
            <w:rFonts w:ascii="Arial" w:hAnsi="Arial" w:cs="Arial"/>
            <w:bCs/>
            <w:lang w:val="en-US"/>
          </w:rPr>
          <w:t>Figure 1 : Profitability ratios of General Electronics for the year 2020 to 2024</w:t>
        </w:r>
        <w:r w:rsidRPr="001F1D25">
          <w:rPr>
            <w:rStyle w:val="Hyperlink"/>
            <w:rFonts w:ascii="Arial" w:hAnsi="Arial" w:cs="Arial"/>
            <w:bCs/>
            <w:lang w:val="en-US"/>
          </w:rPr>
          <w:tab/>
        </w:r>
        <w:r w:rsidRPr="001F1D25">
          <w:rPr>
            <w:rStyle w:val="Hyperlink"/>
            <w:rFonts w:ascii="Arial" w:hAnsi="Arial" w:cs="Arial"/>
            <w:bCs/>
            <w:lang w:val="en-US"/>
          </w:rPr>
          <w:fldChar w:fldCharType="begin"/>
        </w:r>
        <w:r w:rsidRPr="001F1D25">
          <w:rPr>
            <w:rStyle w:val="Hyperlink"/>
            <w:rFonts w:ascii="Arial" w:hAnsi="Arial" w:cs="Arial"/>
            <w:bCs/>
            <w:lang w:val="en-US"/>
          </w:rPr>
          <w:instrText xml:space="preserve"> PAGEREF _Toc207525420 \h </w:instrText>
        </w:r>
        <w:r w:rsidRPr="001F1D25">
          <w:rPr>
            <w:rStyle w:val="Hyperlink"/>
            <w:rFonts w:ascii="Arial" w:hAnsi="Arial" w:cs="Arial"/>
            <w:bCs/>
            <w:lang w:val="en-US"/>
          </w:rPr>
        </w:r>
        <w:r w:rsidRPr="001F1D25">
          <w:rPr>
            <w:rStyle w:val="Hyperlink"/>
            <w:rFonts w:ascii="Arial" w:hAnsi="Arial" w:cs="Arial"/>
            <w:bCs/>
            <w:lang w:val="en-US"/>
          </w:rPr>
          <w:fldChar w:fldCharType="separate"/>
        </w:r>
        <w:r w:rsidRPr="001F1D25">
          <w:rPr>
            <w:rStyle w:val="Hyperlink"/>
            <w:rFonts w:ascii="Arial" w:hAnsi="Arial" w:cs="Arial"/>
            <w:bCs/>
            <w:lang w:val="en-US"/>
          </w:rPr>
          <w:t>5</w:t>
        </w:r>
        <w:r w:rsidRPr="001F1D25">
          <w:rPr>
            <w:rStyle w:val="Hyperlink"/>
            <w:rFonts w:ascii="Arial" w:hAnsi="Arial" w:cs="Arial"/>
            <w:bCs/>
            <w:lang w:val=""/>
          </w:rPr>
          <w:fldChar w:fldCharType="end"/>
        </w:r>
      </w:hyperlink>
    </w:p>
    <w:p w14:paraId="1EDCFFFE" w14:textId="77777777" w:rsidR="001F1D25" w:rsidRPr="001F1D25" w:rsidRDefault="001F1D25" w:rsidP="001F1D25">
      <w:pPr>
        <w:jc w:val="center"/>
        <w:rPr>
          <w:rFonts w:ascii="Arial" w:hAnsi="Arial" w:cs="Arial"/>
          <w:bCs/>
          <w:lang w:val="en-US"/>
        </w:rPr>
      </w:pPr>
      <w:hyperlink r:id="rId18" w:anchor="_Toc1568267782" w:history="1">
        <w:r w:rsidRPr="001F1D25">
          <w:rPr>
            <w:rStyle w:val="Hyperlink"/>
            <w:rFonts w:ascii="Arial" w:hAnsi="Arial" w:cs="Arial"/>
            <w:bCs/>
            <w:lang w:val="en-US"/>
          </w:rPr>
          <w:t>Figure 2 : Liquidity ratios of General Electronics for the year 2020 to 2024</w:t>
        </w:r>
        <w:r w:rsidRPr="001F1D25">
          <w:rPr>
            <w:rStyle w:val="Hyperlink"/>
            <w:rFonts w:ascii="Arial" w:hAnsi="Arial" w:cs="Arial"/>
            <w:bCs/>
            <w:lang w:val="en-US"/>
          </w:rPr>
          <w:tab/>
        </w:r>
        <w:r w:rsidRPr="001F1D25">
          <w:rPr>
            <w:rStyle w:val="Hyperlink"/>
            <w:rFonts w:ascii="Arial" w:hAnsi="Arial" w:cs="Arial"/>
            <w:bCs/>
            <w:lang w:val="en-US"/>
          </w:rPr>
          <w:fldChar w:fldCharType="begin"/>
        </w:r>
        <w:r w:rsidRPr="001F1D25">
          <w:rPr>
            <w:rStyle w:val="Hyperlink"/>
            <w:rFonts w:ascii="Arial" w:hAnsi="Arial" w:cs="Arial"/>
            <w:bCs/>
            <w:lang w:val="en-US"/>
          </w:rPr>
          <w:instrText xml:space="preserve"> PAGEREF _Toc1568267782 \h </w:instrText>
        </w:r>
        <w:r w:rsidRPr="001F1D25">
          <w:rPr>
            <w:rStyle w:val="Hyperlink"/>
            <w:rFonts w:ascii="Arial" w:hAnsi="Arial" w:cs="Arial"/>
            <w:bCs/>
            <w:lang w:val="en-US"/>
          </w:rPr>
        </w:r>
        <w:r w:rsidRPr="001F1D25">
          <w:rPr>
            <w:rStyle w:val="Hyperlink"/>
            <w:rFonts w:ascii="Arial" w:hAnsi="Arial" w:cs="Arial"/>
            <w:bCs/>
            <w:lang w:val="en-US"/>
          </w:rPr>
          <w:fldChar w:fldCharType="separate"/>
        </w:r>
        <w:r w:rsidRPr="001F1D25">
          <w:rPr>
            <w:rStyle w:val="Hyperlink"/>
            <w:rFonts w:ascii="Arial" w:hAnsi="Arial" w:cs="Arial"/>
            <w:bCs/>
            <w:lang w:val="en-US"/>
          </w:rPr>
          <w:t>6</w:t>
        </w:r>
        <w:r w:rsidRPr="001F1D25">
          <w:rPr>
            <w:rStyle w:val="Hyperlink"/>
            <w:rFonts w:ascii="Arial" w:hAnsi="Arial" w:cs="Arial"/>
            <w:bCs/>
            <w:lang w:val=""/>
          </w:rPr>
          <w:fldChar w:fldCharType="end"/>
        </w:r>
      </w:hyperlink>
    </w:p>
    <w:p w14:paraId="1F5567CD" w14:textId="77777777" w:rsidR="001F1D25" w:rsidRPr="001F1D25" w:rsidRDefault="001F1D25" w:rsidP="001F1D25">
      <w:pPr>
        <w:jc w:val="center"/>
        <w:rPr>
          <w:rFonts w:ascii="Arial" w:hAnsi="Arial" w:cs="Arial"/>
          <w:bCs/>
          <w:lang w:val="en-US"/>
        </w:rPr>
      </w:pPr>
      <w:hyperlink r:id="rId19" w:anchor="_Toc559353393" w:history="1">
        <w:r w:rsidRPr="001F1D25">
          <w:rPr>
            <w:rStyle w:val="Hyperlink"/>
            <w:rFonts w:ascii="Arial" w:hAnsi="Arial" w:cs="Arial"/>
            <w:bCs/>
            <w:lang w:val="en-US"/>
          </w:rPr>
          <w:t>Figure 3 : Efficiency ratios of General Electronics for the year 2020 to 2024</w:t>
        </w:r>
        <w:r w:rsidRPr="001F1D25">
          <w:rPr>
            <w:rStyle w:val="Hyperlink"/>
            <w:rFonts w:ascii="Arial" w:hAnsi="Arial" w:cs="Arial"/>
            <w:bCs/>
            <w:lang w:val="en-US"/>
          </w:rPr>
          <w:tab/>
        </w:r>
        <w:r w:rsidRPr="001F1D25">
          <w:rPr>
            <w:rStyle w:val="Hyperlink"/>
            <w:rFonts w:ascii="Arial" w:hAnsi="Arial" w:cs="Arial"/>
            <w:bCs/>
            <w:lang w:val="en-US"/>
          </w:rPr>
          <w:fldChar w:fldCharType="begin"/>
        </w:r>
        <w:r w:rsidRPr="001F1D25">
          <w:rPr>
            <w:rStyle w:val="Hyperlink"/>
            <w:rFonts w:ascii="Arial" w:hAnsi="Arial" w:cs="Arial"/>
            <w:bCs/>
            <w:lang w:val="en-US"/>
          </w:rPr>
          <w:instrText xml:space="preserve"> PAGEREF _Toc559353393 \h </w:instrText>
        </w:r>
        <w:r w:rsidRPr="001F1D25">
          <w:rPr>
            <w:rStyle w:val="Hyperlink"/>
            <w:rFonts w:ascii="Arial" w:hAnsi="Arial" w:cs="Arial"/>
            <w:bCs/>
            <w:lang w:val="en-US"/>
          </w:rPr>
        </w:r>
        <w:r w:rsidRPr="001F1D25">
          <w:rPr>
            <w:rStyle w:val="Hyperlink"/>
            <w:rFonts w:ascii="Arial" w:hAnsi="Arial" w:cs="Arial"/>
            <w:bCs/>
            <w:lang w:val="en-US"/>
          </w:rPr>
          <w:fldChar w:fldCharType="separate"/>
        </w:r>
        <w:r w:rsidRPr="001F1D25">
          <w:rPr>
            <w:rStyle w:val="Hyperlink"/>
            <w:rFonts w:ascii="Arial" w:hAnsi="Arial" w:cs="Arial"/>
            <w:bCs/>
            <w:lang w:val="en-US"/>
          </w:rPr>
          <w:t>6</w:t>
        </w:r>
        <w:r w:rsidRPr="001F1D25">
          <w:rPr>
            <w:rStyle w:val="Hyperlink"/>
            <w:rFonts w:ascii="Arial" w:hAnsi="Arial" w:cs="Arial"/>
            <w:bCs/>
            <w:lang w:val=""/>
          </w:rPr>
          <w:fldChar w:fldCharType="end"/>
        </w:r>
      </w:hyperlink>
    </w:p>
    <w:p w14:paraId="2A7BE39D" w14:textId="77777777" w:rsidR="001F1D25" w:rsidRPr="001F1D25" w:rsidRDefault="001F1D25" w:rsidP="001F1D25">
      <w:pPr>
        <w:jc w:val="center"/>
        <w:rPr>
          <w:rFonts w:ascii="Arial" w:hAnsi="Arial" w:cs="Arial"/>
          <w:bCs/>
          <w:lang w:val="en-US"/>
        </w:rPr>
      </w:pPr>
      <w:hyperlink r:id="rId20" w:anchor="_Toc226763981" w:history="1">
        <w:r w:rsidRPr="001F1D25">
          <w:rPr>
            <w:rStyle w:val="Hyperlink"/>
            <w:rFonts w:ascii="Arial" w:hAnsi="Arial" w:cs="Arial"/>
            <w:bCs/>
            <w:lang w:val="en-US"/>
          </w:rPr>
          <w:t>Figure 4 : Gearing ratios of General Electronics for the year 2020 to 2024</w:t>
        </w:r>
        <w:r w:rsidRPr="001F1D25">
          <w:rPr>
            <w:rStyle w:val="Hyperlink"/>
            <w:rFonts w:ascii="Arial" w:hAnsi="Arial" w:cs="Arial"/>
            <w:bCs/>
            <w:lang w:val="en-US"/>
          </w:rPr>
          <w:tab/>
        </w:r>
        <w:r w:rsidRPr="001F1D25">
          <w:rPr>
            <w:rStyle w:val="Hyperlink"/>
            <w:rFonts w:ascii="Arial" w:hAnsi="Arial" w:cs="Arial"/>
            <w:bCs/>
            <w:lang w:val="en-US"/>
          </w:rPr>
          <w:fldChar w:fldCharType="begin"/>
        </w:r>
        <w:r w:rsidRPr="001F1D25">
          <w:rPr>
            <w:rStyle w:val="Hyperlink"/>
            <w:rFonts w:ascii="Arial" w:hAnsi="Arial" w:cs="Arial"/>
            <w:bCs/>
            <w:lang w:val="en-US"/>
          </w:rPr>
          <w:instrText xml:space="preserve"> PAGEREF _Toc226763981 \h </w:instrText>
        </w:r>
        <w:r w:rsidRPr="001F1D25">
          <w:rPr>
            <w:rStyle w:val="Hyperlink"/>
            <w:rFonts w:ascii="Arial" w:hAnsi="Arial" w:cs="Arial"/>
            <w:bCs/>
            <w:lang w:val="en-US"/>
          </w:rPr>
        </w:r>
        <w:r w:rsidRPr="001F1D25">
          <w:rPr>
            <w:rStyle w:val="Hyperlink"/>
            <w:rFonts w:ascii="Arial" w:hAnsi="Arial" w:cs="Arial"/>
            <w:bCs/>
            <w:lang w:val="en-US"/>
          </w:rPr>
          <w:fldChar w:fldCharType="separate"/>
        </w:r>
        <w:r w:rsidRPr="001F1D25">
          <w:rPr>
            <w:rStyle w:val="Hyperlink"/>
            <w:rFonts w:ascii="Arial" w:hAnsi="Arial" w:cs="Arial"/>
            <w:bCs/>
            <w:lang w:val="en-US"/>
          </w:rPr>
          <w:t>7</w:t>
        </w:r>
        <w:r w:rsidRPr="001F1D25">
          <w:rPr>
            <w:rStyle w:val="Hyperlink"/>
            <w:rFonts w:ascii="Arial" w:hAnsi="Arial" w:cs="Arial"/>
            <w:bCs/>
            <w:lang w:val=""/>
          </w:rPr>
          <w:fldChar w:fldCharType="end"/>
        </w:r>
      </w:hyperlink>
    </w:p>
    <w:p w14:paraId="6DD7C417" w14:textId="77777777" w:rsidR="001F1D25" w:rsidRPr="001F1D25" w:rsidRDefault="001F1D25" w:rsidP="001F1D25">
      <w:pPr>
        <w:jc w:val="center"/>
        <w:rPr>
          <w:rFonts w:ascii="Arial" w:hAnsi="Arial" w:cs="Arial"/>
          <w:bCs/>
          <w:lang w:val="en-US"/>
        </w:rPr>
      </w:pPr>
      <w:hyperlink r:id="rId21" w:anchor="_Toc1055013565" w:history="1">
        <w:r w:rsidRPr="001F1D25">
          <w:rPr>
            <w:rStyle w:val="Hyperlink"/>
            <w:rFonts w:ascii="Arial" w:hAnsi="Arial" w:cs="Arial"/>
            <w:bCs/>
            <w:lang w:val="en-US"/>
          </w:rPr>
          <w:t>Figure 5 : Investment ratios of General Electronics for the year 2020 to 2024</w:t>
        </w:r>
        <w:r w:rsidRPr="001F1D25">
          <w:rPr>
            <w:rStyle w:val="Hyperlink"/>
            <w:rFonts w:ascii="Arial" w:hAnsi="Arial" w:cs="Arial"/>
            <w:bCs/>
            <w:lang w:val="en-US"/>
          </w:rPr>
          <w:tab/>
        </w:r>
        <w:r w:rsidRPr="001F1D25">
          <w:rPr>
            <w:rStyle w:val="Hyperlink"/>
            <w:rFonts w:ascii="Arial" w:hAnsi="Arial" w:cs="Arial"/>
            <w:bCs/>
            <w:lang w:val="en-US"/>
          </w:rPr>
          <w:fldChar w:fldCharType="begin"/>
        </w:r>
        <w:r w:rsidRPr="001F1D25">
          <w:rPr>
            <w:rStyle w:val="Hyperlink"/>
            <w:rFonts w:ascii="Arial" w:hAnsi="Arial" w:cs="Arial"/>
            <w:bCs/>
            <w:lang w:val="en-US"/>
          </w:rPr>
          <w:instrText xml:space="preserve"> PAGEREF _Toc1055013565 \h </w:instrText>
        </w:r>
        <w:r w:rsidRPr="001F1D25">
          <w:rPr>
            <w:rStyle w:val="Hyperlink"/>
            <w:rFonts w:ascii="Arial" w:hAnsi="Arial" w:cs="Arial"/>
            <w:bCs/>
            <w:lang w:val="en-US"/>
          </w:rPr>
        </w:r>
        <w:r w:rsidRPr="001F1D25">
          <w:rPr>
            <w:rStyle w:val="Hyperlink"/>
            <w:rFonts w:ascii="Arial" w:hAnsi="Arial" w:cs="Arial"/>
            <w:bCs/>
            <w:lang w:val="en-US"/>
          </w:rPr>
          <w:fldChar w:fldCharType="separate"/>
        </w:r>
        <w:r w:rsidRPr="001F1D25">
          <w:rPr>
            <w:rStyle w:val="Hyperlink"/>
            <w:rFonts w:ascii="Arial" w:hAnsi="Arial" w:cs="Arial"/>
            <w:bCs/>
            <w:lang w:val="en-US"/>
          </w:rPr>
          <w:t>8</w:t>
        </w:r>
        <w:r w:rsidRPr="001F1D25">
          <w:rPr>
            <w:rStyle w:val="Hyperlink"/>
            <w:rFonts w:ascii="Arial" w:hAnsi="Arial" w:cs="Arial"/>
            <w:bCs/>
            <w:lang w:val=""/>
          </w:rPr>
          <w:fldChar w:fldCharType="end"/>
        </w:r>
      </w:hyperlink>
    </w:p>
    <w:p w14:paraId="098AA031" w14:textId="77777777" w:rsidR="001F1D25" w:rsidRPr="001F1D25" w:rsidRDefault="001F1D25" w:rsidP="001F1D25">
      <w:pPr>
        <w:jc w:val="center"/>
        <w:rPr>
          <w:rFonts w:ascii="Arial" w:hAnsi="Arial" w:cs="Arial"/>
          <w:bCs/>
          <w:lang w:val="en-US"/>
        </w:rPr>
      </w:pPr>
      <w:hyperlink r:id="rId22" w:anchor="_Toc1720427635" w:history="1">
        <w:r w:rsidRPr="001F1D25">
          <w:rPr>
            <w:rStyle w:val="Hyperlink"/>
            <w:rFonts w:ascii="Arial" w:hAnsi="Arial" w:cs="Arial"/>
            <w:bCs/>
            <w:lang w:val="en-US"/>
          </w:rPr>
          <w:t>Figure 6 : Cash flow ratios of General Electronics for the year 2020 to 2024</w:t>
        </w:r>
        <w:r w:rsidRPr="001F1D25">
          <w:rPr>
            <w:rStyle w:val="Hyperlink"/>
            <w:rFonts w:ascii="Arial" w:hAnsi="Arial" w:cs="Arial"/>
            <w:bCs/>
            <w:lang w:val="en-US"/>
          </w:rPr>
          <w:tab/>
        </w:r>
        <w:r w:rsidRPr="001F1D25">
          <w:rPr>
            <w:rStyle w:val="Hyperlink"/>
            <w:rFonts w:ascii="Arial" w:hAnsi="Arial" w:cs="Arial"/>
            <w:bCs/>
            <w:lang w:val="en-US"/>
          </w:rPr>
          <w:fldChar w:fldCharType="begin"/>
        </w:r>
        <w:r w:rsidRPr="001F1D25">
          <w:rPr>
            <w:rStyle w:val="Hyperlink"/>
            <w:rFonts w:ascii="Arial" w:hAnsi="Arial" w:cs="Arial"/>
            <w:bCs/>
            <w:lang w:val="en-US"/>
          </w:rPr>
          <w:instrText xml:space="preserve"> PAGEREF _Toc1720427635 \h </w:instrText>
        </w:r>
        <w:r w:rsidRPr="001F1D25">
          <w:rPr>
            <w:rStyle w:val="Hyperlink"/>
            <w:rFonts w:ascii="Arial" w:hAnsi="Arial" w:cs="Arial"/>
            <w:bCs/>
            <w:lang w:val="en-US"/>
          </w:rPr>
        </w:r>
        <w:r w:rsidRPr="001F1D25">
          <w:rPr>
            <w:rStyle w:val="Hyperlink"/>
            <w:rFonts w:ascii="Arial" w:hAnsi="Arial" w:cs="Arial"/>
            <w:bCs/>
            <w:lang w:val="en-US"/>
          </w:rPr>
          <w:fldChar w:fldCharType="separate"/>
        </w:r>
        <w:r w:rsidRPr="001F1D25">
          <w:rPr>
            <w:rStyle w:val="Hyperlink"/>
            <w:rFonts w:ascii="Arial" w:hAnsi="Arial" w:cs="Arial"/>
            <w:bCs/>
            <w:lang w:val="en-US"/>
          </w:rPr>
          <w:t>9</w:t>
        </w:r>
        <w:r w:rsidRPr="001F1D25">
          <w:rPr>
            <w:rStyle w:val="Hyperlink"/>
            <w:rFonts w:ascii="Arial" w:hAnsi="Arial" w:cs="Arial"/>
            <w:bCs/>
            <w:lang w:val=""/>
          </w:rPr>
          <w:fldChar w:fldCharType="end"/>
        </w:r>
      </w:hyperlink>
    </w:p>
    <w:p w14:paraId="263038C4" w14:textId="77777777" w:rsidR="001F1D25" w:rsidRPr="001F1D25" w:rsidRDefault="001F1D25" w:rsidP="001F1D25">
      <w:pPr>
        <w:jc w:val="center"/>
        <w:rPr>
          <w:rFonts w:ascii="Arial" w:hAnsi="Arial" w:cs="Arial"/>
          <w:bCs/>
          <w:lang w:val="en-US"/>
        </w:rPr>
      </w:pPr>
      <w:hyperlink r:id="rId23" w:anchor="_Toc1649865600" w:history="1">
        <w:r w:rsidRPr="001F1D25">
          <w:rPr>
            <w:rStyle w:val="Hyperlink"/>
            <w:rFonts w:ascii="Arial" w:hAnsi="Arial" w:cs="Arial"/>
            <w:bCs/>
            <w:lang w:val="en-US"/>
          </w:rPr>
          <w:t>Figure 7 : Cash operating cycle of General Electronics for the year 2020 to 2024</w:t>
        </w:r>
        <w:r w:rsidRPr="001F1D25">
          <w:rPr>
            <w:rStyle w:val="Hyperlink"/>
            <w:rFonts w:ascii="Arial" w:hAnsi="Arial" w:cs="Arial"/>
            <w:bCs/>
            <w:lang w:val="en-US"/>
          </w:rPr>
          <w:tab/>
        </w:r>
        <w:r w:rsidRPr="001F1D25">
          <w:rPr>
            <w:rStyle w:val="Hyperlink"/>
            <w:rFonts w:ascii="Arial" w:hAnsi="Arial" w:cs="Arial"/>
            <w:bCs/>
            <w:lang w:val="en-US"/>
          </w:rPr>
          <w:fldChar w:fldCharType="begin"/>
        </w:r>
        <w:r w:rsidRPr="001F1D25">
          <w:rPr>
            <w:rStyle w:val="Hyperlink"/>
            <w:rFonts w:ascii="Arial" w:hAnsi="Arial" w:cs="Arial"/>
            <w:bCs/>
            <w:lang w:val="en-US"/>
          </w:rPr>
          <w:instrText xml:space="preserve"> PAGEREF _Toc1649865600 \h </w:instrText>
        </w:r>
        <w:r w:rsidRPr="001F1D25">
          <w:rPr>
            <w:rStyle w:val="Hyperlink"/>
            <w:rFonts w:ascii="Arial" w:hAnsi="Arial" w:cs="Arial"/>
            <w:bCs/>
            <w:lang w:val="en-US"/>
          </w:rPr>
        </w:r>
        <w:r w:rsidRPr="001F1D25">
          <w:rPr>
            <w:rStyle w:val="Hyperlink"/>
            <w:rFonts w:ascii="Arial" w:hAnsi="Arial" w:cs="Arial"/>
            <w:bCs/>
            <w:lang w:val="en-US"/>
          </w:rPr>
          <w:fldChar w:fldCharType="separate"/>
        </w:r>
        <w:r w:rsidRPr="001F1D25">
          <w:rPr>
            <w:rStyle w:val="Hyperlink"/>
            <w:rFonts w:ascii="Arial" w:hAnsi="Arial" w:cs="Arial"/>
            <w:bCs/>
            <w:lang w:val="en-US"/>
          </w:rPr>
          <w:t>11</w:t>
        </w:r>
        <w:r w:rsidRPr="001F1D25">
          <w:rPr>
            <w:rStyle w:val="Hyperlink"/>
            <w:rFonts w:ascii="Arial" w:hAnsi="Arial" w:cs="Arial"/>
            <w:bCs/>
            <w:lang w:val=""/>
          </w:rPr>
          <w:fldChar w:fldCharType="end"/>
        </w:r>
      </w:hyperlink>
    </w:p>
    <w:p w14:paraId="22FE7D30" w14:textId="77777777" w:rsidR="001F1D25" w:rsidRPr="001F1D25" w:rsidRDefault="001F1D25" w:rsidP="001F1D25">
      <w:pPr>
        <w:jc w:val="center"/>
        <w:rPr>
          <w:rFonts w:ascii="Arial" w:hAnsi="Arial" w:cs="Arial"/>
          <w:bCs/>
          <w:lang w:val="en-US"/>
        </w:rPr>
      </w:pPr>
      <w:hyperlink r:id="rId24" w:anchor="_Toc1626714263" w:history="1">
        <w:r w:rsidRPr="001F1D25">
          <w:rPr>
            <w:rStyle w:val="Hyperlink"/>
            <w:rFonts w:ascii="Arial" w:hAnsi="Arial" w:cs="Arial"/>
            <w:bCs/>
            <w:lang w:val="en-US"/>
          </w:rPr>
          <w:t>Figure 8 : Investment appraisal techniques of General Electronics</w:t>
        </w:r>
        <w:r w:rsidRPr="001F1D25">
          <w:rPr>
            <w:rStyle w:val="Hyperlink"/>
            <w:rFonts w:ascii="Arial" w:hAnsi="Arial" w:cs="Arial"/>
            <w:bCs/>
            <w:lang w:val="en-US"/>
          </w:rPr>
          <w:tab/>
        </w:r>
        <w:r w:rsidRPr="001F1D25">
          <w:rPr>
            <w:rStyle w:val="Hyperlink"/>
            <w:rFonts w:ascii="Arial" w:hAnsi="Arial" w:cs="Arial"/>
            <w:bCs/>
            <w:lang w:val="en-US"/>
          </w:rPr>
          <w:fldChar w:fldCharType="begin"/>
        </w:r>
        <w:r w:rsidRPr="001F1D25">
          <w:rPr>
            <w:rStyle w:val="Hyperlink"/>
            <w:rFonts w:ascii="Arial" w:hAnsi="Arial" w:cs="Arial"/>
            <w:bCs/>
            <w:lang w:val="en-US"/>
          </w:rPr>
          <w:instrText xml:space="preserve"> PAGEREF _Toc1626714263 \h </w:instrText>
        </w:r>
        <w:r w:rsidRPr="001F1D25">
          <w:rPr>
            <w:rStyle w:val="Hyperlink"/>
            <w:rFonts w:ascii="Arial" w:hAnsi="Arial" w:cs="Arial"/>
            <w:bCs/>
            <w:lang w:val="en-US"/>
          </w:rPr>
        </w:r>
        <w:r w:rsidRPr="001F1D25">
          <w:rPr>
            <w:rStyle w:val="Hyperlink"/>
            <w:rFonts w:ascii="Arial" w:hAnsi="Arial" w:cs="Arial"/>
            <w:bCs/>
            <w:lang w:val="en-US"/>
          </w:rPr>
          <w:fldChar w:fldCharType="separate"/>
        </w:r>
        <w:r w:rsidRPr="001F1D25">
          <w:rPr>
            <w:rStyle w:val="Hyperlink"/>
            <w:rFonts w:ascii="Arial" w:hAnsi="Arial" w:cs="Arial"/>
            <w:bCs/>
            <w:lang w:val="en-US"/>
          </w:rPr>
          <w:t>18</w:t>
        </w:r>
        <w:r w:rsidRPr="001F1D25">
          <w:rPr>
            <w:rStyle w:val="Hyperlink"/>
            <w:rFonts w:ascii="Arial" w:hAnsi="Arial" w:cs="Arial"/>
            <w:bCs/>
            <w:lang w:val=""/>
          </w:rPr>
          <w:fldChar w:fldCharType="end"/>
        </w:r>
      </w:hyperlink>
    </w:p>
    <w:p w14:paraId="181566F1" w14:textId="77777777" w:rsidR="001F1D25" w:rsidRPr="001F1D25" w:rsidRDefault="001F1D25" w:rsidP="001F1D25">
      <w:pPr>
        <w:jc w:val="center"/>
        <w:rPr>
          <w:rFonts w:ascii="Arial" w:hAnsi="Arial" w:cs="Arial"/>
          <w:bCs/>
          <w:lang w:val="en-US"/>
        </w:rPr>
      </w:pPr>
      <w:r w:rsidRPr="001F1D25">
        <w:rPr>
          <w:rFonts w:ascii="Arial" w:hAnsi="Arial" w:cs="Arial"/>
          <w:bCs/>
          <w:lang w:val=""/>
        </w:rPr>
        <w:fldChar w:fldCharType="end"/>
      </w:r>
    </w:p>
    <w:p w14:paraId="081AF07D" w14:textId="77777777" w:rsidR="001F1D25" w:rsidRPr="001F1D25" w:rsidRDefault="001F1D25" w:rsidP="001F1D25">
      <w:pPr>
        <w:jc w:val="center"/>
        <w:rPr>
          <w:rFonts w:ascii="Arial" w:hAnsi="Arial" w:cs="Arial"/>
          <w:bCs/>
          <w:lang w:val="en-US"/>
        </w:rPr>
      </w:pPr>
      <w:r w:rsidRPr="001F1D25">
        <w:rPr>
          <w:rFonts w:ascii="Arial" w:hAnsi="Arial" w:cs="Arial"/>
          <w:bCs/>
          <w:lang w:val="en-US"/>
        </w:rPr>
        <w:br w:type="page"/>
      </w:r>
    </w:p>
    <w:p w14:paraId="0C88A316" w14:textId="77777777" w:rsidR="001F1D25" w:rsidRPr="001F1D25" w:rsidRDefault="001F1D25" w:rsidP="001F1D25">
      <w:pPr>
        <w:jc w:val="center"/>
        <w:rPr>
          <w:rFonts w:ascii="Arial" w:hAnsi="Arial" w:cs="Arial"/>
          <w:b/>
          <w:bCs/>
          <w:lang w:val="en-US"/>
        </w:rPr>
      </w:pPr>
      <w:bookmarkStart w:id="0" w:name="_Toc1699196974"/>
      <w:r w:rsidRPr="001F1D25">
        <w:rPr>
          <w:rFonts w:ascii="Arial" w:hAnsi="Arial" w:cs="Arial"/>
          <w:b/>
          <w:bCs/>
          <w:lang w:val="en-US"/>
        </w:rPr>
        <w:lastRenderedPageBreak/>
        <w:t>Introduction</w:t>
      </w:r>
      <w:bookmarkEnd w:id="0"/>
    </w:p>
    <w:p w14:paraId="70E534E4"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The aim of the report is to study the financial performance of a struggling firm, namely General Electronics, which is engaged in the consumer electronics industry. The report will focus on identifying core problems of the company and proposing a turnaround strategy. Accordingly, in the role of Chief Financial Officer (CFO), several aspects of the company will be discussed in detail for identifying problems and developing a turnaround strategy. The report will evaluate financial statements and </w:t>
      </w:r>
      <w:proofErr w:type="spellStart"/>
      <w:r w:rsidRPr="001F1D25">
        <w:rPr>
          <w:rFonts w:ascii="Arial" w:hAnsi="Arial" w:cs="Arial"/>
          <w:bCs/>
          <w:lang w:val="en-US"/>
        </w:rPr>
        <w:t>analyse</w:t>
      </w:r>
      <w:proofErr w:type="spellEnd"/>
      <w:r w:rsidRPr="001F1D25">
        <w:rPr>
          <w:rFonts w:ascii="Arial" w:hAnsi="Arial" w:cs="Arial"/>
          <w:bCs/>
          <w:lang w:val="en-US"/>
        </w:rPr>
        <w:t xml:space="preserve"> financial performance using a wide range of ratios categories. Similarly, the corporate failure model will also be used to determine default risk. Additionally, working capital, strategies to improve liquidity, and financing options will also be discussed in detail. Further, financial restructuring options will be discussed along with their impact on shareholder value, debt structure, and operational flexibility. Lastly, the report will provide investment recommendations using several techniques, such as Net Present Value, payback, profitability index, and others.</w:t>
      </w:r>
    </w:p>
    <w:p w14:paraId="242B0DFC" w14:textId="77777777" w:rsidR="001F1D25" w:rsidRPr="001F1D25" w:rsidRDefault="001F1D25" w:rsidP="001F1D25">
      <w:pPr>
        <w:numPr>
          <w:ilvl w:val="0"/>
          <w:numId w:val="2"/>
        </w:numPr>
        <w:jc w:val="center"/>
        <w:rPr>
          <w:rFonts w:ascii="Arial" w:hAnsi="Arial" w:cs="Arial"/>
          <w:b/>
          <w:bCs/>
          <w:lang w:val="en-US"/>
        </w:rPr>
      </w:pPr>
      <w:bookmarkStart w:id="1" w:name="_Toc1166004212"/>
      <w:r w:rsidRPr="001F1D25">
        <w:rPr>
          <w:rFonts w:ascii="Arial" w:hAnsi="Arial" w:cs="Arial"/>
          <w:b/>
          <w:bCs/>
          <w:lang w:val="en-US"/>
        </w:rPr>
        <w:t>Financial Health Check</w:t>
      </w:r>
      <w:bookmarkEnd w:id="1"/>
    </w:p>
    <w:p w14:paraId="22C43977" w14:textId="77777777" w:rsidR="001F1D25" w:rsidRPr="001F1D25" w:rsidRDefault="001F1D25" w:rsidP="001F1D25">
      <w:pPr>
        <w:jc w:val="center"/>
        <w:rPr>
          <w:rFonts w:ascii="Arial" w:hAnsi="Arial" w:cs="Arial"/>
          <w:bCs/>
          <w:lang w:val="en-US"/>
        </w:rPr>
      </w:pPr>
      <w:r w:rsidRPr="001F1D25">
        <w:rPr>
          <w:rFonts w:ascii="Arial" w:hAnsi="Arial" w:cs="Arial"/>
          <w:b/>
          <w:bCs/>
          <w:lang w:val="en-US"/>
        </w:rPr>
        <w:t>Analysis of firm’s financial statements</w:t>
      </w:r>
    </w:p>
    <w:p w14:paraId="5CDD578E" w14:textId="77777777" w:rsidR="001F1D25" w:rsidRPr="001F1D25" w:rsidRDefault="001F1D25" w:rsidP="001F1D25">
      <w:pPr>
        <w:jc w:val="center"/>
        <w:rPr>
          <w:rFonts w:ascii="Arial" w:hAnsi="Arial" w:cs="Arial"/>
          <w:bCs/>
          <w:lang w:val="en-US"/>
        </w:rPr>
      </w:pPr>
      <w:r w:rsidRPr="001F1D25">
        <w:rPr>
          <w:rFonts w:ascii="Arial" w:hAnsi="Arial" w:cs="Arial"/>
          <w:bCs/>
          <w:lang w:val="en-US"/>
        </w:rPr>
        <w:t>On evaluation of General Electronics' financial statements, it was found that revenues and operating profits of the company had sharply reduced in the last 5 years. A fall in revenues also resulted in losses during 2023 and 2024. During 2020, the company reported sales of £614,680 million, which reduced to £394,879 million in 2024, reflecting a 36% decline in sales in the last 5 years. Although, company reduced its operating expenses; however, a fall in revenues also turned profits of the company into losses. Net profit of General Electronics during 2020 was £38,572 million, which turned into -£24,023 million in 2024. A fall in revenues and a turn of profits into losses can be considered as a failure of the company in improving financial performance in the last 5 years.</w:t>
      </w:r>
    </w:p>
    <w:p w14:paraId="3274CDCF"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Additionally, the value of the assets of General Electronics also declined in last 5 years. For instance, current assets of the company fell by 26%; however, liabilities only declined by 12% in last 5 years. This might enhance the default risk of the company. Similarly, company’s equity is high than debt during 2020; however, the situation changed in last 5 years as debts of the company significantly increase compared to equity. Total debts in 2024 </w:t>
      </w:r>
      <w:proofErr w:type="gramStart"/>
      <w:r w:rsidRPr="001F1D25">
        <w:rPr>
          <w:rFonts w:ascii="Arial" w:hAnsi="Arial" w:cs="Arial"/>
          <w:bCs/>
          <w:lang w:val="en-US"/>
        </w:rPr>
        <w:t>was</w:t>
      </w:r>
      <w:proofErr w:type="gramEnd"/>
      <w:r w:rsidRPr="001F1D25">
        <w:rPr>
          <w:rFonts w:ascii="Arial" w:hAnsi="Arial" w:cs="Arial"/>
          <w:bCs/>
          <w:lang w:val="en-US"/>
        </w:rPr>
        <w:t xml:space="preserve"> £170,249 million; whereas, equity is only £153,105 million. This also reflects that the financial health of General Electronics is not well due to high financial leverage. Further, the cash flow position has also been reduced due to a fall in cash flows in the last 5 years by 53%.</w:t>
      </w:r>
    </w:p>
    <w:p w14:paraId="4608554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Ratio Analysis considering trends, strengths, and threats</w:t>
      </w:r>
    </w:p>
    <w:p w14:paraId="48BBEE17" w14:textId="77777777" w:rsidR="001F1D25" w:rsidRPr="001F1D25" w:rsidRDefault="001F1D25" w:rsidP="001F1D25">
      <w:pPr>
        <w:jc w:val="center"/>
        <w:rPr>
          <w:rFonts w:ascii="Arial" w:hAnsi="Arial" w:cs="Arial"/>
          <w:bCs/>
          <w:lang w:val="en-US"/>
        </w:rPr>
      </w:pPr>
      <w:r w:rsidRPr="001F1D25">
        <w:rPr>
          <w:rFonts w:ascii="Arial" w:hAnsi="Arial" w:cs="Arial"/>
          <w:bCs/>
          <w:lang w:val="en-US"/>
        </w:rPr>
        <w:t>Ratios refers to quantitative metrics, which reflect the relationship between two items of financial variables. Ratios help in gaining valuable insights about the profitability, liquidity, efficiency, and solvency position of business entities (</w:t>
      </w:r>
      <w:proofErr w:type="spellStart"/>
      <w:r w:rsidRPr="001F1D25">
        <w:rPr>
          <w:rFonts w:ascii="Arial" w:hAnsi="Arial" w:cs="Arial"/>
          <w:bCs/>
          <w:lang w:val="en-US"/>
        </w:rPr>
        <w:t>Megaladevi</w:t>
      </w:r>
      <w:proofErr w:type="spellEnd"/>
      <w:r w:rsidRPr="001F1D25">
        <w:rPr>
          <w:rFonts w:ascii="Arial" w:hAnsi="Arial" w:cs="Arial"/>
          <w:bCs/>
          <w:lang w:val="en-US"/>
        </w:rPr>
        <w:t xml:space="preserve">, Shanthi and Merlin, 2021). Profitability ratios like net profit ratio, gross profit ratio, and others </w:t>
      </w:r>
      <w:r w:rsidRPr="001F1D25">
        <w:rPr>
          <w:rFonts w:ascii="Arial" w:hAnsi="Arial" w:cs="Arial"/>
          <w:bCs/>
          <w:lang w:val="en-US"/>
        </w:rPr>
        <w:lastRenderedPageBreak/>
        <w:t>are used for evaluating financial performance; whereas, efficiency ratios help in evaluating efficiency position in relation to usage of different assets like receivables, inventory, and others (Dawood, 2023). In addition to this, liquidity ratios like current and quick ratios are used to assess the ability to meet current obligations; whereas, solvency ratios enable measuring the debt and equity relationship to meet long-term obligations (Fairchild, 2025). Accordingly, the section will discuss a wide range of ratios for evaluating the financial performance and health of General Electronics (refer appendix 1 for ratio calculations).</w:t>
      </w:r>
    </w:p>
    <w:p w14:paraId="6CA9C0C5"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Profitability</w:t>
      </w:r>
    </w:p>
    <w:p w14:paraId="47552C4B"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Figure </w:t>
      </w:r>
      <w:r w:rsidRPr="001F1D25">
        <w:rPr>
          <w:rFonts w:ascii="Arial" w:hAnsi="Arial" w:cs="Arial"/>
          <w:bCs/>
          <w:lang w:val="en-US"/>
        </w:rPr>
        <w:fldChar w:fldCharType="begin"/>
      </w:r>
      <w:r w:rsidRPr="001F1D25">
        <w:rPr>
          <w:rFonts w:ascii="Arial" w:hAnsi="Arial" w:cs="Arial"/>
          <w:bCs/>
          <w:lang w:val="en-US"/>
        </w:rPr>
        <w:instrText xml:space="preserve"> SEQ Figure \* ARABIC </w:instrText>
      </w:r>
      <w:r w:rsidRPr="001F1D25">
        <w:rPr>
          <w:rFonts w:ascii="Arial" w:hAnsi="Arial" w:cs="Arial"/>
          <w:bCs/>
          <w:lang w:val="en-US"/>
        </w:rPr>
        <w:fldChar w:fldCharType="separate"/>
      </w:r>
      <w:r w:rsidRPr="001F1D25">
        <w:rPr>
          <w:rFonts w:ascii="Arial" w:hAnsi="Arial" w:cs="Arial"/>
          <w:bCs/>
          <w:lang w:val="en-US"/>
        </w:rPr>
        <w:t>1</w:t>
      </w:r>
      <w:r w:rsidRPr="001F1D25">
        <w:rPr>
          <w:rFonts w:ascii="Arial" w:hAnsi="Arial" w:cs="Arial"/>
          <w:bCs/>
          <w:lang w:val=""/>
        </w:rPr>
        <w:fldChar w:fldCharType="end"/>
      </w:r>
      <w:bookmarkStart w:id="2" w:name="_Toc207525420"/>
      <w:r w:rsidRPr="001F1D25">
        <w:rPr>
          <w:rFonts w:ascii="Arial" w:hAnsi="Arial" w:cs="Arial"/>
          <w:bCs/>
          <w:lang w:val="en-US"/>
        </w:rPr>
        <w:t>: Profitability ratios of General Electronics for the year 2020 to 2024</w:t>
      </w:r>
      <w:bookmarkEnd w:id="2"/>
    </w:p>
    <w:p w14:paraId="29911449" w14:textId="71257F5C" w:rsidR="001F1D25" w:rsidRPr="001F1D25" w:rsidRDefault="001F1D25" w:rsidP="001F1D25">
      <w:pPr>
        <w:jc w:val="center"/>
        <w:rPr>
          <w:rFonts w:ascii="Arial" w:hAnsi="Arial" w:cs="Arial"/>
          <w:bCs/>
          <w:lang w:val="en-US"/>
        </w:rPr>
      </w:pPr>
      <w:r w:rsidRPr="00C96AA4">
        <w:rPr>
          <w:rFonts w:ascii="Arial" w:hAnsi="Arial" w:cs="Arial"/>
          <w:bCs/>
          <w:lang w:val="en-US"/>
        </w:rPr>
        <w:drawing>
          <wp:inline distT="0" distB="0" distL="0" distR="0" wp14:anchorId="012F56A1" wp14:editId="62339D46">
            <wp:extent cx="4815840" cy="2903220"/>
            <wp:effectExtent l="0" t="0" r="3810" b="11430"/>
            <wp:docPr id="381900840"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DC40298" w14:textId="77777777" w:rsidR="001F1D25" w:rsidRPr="001F1D25" w:rsidRDefault="001F1D25" w:rsidP="001F1D25">
      <w:pPr>
        <w:jc w:val="center"/>
        <w:rPr>
          <w:rFonts w:ascii="Arial" w:hAnsi="Arial" w:cs="Arial"/>
          <w:bCs/>
          <w:lang w:val="en-US"/>
        </w:rPr>
      </w:pPr>
      <w:r w:rsidRPr="001F1D25">
        <w:rPr>
          <w:rFonts w:ascii="Arial" w:hAnsi="Arial" w:cs="Arial"/>
          <w:bCs/>
          <w:lang w:val="en-US"/>
        </w:rPr>
        <w:t>(Source: Self-made)</w:t>
      </w:r>
    </w:p>
    <w:p w14:paraId="23A46566" w14:textId="77777777" w:rsidR="001F1D25" w:rsidRPr="001F1D25" w:rsidRDefault="001F1D25" w:rsidP="001F1D25">
      <w:pPr>
        <w:jc w:val="center"/>
        <w:rPr>
          <w:rFonts w:ascii="Arial" w:hAnsi="Arial" w:cs="Arial"/>
          <w:bCs/>
          <w:lang w:val="en-US"/>
        </w:rPr>
      </w:pPr>
      <w:r w:rsidRPr="001F1D25">
        <w:rPr>
          <w:rFonts w:ascii="Arial" w:hAnsi="Arial" w:cs="Arial"/>
          <w:bCs/>
          <w:lang w:val="en-US"/>
        </w:rPr>
        <w:t>Profitability ratios revealed a downward trend in the last 5 years as both gross profit as well as net profit ratio of General Electronics have reduced. Gross profit ratio reduced from 28.67% to 23.20% in 2023; whereas, net profit ratio reduced from 6.28% to -6.09% during 2024. The key cause behind fall in gross profit margin is an increase in cost of goods sold; whereas, fall in revenues also caused reduction in net profit ratio. A fall in gross profit ratio and a negative net profit ratio indicates a threat for the company as it fails to generate profits after meeting all business expenses. Although, company’s net profit ratio is slightly improved in 2024; however, it is still negative, which reflects the adverse financial performance of the company.</w:t>
      </w:r>
    </w:p>
    <w:p w14:paraId="74D2CE45"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Liquidity</w:t>
      </w:r>
    </w:p>
    <w:p w14:paraId="56403390"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Figure </w:t>
      </w:r>
      <w:r w:rsidRPr="001F1D25">
        <w:rPr>
          <w:rFonts w:ascii="Arial" w:hAnsi="Arial" w:cs="Arial"/>
          <w:bCs/>
          <w:lang w:val="en-US"/>
        </w:rPr>
        <w:fldChar w:fldCharType="begin"/>
      </w:r>
      <w:r w:rsidRPr="001F1D25">
        <w:rPr>
          <w:rFonts w:ascii="Arial" w:hAnsi="Arial" w:cs="Arial"/>
          <w:bCs/>
          <w:lang w:val="en-US"/>
        </w:rPr>
        <w:instrText xml:space="preserve"> SEQ Figure \* ARABIC </w:instrText>
      </w:r>
      <w:r w:rsidRPr="001F1D25">
        <w:rPr>
          <w:rFonts w:ascii="Arial" w:hAnsi="Arial" w:cs="Arial"/>
          <w:bCs/>
          <w:lang w:val="en-US"/>
        </w:rPr>
        <w:fldChar w:fldCharType="separate"/>
      </w:r>
      <w:r w:rsidRPr="001F1D25">
        <w:rPr>
          <w:rFonts w:ascii="Arial" w:hAnsi="Arial" w:cs="Arial"/>
          <w:bCs/>
          <w:lang w:val="en-US"/>
        </w:rPr>
        <w:t>2</w:t>
      </w:r>
      <w:r w:rsidRPr="001F1D25">
        <w:rPr>
          <w:rFonts w:ascii="Arial" w:hAnsi="Arial" w:cs="Arial"/>
          <w:bCs/>
          <w:lang w:val=""/>
        </w:rPr>
        <w:fldChar w:fldCharType="end"/>
      </w:r>
      <w:bookmarkStart w:id="3" w:name="_Toc1568267782"/>
      <w:r w:rsidRPr="001F1D25">
        <w:rPr>
          <w:rFonts w:ascii="Arial" w:hAnsi="Arial" w:cs="Arial"/>
          <w:bCs/>
          <w:lang w:val="en-US"/>
        </w:rPr>
        <w:t>: Liquidity ratios of General Electronics for the year 2020 to 2024</w:t>
      </w:r>
      <w:bookmarkEnd w:id="3"/>
    </w:p>
    <w:p w14:paraId="7806F6F2" w14:textId="13A72E84" w:rsidR="001F1D25" w:rsidRPr="001F1D25" w:rsidRDefault="001F1D25" w:rsidP="001F1D25">
      <w:pPr>
        <w:jc w:val="center"/>
        <w:rPr>
          <w:rFonts w:ascii="Arial" w:hAnsi="Arial" w:cs="Arial"/>
          <w:bCs/>
          <w:lang w:val="en-US"/>
        </w:rPr>
      </w:pPr>
      <w:r w:rsidRPr="00C96AA4">
        <w:rPr>
          <w:rFonts w:ascii="Arial" w:hAnsi="Arial" w:cs="Arial"/>
          <w:bCs/>
          <w:lang w:val="en-US"/>
        </w:rPr>
        <w:lastRenderedPageBreak/>
        <w:drawing>
          <wp:inline distT="0" distB="0" distL="0" distR="0" wp14:anchorId="101B151D" wp14:editId="0410CD78">
            <wp:extent cx="4831080" cy="2895600"/>
            <wp:effectExtent l="0" t="0" r="7620" b="0"/>
            <wp:docPr id="846969182"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E3CA7BD" w14:textId="77777777" w:rsidR="001F1D25" w:rsidRPr="001F1D25" w:rsidRDefault="001F1D25" w:rsidP="001F1D25">
      <w:pPr>
        <w:jc w:val="center"/>
        <w:rPr>
          <w:rFonts w:ascii="Arial" w:hAnsi="Arial" w:cs="Arial"/>
          <w:bCs/>
          <w:lang w:val="en-US"/>
        </w:rPr>
      </w:pPr>
      <w:r w:rsidRPr="001F1D25">
        <w:rPr>
          <w:rFonts w:ascii="Arial" w:hAnsi="Arial" w:cs="Arial"/>
          <w:bCs/>
          <w:lang w:val="en-US"/>
        </w:rPr>
        <w:t>(Source: Self-made)</w:t>
      </w:r>
    </w:p>
    <w:p w14:paraId="37FBC106" w14:textId="77777777" w:rsidR="001F1D25" w:rsidRPr="001F1D25" w:rsidRDefault="001F1D25" w:rsidP="001F1D25">
      <w:pPr>
        <w:jc w:val="center"/>
        <w:rPr>
          <w:rFonts w:ascii="Arial" w:hAnsi="Arial" w:cs="Arial"/>
          <w:bCs/>
          <w:lang w:val="en-US"/>
        </w:rPr>
      </w:pPr>
      <w:r w:rsidRPr="001F1D25">
        <w:rPr>
          <w:rFonts w:ascii="Arial" w:hAnsi="Arial" w:cs="Arial"/>
          <w:bCs/>
          <w:lang w:val="en-US"/>
        </w:rPr>
        <w:t>The liquidity ratios also reveal a downward trend as they have fallen in the last 5 years. The current ratio of the company during 2020 was 1.82, which reduced to 1.53 in the year 2024. Similarly, quick ratio also declined in last 5 years from 1.15 to 1.03. Although current liabilities of General Electronics also declined in alignment with current assets; however, the proportion of fall in current liabilities is higher, which causes a fall in both current as well as quick ratios. Both ratios are dropped in the last 5 years; however, the company still possesses a huge amount of current assets compared to current liabilities, which is a key strength of the company. This also implies that the default risk of General Electronics is very low, and it is capable enough to meet current obligations satisfactorily.</w:t>
      </w:r>
    </w:p>
    <w:p w14:paraId="5028C1F8"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Efficiency</w:t>
      </w:r>
    </w:p>
    <w:p w14:paraId="46A6292D"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Figure </w:t>
      </w:r>
      <w:r w:rsidRPr="001F1D25">
        <w:rPr>
          <w:rFonts w:ascii="Arial" w:hAnsi="Arial" w:cs="Arial"/>
          <w:bCs/>
          <w:lang w:val="en-US"/>
        </w:rPr>
        <w:fldChar w:fldCharType="begin"/>
      </w:r>
      <w:r w:rsidRPr="001F1D25">
        <w:rPr>
          <w:rFonts w:ascii="Arial" w:hAnsi="Arial" w:cs="Arial"/>
          <w:bCs/>
          <w:lang w:val="en-US"/>
        </w:rPr>
        <w:instrText xml:space="preserve"> SEQ Figure \* ARABIC </w:instrText>
      </w:r>
      <w:r w:rsidRPr="001F1D25">
        <w:rPr>
          <w:rFonts w:ascii="Arial" w:hAnsi="Arial" w:cs="Arial"/>
          <w:bCs/>
          <w:lang w:val="en-US"/>
        </w:rPr>
        <w:fldChar w:fldCharType="separate"/>
      </w:r>
      <w:r w:rsidRPr="001F1D25">
        <w:rPr>
          <w:rFonts w:ascii="Arial" w:hAnsi="Arial" w:cs="Arial"/>
          <w:bCs/>
          <w:lang w:val="en-US"/>
        </w:rPr>
        <w:t>3</w:t>
      </w:r>
      <w:r w:rsidRPr="001F1D25">
        <w:rPr>
          <w:rFonts w:ascii="Arial" w:hAnsi="Arial" w:cs="Arial"/>
          <w:bCs/>
          <w:lang w:val=""/>
        </w:rPr>
        <w:fldChar w:fldCharType="end"/>
      </w:r>
      <w:bookmarkStart w:id="4" w:name="_Toc559353393"/>
      <w:r w:rsidRPr="001F1D25">
        <w:rPr>
          <w:rFonts w:ascii="Arial" w:hAnsi="Arial" w:cs="Arial"/>
          <w:bCs/>
          <w:lang w:val="en-US"/>
        </w:rPr>
        <w:t>: Efficiency ratios of General Electronics for the year 2020 to 2024</w:t>
      </w:r>
      <w:bookmarkEnd w:id="4"/>
    </w:p>
    <w:p w14:paraId="6F867445" w14:textId="26BE6E11" w:rsidR="001F1D25" w:rsidRPr="001F1D25" w:rsidRDefault="001F1D25" w:rsidP="001F1D25">
      <w:pPr>
        <w:jc w:val="center"/>
        <w:rPr>
          <w:rFonts w:ascii="Arial" w:hAnsi="Arial" w:cs="Arial"/>
          <w:bCs/>
          <w:lang w:val="en-US"/>
        </w:rPr>
      </w:pPr>
      <w:r w:rsidRPr="00C96AA4">
        <w:rPr>
          <w:rFonts w:ascii="Arial" w:hAnsi="Arial" w:cs="Arial"/>
          <w:bCs/>
          <w:lang w:val="en-US"/>
        </w:rPr>
        <w:lastRenderedPageBreak/>
        <w:drawing>
          <wp:inline distT="0" distB="0" distL="0" distR="0" wp14:anchorId="7A05BCF8" wp14:editId="76C60BC5">
            <wp:extent cx="4892040" cy="2895600"/>
            <wp:effectExtent l="0" t="0" r="3810" b="0"/>
            <wp:docPr id="1015652389"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4275B81" w14:textId="77777777" w:rsidR="001F1D25" w:rsidRPr="001F1D25" w:rsidRDefault="001F1D25" w:rsidP="001F1D25">
      <w:pPr>
        <w:jc w:val="center"/>
        <w:rPr>
          <w:rFonts w:ascii="Arial" w:hAnsi="Arial" w:cs="Arial"/>
          <w:bCs/>
          <w:lang w:val="en-US"/>
        </w:rPr>
      </w:pPr>
      <w:r w:rsidRPr="001F1D25">
        <w:rPr>
          <w:rFonts w:ascii="Arial" w:hAnsi="Arial" w:cs="Arial"/>
          <w:bCs/>
          <w:lang w:val="en-US"/>
        </w:rPr>
        <w:t>(Source: Self-made)</w:t>
      </w:r>
    </w:p>
    <w:p w14:paraId="44EE0EA6"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Asset turnover ratio has shown an upward trend; whereas, inventory turnover ratio has shown downwards trend in the last 5 years. The asset turnover ratio of General Electronics during 2020 was 1.20, which slightly increased to 1.22, which shows that the company is effectively using its assets for generating revenues. This can also be considered as strength for the company due to effective </w:t>
      </w:r>
      <w:proofErr w:type="spellStart"/>
      <w:r w:rsidRPr="001F1D25">
        <w:rPr>
          <w:rFonts w:ascii="Arial" w:hAnsi="Arial" w:cs="Arial"/>
          <w:bCs/>
          <w:lang w:val="en-US"/>
        </w:rPr>
        <w:t>utilisation</w:t>
      </w:r>
      <w:proofErr w:type="spellEnd"/>
      <w:r w:rsidRPr="001F1D25">
        <w:rPr>
          <w:rFonts w:ascii="Arial" w:hAnsi="Arial" w:cs="Arial"/>
          <w:bCs/>
          <w:lang w:val="en-US"/>
        </w:rPr>
        <w:t xml:space="preserve"> of assets. However, one of the key threats to General Electronics is the lack of efficiency in managing inventory effectively. The inventory turnover ratio declined from 3.44 to 3.35 in the last 5 years. This implies that company is taking longer time to replace its inventory and generate desired revenues. Therefore, it is crucial for the company to enhance its inventory efficiency to gain maximum benefits and accelerate business performance.</w:t>
      </w:r>
    </w:p>
    <w:p w14:paraId="7BB4C547"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Gearing</w:t>
      </w:r>
    </w:p>
    <w:p w14:paraId="61011FDD"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Figure </w:t>
      </w:r>
      <w:r w:rsidRPr="001F1D25">
        <w:rPr>
          <w:rFonts w:ascii="Arial" w:hAnsi="Arial" w:cs="Arial"/>
          <w:bCs/>
          <w:lang w:val="en-US"/>
        </w:rPr>
        <w:fldChar w:fldCharType="begin"/>
      </w:r>
      <w:r w:rsidRPr="001F1D25">
        <w:rPr>
          <w:rFonts w:ascii="Arial" w:hAnsi="Arial" w:cs="Arial"/>
          <w:bCs/>
          <w:lang w:val="en-US"/>
        </w:rPr>
        <w:instrText xml:space="preserve"> SEQ Figure \* ARABIC </w:instrText>
      </w:r>
      <w:r w:rsidRPr="001F1D25">
        <w:rPr>
          <w:rFonts w:ascii="Arial" w:hAnsi="Arial" w:cs="Arial"/>
          <w:bCs/>
          <w:lang w:val="en-US"/>
        </w:rPr>
        <w:fldChar w:fldCharType="separate"/>
      </w:r>
      <w:r w:rsidRPr="001F1D25">
        <w:rPr>
          <w:rFonts w:ascii="Arial" w:hAnsi="Arial" w:cs="Arial"/>
          <w:bCs/>
          <w:lang w:val="en-US"/>
        </w:rPr>
        <w:t>4</w:t>
      </w:r>
      <w:r w:rsidRPr="001F1D25">
        <w:rPr>
          <w:rFonts w:ascii="Arial" w:hAnsi="Arial" w:cs="Arial"/>
          <w:bCs/>
          <w:lang w:val=""/>
        </w:rPr>
        <w:fldChar w:fldCharType="end"/>
      </w:r>
      <w:bookmarkStart w:id="5" w:name="_Toc226763981"/>
      <w:r w:rsidRPr="001F1D25">
        <w:rPr>
          <w:rFonts w:ascii="Arial" w:hAnsi="Arial" w:cs="Arial"/>
          <w:bCs/>
          <w:lang w:val="en-US"/>
        </w:rPr>
        <w:t>: Gearing ratios of General Electronics for the year 2020 to 2024</w:t>
      </w:r>
      <w:bookmarkEnd w:id="5"/>
    </w:p>
    <w:p w14:paraId="033050DB" w14:textId="4F956FEC" w:rsidR="001F1D25" w:rsidRPr="001F1D25" w:rsidRDefault="001F1D25" w:rsidP="001F1D25">
      <w:pPr>
        <w:jc w:val="center"/>
        <w:rPr>
          <w:rFonts w:ascii="Arial" w:hAnsi="Arial" w:cs="Arial"/>
          <w:bCs/>
          <w:lang w:val="en-US"/>
        </w:rPr>
      </w:pPr>
      <w:r w:rsidRPr="00C96AA4">
        <w:rPr>
          <w:rFonts w:ascii="Arial" w:hAnsi="Arial" w:cs="Arial"/>
          <w:bCs/>
          <w:lang w:val="en-US"/>
        </w:rPr>
        <w:lastRenderedPageBreak/>
        <w:drawing>
          <wp:inline distT="0" distB="0" distL="0" distR="0" wp14:anchorId="492F6DB7" wp14:editId="210B7508">
            <wp:extent cx="4815840" cy="2895600"/>
            <wp:effectExtent l="0" t="0" r="3810" b="0"/>
            <wp:docPr id="1845395521"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F9AA6CA" w14:textId="77777777" w:rsidR="001F1D25" w:rsidRPr="001F1D25" w:rsidRDefault="001F1D25" w:rsidP="001F1D25">
      <w:pPr>
        <w:jc w:val="center"/>
        <w:rPr>
          <w:rFonts w:ascii="Arial" w:hAnsi="Arial" w:cs="Arial"/>
          <w:bCs/>
          <w:lang w:val="en-US"/>
        </w:rPr>
      </w:pPr>
      <w:r w:rsidRPr="001F1D25">
        <w:rPr>
          <w:rFonts w:ascii="Arial" w:hAnsi="Arial" w:cs="Arial"/>
          <w:bCs/>
          <w:lang w:val="en-US"/>
        </w:rPr>
        <w:t>(Source: Self-made)</w:t>
      </w:r>
    </w:p>
    <w:p w14:paraId="1AFD8D4C"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On evaluation of gearing ratios, it was found that there is an upward trend in the debt-equity ratio and a downward trend in the interest cover ratio in the last 5 years. The company's debt-equity ratio was 0.63 in the year 2020, which significantly increased to 1.11 by the end of 2024. A high proportion of fall in equity value as compared to debt is one of the main </w:t>
      </w:r>
      <w:proofErr w:type="gramStart"/>
      <w:r w:rsidRPr="001F1D25">
        <w:rPr>
          <w:rFonts w:ascii="Arial" w:hAnsi="Arial" w:cs="Arial"/>
          <w:bCs/>
          <w:lang w:val="en-US"/>
        </w:rPr>
        <w:t>consequence</w:t>
      </w:r>
      <w:proofErr w:type="gramEnd"/>
      <w:r w:rsidRPr="001F1D25">
        <w:rPr>
          <w:rFonts w:ascii="Arial" w:hAnsi="Arial" w:cs="Arial"/>
          <w:bCs/>
          <w:lang w:val="en-US"/>
        </w:rPr>
        <w:t xml:space="preserve"> behind an increase in the debt-equity ratio. This is one of the main threats for the company as it </w:t>
      </w:r>
      <w:proofErr w:type="gramStart"/>
      <w:r w:rsidRPr="001F1D25">
        <w:rPr>
          <w:rFonts w:ascii="Arial" w:hAnsi="Arial" w:cs="Arial"/>
          <w:bCs/>
          <w:lang w:val="en-US"/>
        </w:rPr>
        <w:t>possess</w:t>
      </w:r>
      <w:proofErr w:type="gramEnd"/>
      <w:r w:rsidRPr="001F1D25">
        <w:rPr>
          <w:rFonts w:ascii="Arial" w:hAnsi="Arial" w:cs="Arial"/>
          <w:bCs/>
          <w:lang w:val="en-US"/>
        </w:rPr>
        <w:t xml:space="preserve"> a huge amount of debt, which might create problems to meet long-term obligations effectively. In addition to this, fall in interest cover is also major threat, which reflects company’s inability to effectively meet interest obligations. Negative operating profit caused negative interest cover ratio, which implies that General Electronics might face problems to meet interest-related payments. Thus, the solvency position of General Electronics has been adversely affected in the last 5 years and has increased financial risk.</w:t>
      </w:r>
    </w:p>
    <w:p w14:paraId="0C225509"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Investment</w:t>
      </w:r>
    </w:p>
    <w:p w14:paraId="1C24E522"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Figure </w:t>
      </w:r>
      <w:r w:rsidRPr="001F1D25">
        <w:rPr>
          <w:rFonts w:ascii="Arial" w:hAnsi="Arial" w:cs="Arial"/>
          <w:bCs/>
          <w:lang w:val="en-US"/>
        </w:rPr>
        <w:fldChar w:fldCharType="begin"/>
      </w:r>
      <w:r w:rsidRPr="001F1D25">
        <w:rPr>
          <w:rFonts w:ascii="Arial" w:hAnsi="Arial" w:cs="Arial"/>
          <w:bCs/>
          <w:lang w:val="en-US"/>
        </w:rPr>
        <w:instrText xml:space="preserve"> SEQ Figure \* ARABIC </w:instrText>
      </w:r>
      <w:r w:rsidRPr="001F1D25">
        <w:rPr>
          <w:rFonts w:ascii="Arial" w:hAnsi="Arial" w:cs="Arial"/>
          <w:bCs/>
          <w:lang w:val="en-US"/>
        </w:rPr>
        <w:fldChar w:fldCharType="separate"/>
      </w:r>
      <w:r w:rsidRPr="001F1D25">
        <w:rPr>
          <w:rFonts w:ascii="Arial" w:hAnsi="Arial" w:cs="Arial"/>
          <w:bCs/>
          <w:lang w:val="en-US"/>
        </w:rPr>
        <w:t>5</w:t>
      </w:r>
      <w:r w:rsidRPr="001F1D25">
        <w:rPr>
          <w:rFonts w:ascii="Arial" w:hAnsi="Arial" w:cs="Arial"/>
          <w:bCs/>
          <w:lang w:val=""/>
        </w:rPr>
        <w:fldChar w:fldCharType="end"/>
      </w:r>
      <w:bookmarkStart w:id="6" w:name="_Toc1055013565"/>
      <w:r w:rsidRPr="001F1D25">
        <w:rPr>
          <w:rFonts w:ascii="Arial" w:hAnsi="Arial" w:cs="Arial"/>
          <w:bCs/>
          <w:lang w:val="en-US"/>
        </w:rPr>
        <w:t>: Investment ratios of General Electronics for the year 2020 to 2024</w:t>
      </w:r>
      <w:bookmarkEnd w:id="6"/>
    </w:p>
    <w:p w14:paraId="4E76F8EE" w14:textId="2CD3B773" w:rsidR="001F1D25" w:rsidRPr="001F1D25" w:rsidRDefault="001F1D25" w:rsidP="001F1D25">
      <w:pPr>
        <w:jc w:val="center"/>
        <w:rPr>
          <w:rFonts w:ascii="Arial" w:hAnsi="Arial" w:cs="Arial"/>
          <w:bCs/>
          <w:lang w:val="en-US"/>
        </w:rPr>
      </w:pPr>
      <w:r w:rsidRPr="00C96AA4">
        <w:rPr>
          <w:rFonts w:ascii="Arial" w:hAnsi="Arial" w:cs="Arial"/>
          <w:bCs/>
          <w:lang w:val="en-US"/>
        </w:rPr>
        <w:lastRenderedPageBreak/>
        <w:drawing>
          <wp:inline distT="0" distB="0" distL="0" distR="0" wp14:anchorId="3B90F234" wp14:editId="6BBC2B3D">
            <wp:extent cx="4831080" cy="2895600"/>
            <wp:effectExtent l="0" t="0" r="7620" b="0"/>
            <wp:docPr id="1874980239"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538A96A" w14:textId="77777777" w:rsidR="001F1D25" w:rsidRPr="001F1D25" w:rsidRDefault="001F1D25" w:rsidP="001F1D25">
      <w:pPr>
        <w:jc w:val="center"/>
        <w:rPr>
          <w:rFonts w:ascii="Arial" w:hAnsi="Arial" w:cs="Arial"/>
          <w:bCs/>
          <w:lang w:val="en-US"/>
        </w:rPr>
      </w:pPr>
      <w:r w:rsidRPr="001F1D25">
        <w:rPr>
          <w:rFonts w:ascii="Arial" w:hAnsi="Arial" w:cs="Arial"/>
          <w:bCs/>
          <w:lang w:val="en-US"/>
        </w:rPr>
        <w:t>(Source: Self-made)</w:t>
      </w:r>
    </w:p>
    <w:p w14:paraId="29C81104" w14:textId="77777777" w:rsidR="001F1D25" w:rsidRPr="001F1D25" w:rsidRDefault="001F1D25" w:rsidP="001F1D25">
      <w:pPr>
        <w:jc w:val="center"/>
        <w:rPr>
          <w:rFonts w:ascii="Arial" w:hAnsi="Arial" w:cs="Arial"/>
          <w:bCs/>
          <w:lang w:val="en-US"/>
        </w:rPr>
      </w:pPr>
      <w:r w:rsidRPr="001F1D25">
        <w:rPr>
          <w:rFonts w:ascii="Arial" w:hAnsi="Arial" w:cs="Arial"/>
          <w:bCs/>
          <w:lang w:val="en-US"/>
        </w:rPr>
        <w:t>Investment ratio like Earnings Per Share (EPS) of the company also shows a declining trend in the last 5 years, with a slight improvement in 2024. EPS during 2020 was 2.78; however, the same declined to -1.85 in the year 2024. The company was generating profits in its initial years; however, the generation of losses in 2023 and 2024 has resulted in negative EPS. In addition to this, the Return on Equity (ROE) of General Electronics has also decreased in the last 5 years. For instance, General Electronics reported ROE of 12.31% in 2020, which changed to -15.69% in the year 2024. Losses are the main cause behind the negative ROE of the company. Fall in both EPS as well as ROE are major threats for General Electronics as it implies that it will create difficulty in improving investors' confidence and enhancing stakeholders' trust.</w:t>
      </w:r>
    </w:p>
    <w:p w14:paraId="7B418132"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Cash Flow</w:t>
      </w:r>
    </w:p>
    <w:p w14:paraId="1B064497"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Figure </w:t>
      </w:r>
      <w:r w:rsidRPr="001F1D25">
        <w:rPr>
          <w:rFonts w:ascii="Arial" w:hAnsi="Arial" w:cs="Arial"/>
          <w:bCs/>
          <w:lang w:val="en-US"/>
        </w:rPr>
        <w:fldChar w:fldCharType="begin"/>
      </w:r>
      <w:r w:rsidRPr="001F1D25">
        <w:rPr>
          <w:rFonts w:ascii="Arial" w:hAnsi="Arial" w:cs="Arial"/>
          <w:bCs/>
          <w:lang w:val="en-US"/>
        </w:rPr>
        <w:instrText xml:space="preserve"> SEQ Figure \* ARABIC </w:instrText>
      </w:r>
      <w:r w:rsidRPr="001F1D25">
        <w:rPr>
          <w:rFonts w:ascii="Arial" w:hAnsi="Arial" w:cs="Arial"/>
          <w:bCs/>
          <w:lang w:val="en-US"/>
        </w:rPr>
        <w:fldChar w:fldCharType="separate"/>
      </w:r>
      <w:r w:rsidRPr="001F1D25">
        <w:rPr>
          <w:rFonts w:ascii="Arial" w:hAnsi="Arial" w:cs="Arial"/>
          <w:bCs/>
          <w:lang w:val="en-US"/>
        </w:rPr>
        <w:t>6</w:t>
      </w:r>
      <w:r w:rsidRPr="001F1D25">
        <w:rPr>
          <w:rFonts w:ascii="Arial" w:hAnsi="Arial" w:cs="Arial"/>
          <w:bCs/>
          <w:lang w:val=""/>
        </w:rPr>
        <w:fldChar w:fldCharType="end"/>
      </w:r>
      <w:bookmarkStart w:id="7" w:name="_Toc1720427635"/>
      <w:r w:rsidRPr="001F1D25">
        <w:rPr>
          <w:rFonts w:ascii="Arial" w:hAnsi="Arial" w:cs="Arial"/>
          <w:bCs/>
          <w:lang w:val="en-US"/>
        </w:rPr>
        <w:t>: Cash flow ratios of General Electronics for the year 2020 to 2024</w:t>
      </w:r>
      <w:bookmarkEnd w:id="7"/>
    </w:p>
    <w:p w14:paraId="5A821E35" w14:textId="71575CBA" w:rsidR="001F1D25" w:rsidRPr="001F1D25" w:rsidRDefault="001F1D25" w:rsidP="001F1D25">
      <w:pPr>
        <w:jc w:val="center"/>
        <w:rPr>
          <w:rFonts w:ascii="Arial" w:hAnsi="Arial" w:cs="Arial"/>
          <w:bCs/>
          <w:lang w:val="en-US"/>
        </w:rPr>
      </w:pPr>
      <w:r w:rsidRPr="00C96AA4">
        <w:rPr>
          <w:rFonts w:ascii="Arial" w:hAnsi="Arial" w:cs="Arial"/>
          <w:bCs/>
          <w:lang w:val="en-US"/>
        </w:rPr>
        <w:lastRenderedPageBreak/>
        <w:drawing>
          <wp:inline distT="0" distB="0" distL="0" distR="0" wp14:anchorId="42A87DDF" wp14:editId="61C5839F">
            <wp:extent cx="4777740" cy="2903220"/>
            <wp:effectExtent l="0" t="0" r="3810" b="11430"/>
            <wp:docPr id="1570324785"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CCDD0CA" w14:textId="77777777" w:rsidR="001F1D25" w:rsidRPr="001F1D25" w:rsidRDefault="001F1D25" w:rsidP="001F1D25">
      <w:pPr>
        <w:jc w:val="center"/>
        <w:rPr>
          <w:rFonts w:ascii="Arial" w:hAnsi="Arial" w:cs="Arial"/>
          <w:bCs/>
          <w:lang w:val="en-US"/>
        </w:rPr>
      </w:pPr>
      <w:r w:rsidRPr="001F1D25">
        <w:rPr>
          <w:rFonts w:ascii="Arial" w:hAnsi="Arial" w:cs="Arial"/>
          <w:bCs/>
          <w:lang w:val="en-US"/>
        </w:rPr>
        <w:t>(Source: Self-made)</w:t>
      </w:r>
    </w:p>
    <w:p w14:paraId="0ECFA0B0"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The cash flow ratios also </w:t>
      </w:r>
      <w:proofErr w:type="gramStart"/>
      <w:r w:rsidRPr="001F1D25">
        <w:rPr>
          <w:rFonts w:ascii="Arial" w:hAnsi="Arial" w:cs="Arial"/>
          <w:bCs/>
          <w:lang w:val="en-US"/>
        </w:rPr>
        <w:t>reflects</w:t>
      </w:r>
      <w:proofErr w:type="gramEnd"/>
      <w:r w:rsidRPr="001F1D25">
        <w:rPr>
          <w:rFonts w:ascii="Arial" w:hAnsi="Arial" w:cs="Arial"/>
          <w:bCs/>
          <w:lang w:val="en-US"/>
        </w:rPr>
        <w:t xml:space="preserve"> a downward trend as both the cash ratio and the operating cash flow reduced in last 5 years. Cash ratio declined from 0.32 to 0.17; whereas, operating cash flow ratio declined from 0.41 to 0.09 in the last 5 years. This is another threat for the company as it might prevent it in managing business operations, expansion, or making capital expenditures.</w:t>
      </w:r>
    </w:p>
    <w:p w14:paraId="4E544878" w14:textId="77777777" w:rsidR="001F1D25" w:rsidRPr="001F1D25" w:rsidRDefault="001F1D25" w:rsidP="001F1D25">
      <w:pPr>
        <w:jc w:val="center"/>
        <w:rPr>
          <w:rFonts w:ascii="Arial" w:hAnsi="Arial" w:cs="Arial"/>
          <w:bCs/>
          <w:lang w:val="en-US"/>
        </w:rPr>
      </w:pPr>
      <w:r w:rsidRPr="001F1D25">
        <w:rPr>
          <w:rFonts w:ascii="Arial" w:hAnsi="Arial" w:cs="Arial"/>
          <w:b/>
          <w:bCs/>
          <w:lang w:val="en-US"/>
        </w:rPr>
        <w:t>Corporate failure prediction model</w:t>
      </w:r>
    </w:p>
    <w:p w14:paraId="126CF6D8"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Altman Z-score refers to a measurement tool that facilitates determining the bankruptcy possibilities of business entities. It can be considered as effective tool, which enables businesses in evaluating financial distress using wide range of financial items. Altman Z-score can be </w:t>
      </w:r>
      <w:proofErr w:type="spellStart"/>
      <w:r w:rsidRPr="001F1D25">
        <w:rPr>
          <w:rFonts w:ascii="Arial" w:hAnsi="Arial" w:cs="Arial"/>
          <w:bCs/>
          <w:lang w:val="en-US"/>
        </w:rPr>
        <w:t>categorised</w:t>
      </w:r>
      <w:proofErr w:type="spellEnd"/>
      <w:r w:rsidRPr="001F1D25">
        <w:rPr>
          <w:rFonts w:ascii="Arial" w:hAnsi="Arial" w:cs="Arial"/>
          <w:bCs/>
          <w:lang w:val="en-US"/>
        </w:rPr>
        <w:t xml:space="preserve"> into 3 zones namely safe, gray, and distress, which provides valuable insights for making informed business decisions (Rashid, Khan and Qureshi, 2023). An Altman Z-score above 2.99 is a safe zone, between 1.81 to 2.99 is gray zone, and below 1.81 is a distress zone. Safe zone reflects a low probability of bankruptcy; whereas, distress zone implies high probability of bankruptcy (Street, 2022). In the same context, it was found from calculations that the Altman Z-score of General Electronics is 2.80, which is slightly lower than safe zone (refer appendix 1 for calculations). Currently, Altman's Z-score of General Electronics is in the gray zone, which implies a moderate risk of bankruptcy for the company. Thus, the default risk of the company is moderate; however, it needs to take proper measures like boosting revenues, improving profits, and others for the purpose of reducing the probability of bankruptcy in the long run.</w:t>
      </w:r>
    </w:p>
    <w:p w14:paraId="79466860" w14:textId="77777777" w:rsidR="001F1D25" w:rsidRPr="001F1D25" w:rsidRDefault="001F1D25" w:rsidP="001F1D25">
      <w:pPr>
        <w:numPr>
          <w:ilvl w:val="0"/>
          <w:numId w:val="2"/>
        </w:numPr>
        <w:jc w:val="center"/>
        <w:rPr>
          <w:rFonts w:ascii="Arial" w:hAnsi="Arial" w:cs="Arial"/>
          <w:b/>
          <w:bCs/>
          <w:lang w:val="en-US"/>
        </w:rPr>
      </w:pPr>
      <w:bookmarkStart w:id="8" w:name="_Toc1244512209"/>
      <w:r w:rsidRPr="001F1D25">
        <w:rPr>
          <w:rFonts w:ascii="Arial" w:hAnsi="Arial" w:cs="Arial"/>
          <w:b/>
          <w:bCs/>
          <w:lang w:val="en-US"/>
        </w:rPr>
        <w:t>Analysis of Working Capital Management</w:t>
      </w:r>
      <w:bookmarkEnd w:id="8"/>
    </w:p>
    <w:p w14:paraId="1D1F15A6" w14:textId="77777777" w:rsidR="001F1D25" w:rsidRPr="001F1D25" w:rsidRDefault="001F1D25" w:rsidP="001F1D25">
      <w:pPr>
        <w:jc w:val="center"/>
        <w:rPr>
          <w:rFonts w:ascii="Arial" w:hAnsi="Arial" w:cs="Arial"/>
          <w:bCs/>
          <w:lang w:val="en-US"/>
        </w:rPr>
      </w:pPr>
      <w:r w:rsidRPr="001F1D25">
        <w:rPr>
          <w:rFonts w:ascii="Arial" w:hAnsi="Arial" w:cs="Arial"/>
          <w:b/>
          <w:bCs/>
          <w:lang w:val="en-US"/>
        </w:rPr>
        <w:t>Cash operating cycle</w:t>
      </w:r>
    </w:p>
    <w:p w14:paraId="4C8E5500"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Figure </w:t>
      </w:r>
      <w:r w:rsidRPr="001F1D25">
        <w:rPr>
          <w:rFonts w:ascii="Arial" w:hAnsi="Arial" w:cs="Arial"/>
          <w:bCs/>
          <w:lang w:val="en-US"/>
        </w:rPr>
        <w:fldChar w:fldCharType="begin"/>
      </w:r>
      <w:r w:rsidRPr="001F1D25">
        <w:rPr>
          <w:rFonts w:ascii="Arial" w:hAnsi="Arial" w:cs="Arial"/>
          <w:bCs/>
          <w:lang w:val="en-US"/>
        </w:rPr>
        <w:instrText xml:space="preserve"> SEQ Figure \* ARABIC </w:instrText>
      </w:r>
      <w:r w:rsidRPr="001F1D25">
        <w:rPr>
          <w:rFonts w:ascii="Arial" w:hAnsi="Arial" w:cs="Arial"/>
          <w:bCs/>
          <w:lang w:val="en-US"/>
        </w:rPr>
        <w:fldChar w:fldCharType="separate"/>
      </w:r>
      <w:r w:rsidRPr="001F1D25">
        <w:rPr>
          <w:rFonts w:ascii="Arial" w:hAnsi="Arial" w:cs="Arial"/>
          <w:bCs/>
          <w:lang w:val="en-US"/>
        </w:rPr>
        <w:t>7</w:t>
      </w:r>
      <w:r w:rsidRPr="001F1D25">
        <w:rPr>
          <w:rFonts w:ascii="Arial" w:hAnsi="Arial" w:cs="Arial"/>
          <w:bCs/>
          <w:lang w:val=""/>
        </w:rPr>
        <w:fldChar w:fldCharType="end"/>
      </w:r>
      <w:bookmarkStart w:id="9" w:name="_Toc1649865600"/>
      <w:r w:rsidRPr="001F1D25">
        <w:rPr>
          <w:rFonts w:ascii="Arial" w:hAnsi="Arial" w:cs="Arial"/>
          <w:bCs/>
          <w:lang w:val="en-US"/>
        </w:rPr>
        <w:t>: Cash operating cycle of General Electronics for the year 2020 to 2024</w:t>
      </w:r>
      <w:bookmarkEnd w:id="9"/>
    </w:p>
    <w:p w14:paraId="0B5FB6B9" w14:textId="279318E3" w:rsidR="001F1D25" w:rsidRPr="001F1D25" w:rsidRDefault="001F1D25" w:rsidP="001F1D25">
      <w:pPr>
        <w:jc w:val="center"/>
        <w:rPr>
          <w:rFonts w:ascii="Arial" w:hAnsi="Arial" w:cs="Arial"/>
          <w:bCs/>
          <w:lang w:val="en-US"/>
        </w:rPr>
      </w:pPr>
      <w:r w:rsidRPr="00C96AA4">
        <w:rPr>
          <w:rFonts w:ascii="Arial" w:hAnsi="Arial" w:cs="Arial"/>
          <w:bCs/>
          <w:lang w:val="en-US"/>
        </w:rPr>
        <w:lastRenderedPageBreak/>
        <w:drawing>
          <wp:inline distT="0" distB="0" distL="0" distR="0" wp14:anchorId="54F1AAB4" wp14:editId="123F75B3">
            <wp:extent cx="4899660" cy="2895600"/>
            <wp:effectExtent l="0" t="0" r="15240" b="0"/>
            <wp:docPr id="145490229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1F182E3" w14:textId="77777777" w:rsidR="001F1D25" w:rsidRPr="001F1D25" w:rsidRDefault="001F1D25" w:rsidP="001F1D25">
      <w:pPr>
        <w:jc w:val="center"/>
        <w:rPr>
          <w:rFonts w:ascii="Arial" w:hAnsi="Arial" w:cs="Arial"/>
          <w:bCs/>
          <w:lang w:val="en-US"/>
        </w:rPr>
      </w:pPr>
      <w:r w:rsidRPr="001F1D25">
        <w:rPr>
          <w:rFonts w:ascii="Arial" w:hAnsi="Arial" w:cs="Arial"/>
          <w:bCs/>
          <w:lang w:val="en-US"/>
        </w:rPr>
        <w:t>(Source: Self-made)</w:t>
      </w:r>
    </w:p>
    <w:p w14:paraId="59373AB2" w14:textId="77777777" w:rsidR="001F1D25" w:rsidRPr="001F1D25" w:rsidRDefault="001F1D25" w:rsidP="001F1D25">
      <w:pPr>
        <w:jc w:val="center"/>
        <w:rPr>
          <w:rFonts w:ascii="Arial" w:hAnsi="Arial" w:cs="Arial"/>
          <w:bCs/>
          <w:lang w:val="en-US"/>
        </w:rPr>
      </w:pPr>
      <w:r w:rsidRPr="001F1D25">
        <w:rPr>
          <w:rFonts w:ascii="Arial" w:hAnsi="Arial" w:cs="Arial"/>
          <w:bCs/>
          <w:lang w:val="en-US"/>
        </w:rPr>
        <w:t>(Refer appendix 2 for calculations)</w:t>
      </w:r>
    </w:p>
    <w:p w14:paraId="36D39ECC" w14:textId="77777777" w:rsidR="001F1D25" w:rsidRPr="001F1D25" w:rsidRDefault="001F1D25" w:rsidP="001F1D25">
      <w:pPr>
        <w:jc w:val="center"/>
        <w:rPr>
          <w:rFonts w:ascii="Arial" w:hAnsi="Arial" w:cs="Arial"/>
          <w:bCs/>
          <w:lang w:val="en-US"/>
        </w:rPr>
      </w:pPr>
      <w:r w:rsidRPr="001F1D25">
        <w:rPr>
          <w:rFonts w:ascii="Arial" w:hAnsi="Arial" w:cs="Arial"/>
          <w:bCs/>
          <w:lang w:val="en-US"/>
        </w:rPr>
        <w:t>Cash operating cycle refers to a financial metric that helps in determining the average time taken by business entities to collect funds after meeting suppliers' obligations. It can be calculated by deducting payable days from inventory and receivable days (BPP, 2013). Inventory days refers to the days that business takes to convert inventory into sales; whereas, receivable days reflects time period to collect outstanding dues from debtors. Similarly, payable days show the time to meet suppliers' obligations (</w:t>
      </w:r>
      <w:proofErr w:type="spellStart"/>
      <w:r w:rsidRPr="001F1D25">
        <w:rPr>
          <w:rFonts w:ascii="Arial" w:hAnsi="Arial" w:cs="Arial"/>
          <w:bCs/>
          <w:lang w:val="en-US"/>
        </w:rPr>
        <w:t>Kieso</w:t>
      </w:r>
      <w:proofErr w:type="spellEnd"/>
      <w:r w:rsidRPr="001F1D25">
        <w:rPr>
          <w:rFonts w:ascii="Arial" w:hAnsi="Arial" w:cs="Arial"/>
          <w:bCs/>
          <w:lang w:val="en-US"/>
        </w:rPr>
        <w:t>, Weygandt and Warfield, 2016). Accordingly, it was found that the cash operating cycle of General Electronics has increased in the last 5 years. The company’s cash operating cycle during 2020 was 114, which rose to 162 in 2023; however, it reduced to 121 during 2024. A rise in receivable days and inventory days, as well as a fall in payable days, causes an increase in the cash operating cycle of the company.</w:t>
      </w:r>
    </w:p>
    <w:p w14:paraId="6F7FD3AB"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Inventory days increased from 106 to 129 during 2023; however, it declined to 109. A rise in inventories caused a rise in inventory days in last few years, except 2024. This shows that the company faced struggles in converting inventory into sales from 2020 to 2023 due to operational cause like reduced demand or poor demand forecasting; however, the same improved in the year 2024. Additionally, receivable days significantly increased from 77 days to 106 days in last 5 years due to increase in trade receivables. This implies that the company is increasing its time to collect funds from debtors. Further, payable days also increased from 69 days to 94 days, which, to some extent, helped the company in improving the cash operating cycle. Overall, the rise in cash operating cycle was the result of long inventory and receivable days, which also signals slow sales, excess inventory, and operational inefficiencies. The company is required to adopt different strategic approaches for </w:t>
      </w:r>
      <w:r w:rsidRPr="001F1D25">
        <w:rPr>
          <w:rFonts w:ascii="Arial" w:hAnsi="Arial" w:cs="Arial"/>
          <w:bCs/>
          <w:lang w:val="en-US"/>
        </w:rPr>
        <w:lastRenderedPageBreak/>
        <w:t>improving operating cash cycle and the same has been discussed in the next section.</w:t>
      </w:r>
    </w:p>
    <w:p w14:paraId="15E845FA" w14:textId="77777777" w:rsidR="001F1D25" w:rsidRPr="001F1D25" w:rsidRDefault="001F1D25" w:rsidP="001F1D25">
      <w:pPr>
        <w:jc w:val="center"/>
        <w:rPr>
          <w:rFonts w:ascii="Arial" w:hAnsi="Arial" w:cs="Arial"/>
          <w:bCs/>
          <w:lang w:val="en-US"/>
        </w:rPr>
      </w:pPr>
      <w:r w:rsidRPr="001F1D25">
        <w:rPr>
          <w:rFonts w:ascii="Arial" w:hAnsi="Arial" w:cs="Arial"/>
          <w:b/>
          <w:bCs/>
          <w:lang w:val="en-US"/>
        </w:rPr>
        <w:t>Strategies to improve liquidity through working capital reforms</w:t>
      </w:r>
    </w:p>
    <w:p w14:paraId="0AD14F3B" w14:textId="77777777" w:rsidR="001F1D25" w:rsidRPr="001F1D25" w:rsidRDefault="001F1D25" w:rsidP="001F1D25">
      <w:pPr>
        <w:jc w:val="center"/>
        <w:rPr>
          <w:rFonts w:ascii="Arial" w:hAnsi="Arial" w:cs="Arial"/>
          <w:bCs/>
          <w:lang w:val="en-US"/>
        </w:rPr>
      </w:pPr>
      <w:r w:rsidRPr="001F1D25">
        <w:rPr>
          <w:rFonts w:ascii="Arial" w:hAnsi="Arial" w:cs="Arial"/>
          <w:bCs/>
          <w:lang w:val="en-US"/>
        </w:rPr>
        <w:t>General electronics can adopt a different strategic approach to improve liquidity. Some of the strategic working capital reforms to improve liquidity are highlighted hereunder:</w:t>
      </w:r>
    </w:p>
    <w:p w14:paraId="1AD941E2" w14:textId="77777777" w:rsidR="001F1D25" w:rsidRPr="001F1D25" w:rsidRDefault="001F1D25" w:rsidP="001F1D25">
      <w:pPr>
        <w:numPr>
          <w:ilvl w:val="0"/>
          <w:numId w:val="4"/>
        </w:numPr>
        <w:tabs>
          <w:tab w:val="clear" w:pos="420"/>
        </w:tabs>
        <w:jc w:val="center"/>
        <w:rPr>
          <w:rFonts w:ascii="Arial" w:hAnsi="Arial" w:cs="Arial"/>
          <w:bCs/>
          <w:lang w:val="en-US"/>
        </w:rPr>
      </w:pPr>
      <w:r w:rsidRPr="001F1D25">
        <w:rPr>
          <w:rFonts w:ascii="Arial" w:hAnsi="Arial" w:cs="Arial"/>
          <w:b/>
          <w:bCs/>
          <w:lang w:val="en-US"/>
        </w:rPr>
        <w:t>Tracking cash flows</w:t>
      </w:r>
      <w:r w:rsidRPr="001F1D25">
        <w:rPr>
          <w:rFonts w:ascii="Arial" w:hAnsi="Arial" w:cs="Arial"/>
          <w:bCs/>
          <w:lang w:val="en-US"/>
        </w:rPr>
        <w:t>: Tracking and monitoring cash flows enables businesses to evaluate trends and patterns, which can be helpful to forecast cash flows in a better way. Tracking can help in taking appropriate measures to address the problem of increased cash operating cycle of the company.</w:t>
      </w:r>
    </w:p>
    <w:p w14:paraId="1BC13E77" w14:textId="77777777" w:rsidR="001F1D25" w:rsidRPr="001F1D25" w:rsidRDefault="001F1D25" w:rsidP="001F1D25">
      <w:pPr>
        <w:numPr>
          <w:ilvl w:val="0"/>
          <w:numId w:val="4"/>
        </w:numPr>
        <w:tabs>
          <w:tab w:val="clear" w:pos="420"/>
        </w:tabs>
        <w:jc w:val="center"/>
        <w:rPr>
          <w:rFonts w:ascii="Arial" w:hAnsi="Arial" w:cs="Arial"/>
          <w:bCs/>
          <w:lang w:val="en-US"/>
        </w:rPr>
      </w:pPr>
      <w:r w:rsidRPr="001F1D25">
        <w:rPr>
          <w:rFonts w:ascii="Arial" w:hAnsi="Arial" w:cs="Arial"/>
          <w:b/>
          <w:bCs/>
          <w:lang w:val="en-US"/>
        </w:rPr>
        <w:t>Managing expenses</w:t>
      </w:r>
      <w:r w:rsidRPr="001F1D25">
        <w:rPr>
          <w:rFonts w:ascii="Arial" w:hAnsi="Arial" w:cs="Arial"/>
          <w:bCs/>
          <w:lang w:val="en-US"/>
        </w:rPr>
        <w:t>: Expenses also play a crucial role in improving cash flows and liquidity. Focusing on negotiating with suppliers for reduced prices, cutting unnecessary costs, reducing inventory stocking, and others can help in reducing expenses and improving cash flows (Banks, 2025). This can address the problem of high inventory days and help in generating cash flows at a faster rate.</w:t>
      </w:r>
    </w:p>
    <w:p w14:paraId="5F861A05" w14:textId="77777777" w:rsidR="001F1D25" w:rsidRPr="001F1D25" w:rsidRDefault="001F1D25" w:rsidP="001F1D25">
      <w:pPr>
        <w:numPr>
          <w:ilvl w:val="0"/>
          <w:numId w:val="4"/>
        </w:numPr>
        <w:tabs>
          <w:tab w:val="clear" w:pos="420"/>
        </w:tabs>
        <w:jc w:val="center"/>
        <w:rPr>
          <w:rFonts w:ascii="Arial" w:hAnsi="Arial" w:cs="Arial"/>
          <w:bCs/>
          <w:lang w:val="en-US"/>
        </w:rPr>
      </w:pPr>
      <w:r w:rsidRPr="001F1D25">
        <w:rPr>
          <w:rFonts w:ascii="Arial" w:hAnsi="Arial" w:cs="Arial"/>
          <w:b/>
          <w:bCs/>
          <w:lang w:val="en-US"/>
        </w:rPr>
        <w:t>Increasing revenues</w:t>
      </w:r>
      <w:r w:rsidRPr="001F1D25">
        <w:rPr>
          <w:rFonts w:ascii="Arial" w:hAnsi="Arial" w:cs="Arial"/>
          <w:bCs/>
          <w:lang w:val="en-US"/>
        </w:rPr>
        <w:t>: Boosting revenues is also one of the best ways to improve liquidity, which can be done by increasing selling prices, offering benefits to customers, and launching new products in the market. Offering benefits to customers can address late collection problem, which can be effective for improving liquidity.</w:t>
      </w:r>
    </w:p>
    <w:p w14:paraId="36A113E6" w14:textId="77777777" w:rsidR="001F1D25" w:rsidRPr="001F1D25" w:rsidRDefault="001F1D25" w:rsidP="001F1D25">
      <w:pPr>
        <w:numPr>
          <w:ilvl w:val="0"/>
          <w:numId w:val="4"/>
        </w:numPr>
        <w:tabs>
          <w:tab w:val="clear" w:pos="420"/>
        </w:tabs>
        <w:jc w:val="center"/>
        <w:rPr>
          <w:rFonts w:ascii="Arial" w:hAnsi="Arial" w:cs="Arial"/>
          <w:bCs/>
          <w:lang w:val="en-US"/>
        </w:rPr>
      </w:pPr>
      <w:r w:rsidRPr="001F1D25">
        <w:rPr>
          <w:rFonts w:ascii="Arial" w:hAnsi="Arial" w:cs="Arial"/>
          <w:b/>
          <w:bCs/>
          <w:lang w:val="en-US"/>
        </w:rPr>
        <w:t>Improving receivables management</w:t>
      </w:r>
      <w:r w:rsidRPr="001F1D25">
        <w:rPr>
          <w:rFonts w:ascii="Arial" w:hAnsi="Arial" w:cs="Arial"/>
          <w:bCs/>
          <w:lang w:val="en-US"/>
        </w:rPr>
        <w:t>: Improvement of the collection process is quite pivotal to reduce reliance on tied capital with debtors. This can be done by using different approaches like offering patronage benefits for early payments, following up, as well as sending sales invoices promptly (Harrison et al., 2020).</w:t>
      </w:r>
    </w:p>
    <w:p w14:paraId="5C852F7A" w14:textId="77777777" w:rsidR="001F1D25" w:rsidRPr="001F1D25" w:rsidRDefault="001F1D25" w:rsidP="001F1D25">
      <w:pPr>
        <w:jc w:val="center"/>
        <w:rPr>
          <w:rFonts w:ascii="Arial" w:hAnsi="Arial" w:cs="Arial"/>
          <w:bCs/>
          <w:lang w:val="en-US"/>
        </w:rPr>
      </w:pPr>
      <w:r w:rsidRPr="001F1D25">
        <w:rPr>
          <w:rFonts w:ascii="Arial" w:hAnsi="Arial" w:cs="Arial"/>
          <w:b/>
          <w:bCs/>
          <w:lang w:val="en-US"/>
        </w:rPr>
        <w:t>Comparison of short-term vs long-term financing options</w:t>
      </w:r>
    </w:p>
    <w:p w14:paraId="7C7B3BC0"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Financing is one of the most crucial </w:t>
      </w:r>
      <w:proofErr w:type="gramStart"/>
      <w:r w:rsidRPr="001F1D25">
        <w:rPr>
          <w:rFonts w:ascii="Arial" w:hAnsi="Arial" w:cs="Arial"/>
          <w:bCs/>
          <w:lang w:val="en-US"/>
        </w:rPr>
        <w:t>aspect</w:t>
      </w:r>
      <w:proofErr w:type="gramEnd"/>
      <w:r w:rsidRPr="001F1D25">
        <w:rPr>
          <w:rFonts w:ascii="Arial" w:hAnsi="Arial" w:cs="Arial"/>
          <w:bCs/>
          <w:lang w:val="en-US"/>
        </w:rPr>
        <w:t xml:space="preserve"> and considered as lifeblood for all businesses. Financing for a period less than a year </w:t>
      </w:r>
      <w:proofErr w:type="gramStart"/>
      <w:r w:rsidRPr="001F1D25">
        <w:rPr>
          <w:rFonts w:ascii="Arial" w:hAnsi="Arial" w:cs="Arial"/>
          <w:bCs/>
          <w:lang w:val="en-US"/>
        </w:rPr>
        <w:t>are</w:t>
      </w:r>
      <w:proofErr w:type="gramEnd"/>
      <w:r w:rsidRPr="001F1D25">
        <w:rPr>
          <w:rFonts w:ascii="Arial" w:hAnsi="Arial" w:cs="Arial"/>
          <w:bCs/>
          <w:lang w:val="en-US"/>
        </w:rPr>
        <w:t xml:space="preserve"> known as short-term financing; whereas, long-term financing is generally for a period of more than 1 year. Generally, short-term financing is less costly and helps in accessing funds more quickly compared to long-term financing (Kumar, 2019; Ali, 2020). Short-term financing options include trade credit, factoring, and others. Factoring refers to a service; wherein, business entities </w:t>
      </w:r>
      <w:proofErr w:type="gramStart"/>
      <w:r w:rsidRPr="001F1D25">
        <w:rPr>
          <w:rFonts w:ascii="Arial" w:hAnsi="Arial" w:cs="Arial"/>
          <w:bCs/>
          <w:lang w:val="en-US"/>
        </w:rPr>
        <w:t>collects</w:t>
      </w:r>
      <w:proofErr w:type="gramEnd"/>
      <w:r w:rsidRPr="001F1D25">
        <w:rPr>
          <w:rFonts w:ascii="Arial" w:hAnsi="Arial" w:cs="Arial"/>
          <w:bCs/>
          <w:lang w:val="en-US"/>
        </w:rPr>
        <w:t xml:space="preserve"> immediate cash from financial institutions called as factor by selling unpaid invoices of the customers. Factoring helps in collecting immediate cash, and also assists in reducing bad debts due to the shifting of responsibility to the factor. It is also cheap source of finance; however, there are several limitations of factoring. Costly and high interest rates are some of the key limitations of factoring (Geek, 2025). Additionally, trade credit is another option; wherein, business entities can take credit on acquiring products from suppliers. It not only helps in meeting high orders but also assists in improving trade relationships, </w:t>
      </w:r>
      <w:r w:rsidRPr="001F1D25">
        <w:rPr>
          <w:rFonts w:ascii="Arial" w:hAnsi="Arial" w:cs="Arial"/>
          <w:bCs/>
          <w:lang w:val="en-US"/>
        </w:rPr>
        <w:lastRenderedPageBreak/>
        <w:t>boosting cash flows, and gaining a competitive advantage. However, requirement of proper creditworthiness as well as increased chances of bad debts are some major limitations of trade credit (Bucknell, 2025).</w:t>
      </w:r>
    </w:p>
    <w:p w14:paraId="1EB02C30"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Long-term financing options include equity shares, debentures, long-term loans, and others. Equity financing refers to the collection of funds through issuing shares in the market. It is a good source of finance as it does not enhance obligations on businesses; however, dilution of ownership and high cost are major limitations of equity financing. Additionally, debentures and long-term loans are other long-term financing options. Debentures refers to bond that businesses issues in consideration of interest payments for raising capital; whereas, loans </w:t>
      </w:r>
      <w:proofErr w:type="gramStart"/>
      <w:r w:rsidRPr="001F1D25">
        <w:rPr>
          <w:rFonts w:ascii="Arial" w:hAnsi="Arial" w:cs="Arial"/>
          <w:bCs/>
          <w:lang w:val="en-US"/>
        </w:rPr>
        <w:t>helps</w:t>
      </w:r>
      <w:proofErr w:type="gramEnd"/>
      <w:r w:rsidRPr="001F1D25">
        <w:rPr>
          <w:rFonts w:ascii="Arial" w:hAnsi="Arial" w:cs="Arial"/>
          <w:bCs/>
          <w:lang w:val="en-US"/>
        </w:rPr>
        <w:t xml:space="preserve"> in borrowing funds from banks in consideration of interest charges. Both bonds and loans are less costly than equity and also do not dilute the ownership structure; however, they both enhance financial obligations and create obstacles to meet obligations during tough times (Ramya and Sumathi, 2023). Overall, there are many short-term as well as long-term financing options available to businesses. The selection of different sources of finance depends on the requirements or needs of business entities. The use of short-term financing can be helpful for short-term; however, businesses should use a combination of long-term financing like equity and debt during current declining profitability and cash flow concerns as mix use will </w:t>
      </w:r>
      <w:proofErr w:type="spellStart"/>
      <w:r w:rsidRPr="001F1D25">
        <w:rPr>
          <w:rFonts w:ascii="Arial" w:hAnsi="Arial" w:cs="Arial"/>
          <w:bCs/>
          <w:lang w:val="en-US"/>
        </w:rPr>
        <w:t>optmise</w:t>
      </w:r>
      <w:proofErr w:type="spellEnd"/>
      <w:r w:rsidRPr="001F1D25">
        <w:rPr>
          <w:rFonts w:ascii="Arial" w:hAnsi="Arial" w:cs="Arial"/>
          <w:bCs/>
          <w:lang w:val="en-US"/>
        </w:rPr>
        <w:t xml:space="preserve"> capital structure, reduce cost of capital, and help </w:t>
      </w:r>
      <w:proofErr w:type="spellStart"/>
      <w:r w:rsidRPr="001F1D25">
        <w:rPr>
          <w:rFonts w:ascii="Arial" w:hAnsi="Arial" w:cs="Arial"/>
          <w:bCs/>
          <w:lang w:val="en-US"/>
        </w:rPr>
        <w:t>maximising</w:t>
      </w:r>
      <w:proofErr w:type="spellEnd"/>
      <w:r w:rsidRPr="001F1D25">
        <w:rPr>
          <w:rFonts w:ascii="Arial" w:hAnsi="Arial" w:cs="Arial"/>
          <w:bCs/>
          <w:lang w:val="en-US"/>
        </w:rPr>
        <w:t xml:space="preserve"> shareholders </w:t>
      </w:r>
      <w:proofErr w:type="gramStart"/>
      <w:r w:rsidRPr="001F1D25">
        <w:rPr>
          <w:rFonts w:ascii="Arial" w:hAnsi="Arial" w:cs="Arial"/>
          <w:bCs/>
          <w:lang w:val="en-US"/>
        </w:rPr>
        <w:t>wealth..</w:t>
      </w:r>
      <w:proofErr w:type="gramEnd"/>
    </w:p>
    <w:p w14:paraId="679BF597" w14:textId="77777777" w:rsidR="001F1D25" w:rsidRPr="001F1D25" w:rsidRDefault="001F1D25" w:rsidP="001F1D25">
      <w:pPr>
        <w:numPr>
          <w:ilvl w:val="0"/>
          <w:numId w:val="2"/>
        </w:numPr>
        <w:jc w:val="center"/>
        <w:rPr>
          <w:rFonts w:ascii="Arial" w:hAnsi="Arial" w:cs="Arial"/>
          <w:b/>
          <w:bCs/>
          <w:lang w:val="en-US"/>
        </w:rPr>
      </w:pPr>
      <w:bookmarkStart w:id="10" w:name="_Toc25974883"/>
      <w:r w:rsidRPr="001F1D25">
        <w:rPr>
          <w:rFonts w:ascii="Arial" w:hAnsi="Arial" w:cs="Arial"/>
          <w:b/>
          <w:bCs/>
          <w:lang w:val="en-US"/>
        </w:rPr>
        <w:t>Strategic Financial Restructuring Plan</w:t>
      </w:r>
      <w:bookmarkEnd w:id="10"/>
    </w:p>
    <w:p w14:paraId="65299EF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Recommendation Financial Restructuring Options </w:t>
      </w:r>
    </w:p>
    <w:p w14:paraId="08C5106D"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Given the financial position of the company determined with the help of ratios like profitability, gearing, investing and other, GE needs a substantial financial restructuring plan instead of going for corrective actions. The ongoing decreasing profitability trend along with negative interest coverage ratio shows that EBIT are insufficient to cover interest on debt that makes the capital structure unsustainable. Hence, the following financial restructuring </w:t>
      </w:r>
      <w:proofErr w:type="spellStart"/>
      <w:r w:rsidRPr="001F1D25">
        <w:rPr>
          <w:rFonts w:ascii="Arial" w:hAnsi="Arial" w:cs="Arial"/>
          <w:bCs/>
          <w:lang w:val="en-US"/>
        </w:rPr>
        <w:t>alteratives</w:t>
      </w:r>
      <w:proofErr w:type="spellEnd"/>
      <w:r w:rsidRPr="001F1D25">
        <w:rPr>
          <w:rFonts w:ascii="Arial" w:hAnsi="Arial" w:cs="Arial"/>
          <w:bCs/>
          <w:lang w:val="en-US"/>
        </w:rPr>
        <w:t xml:space="preserve"> are suggested. Firstly, injection of equity must be prioritized through infusing fresh equity either through strategic investors, private equity or existing promoters will immediately strengthen the overall capital base, decrease excessive leverage and advance the debt-to-equity ratio (Trejo-Pech and White, 2021). </w:t>
      </w:r>
    </w:p>
    <w:p w14:paraId="0B13E823"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Moreover, the infusion of equity can also restore investor confidence, decrease financial risk, and offer working capital assistance to stabilize functions and fund efficiency improvements. As liquidity ratios are quite well but below the industry standards, equity funding will also assist align liquidity with industry benchmarks without enhancing interest burden. Secondly, debt restructuring through conversion or refinancing must also be </w:t>
      </w:r>
      <w:proofErr w:type="spellStart"/>
      <w:r w:rsidRPr="001F1D25">
        <w:rPr>
          <w:rFonts w:ascii="Arial" w:hAnsi="Arial" w:cs="Arial"/>
          <w:bCs/>
          <w:lang w:val="en-US"/>
        </w:rPr>
        <w:t>prioritised</w:t>
      </w:r>
      <w:proofErr w:type="spellEnd"/>
      <w:r w:rsidRPr="001F1D25">
        <w:rPr>
          <w:rFonts w:ascii="Arial" w:hAnsi="Arial" w:cs="Arial"/>
          <w:bCs/>
          <w:lang w:val="en-US"/>
        </w:rPr>
        <w:t xml:space="preserve">. With an increasing debt-to-equity ratio and inverse interest coverage, renegotiating loan terms like decreasing interest rates, extending maturities or converting a portion of debt into equity can considerably </w:t>
      </w:r>
      <w:r w:rsidRPr="001F1D25">
        <w:rPr>
          <w:rFonts w:ascii="Arial" w:hAnsi="Arial" w:cs="Arial"/>
          <w:bCs/>
          <w:lang w:val="en-US"/>
        </w:rPr>
        <w:lastRenderedPageBreak/>
        <w:t>decrease financial distress. Debt-to-equity swaps would directly lower gearing along with improving overall solvency (</w:t>
      </w:r>
      <w:proofErr w:type="spellStart"/>
      <w:r w:rsidRPr="001F1D25">
        <w:rPr>
          <w:rFonts w:ascii="Arial" w:hAnsi="Arial" w:cs="Arial"/>
          <w:bCs/>
          <w:lang w:val="en-US"/>
        </w:rPr>
        <w:t>Zhuyun</w:t>
      </w:r>
      <w:proofErr w:type="spellEnd"/>
      <w:r w:rsidRPr="001F1D25">
        <w:rPr>
          <w:rFonts w:ascii="Arial" w:hAnsi="Arial" w:cs="Arial"/>
          <w:bCs/>
          <w:lang w:val="en-US"/>
        </w:rPr>
        <w:t xml:space="preserve"> </w:t>
      </w:r>
      <w:proofErr w:type="gramStart"/>
      <w:r w:rsidRPr="001F1D25">
        <w:rPr>
          <w:rFonts w:ascii="Arial" w:hAnsi="Arial" w:cs="Arial"/>
          <w:bCs/>
          <w:lang w:val="en-US"/>
        </w:rPr>
        <w:t>and  Zhong</w:t>
      </w:r>
      <w:proofErr w:type="gramEnd"/>
      <w:r w:rsidRPr="001F1D25">
        <w:rPr>
          <w:rFonts w:ascii="Arial" w:hAnsi="Arial" w:cs="Arial"/>
          <w:bCs/>
          <w:lang w:val="en-US"/>
        </w:rPr>
        <w:t xml:space="preserve">, </w:t>
      </w:r>
      <w:proofErr w:type="spellStart"/>
      <w:r w:rsidRPr="001F1D25">
        <w:rPr>
          <w:rFonts w:ascii="Arial" w:hAnsi="Arial" w:cs="Arial"/>
          <w:bCs/>
          <w:lang w:val="en-US"/>
        </w:rPr>
        <w:t>n.d</w:t>
      </w:r>
      <w:proofErr w:type="spellEnd"/>
      <w:r w:rsidRPr="001F1D25">
        <w:rPr>
          <w:rFonts w:ascii="Arial" w:hAnsi="Arial" w:cs="Arial"/>
          <w:bCs/>
          <w:lang w:val="en-US"/>
        </w:rPr>
        <w:t>).</w:t>
      </w:r>
    </w:p>
    <w:p w14:paraId="15BD4595"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Thirdly, selective divestiture of underperforming or non-core asset is also suggested as medium-term actions. Although asset turnover is robust but weak inventory turnover highlights capital is busy in slow-moving stock and possibly inadequate business areas. Hence, divesting non-strategic subsidiaries, product lines or ideal assets with consistently low margins can free-up cash, advance cash flow ratios and let management to focus on high-performing core operations (Erl, 2020). Moreover, proceeds from divestiture must be utilized primarily for debt reduction to ease interest liabilities.  Finally, a strategic acquisition or merger as a turnaround strategy may provide long-period stability and can improve cash flow, profitability and complete financial resilience. </w:t>
      </w:r>
    </w:p>
    <w:p w14:paraId="192327D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Evaluating impact on Shareholder Value, Debt Structure and Operational Flexibility </w:t>
      </w:r>
    </w:p>
    <w:p w14:paraId="74BB49B9"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The suggested financial restricting measures are anticipated to have different and aligned impacts on overall shareholder value, debt structure and operational flexibility. In the short run, shareholder value may face dilution, especially if debt-to-equity conversion or equity injection is undertaken. The ownership ratio of existing investors may decrease and the market sentiment can initially stay cautious because of the recent negative profitability of GE. However, in the long run, such measures are probably to increase shareholder value by lowering financial risk, stabilizing earning and improving return sustainably (Campbell et al., 2016). Further, divestiture of inefficient assets can also unlock hidden value by decreasing loss-making areas and letting GE to focus on high-margin activities. Hence, in case a strategic merger is carried out, synergies like revenue enhancement, cost savings and improved asset use can prompt to higher future cash flows, eventually enhancing intrinsic shareholder value. </w:t>
      </w:r>
    </w:p>
    <w:p w14:paraId="50084561"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Considering impact on debt structure, restructuring will considerably advance the debt structure and solvency position of GE. Asset divestiture and equity infusion can be utilized to decrease outstanding borrowings that lower gearing ratio. Equity conversion or debt refinancing will directly decrease interest liabilities thereby addressing the negative interest coverage ratio and easing overall financial distress. Hence, as leverage declines, a firm’s credit profile advances that possibly enable access to cheap financing in upcoming time (Hamzat et al., 2025). Similarly, a balance debt structure also decreases risk associated to interest rate change and covenant breaches. Considering operational flexibility, it is anticipated to improve considerably following restructuring. It is because lower debt level free up internal cash flows that allows management to invest in optimization of working capital, technology advancements and effective inventory management (Kaur </w:t>
      </w:r>
      <w:proofErr w:type="gramStart"/>
      <w:r w:rsidRPr="001F1D25">
        <w:rPr>
          <w:rFonts w:ascii="Arial" w:hAnsi="Arial" w:cs="Arial"/>
          <w:bCs/>
          <w:lang w:val="en-US"/>
        </w:rPr>
        <w:t>and  Srivastava</w:t>
      </w:r>
      <w:proofErr w:type="gramEnd"/>
      <w:r w:rsidRPr="001F1D25">
        <w:rPr>
          <w:rFonts w:ascii="Arial" w:hAnsi="Arial" w:cs="Arial"/>
          <w:bCs/>
          <w:lang w:val="en-US"/>
        </w:rPr>
        <w:t xml:space="preserve">, 2017). Hence, a robust financial base as turnaround strategy offers </w:t>
      </w:r>
      <w:r w:rsidRPr="001F1D25">
        <w:rPr>
          <w:rFonts w:ascii="Arial" w:hAnsi="Arial" w:cs="Arial"/>
          <w:bCs/>
          <w:lang w:val="en-US"/>
        </w:rPr>
        <w:lastRenderedPageBreak/>
        <w:t xml:space="preserve">management with higher strategic freedom to face market changes and go for sustainable growth opportunities. </w:t>
      </w:r>
    </w:p>
    <w:p w14:paraId="685A67C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International and Ethical Considerations </w:t>
      </w:r>
    </w:p>
    <w:p w14:paraId="6F4C8A25"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When applying financial restructuring, it is important to consider ethical and global factors as such can materially impact the sustainability, effectiveness and stakeholder acceptance of the overall restructuring strategy. In case of equity injection, mergers or divestiture that involves transnational investors or cross-border transactions, taxation application becomes essential. It is because differences in capital gain tax, corporate tax rates, dividend withholding tax and transfer pricing regulations can considerably impact new returns to investors. Moreover, poor tax planning may lower restructuring benefits or expose GE too regulatory scrutiny. Ethically, companies must avoid aggressive tax avoidance approaches and adopt transparent, compliant tax practices that relate with global standards (Gravelle </w:t>
      </w:r>
      <w:proofErr w:type="gramStart"/>
      <w:r w:rsidRPr="001F1D25">
        <w:rPr>
          <w:rFonts w:ascii="Arial" w:hAnsi="Arial" w:cs="Arial"/>
          <w:bCs/>
          <w:lang w:val="en-US"/>
        </w:rPr>
        <w:t>and  Marples</w:t>
      </w:r>
      <w:proofErr w:type="gramEnd"/>
      <w:r w:rsidRPr="001F1D25">
        <w:rPr>
          <w:rFonts w:ascii="Arial" w:hAnsi="Arial" w:cs="Arial"/>
          <w:bCs/>
          <w:lang w:val="en-US"/>
        </w:rPr>
        <w:t xml:space="preserve">, 2018). Hence, transparent taxation increases company’s credibility and long run stakeholder trust. </w:t>
      </w:r>
    </w:p>
    <w:p w14:paraId="665C9E82" w14:textId="77777777" w:rsidR="001F1D25" w:rsidRPr="001F1D25" w:rsidRDefault="001F1D25" w:rsidP="001F1D25">
      <w:pPr>
        <w:jc w:val="center"/>
        <w:rPr>
          <w:rFonts w:ascii="Arial" w:hAnsi="Arial" w:cs="Arial"/>
          <w:bCs/>
          <w:lang w:val="en-US"/>
        </w:rPr>
      </w:pPr>
      <w:r w:rsidRPr="001F1D25">
        <w:rPr>
          <w:rFonts w:ascii="Arial" w:hAnsi="Arial" w:cs="Arial"/>
          <w:bCs/>
          <w:lang w:val="en-US"/>
        </w:rPr>
        <w:tab/>
        <w:t xml:space="preserve">Further, mergers or cross-border financing expose the company to foreign exchange risk, especially if debt is in the foreign currencies while revenues remain domestic. Moreover, currency depreciation can enhance debt servicing costs thereby worsening already weak interest coverage ratios. Similarly, appropriate hedging techniques like currency swaps or forward contracts must be utilized responsibly (Ranaldo, 2023). Inflation also carries an essential role as increasing input costs can further limit working capital and profitability, particularly where inventory turnover is weak. Hence, ethical cost pass and pricing strategies mechanisms should balance profitability with overall customer affordability. </w:t>
      </w:r>
    </w:p>
    <w:p w14:paraId="0A39BED1"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Restructuring generally includes mergers, workforce rationalization, divestments which could have social consequences. In ethical terms, the company must ensure transparent communication, fair treatment of employees and compliance with the set labor laws. Similarly, CSR considerations extend to keeping responsible supplier connections and environment standards, especially if non-core assets or operations are consolidated (Chen et al., 2023). Moreover, investors currently evaluate companies based on ESG performance that aligns restructuring decisions with sustainability goals can advance long run access to capital and overall reputational value and could be a significant turnaround strategy. </w:t>
      </w:r>
    </w:p>
    <w:p w14:paraId="645A0661"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Overall, it can be deduced that the weak profitability, poor cash flows and rising leverage performance needs a substantial financial restructuring strategy. Turnaround strategies like selective divestiture, equity injection, debt restructuring and overall strategic measures can balance finances and restore long run viability. While such steps may cause short run shareholder </w:t>
      </w:r>
      <w:proofErr w:type="gramStart"/>
      <w:r w:rsidRPr="001F1D25">
        <w:rPr>
          <w:rFonts w:ascii="Arial" w:hAnsi="Arial" w:cs="Arial"/>
          <w:bCs/>
          <w:lang w:val="en-US"/>
        </w:rPr>
        <w:t>dilution</w:t>
      </w:r>
      <w:proofErr w:type="gramEnd"/>
      <w:r w:rsidRPr="001F1D25">
        <w:rPr>
          <w:rFonts w:ascii="Arial" w:hAnsi="Arial" w:cs="Arial"/>
          <w:bCs/>
          <w:lang w:val="en-US"/>
        </w:rPr>
        <w:t xml:space="preserve"> they are anticipated to increase shareholder value through advanced earning stability and decreased financial risk. Moreover, a robust debt structure will ease interest pressure and advance operational flexibility. Besides, integrating global, CSR and ethical </w:t>
      </w:r>
      <w:r w:rsidRPr="001F1D25">
        <w:rPr>
          <w:rFonts w:ascii="Arial" w:hAnsi="Arial" w:cs="Arial"/>
          <w:bCs/>
          <w:lang w:val="en-US"/>
        </w:rPr>
        <w:lastRenderedPageBreak/>
        <w:t xml:space="preserve">considerations </w:t>
      </w:r>
      <w:proofErr w:type="gramStart"/>
      <w:r w:rsidRPr="001F1D25">
        <w:rPr>
          <w:rFonts w:ascii="Arial" w:hAnsi="Arial" w:cs="Arial"/>
          <w:bCs/>
          <w:lang w:val="en-US"/>
        </w:rPr>
        <w:t>ensures</w:t>
      </w:r>
      <w:proofErr w:type="gramEnd"/>
      <w:r w:rsidRPr="001F1D25">
        <w:rPr>
          <w:rFonts w:ascii="Arial" w:hAnsi="Arial" w:cs="Arial"/>
          <w:bCs/>
          <w:lang w:val="en-US"/>
        </w:rPr>
        <w:t xml:space="preserve"> the restructuring remains complaint, sustainable and relative with long run stakeholder expectations.</w:t>
      </w:r>
    </w:p>
    <w:p w14:paraId="6CB3A8C1" w14:textId="77777777" w:rsidR="001F1D25" w:rsidRPr="001F1D25" w:rsidRDefault="001F1D25" w:rsidP="001F1D25">
      <w:pPr>
        <w:numPr>
          <w:ilvl w:val="0"/>
          <w:numId w:val="2"/>
        </w:numPr>
        <w:jc w:val="center"/>
        <w:rPr>
          <w:rFonts w:ascii="Arial" w:hAnsi="Arial" w:cs="Arial"/>
          <w:b/>
          <w:bCs/>
          <w:lang w:val="en-US"/>
        </w:rPr>
      </w:pPr>
      <w:bookmarkStart w:id="11" w:name="_Toc620678240"/>
      <w:r w:rsidRPr="001F1D25">
        <w:rPr>
          <w:rFonts w:ascii="Arial" w:hAnsi="Arial" w:cs="Arial"/>
          <w:b/>
          <w:bCs/>
          <w:lang w:val="en-US"/>
        </w:rPr>
        <w:t>Investment Appraisal and Capital Budgeting</w:t>
      </w:r>
      <w:bookmarkEnd w:id="11"/>
    </w:p>
    <w:p w14:paraId="435DD512" w14:textId="77777777" w:rsidR="001F1D25" w:rsidRPr="001F1D25" w:rsidRDefault="001F1D25" w:rsidP="001F1D25">
      <w:pPr>
        <w:jc w:val="center"/>
        <w:rPr>
          <w:rFonts w:ascii="Arial" w:hAnsi="Arial" w:cs="Arial"/>
          <w:bCs/>
          <w:lang w:val="en-US"/>
        </w:rPr>
      </w:pPr>
      <w:r w:rsidRPr="001F1D25">
        <w:rPr>
          <w:rFonts w:ascii="Arial" w:hAnsi="Arial" w:cs="Arial"/>
          <w:b/>
          <w:bCs/>
          <w:lang w:val="en-US"/>
        </w:rPr>
        <w:t>Calculations of investment appraisal techniques</w:t>
      </w:r>
    </w:p>
    <w:p w14:paraId="01C3EF2E" w14:textId="77777777" w:rsidR="001F1D25" w:rsidRPr="001F1D25" w:rsidRDefault="001F1D25" w:rsidP="001F1D25">
      <w:pPr>
        <w:jc w:val="center"/>
        <w:rPr>
          <w:rFonts w:ascii="Arial" w:hAnsi="Arial" w:cs="Arial"/>
          <w:bCs/>
          <w:lang w:val="en-US"/>
        </w:rPr>
      </w:pPr>
      <w:r w:rsidRPr="001F1D25">
        <w:rPr>
          <w:rFonts w:ascii="Arial" w:hAnsi="Arial" w:cs="Arial"/>
          <w:bCs/>
          <w:lang w:val="en-US"/>
        </w:rPr>
        <w:t>(Refer appendix 3)</w:t>
      </w:r>
    </w:p>
    <w:p w14:paraId="54BB70CE" w14:textId="77777777" w:rsidR="001F1D25" w:rsidRPr="001F1D25" w:rsidRDefault="001F1D25" w:rsidP="001F1D25">
      <w:pPr>
        <w:jc w:val="center"/>
        <w:rPr>
          <w:rFonts w:ascii="Arial" w:hAnsi="Arial" w:cs="Arial"/>
          <w:bCs/>
          <w:lang w:val="en-US"/>
        </w:rPr>
      </w:pPr>
      <w:r w:rsidRPr="001F1D25">
        <w:rPr>
          <w:rFonts w:ascii="Arial" w:hAnsi="Arial" w:cs="Arial"/>
          <w:b/>
          <w:bCs/>
          <w:lang w:val="en-US"/>
        </w:rPr>
        <w:t>Discussion of investment appraisal techniques and final investment recommendation</w:t>
      </w:r>
    </w:p>
    <w:p w14:paraId="35E3786A" w14:textId="77777777" w:rsidR="001F1D25" w:rsidRPr="001F1D25" w:rsidRDefault="001F1D25" w:rsidP="001F1D25">
      <w:pPr>
        <w:jc w:val="center"/>
        <w:rPr>
          <w:rFonts w:ascii="Arial" w:hAnsi="Arial" w:cs="Arial"/>
          <w:bCs/>
          <w:lang w:val="en-US"/>
        </w:rPr>
      </w:pPr>
      <w:r w:rsidRPr="001F1D25">
        <w:rPr>
          <w:rFonts w:ascii="Arial" w:hAnsi="Arial" w:cs="Arial"/>
          <w:bCs/>
          <w:lang w:val="en-US"/>
        </w:rPr>
        <w:t>Investment appraisal techniques, also known as capital budgeting techniques, refer to financial metrics used to evaluate the potential profitability or feasibility of making an investment in a project. Since projects require huge capital investments, it Is crucial for business entities to evaluate the viability of an investment. There are large number of techniques that serves different purposes and assists in evaluating viability of an investment (Mahmoud, 2023; ACCA, 2025). The below-mentioned section will discuss different investment appraisal techniques along with their merits and limitations.</w:t>
      </w:r>
    </w:p>
    <w:p w14:paraId="728F425C"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Payback Period</w:t>
      </w:r>
    </w:p>
    <w:p w14:paraId="7CF1CB0A" w14:textId="77777777" w:rsidR="001F1D25" w:rsidRPr="001F1D25" w:rsidRDefault="001F1D25" w:rsidP="001F1D25">
      <w:pPr>
        <w:jc w:val="center"/>
        <w:rPr>
          <w:rFonts w:ascii="Arial" w:hAnsi="Arial" w:cs="Arial"/>
          <w:bCs/>
          <w:lang w:val="en-US"/>
        </w:rPr>
      </w:pPr>
      <w:r w:rsidRPr="001F1D25">
        <w:rPr>
          <w:rFonts w:ascii="Arial" w:hAnsi="Arial" w:cs="Arial"/>
          <w:bCs/>
          <w:lang w:val="en-US"/>
        </w:rPr>
        <w:t>Payback period refers to a metric that enables project managers in determining the time taken by the project to cover the initial investment. It helps in evaluating how time a project takes to recoup the initial investment. Generally, lower payback period is helpful for companies as it helps in covering initial investment at a faster rate (</w:t>
      </w:r>
      <w:proofErr w:type="spellStart"/>
      <w:r w:rsidRPr="001F1D25">
        <w:rPr>
          <w:rFonts w:ascii="Arial" w:hAnsi="Arial" w:cs="Arial"/>
          <w:bCs/>
          <w:lang w:val="en-US"/>
        </w:rPr>
        <w:t>Cybellium</w:t>
      </w:r>
      <w:proofErr w:type="spellEnd"/>
      <w:r w:rsidRPr="001F1D25">
        <w:rPr>
          <w:rFonts w:ascii="Arial" w:hAnsi="Arial" w:cs="Arial"/>
          <w:bCs/>
          <w:lang w:val="en-US"/>
        </w:rPr>
        <w:t xml:space="preserve">, 2024). The payback period metric offers a crude measure of liquidity, and it is also simple to compute, which can be seen as a major merit of payback. However, failure to consider the timing of cash flows and after payback period cash flows is </w:t>
      </w:r>
      <w:proofErr w:type="gramStart"/>
      <w:r w:rsidRPr="001F1D25">
        <w:rPr>
          <w:rFonts w:ascii="Arial" w:hAnsi="Arial" w:cs="Arial"/>
          <w:bCs/>
          <w:lang w:val="en-US"/>
        </w:rPr>
        <w:t>are</w:t>
      </w:r>
      <w:proofErr w:type="gramEnd"/>
      <w:r w:rsidRPr="001F1D25">
        <w:rPr>
          <w:rFonts w:ascii="Arial" w:hAnsi="Arial" w:cs="Arial"/>
          <w:bCs/>
          <w:lang w:val="en-US"/>
        </w:rPr>
        <w:t xml:space="preserve"> major limitation of payback (Drake, Fabozzi and Fabozzi, 2022).</w:t>
      </w:r>
    </w:p>
    <w:p w14:paraId="63073624"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Accounting Rate of Return (ARR)</w:t>
      </w:r>
    </w:p>
    <w:p w14:paraId="26B4F87E"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ARR is a financial technique which helps in determining the profitability of an investment. This method considers profits for the purpose of evaluating return on an investment value. A positive ARR reflects that the project will generate high profits for the company; whereas, a negative ARR shows that investing in the project is not feasible (Ochieng, Price and Moore, 2017). The key merits of ARR </w:t>
      </w:r>
      <w:proofErr w:type="gramStart"/>
      <w:r w:rsidRPr="001F1D25">
        <w:rPr>
          <w:rFonts w:ascii="Arial" w:hAnsi="Arial" w:cs="Arial"/>
          <w:bCs/>
          <w:lang w:val="en-US"/>
        </w:rPr>
        <w:t>is</w:t>
      </w:r>
      <w:proofErr w:type="gramEnd"/>
      <w:r w:rsidRPr="001F1D25">
        <w:rPr>
          <w:rFonts w:ascii="Arial" w:hAnsi="Arial" w:cs="Arial"/>
          <w:bCs/>
          <w:lang w:val="en-US"/>
        </w:rPr>
        <w:t xml:space="preserve"> that it aligns with return on investment, which many businesses want to increase for the purpose of </w:t>
      </w:r>
      <w:proofErr w:type="spellStart"/>
      <w:r w:rsidRPr="001F1D25">
        <w:rPr>
          <w:rFonts w:ascii="Arial" w:hAnsi="Arial" w:cs="Arial"/>
          <w:bCs/>
          <w:lang w:val="en-US"/>
        </w:rPr>
        <w:t>maximising</w:t>
      </w:r>
      <w:proofErr w:type="spellEnd"/>
      <w:r w:rsidRPr="001F1D25">
        <w:rPr>
          <w:rFonts w:ascii="Arial" w:hAnsi="Arial" w:cs="Arial"/>
          <w:bCs/>
          <w:lang w:val="en-US"/>
        </w:rPr>
        <w:t xml:space="preserve"> the wealth of the shareholders. On the other hand, failure to consider profits timing and the time value of money are the main key limitations of ARR (Birt et al., 2020).</w:t>
      </w:r>
    </w:p>
    <w:p w14:paraId="07ADC574"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Net Present Value (NPV)</w:t>
      </w:r>
    </w:p>
    <w:p w14:paraId="307CB827"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NPV is another technique used widely for evaluating feasibility of an investment. This method considers both discounted future cash inflows and cash outflows to calculate the value of an investment. It is viable to invest in project with positive NPV; </w:t>
      </w:r>
      <w:r w:rsidRPr="001F1D25">
        <w:rPr>
          <w:rFonts w:ascii="Arial" w:hAnsi="Arial" w:cs="Arial"/>
          <w:bCs/>
          <w:lang w:val="en-US"/>
        </w:rPr>
        <w:lastRenderedPageBreak/>
        <w:t>whereas, investing in project with negative NPV is not worthwhile (Gervasi et al., 2025). It helps in measuring direct value delivered by the project and also enables in comparing projects to select project with high NPV. However, the assumption regarding the cost of capital or hurdle rate is the main limitation of NPV (</w:t>
      </w:r>
      <w:proofErr w:type="spellStart"/>
      <w:r w:rsidRPr="001F1D25">
        <w:rPr>
          <w:rFonts w:ascii="Arial" w:hAnsi="Arial" w:cs="Arial"/>
          <w:bCs/>
          <w:lang w:val="en-US"/>
        </w:rPr>
        <w:t>Ittelson</w:t>
      </w:r>
      <w:proofErr w:type="spellEnd"/>
      <w:r w:rsidRPr="001F1D25">
        <w:rPr>
          <w:rFonts w:ascii="Arial" w:hAnsi="Arial" w:cs="Arial"/>
          <w:bCs/>
          <w:lang w:val="en-US"/>
        </w:rPr>
        <w:t>, 2022).</w:t>
      </w:r>
    </w:p>
    <w:p w14:paraId="3BB16ECF"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Profitability Index (PI)</w:t>
      </w:r>
    </w:p>
    <w:p w14:paraId="20F4CF59"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PI is another tool, which compares present value of </w:t>
      </w:r>
      <w:proofErr w:type="spellStart"/>
      <w:r w:rsidRPr="001F1D25">
        <w:rPr>
          <w:rFonts w:ascii="Arial" w:hAnsi="Arial" w:cs="Arial"/>
          <w:bCs/>
          <w:lang w:val="en-US"/>
        </w:rPr>
        <w:t>cahs</w:t>
      </w:r>
      <w:proofErr w:type="spellEnd"/>
      <w:r w:rsidRPr="001F1D25">
        <w:rPr>
          <w:rFonts w:ascii="Arial" w:hAnsi="Arial" w:cs="Arial"/>
          <w:bCs/>
          <w:lang w:val="en-US"/>
        </w:rPr>
        <w:t xml:space="preserve"> inflows with cash outflows for determining highest profitable project. PI greater than 1 implies that investment is feasible; whereas, investing in a project with PI less than 1 is not </w:t>
      </w:r>
      <w:proofErr w:type="spellStart"/>
      <w:r w:rsidRPr="001F1D25">
        <w:rPr>
          <w:rFonts w:ascii="Arial" w:hAnsi="Arial" w:cs="Arial"/>
          <w:bCs/>
          <w:lang w:val="en-US"/>
        </w:rPr>
        <w:t>favourable</w:t>
      </w:r>
      <w:proofErr w:type="spellEnd"/>
      <w:r w:rsidRPr="001F1D25">
        <w:rPr>
          <w:rFonts w:ascii="Arial" w:hAnsi="Arial" w:cs="Arial"/>
          <w:bCs/>
          <w:lang w:val="en-US"/>
        </w:rPr>
        <w:t xml:space="preserve"> (Negrão, Maia and Brito, 2023). PI not only considers time value of money but it also covers future cash flow risk and evaluates whether the investment will derive value or not. On the contrary, selection of accurate discount rate and lack of use for mutually exclusive projects are main limitations of PI (Drake, Fabozzi and Fabozzi, 2022).</w:t>
      </w:r>
    </w:p>
    <w:p w14:paraId="6AC33C22"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Internal Rate of Return (IRR)</w:t>
      </w:r>
    </w:p>
    <w:p w14:paraId="5EE6C409" w14:textId="77777777" w:rsidR="001F1D25" w:rsidRPr="001F1D25" w:rsidRDefault="001F1D25" w:rsidP="001F1D25">
      <w:pPr>
        <w:jc w:val="center"/>
        <w:rPr>
          <w:rFonts w:ascii="Arial" w:hAnsi="Arial" w:cs="Arial"/>
          <w:bCs/>
          <w:lang w:val="en-US"/>
        </w:rPr>
      </w:pPr>
      <w:r w:rsidRPr="001F1D25">
        <w:rPr>
          <w:rFonts w:ascii="Arial" w:hAnsi="Arial" w:cs="Arial"/>
          <w:bCs/>
          <w:lang w:val="en-US"/>
        </w:rPr>
        <w:t>IRR is another profitability metric which helps in determining whether a project meets its cost of capital or not. In simple terms, IRR helps in evaluating whether the minimum return is met or not for the project (Gervasi et al., 2025). IRR is a measure of profitability; however, unrealistic reinvestment rate and ignorance of project scalability are some of the key limitations of IRR (</w:t>
      </w:r>
      <w:proofErr w:type="spellStart"/>
      <w:r w:rsidRPr="001F1D25">
        <w:rPr>
          <w:rFonts w:ascii="Arial" w:hAnsi="Arial" w:cs="Arial"/>
          <w:bCs/>
          <w:lang w:val="en-US"/>
        </w:rPr>
        <w:t>Ittelson</w:t>
      </w:r>
      <w:proofErr w:type="spellEnd"/>
      <w:r w:rsidRPr="001F1D25">
        <w:rPr>
          <w:rFonts w:ascii="Arial" w:hAnsi="Arial" w:cs="Arial"/>
          <w:bCs/>
          <w:lang w:val="en-US"/>
        </w:rPr>
        <w:t>, 2022).</w:t>
      </w:r>
    </w:p>
    <w:p w14:paraId="55FB6562"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Figure </w:t>
      </w:r>
      <w:r w:rsidRPr="001F1D25">
        <w:rPr>
          <w:rFonts w:ascii="Arial" w:hAnsi="Arial" w:cs="Arial"/>
          <w:bCs/>
          <w:lang w:val="en-US"/>
        </w:rPr>
        <w:fldChar w:fldCharType="begin"/>
      </w:r>
      <w:r w:rsidRPr="001F1D25">
        <w:rPr>
          <w:rFonts w:ascii="Arial" w:hAnsi="Arial" w:cs="Arial"/>
          <w:bCs/>
          <w:lang w:val="en-US"/>
        </w:rPr>
        <w:instrText xml:space="preserve"> SEQ Figure \* ARABIC </w:instrText>
      </w:r>
      <w:r w:rsidRPr="001F1D25">
        <w:rPr>
          <w:rFonts w:ascii="Arial" w:hAnsi="Arial" w:cs="Arial"/>
          <w:bCs/>
          <w:lang w:val="en-US"/>
        </w:rPr>
        <w:fldChar w:fldCharType="separate"/>
      </w:r>
      <w:r w:rsidRPr="001F1D25">
        <w:rPr>
          <w:rFonts w:ascii="Arial" w:hAnsi="Arial" w:cs="Arial"/>
          <w:bCs/>
          <w:lang w:val="en-US"/>
        </w:rPr>
        <w:t>8</w:t>
      </w:r>
      <w:r w:rsidRPr="001F1D25">
        <w:rPr>
          <w:rFonts w:ascii="Arial" w:hAnsi="Arial" w:cs="Arial"/>
          <w:bCs/>
          <w:lang w:val=""/>
        </w:rPr>
        <w:fldChar w:fldCharType="end"/>
      </w:r>
      <w:bookmarkStart w:id="12" w:name="_Toc1626714263"/>
      <w:r w:rsidRPr="001F1D25">
        <w:rPr>
          <w:rFonts w:ascii="Arial" w:hAnsi="Arial" w:cs="Arial"/>
          <w:bCs/>
          <w:lang w:val="en-US"/>
        </w:rPr>
        <w:t>: Investment appraisal techniques of General Electronics</w:t>
      </w:r>
      <w:bookmarkEnd w:id="12"/>
    </w:p>
    <w:p w14:paraId="286D51D2" w14:textId="66A9596F" w:rsidR="001F1D25" w:rsidRPr="001F1D25" w:rsidRDefault="001F1D25" w:rsidP="001F1D25">
      <w:pPr>
        <w:jc w:val="center"/>
        <w:rPr>
          <w:rFonts w:ascii="Arial" w:hAnsi="Arial" w:cs="Arial"/>
          <w:bCs/>
          <w:lang w:val="en-US"/>
        </w:rPr>
      </w:pPr>
      <w:r w:rsidRPr="00C96AA4">
        <w:rPr>
          <w:rFonts w:ascii="Arial" w:hAnsi="Arial" w:cs="Arial"/>
          <w:bCs/>
          <w:lang w:val="en-US"/>
        </w:rPr>
        <w:drawing>
          <wp:inline distT="0" distB="0" distL="0" distR="0" wp14:anchorId="562E9B4C" wp14:editId="759816A3">
            <wp:extent cx="4800600" cy="2887980"/>
            <wp:effectExtent l="0" t="0" r="0" b="7620"/>
            <wp:docPr id="1423059029"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4E8AA60" w14:textId="77777777" w:rsidR="001F1D25" w:rsidRPr="001F1D25" w:rsidRDefault="001F1D25" w:rsidP="001F1D25">
      <w:pPr>
        <w:jc w:val="center"/>
        <w:rPr>
          <w:rFonts w:ascii="Arial" w:hAnsi="Arial" w:cs="Arial"/>
          <w:bCs/>
          <w:lang w:val="en-US"/>
        </w:rPr>
      </w:pPr>
      <w:r w:rsidRPr="001F1D25">
        <w:rPr>
          <w:rFonts w:ascii="Arial" w:hAnsi="Arial" w:cs="Arial"/>
          <w:bCs/>
          <w:lang w:val="en-US"/>
        </w:rPr>
        <w:t>(Source: Self-made)</w:t>
      </w:r>
    </w:p>
    <w:p w14:paraId="6CDCEA7B" w14:textId="77777777" w:rsidR="001F1D25" w:rsidRPr="001F1D25" w:rsidRDefault="001F1D25" w:rsidP="001F1D25">
      <w:pPr>
        <w:jc w:val="center"/>
        <w:rPr>
          <w:rFonts w:ascii="Arial" w:hAnsi="Arial" w:cs="Arial"/>
          <w:bCs/>
          <w:lang w:val="en-US"/>
        </w:rPr>
      </w:pPr>
      <w:r w:rsidRPr="001F1D25">
        <w:rPr>
          <w:rFonts w:ascii="Arial" w:hAnsi="Arial" w:cs="Arial"/>
          <w:bCs/>
          <w:i/>
          <w:iCs/>
          <w:lang w:val="en-US"/>
        </w:rPr>
        <w:t>Final Recommendation</w:t>
      </w:r>
    </w:p>
    <w:p w14:paraId="721C6711" w14:textId="77777777" w:rsidR="001F1D25" w:rsidRPr="001F1D25" w:rsidRDefault="001F1D25" w:rsidP="001F1D25">
      <w:pPr>
        <w:jc w:val="center"/>
        <w:rPr>
          <w:rFonts w:ascii="Arial" w:hAnsi="Arial" w:cs="Arial"/>
          <w:bCs/>
          <w:lang w:val="en-US"/>
        </w:rPr>
      </w:pPr>
      <w:r w:rsidRPr="001F1D25">
        <w:rPr>
          <w:rFonts w:ascii="Arial" w:hAnsi="Arial" w:cs="Arial"/>
          <w:bCs/>
          <w:lang w:val="en-US"/>
        </w:rPr>
        <w:lastRenderedPageBreak/>
        <w:t xml:space="preserve">In the same context, the findings of investment appraisal techniques revealed that the payback period of project A, B, and C are 3.40 years, 5 years and 3.60 years. Project B takes a longer time, and Project A will take less time to recoup the initial investment. Additionally, ARR of project A, B, and C are 7%, 0%, and 10%, which implies that profitability of project C is higher; whereas, project A will generate less profits and project B will generate zero profits. The findings of NPV revealed that all projects except B </w:t>
      </w:r>
      <w:proofErr w:type="gramStart"/>
      <w:r w:rsidRPr="001F1D25">
        <w:rPr>
          <w:rFonts w:ascii="Arial" w:hAnsi="Arial" w:cs="Arial"/>
          <w:bCs/>
          <w:lang w:val="en-US"/>
        </w:rPr>
        <w:t>has</w:t>
      </w:r>
      <w:proofErr w:type="gramEnd"/>
      <w:r w:rsidRPr="001F1D25">
        <w:rPr>
          <w:rFonts w:ascii="Arial" w:hAnsi="Arial" w:cs="Arial"/>
          <w:bCs/>
          <w:lang w:val="en-US"/>
        </w:rPr>
        <w:t xml:space="preserve"> generated positive NPV. Project A and B’s NPV are £1.32 million and £4.32 million, which reflects that project C will be more feasible compared to project A. Further, the profitability index of projects A, B, and C are 1.03, 0.76, and 1.08, which shows that project C will generate more value for each pound invested in the project. IRRs of project A, B, and C are 11.33%, 0%, and 12.72% respectively.</w:t>
      </w:r>
    </w:p>
    <w:p w14:paraId="46AAF714"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Overall, NPV of project A and C is positive, which implies that both projects will create value addition for the company. Similarly, ARR of both projects A and C is also </w:t>
      </w:r>
      <w:proofErr w:type="spellStart"/>
      <w:r w:rsidRPr="001F1D25">
        <w:rPr>
          <w:rFonts w:ascii="Arial" w:hAnsi="Arial" w:cs="Arial"/>
          <w:bCs/>
          <w:lang w:val="en-US"/>
        </w:rPr>
        <w:t>favourable</w:t>
      </w:r>
      <w:proofErr w:type="spellEnd"/>
      <w:r w:rsidRPr="001F1D25">
        <w:rPr>
          <w:rFonts w:ascii="Arial" w:hAnsi="Arial" w:cs="Arial"/>
          <w:bCs/>
          <w:lang w:val="en-US"/>
        </w:rPr>
        <w:t xml:space="preserve"> and thus investing in both project is viable. PI of project A and project B also exceeds 1, which implies that investing in both projects is beneficial. Similarly, IRR of project A and C also exceeds discount rate and the same can also be considered </w:t>
      </w:r>
      <w:proofErr w:type="spellStart"/>
      <w:r w:rsidRPr="001F1D25">
        <w:rPr>
          <w:rFonts w:ascii="Arial" w:hAnsi="Arial" w:cs="Arial"/>
          <w:bCs/>
          <w:lang w:val="en-US"/>
        </w:rPr>
        <w:t>favourable</w:t>
      </w:r>
      <w:proofErr w:type="spellEnd"/>
      <w:r w:rsidRPr="001F1D25">
        <w:rPr>
          <w:rFonts w:ascii="Arial" w:hAnsi="Arial" w:cs="Arial"/>
          <w:bCs/>
          <w:lang w:val="en-US"/>
        </w:rPr>
        <w:t xml:space="preserve"> for value addition. Although, both project A and C are viable; however, in the case of capital rationing of £60 million, it is </w:t>
      </w:r>
      <w:proofErr w:type="spellStart"/>
      <w:r w:rsidRPr="001F1D25">
        <w:rPr>
          <w:rFonts w:ascii="Arial" w:hAnsi="Arial" w:cs="Arial"/>
          <w:bCs/>
          <w:lang w:val="en-US"/>
        </w:rPr>
        <w:t>favourable</w:t>
      </w:r>
      <w:proofErr w:type="spellEnd"/>
      <w:r w:rsidRPr="001F1D25">
        <w:rPr>
          <w:rFonts w:ascii="Arial" w:hAnsi="Arial" w:cs="Arial"/>
          <w:bCs/>
          <w:lang w:val="en-US"/>
        </w:rPr>
        <w:t xml:space="preserve"> for General Electronics to invest in project C and ignore other projects, as project C has reported more </w:t>
      </w:r>
      <w:proofErr w:type="spellStart"/>
      <w:r w:rsidRPr="001F1D25">
        <w:rPr>
          <w:rFonts w:ascii="Arial" w:hAnsi="Arial" w:cs="Arial"/>
          <w:bCs/>
          <w:lang w:val="en-US"/>
        </w:rPr>
        <w:t>favourable</w:t>
      </w:r>
      <w:proofErr w:type="spellEnd"/>
      <w:r w:rsidRPr="001F1D25">
        <w:rPr>
          <w:rFonts w:ascii="Arial" w:hAnsi="Arial" w:cs="Arial"/>
          <w:bCs/>
          <w:lang w:val="en-US"/>
        </w:rPr>
        <w:t xml:space="preserve"> results like the highest NPV, PI, and ARR. Thus, based on above results, it can be recommended to General Electronics that it is feasible to invest in project A and C; however, in case of capital rationing, investing in project C will be more beneficial as it will create more value addition and help in </w:t>
      </w:r>
      <w:proofErr w:type="spellStart"/>
      <w:r w:rsidRPr="001F1D25">
        <w:rPr>
          <w:rFonts w:ascii="Arial" w:hAnsi="Arial" w:cs="Arial"/>
          <w:bCs/>
          <w:lang w:val="en-US"/>
        </w:rPr>
        <w:t>maximising</w:t>
      </w:r>
      <w:proofErr w:type="spellEnd"/>
      <w:r w:rsidRPr="001F1D25">
        <w:rPr>
          <w:rFonts w:ascii="Arial" w:hAnsi="Arial" w:cs="Arial"/>
          <w:bCs/>
          <w:lang w:val="en-US"/>
        </w:rPr>
        <w:t xml:space="preserve"> value for the shareholders.</w:t>
      </w:r>
    </w:p>
    <w:p w14:paraId="27D59681" w14:textId="77777777" w:rsidR="001F1D25" w:rsidRPr="001F1D25" w:rsidRDefault="001F1D25" w:rsidP="001F1D25">
      <w:pPr>
        <w:jc w:val="center"/>
        <w:rPr>
          <w:rFonts w:ascii="Arial" w:hAnsi="Arial" w:cs="Arial"/>
          <w:bCs/>
          <w:lang w:val="en-US"/>
        </w:rPr>
      </w:pPr>
      <w:r w:rsidRPr="001F1D25">
        <w:rPr>
          <w:rFonts w:ascii="Arial" w:hAnsi="Arial" w:cs="Arial"/>
          <w:b/>
          <w:bCs/>
          <w:lang w:val="en-US"/>
        </w:rPr>
        <w:t>Justification</w:t>
      </w:r>
    </w:p>
    <w:p w14:paraId="47FB9D58"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Currently, the financial health of General Electronics is not well. The company has reported losses in the last 2 years, along with a consistent fall in business revenues. Similarly, solvency position of the company is not well as it </w:t>
      </w:r>
      <w:proofErr w:type="gramStart"/>
      <w:r w:rsidRPr="001F1D25">
        <w:rPr>
          <w:rFonts w:ascii="Arial" w:hAnsi="Arial" w:cs="Arial"/>
          <w:bCs/>
          <w:lang w:val="en-US"/>
        </w:rPr>
        <w:t>possess</w:t>
      </w:r>
      <w:proofErr w:type="gramEnd"/>
      <w:r w:rsidRPr="001F1D25">
        <w:rPr>
          <w:rFonts w:ascii="Arial" w:hAnsi="Arial" w:cs="Arial"/>
          <w:bCs/>
          <w:lang w:val="en-US"/>
        </w:rPr>
        <w:t xml:space="preserve"> a huge amount of debt compared to equity. Cash flows of the company are also declining regularly, which might create obstacles in managing different business operations especially during tough times. Accordingly, investment in projects like project C and project A can prove to be highly beneficial for the company. Positive NPV and ARR of both projects revealed that the project will assist the company in boosting profits and improving cash flows. Besides this, value addition can also assist the company in improving its financial health through boosting profits, retained earnings, and equity and paying off debt. Similarly, investing in project C is more </w:t>
      </w:r>
      <w:proofErr w:type="spellStart"/>
      <w:r w:rsidRPr="001F1D25">
        <w:rPr>
          <w:rFonts w:ascii="Arial" w:hAnsi="Arial" w:cs="Arial"/>
          <w:bCs/>
          <w:lang w:val="en-US"/>
        </w:rPr>
        <w:t>favourable</w:t>
      </w:r>
      <w:proofErr w:type="spellEnd"/>
      <w:r w:rsidRPr="001F1D25">
        <w:rPr>
          <w:rFonts w:ascii="Arial" w:hAnsi="Arial" w:cs="Arial"/>
          <w:bCs/>
          <w:lang w:val="en-US"/>
        </w:rPr>
        <w:t xml:space="preserve"> as it will create long-term value for the company, which is crucial to reduce leverage and rebuild equity. In addition to this, some of the project risk characteristics can be the late generation of cash flows in project C and a huge time period of almost 4 years in project A and C to recover the initial cost. Although the company will face some struggles during the initial years; however, investment in projects will assist the company in improving its financial performance and health gradually over a period of </w:t>
      </w:r>
      <w:r w:rsidRPr="001F1D25">
        <w:rPr>
          <w:rFonts w:ascii="Arial" w:hAnsi="Arial" w:cs="Arial"/>
          <w:bCs/>
          <w:lang w:val="en-US"/>
        </w:rPr>
        <w:lastRenderedPageBreak/>
        <w:t>time. Thus, investing in projects can be considered as a turnaround strategy for the company, which will assist General Electronics in sustaining the company’s operations and accelerating business growth in the long run.</w:t>
      </w:r>
    </w:p>
    <w:p w14:paraId="1AD00194" w14:textId="77777777" w:rsidR="001F1D25" w:rsidRPr="001F1D25" w:rsidRDefault="001F1D25" w:rsidP="001F1D25">
      <w:pPr>
        <w:jc w:val="center"/>
        <w:rPr>
          <w:rFonts w:ascii="Arial" w:hAnsi="Arial" w:cs="Arial"/>
          <w:b/>
          <w:bCs/>
          <w:lang w:val="en-US"/>
        </w:rPr>
      </w:pPr>
      <w:bookmarkStart w:id="13" w:name="_Toc1411106201"/>
      <w:r w:rsidRPr="001F1D25">
        <w:rPr>
          <w:rFonts w:ascii="Arial" w:hAnsi="Arial" w:cs="Arial"/>
          <w:b/>
          <w:bCs/>
          <w:lang w:val="en-US"/>
        </w:rPr>
        <w:t>Conclusion</w:t>
      </w:r>
      <w:bookmarkEnd w:id="13"/>
    </w:p>
    <w:p w14:paraId="38D93E9E"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The report found that the financial performance of General Electronics significantly degraded in the last few years due to a consistent fall in revenues and losses. A rise in the inventory turnover ratio shows a company’s inefficiency in using inventory effectively to generate higher sales. Similarly, a rise in debt and continued losses are also major threats for the company as they affected the solvency position and EPS of the company. However, the liquidity position of the company is strong, which is a main strength for the company also the same shows low default risk. In addition to this, Altman's Z-score is also under the gray zone, reflecting a moderate possibility of bankruptcy. Further, the cash operating cycle also increased in the last 5 years, which was the result of an increase in inventory and receivable days. The company can use a wide range of strategic measures rise boost revenues, reduce unnecessary costs, manage receivables, and others for the purpose of improving liquidity. </w:t>
      </w:r>
    </w:p>
    <w:p w14:paraId="0144018E" w14:textId="77777777" w:rsidR="001F1D25" w:rsidRPr="001F1D25" w:rsidRDefault="001F1D25" w:rsidP="001F1D25">
      <w:pPr>
        <w:jc w:val="center"/>
        <w:rPr>
          <w:rFonts w:ascii="Arial" w:hAnsi="Arial" w:cs="Arial"/>
          <w:bCs/>
          <w:lang w:val="en-US"/>
        </w:rPr>
      </w:pPr>
      <w:r w:rsidRPr="001F1D25">
        <w:rPr>
          <w:rFonts w:ascii="Arial" w:hAnsi="Arial" w:cs="Arial"/>
          <w:bCs/>
          <w:lang w:val="en-US"/>
        </w:rPr>
        <w:t>Similarly, there are several short-term financing options like trade credit and factoring, as well as long-term financing like loans, debentures, and equity that a company can use for different business purposes as per specific needs. Turnaround strategies like selective divestiture, equity injection, debt restructuring and overall strategic measures can balance finances and restore long run viability. Also, investing in project C is ethically sound and financially viable, especially during capital captioning, as it has reported the highest NPV and ARR. This can also be considered as a turnaround strategy for General Electronics, as investing in project C will boost cash flows and thereby gradually improve the financial performance of the company. The generation of cash flows from project C will enhance liquidity and help in improving the solvency position through paying off debts.</w:t>
      </w:r>
    </w:p>
    <w:p w14:paraId="28FC4302" w14:textId="77777777" w:rsidR="001F1D25" w:rsidRPr="001F1D25" w:rsidRDefault="001F1D25" w:rsidP="001F1D25">
      <w:pPr>
        <w:jc w:val="center"/>
        <w:rPr>
          <w:rFonts w:ascii="Arial" w:hAnsi="Arial" w:cs="Arial"/>
          <w:bCs/>
          <w:lang w:val="en-US"/>
        </w:rPr>
      </w:pPr>
    </w:p>
    <w:p w14:paraId="70A373D3" w14:textId="77777777" w:rsidR="001F1D25" w:rsidRPr="001F1D25" w:rsidRDefault="001F1D25" w:rsidP="001F1D25">
      <w:pPr>
        <w:jc w:val="center"/>
        <w:rPr>
          <w:rFonts w:ascii="Arial" w:hAnsi="Arial" w:cs="Arial"/>
          <w:bCs/>
          <w:lang w:val="en-US"/>
        </w:rPr>
      </w:pPr>
    </w:p>
    <w:p w14:paraId="499F51A9" w14:textId="77777777" w:rsidR="001F1D25" w:rsidRPr="001F1D25" w:rsidRDefault="001F1D25" w:rsidP="001F1D25">
      <w:pPr>
        <w:jc w:val="center"/>
        <w:rPr>
          <w:rFonts w:ascii="Arial" w:hAnsi="Arial" w:cs="Arial"/>
          <w:bCs/>
          <w:lang w:val="en-US"/>
        </w:rPr>
      </w:pPr>
      <w:r w:rsidRPr="001F1D25">
        <w:rPr>
          <w:rFonts w:ascii="Arial" w:hAnsi="Arial" w:cs="Arial"/>
          <w:bCs/>
          <w:lang w:val="en-US"/>
        </w:rPr>
        <w:br w:type="page"/>
      </w:r>
    </w:p>
    <w:p w14:paraId="000CA720" w14:textId="77777777" w:rsidR="001F1D25" w:rsidRPr="001F1D25" w:rsidRDefault="001F1D25" w:rsidP="001F1D25">
      <w:pPr>
        <w:jc w:val="center"/>
        <w:rPr>
          <w:rFonts w:ascii="Arial" w:hAnsi="Arial" w:cs="Arial"/>
          <w:b/>
          <w:bCs/>
          <w:lang w:val="en-US"/>
        </w:rPr>
      </w:pPr>
      <w:bookmarkStart w:id="14" w:name="_Toc1800006386"/>
      <w:r w:rsidRPr="001F1D25">
        <w:rPr>
          <w:rFonts w:ascii="Arial" w:hAnsi="Arial" w:cs="Arial"/>
          <w:b/>
          <w:bCs/>
          <w:lang w:val="en-US"/>
        </w:rPr>
        <w:lastRenderedPageBreak/>
        <w:t>References</w:t>
      </w:r>
      <w:bookmarkEnd w:id="14"/>
    </w:p>
    <w:p w14:paraId="00742B3B"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ACCA. (2025) </w:t>
      </w:r>
      <w:r w:rsidRPr="001F1D25">
        <w:rPr>
          <w:rFonts w:ascii="Arial" w:hAnsi="Arial" w:cs="Arial"/>
          <w:bCs/>
          <w:i/>
          <w:iCs/>
          <w:lang w:val="en-US"/>
        </w:rPr>
        <w:t>Investment appraisal.</w:t>
      </w:r>
      <w:r w:rsidRPr="001F1D25">
        <w:rPr>
          <w:rFonts w:ascii="Arial" w:hAnsi="Arial" w:cs="Arial"/>
          <w:bCs/>
          <w:lang w:val="en-US"/>
        </w:rPr>
        <w:t xml:space="preserve"> Available at: </w:t>
      </w:r>
      <w:hyperlink r:id="rId33" w:history="1">
        <w:r w:rsidRPr="001F1D25">
          <w:rPr>
            <w:rStyle w:val="Hyperlink"/>
            <w:rFonts w:ascii="Arial" w:hAnsi="Arial" w:cs="Arial"/>
            <w:bCs/>
            <w:lang w:val="en-US"/>
          </w:rPr>
          <w:t>https://www.accaglobal.com/in/en/student/exam-support-resources/prodipsust-study-resources/technical-articles/investment-appraisal.html</w:t>
        </w:r>
      </w:hyperlink>
      <w:r w:rsidRPr="001F1D25">
        <w:rPr>
          <w:rFonts w:ascii="Arial" w:hAnsi="Arial" w:cs="Arial"/>
          <w:bCs/>
          <w:lang w:val="en-US"/>
        </w:rPr>
        <w:t xml:space="preserve"> (Accessed: 17 December 2025).</w:t>
      </w:r>
    </w:p>
    <w:p w14:paraId="03AB172F"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Ali, M. (2020) </w:t>
      </w:r>
      <w:r w:rsidRPr="001F1D25">
        <w:rPr>
          <w:rFonts w:ascii="Arial" w:hAnsi="Arial" w:cs="Arial"/>
          <w:bCs/>
          <w:i/>
          <w:iCs/>
          <w:lang w:val="en-US"/>
        </w:rPr>
        <w:t xml:space="preserve">Working Capital Management </w:t>
      </w:r>
      <w:proofErr w:type="gramStart"/>
      <w:r w:rsidRPr="001F1D25">
        <w:rPr>
          <w:rFonts w:ascii="Arial" w:hAnsi="Arial" w:cs="Arial"/>
          <w:bCs/>
          <w:i/>
          <w:iCs/>
          <w:lang w:val="en-US"/>
        </w:rPr>
        <w:t>In</w:t>
      </w:r>
      <w:proofErr w:type="gramEnd"/>
      <w:r w:rsidRPr="001F1D25">
        <w:rPr>
          <w:rFonts w:ascii="Arial" w:hAnsi="Arial" w:cs="Arial"/>
          <w:bCs/>
          <w:i/>
          <w:iCs/>
          <w:lang w:val="en-US"/>
        </w:rPr>
        <w:t xml:space="preserve"> Poultry Industry</w:t>
      </w:r>
      <w:r w:rsidRPr="001F1D25">
        <w:rPr>
          <w:rFonts w:ascii="Arial" w:hAnsi="Arial" w:cs="Arial"/>
          <w:bCs/>
          <w:lang w:val="en-US"/>
        </w:rPr>
        <w:t>. Bengaluru: Archers &amp; Elevators Publishing House.</w:t>
      </w:r>
    </w:p>
    <w:p w14:paraId="55A50F4D"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Banks, L. (2025) </w:t>
      </w:r>
      <w:r w:rsidRPr="001F1D25">
        <w:rPr>
          <w:rFonts w:ascii="Arial" w:hAnsi="Arial" w:cs="Arial"/>
          <w:bCs/>
          <w:i/>
          <w:iCs/>
          <w:lang w:val="en-US"/>
        </w:rPr>
        <w:t>The Financially Savvy LLC: Managing Your Business Finances Wisely</w:t>
      </w:r>
      <w:r w:rsidRPr="001F1D25">
        <w:rPr>
          <w:rFonts w:ascii="Arial" w:hAnsi="Arial" w:cs="Arial"/>
          <w:bCs/>
          <w:lang w:val="en-US"/>
        </w:rPr>
        <w:t>. Moscow: Lena Whitmore.</w:t>
      </w:r>
    </w:p>
    <w:p w14:paraId="3848EBD4" w14:textId="77777777" w:rsidR="001F1D25" w:rsidRPr="001F1D25" w:rsidRDefault="001F1D25" w:rsidP="001F1D25">
      <w:pPr>
        <w:jc w:val="center"/>
        <w:rPr>
          <w:rFonts w:ascii="Arial" w:hAnsi="Arial" w:cs="Arial"/>
          <w:bCs/>
          <w:lang w:val="en-US"/>
        </w:rPr>
      </w:pPr>
      <w:r w:rsidRPr="001F1D25">
        <w:rPr>
          <w:rFonts w:ascii="Arial" w:hAnsi="Arial" w:cs="Arial"/>
          <w:bCs/>
          <w:lang w:val="en-US"/>
        </w:rPr>
        <w:t>Birt, J., Chalmers, K., Maloney, S., Brooks, A., Oliver, J. and Bond, D. (2020) </w:t>
      </w:r>
      <w:r w:rsidRPr="001F1D25">
        <w:rPr>
          <w:rFonts w:ascii="Arial" w:hAnsi="Arial" w:cs="Arial"/>
          <w:bCs/>
          <w:i/>
          <w:iCs/>
          <w:lang w:val="en-US"/>
        </w:rPr>
        <w:t>Accounting: Business reporting for decision making</w:t>
      </w:r>
      <w:r w:rsidRPr="001F1D25">
        <w:rPr>
          <w:rFonts w:ascii="Arial" w:hAnsi="Arial" w:cs="Arial"/>
          <w:bCs/>
          <w:lang w:val="en-US"/>
        </w:rPr>
        <w:t>. New Jersey: John Wiley &amp; Sons.</w:t>
      </w:r>
    </w:p>
    <w:p w14:paraId="608C06EB"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BPP. (2013) </w:t>
      </w:r>
      <w:r w:rsidRPr="001F1D25">
        <w:rPr>
          <w:rFonts w:ascii="Arial" w:hAnsi="Arial" w:cs="Arial"/>
          <w:bCs/>
          <w:i/>
          <w:iCs/>
          <w:lang w:val="en-US"/>
        </w:rPr>
        <w:t>ACCA Paper F9 - Financial Management Practice and Revision Kit</w:t>
      </w:r>
      <w:r w:rsidRPr="001F1D25">
        <w:rPr>
          <w:rFonts w:ascii="Arial" w:hAnsi="Arial" w:cs="Arial"/>
          <w:bCs/>
          <w:lang w:val="en-US"/>
        </w:rPr>
        <w:t>. London: BPP Learning Media.</w:t>
      </w:r>
    </w:p>
    <w:p w14:paraId="76F25C94"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Bucknell, A. (2025) </w:t>
      </w:r>
      <w:r w:rsidRPr="001F1D25">
        <w:rPr>
          <w:rFonts w:ascii="Arial" w:hAnsi="Arial" w:cs="Arial"/>
          <w:bCs/>
          <w:i/>
          <w:iCs/>
          <w:lang w:val="en-US"/>
        </w:rPr>
        <w:t>The advantages and disadvantages of trade credit, explained</w:t>
      </w:r>
      <w:r w:rsidRPr="001F1D25">
        <w:rPr>
          <w:rFonts w:ascii="Arial" w:hAnsi="Arial" w:cs="Arial"/>
          <w:bCs/>
          <w:lang w:val="en-US"/>
        </w:rPr>
        <w:t xml:space="preserve">. Available at: </w:t>
      </w:r>
      <w:hyperlink r:id="rId34" w:history="1">
        <w:r w:rsidRPr="001F1D25">
          <w:rPr>
            <w:rStyle w:val="Hyperlink"/>
            <w:rFonts w:ascii="Arial" w:hAnsi="Arial" w:cs="Arial"/>
            <w:bCs/>
            <w:lang w:val="en-US"/>
          </w:rPr>
          <w:t>https://www.mondu.ai/trade-credit-advantages-and-disadvantages/</w:t>
        </w:r>
      </w:hyperlink>
      <w:r w:rsidRPr="001F1D25">
        <w:rPr>
          <w:rFonts w:ascii="Arial" w:hAnsi="Arial" w:cs="Arial"/>
          <w:bCs/>
          <w:lang w:val="en-US"/>
        </w:rPr>
        <w:t xml:space="preserve"> (Accessed: 17 December 2025).</w:t>
      </w:r>
    </w:p>
    <w:p w14:paraId="4AD69998"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Campbell, T. C., Galpin, N., </w:t>
      </w:r>
      <w:proofErr w:type="gramStart"/>
      <w:r w:rsidRPr="001F1D25">
        <w:rPr>
          <w:rFonts w:ascii="Arial" w:hAnsi="Arial" w:cs="Arial"/>
          <w:bCs/>
          <w:lang w:val="en-US"/>
        </w:rPr>
        <w:t>and  Johnson</w:t>
      </w:r>
      <w:proofErr w:type="gramEnd"/>
      <w:r w:rsidRPr="001F1D25">
        <w:rPr>
          <w:rFonts w:ascii="Arial" w:hAnsi="Arial" w:cs="Arial"/>
          <w:bCs/>
          <w:lang w:val="en-US"/>
        </w:rPr>
        <w:t>, S. A. (2016) ‘Optimal inside debt compensation and the value of equity and debt’, </w:t>
      </w:r>
      <w:r w:rsidRPr="001F1D25">
        <w:rPr>
          <w:rFonts w:ascii="Arial" w:hAnsi="Arial" w:cs="Arial"/>
          <w:bCs/>
          <w:i/>
          <w:iCs/>
          <w:lang w:val="en-US"/>
        </w:rPr>
        <w:t>Journal of Financial Economics</w:t>
      </w:r>
      <w:r w:rsidRPr="001F1D25">
        <w:rPr>
          <w:rFonts w:ascii="Arial" w:hAnsi="Arial" w:cs="Arial"/>
          <w:bCs/>
          <w:lang w:val="en-US"/>
        </w:rPr>
        <w:t>, </w:t>
      </w:r>
      <w:r w:rsidRPr="001F1D25">
        <w:rPr>
          <w:rFonts w:ascii="Arial" w:hAnsi="Arial" w:cs="Arial"/>
          <w:bCs/>
          <w:iCs/>
          <w:lang w:val="en-US"/>
        </w:rPr>
        <w:t>119</w:t>
      </w:r>
      <w:r w:rsidRPr="001F1D25">
        <w:rPr>
          <w:rFonts w:ascii="Arial" w:hAnsi="Arial" w:cs="Arial"/>
          <w:bCs/>
          <w:lang w:val="en-US"/>
        </w:rPr>
        <w:t xml:space="preserve">(2), pp. 336-352. Available at: </w:t>
      </w:r>
      <w:hyperlink r:id="rId35" w:history="1">
        <w:r w:rsidRPr="001F1D25">
          <w:rPr>
            <w:rStyle w:val="Hyperlink"/>
            <w:rFonts w:ascii="Arial" w:hAnsi="Arial" w:cs="Arial"/>
            <w:bCs/>
            <w:lang w:val="en-US"/>
          </w:rPr>
          <w:t>https://papers.ssrn.com/sol3/Delivery.cfm?abstractid=2362480</w:t>
        </w:r>
      </w:hyperlink>
      <w:r w:rsidRPr="001F1D25">
        <w:rPr>
          <w:rFonts w:ascii="Arial" w:hAnsi="Arial" w:cs="Arial"/>
          <w:bCs/>
          <w:lang w:val="en-US"/>
        </w:rPr>
        <w:t xml:space="preserve"> </w:t>
      </w:r>
    </w:p>
    <w:p w14:paraId="25CF3190" w14:textId="77777777" w:rsidR="001F1D25" w:rsidRPr="001F1D25" w:rsidRDefault="001F1D25" w:rsidP="001F1D25">
      <w:pPr>
        <w:jc w:val="center"/>
        <w:rPr>
          <w:rFonts w:ascii="Arial" w:hAnsi="Arial" w:cs="Arial"/>
          <w:bCs/>
          <w:lang w:val="en-US"/>
        </w:rPr>
      </w:pPr>
      <w:r w:rsidRPr="001F1D25">
        <w:rPr>
          <w:rFonts w:ascii="Arial" w:hAnsi="Arial" w:cs="Arial"/>
          <w:bCs/>
          <w:lang w:val="en-US"/>
        </w:rPr>
        <w:t>Chen, X., Liang, X., and Wu, H. (2023) ‘Cross-border mergers and acquisitions and CSR performance: Evidence from China’, </w:t>
      </w:r>
      <w:r w:rsidRPr="001F1D25">
        <w:rPr>
          <w:rFonts w:ascii="Arial" w:hAnsi="Arial" w:cs="Arial"/>
          <w:bCs/>
          <w:i/>
          <w:iCs/>
          <w:lang w:val="en-US"/>
        </w:rPr>
        <w:t>Journal of Business Ethics</w:t>
      </w:r>
      <w:r w:rsidRPr="001F1D25">
        <w:rPr>
          <w:rFonts w:ascii="Arial" w:hAnsi="Arial" w:cs="Arial"/>
          <w:bCs/>
          <w:lang w:val="en-US"/>
        </w:rPr>
        <w:t>, </w:t>
      </w:r>
      <w:r w:rsidRPr="001F1D25">
        <w:rPr>
          <w:rFonts w:ascii="Arial" w:hAnsi="Arial" w:cs="Arial"/>
          <w:bCs/>
          <w:iCs/>
          <w:lang w:val="en-US"/>
        </w:rPr>
        <w:t>183</w:t>
      </w:r>
      <w:r w:rsidRPr="001F1D25">
        <w:rPr>
          <w:rFonts w:ascii="Arial" w:hAnsi="Arial" w:cs="Arial"/>
          <w:bCs/>
          <w:lang w:val="en-US"/>
        </w:rPr>
        <w:t xml:space="preserve">(1), pp. 255-288. Available at: </w:t>
      </w:r>
      <w:hyperlink r:id="rId36" w:history="1">
        <w:r w:rsidRPr="001F1D25">
          <w:rPr>
            <w:rStyle w:val="Hyperlink"/>
            <w:rFonts w:ascii="Arial" w:hAnsi="Arial" w:cs="Arial"/>
            <w:bCs/>
            <w:lang w:val="en-US"/>
          </w:rPr>
          <w:t>http://sia-backend-files.s3.amazonaws.com/userpdf/75fdc85e-48de-5482-a0c9-7e51fab5d2e8=20250417103808=Cross-Border_Mergers_and_Acqui.pdf</w:t>
        </w:r>
      </w:hyperlink>
      <w:r w:rsidRPr="001F1D25">
        <w:rPr>
          <w:rFonts w:ascii="Arial" w:hAnsi="Arial" w:cs="Arial"/>
          <w:bCs/>
          <w:lang w:val="en-US"/>
        </w:rPr>
        <w:t xml:space="preserve"> </w:t>
      </w:r>
    </w:p>
    <w:p w14:paraId="18AD36E2" w14:textId="77777777" w:rsidR="001F1D25" w:rsidRPr="001F1D25" w:rsidRDefault="001F1D25" w:rsidP="001F1D25">
      <w:pPr>
        <w:jc w:val="center"/>
        <w:rPr>
          <w:rFonts w:ascii="Arial" w:hAnsi="Arial" w:cs="Arial"/>
          <w:bCs/>
          <w:lang w:val="en-US"/>
        </w:rPr>
      </w:pPr>
      <w:proofErr w:type="spellStart"/>
      <w:r w:rsidRPr="001F1D25">
        <w:rPr>
          <w:rFonts w:ascii="Arial" w:hAnsi="Arial" w:cs="Arial"/>
          <w:bCs/>
          <w:lang w:val="en-US"/>
        </w:rPr>
        <w:t>Cybellium</w:t>
      </w:r>
      <w:proofErr w:type="spellEnd"/>
      <w:r w:rsidRPr="001F1D25">
        <w:rPr>
          <w:rFonts w:ascii="Arial" w:hAnsi="Arial" w:cs="Arial"/>
          <w:bCs/>
          <w:lang w:val="en-US"/>
        </w:rPr>
        <w:t xml:space="preserve">. (2024) </w:t>
      </w:r>
      <w:r w:rsidRPr="001F1D25">
        <w:rPr>
          <w:rFonts w:ascii="Arial" w:hAnsi="Arial" w:cs="Arial"/>
          <w:bCs/>
          <w:i/>
          <w:iCs/>
          <w:lang w:val="en-US"/>
        </w:rPr>
        <w:t>Introduction to Nonprofit Management: A Comprehensive Guide to Learn the basics of Nonprofit Management</w:t>
      </w:r>
      <w:r w:rsidRPr="001F1D25">
        <w:rPr>
          <w:rFonts w:ascii="Arial" w:hAnsi="Arial" w:cs="Arial"/>
          <w:bCs/>
          <w:lang w:val="en-US"/>
        </w:rPr>
        <w:t xml:space="preserve">. England: </w:t>
      </w:r>
      <w:proofErr w:type="spellStart"/>
      <w:r w:rsidRPr="001F1D25">
        <w:rPr>
          <w:rFonts w:ascii="Arial" w:hAnsi="Arial" w:cs="Arial"/>
          <w:bCs/>
          <w:lang w:val="en-US"/>
        </w:rPr>
        <w:t>Cybellium</w:t>
      </w:r>
      <w:proofErr w:type="spellEnd"/>
      <w:r w:rsidRPr="001F1D25">
        <w:rPr>
          <w:rFonts w:ascii="Arial" w:hAnsi="Arial" w:cs="Arial"/>
          <w:bCs/>
          <w:lang w:val="en-US"/>
        </w:rPr>
        <w:t xml:space="preserve"> Publishers.</w:t>
      </w:r>
    </w:p>
    <w:p w14:paraId="481F4036"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Dawood, M. (2023) </w:t>
      </w:r>
      <w:r w:rsidRPr="001F1D25">
        <w:rPr>
          <w:rFonts w:ascii="Arial" w:hAnsi="Arial" w:cs="Arial"/>
          <w:bCs/>
          <w:i/>
          <w:iCs/>
          <w:lang w:val="en-US"/>
        </w:rPr>
        <w:t xml:space="preserve">Your Guide </w:t>
      </w:r>
      <w:proofErr w:type="gramStart"/>
      <w:r w:rsidRPr="001F1D25">
        <w:rPr>
          <w:rFonts w:ascii="Arial" w:hAnsi="Arial" w:cs="Arial"/>
          <w:bCs/>
          <w:i/>
          <w:iCs/>
          <w:lang w:val="en-US"/>
        </w:rPr>
        <w:t>For</w:t>
      </w:r>
      <w:proofErr w:type="gramEnd"/>
      <w:r w:rsidRPr="001F1D25">
        <w:rPr>
          <w:rFonts w:ascii="Arial" w:hAnsi="Arial" w:cs="Arial"/>
          <w:bCs/>
          <w:i/>
          <w:iCs/>
          <w:lang w:val="en-US"/>
        </w:rPr>
        <w:t xml:space="preserve"> Preparing an Industrial Feasibility Study: Navigating the Path to Industrial Success: A Step-By-Step Guide to Industrial Feasibility Studies</w:t>
      </w:r>
      <w:r w:rsidRPr="001F1D25">
        <w:rPr>
          <w:rFonts w:ascii="Arial" w:hAnsi="Arial" w:cs="Arial"/>
          <w:bCs/>
          <w:lang w:val="en-US"/>
        </w:rPr>
        <w:t>. Munther Al Dawood Publishers.</w:t>
      </w:r>
    </w:p>
    <w:p w14:paraId="71EF35B9" w14:textId="77777777" w:rsidR="001F1D25" w:rsidRPr="001F1D25" w:rsidRDefault="001F1D25" w:rsidP="001F1D25">
      <w:pPr>
        <w:jc w:val="center"/>
        <w:rPr>
          <w:rFonts w:ascii="Arial" w:hAnsi="Arial" w:cs="Arial"/>
          <w:bCs/>
          <w:lang w:val="en-US"/>
        </w:rPr>
      </w:pPr>
      <w:r w:rsidRPr="001F1D25">
        <w:rPr>
          <w:rFonts w:ascii="Arial" w:hAnsi="Arial" w:cs="Arial"/>
          <w:bCs/>
          <w:lang w:val="en-US"/>
        </w:rPr>
        <w:t>Drake, P.P., Fabozzi, F.J. and Fabozzi, F.A. (2022) </w:t>
      </w:r>
      <w:r w:rsidRPr="001F1D25">
        <w:rPr>
          <w:rFonts w:ascii="Arial" w:hAnsi="Arial" w:cs="Arial"/>
          <w:bCs/>
          <w:i/>
          <w:iCs/>
          <w:lang w:val="en-US"/>
        </w:rPr>
        <w:t>INTRODUCTION TO FINANCE: Financial Management and Investment Management</w:t>
      </w:r>
      <w:r w:rsidRPr="001F1D25">
        <w:rPr>
          <w:rFonts w:ascii="Arial" w:hAnsi="Arial" w:cs="Arial"/>
          <w:bCs/>
          <w:lang w:val="en-US"/>
        </w:rPr>
        <w:t>. Singapore: World Scientific Publishing Company.</w:t>
      </w:r>
    </w:p>
    <w:p w14:paraId="00ECFFCF"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Erl, L. S. (2020) </w:t>
      </w:r>
      <w:r w:rsidRPr="001F1D25">
        <w:rPr>
          <w:rFonts w:ascii="Arial" w:hAnsi="Arial" w:cs="Arial"/>
          <w:bCs/>
          <w:i/>
          <w:iCs/>
          <w:lang w:val="en-US"/>
        </w:rPr>
        <w:t>Structure, motives, and performance effects of divestitures</w:t>
      </w:r>
      <w:r w:rsidRPr="001F1D25">
        <w:rPr>
          <w:rFonts w:ascii="Arial" w:hAnsi="Arial" w:cs="Arial"/>
          <w:bCs/>
          <w:lang w:val="en-US"/>
        </w:rPr>
        <w:t xml:space="preserve">. Available at: </w:t>
      </w:r>
      <w:hyperlink r:id="rId37" w:history="1">
        <w:r w:rsidRPr="001F1D25">
          <w:rPr>
            <w:rStyle w:val="Hyperlink"/>
            <w:rFonts w:ascii="Arial" w:hAnsi="Arial" w:cs="Arial"/>
            <w:bCs/>
            <w:lang w:val="en-US"/>
          </w:rPr>
          <w:t>https://tuprints.ulb.tu-darmstadt.de/bitstreams/04dd9308-4078-47d4-b070-344e3e88f700/download</w:t>
        </w:r>
      </w:hyperlink>
      <w:r w:rsidRPr="001F1D25">
        <w:rPr>
          <w:rFonts w:ascii="Arial" w:hAnsi="Arial" w:cs="Arial"/>
          <w:bCs/>
          <w:lang w:val="en-US"/>
        </w:rPr>
        <w:t xml:space="preserve"> (Accessed: 17 December 2025).</w:t>
      </w:r>
    </w:p>
    <w:p w14:paraId="1F1E5695" w14:textId="77777777" w:rsidR="001F1D25" w:rsidRPr="001F1D25" w:rsidRDefault="001F1D25" w:rsidP="001F1D25">
      <w:pPr>
        <w:jc w:val="center"/>
        <w:rPr>
          <w:rFonts w:ascii="Arial" w:hAnsi="Arial" w:cs="Arial"/>
          <w:bCs/>
          <w:lang w:val="en-US"/>
        </w:rPr>
      </w:pPr>
      <w:r w:rsidRPr="001F1D25">
        <w:rPr>
          <w:rFonts w:ascii="Arial" w:hAnsi="Arial" w:cs="Arial"/>
          <w:bCs/>
          <w:lang w:val="en-US"/>
        </w:rPr>
        <w:lastRenderedPageBreak/>
        <w:t xml:space="preserve">Fairchild, G. (2025) </w:t>
      </w:r>
      <w:r w:rsidRPr="001F1D25">
        <w:rPr>
          <w:rFonts w:ascii="Arial" w:hAnsi="Arial" w:cs="Arial"/>
          <w:bCs/>
          <w:i/>
          <w:iCs/>
          <w:lang w:val="en-US"/>
        </w:rPr>
        <w:t>Fund Math</w:t>
      </w:r>
      <w:r w:rsidRPr="001F1D25">
        <w:rPr>
          <w:rFonts w:ascii="Arial" w:hAnsi="Arial" w:cs="Arial"/>
          <w:bCs/>
          <w:lang w:val="en-US"/>
        </w:rPr>
        <w:t xml:space="preserve">. Amsterdam: </w:t>
      </w:r>
      <w:proofErr w:type="spellStart"/>
      <w:r w:rsidRPr="001F1D25">
        <w:rPr>
          <w:rFonts w:ascii="Arial" w:hAnsi="Arial" w:cs="Arial"/>
          <w:bCs/>
          <w:lang w:val="en-US"/>
        </w:rPr>
        <w:t>Publifye</w:t>
      </w:r>
      <w:proofErr w:type="spellEnd"/>
      <w:r w:rsidRPr="001F1D25">
        <w:rPr>
          <w:rFonts w:ascii="Arial" w:hAnsi="Arial" w:cs="Arial"/>
          <w:bCs/>
          <w:lang w:val="en-US"/>
        </w:rPr>
        <w:t>.</w:t>
      </w:r>
    </w:p>
    <w:p w14:paraId="69EC5650"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Geek. (2025) </w:t>
      </w:r>
      <w:r w:rsidRPr="001F1D25">
        <w:rPr>
          <w:rFonts w:ascii="Arial" w:hAnsi="Arial" w:cs="Arial"/>
          <w:bCs/>
          <w:i/>
          <w:iCs/>
          <w:lang w:val="en-US"/>
        </w:rPr>
        <w:t>Advantages and Disadvantages of Factoring</w:t>
      </w:r>
      <w:r w:rsidRPr="001F1D25">
        <w:rPr>
          <w:rFonts w:ascii="Arial" w:hAnsi="Arial" w:cs="Arial"/>
          <w:bCs/>
          <w:lang w:val="en-US"/>
        </w:rPr>
        <w:t xml:space="preserve">. Available at: </w:t>
      </w:r>
      <w:hyperlink r:id="rId38" w:history="1">
        <w:r w:rsidRPr="001F1D25">
          <w:rPr>
            <w:rStyle w:val="Hyperlink"/>
            <w:rFonts w:ascii="Arial" w:hAnsi="Arial" w:cs="Arial"/>
            <w:bCs/>
            <w:lang w:val="en-US"/>
          </w:rPr>
          <w:t>https://www.geeksforgeeks.org/business-studies/advantages-and-disadvantages-of-factoring/</w:t>
        </w:r>
      </w:hyperlink>
      <w:r w:rsidRPr="001F1D25">
        <w:rPr>
          <w:rFonts w:ascii="Arial" w:hAnsi="Arial" w:cs="Arial"/>
          <w:bCs/>
          <w:lang w:val="en-US"/>
        </w:rPr>
        <w:t xml:space="preserve"> (Accessed: 17 December 2025).</w:t>
      </w:r>
    </w:p>
    <w:p w14:paraId="2AB82BA5"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Gervasi, O., </w:t>
      </w:r>
      <w:proofErr w:type="spellStart"/>
      <w:r w:rsidRPr="001F1D25">
        <w:rPr>
          <w:rFonts w:ascii="Arial" w:hAnsi="Arial" w:cs="Arial"/>
          <w:bCs/>
          <w:lang w:val="en-US"/>
        </w:rPr>
        <w:t>Murgante</w:t>
      </w:r>
      <w:proofErr w:type="spellEnd"/>
      <w:r w:rsidRPr="001F1D25">
        <w:rPr>
          <w:rFonts w:ascii="Arial" w:hAnsi="Arial" w:cs="Arial"/>
          <w:bCs/>
          <w:lang w:val="en-US"/>
        </w:rPr>
        <w:t>, B., Garau, C., Karaca, Y., Lago, M.N.F., Scorza, F. and Braga, A.C. (2025) </w:t>
      </w:r>
      <w:r w:rsidRPr="001F1D25">
        <w:rPr>
          <w:rFonts w:ascii="Arial" w:hAnsi="Arial" w:cs="Arial"/>
          <w:bCs/>
          <w:i/>
          <w:iCs/>
          <w:lang w:val="en-US"/>
        </w:rPr>
        <w:t>Computational Science and Its Applications–ICCSA 2025 Workshops: Istanbul, Turkey, June 30–July 3, 2025, Proceedings, Part XI</w:t>
      </w:r>
      <w:r w:rsidRPr="001F1D25">
        <w:rPr>
          <w:rFonts w:ascii="Arial" w:hAnsi="Arial" w:cs="Arial"/>
          <w:bCs/>
          <w:lang w:val="en-US"/>
        </w:rPr>
        <w:t> (Vol. 15896). Berlin: Springer Nature.</w:t>
      </w:r>
    </w:p>
    <w:p w14:paraId="766F1C60"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Gravelle, J. G., </w:t>
      </w:r>
      <w:proofErr w:type="gramStart"/>
      <w:r w:rsidRPr="001F1D25">
        <w:rPr>
          <w:rFonts w:ascii="Arial" w:hAnsi="Arial" w:cs="Arial"/>
          <w:bCs/>
          <w:lang w:val="en-US"/>
        </w:rPr>
        <w:t>and  Marples</w:t>
      </w:r>
      <w:proofErr w:type="gramEnd"/>
      <w:r w:rsidRPr="001F1D25">
        <w:rPr>
          <w:rFonts w:ascii="Arial" w:hAnsi="Arial" w:cs="Arial"/>
          <w:bCs/>
          <w:lang w:val="en-US"/>
        </w:rPr>
        <w:t>, D. (2018) ‘</w:t>
      </w:r>
      <w:r w:rsidRPr="001F1D25">
        <w:rPr>
          <w:rFonts w:ascii="Arial" w:hAnsi="Arial" w:cs="Arial"/>
          <w:bCs/>
          <w:iCs/>
          <w:lang w:val="en-US"/>
        </w:rPr>
        <w:t>Issues in international corporate taxation: the 2017 revision (PL 115-97</w:t>
      </w:r>
      <w:r w:rsidRPr="001F1D25">
        <w:rPr>
          <w:rFonts w:ascii="Arial" w:hAnsi="Arial" w:cs="Arial"/>
          <w:bCs/>
          <w:i/>
          <w:iCs/>
          <w:lang w:val="en-US"/>
        </w:rPr>
        <w:t>)</w:t>
      </w:r>
      <w:r w:rsidRPr="001F1D25">
        <w:rPr>
          <w:rFonts w:ascii="Arial" w:hAnsi="Arial" w:cs="Arial"/>
          <w:bCs/>
          <w:lang w:val="en-US"/>
        </w:rPr>
        <w:t xml:space="preserve">’, </w:t>
      </w:r>
      <w:r w:rsidRPr="001F1D25">
        <w:rPr>
          <w:rFonts w:ascii="Arial" w:hAnsi="Arial" w:cs="Arial"/>
          <w:bCs/>
          <w:i/>
          <w:lang w:val="en-US"/>
        </w:rPr>
        <w:t>Congressional Research Service</w:t>
      </w:r>
      <w:r w:rsidRPr="001F1D25">
        <w:rPr>
          <w:rFonts w:ascii="Arial" w:hAnsi="Arial" w:cs="Arial"/>
          <w:bCs/>
          <w:lang w:val="en-US"/>
        </w:rPr>
        <w:t xml:space="preserve">. Available at: </w:t>
      </w:r>
      <w:hyperlink r:id="rId39" w:history="1">
        <w:r w:rsidRPr="001F1D25">
          <w:rPr>
            <w:rStyle w:val="Hyperlink"/>
            <w:rFonts w:ascii="Arial" w:hAnsi="Arial" w:cs="Arial"/>
            <w:bCs/>
            <w:lang w:val="en-US"/>
          </w:rPr>
          <w:t>https://www.novapublishers.com/wp-content/uploads/2018/09/1-45-pages.pdf</w:t>
        </w:r>
      </w:hyperlink>
      <w:r w:rsidRPr="001F1D25">
        <w:rPr>
          <w:rFonts w:ascii="Arial" w:hAnsi="Arial" w:cs="Arial"/>
          <w:bCs/>
          <w:lang w:val="en-US"/>
        </w:rPr>
        <w:t xml:space="preserve"> </w:t>
      </w:r>
    </w:p>
    <w:p w14:paraId="1FA07B00" w14:textId="77777777" w:rsidR="001F1D25" w:rsidRPr="001F1D25" w:rsidRDefault="001F1D25" w:rsidP="001F1D25">
      <w:pPr>
        <w:jc w:val="center"/>
        <w:rPr>
          <w:rFonts w:ascii="Arial" w:hAnsi="Arial" w:cs="Arial"/>
          <w:bCs/>
          <w:lang w:val="en-US"/>
        </w:rPr>
      </w:pPr>
      <w:r w:rsidRPr="001F1D25">
        <w:rPr>
          <w:rFonts w:ascii="Arial" w:hAnsi="Arial" w:cs="Arial"/>
          <w:bCs/>
          <w:lang w:val="en-US"/>
        </w:rPr>
        <w:t>Hamzat, L., Adekoya, Y., and Ajao, A. (2025) ‘Innovations in emerging market debt risk management: Complementary insights for us financial risk modeling’, </w:t>
      </w:r>
      <w:r w:rsidRPr="001F1D25">
        <w:rPr>
          <w:rFonts w:ascii="Arial" w:hAnsi="Arial" w:cs="Arial"/>
          <w:bCs/>
          <w:i/>
          <w:iCs/>
          <w:lang w:val="en-US"/>
        </w:rPr>
        <w:t xml:space="preserve">International Journal of Engineering Technology Research </w:t>
      </w:r>
      <w:proofErr w:type="gramStart"/>
      <w:r w:rsidRPr="001F1D25">
        <w:rPr>
          <w:rFonts w:ascii="Arial" w:hAnsi="Arial" w:cs="Arial"/>
          <w:bCs/>
          <w:i/>
          <w:iCs/>
          <w:lang w:val="en-US"/>
        </w:rPr>
        <w:t>and  Management</w:t>
      </w:r>
      <w:proofErr w:type="gramEnd"/>
      <w:r w:rsidRPr="001F1D25">
        <w:rPr>
          <w:rFonts w:ascii="Arial" w:hAnsi="Arial" w:cs="Arial"/>
          <w:bCs/>
          <w:i/>
          <w:iCs/>
          <w:lang w:val="en-US"/>
        </w:rPr>
        <w:t xml:space="preserve"> (IJETRM). 2025May19</w:t>
      </w:r>
      <w:r w:rsidRPr="001F1D25">
        <w:rPr>
          <w:rFonts w:ascii="Arial" w:hAnsi="Arial" w:cs="Arial"/>
          <w:bCs/>
          <w:lang w:val="en-US"/>
        </w:rPr>
        <w:t>, </w:t>
      </w:r>
      <w:r w:rsidRPr="001F1D25">
        <w:rPr>
          <w:rFonts w:ascii="Arial" w:hAnsi="Arial" w:cs="Arial"/>
          <w:bCs/>
          <w:iCs/>
          <w:lang w:val="en-US"/>
        </w:rPr>
        <w:t>8</w:t>
      </w:r>
      <w:r w:rsidRPr="001F1D25">
        <w:rPr>
          <w:rFonts w:ascii="Arial" w:hAnsi="Arial" w:cs="Arial"/>
          <w:bCs/>
          <w:lang w:val="en-US"/>
        </w:rPr>
        <w:t xml:space="preserve">(01), pp. 167-86. Available at: </w:t>
      </w:r>
      <w:hyperlink r:id="rId40" w:history="1">
        <w:r w:rsidRPr="001F1D25">
          <w:rPr>
            <w:rStyle w:val="Hyperlink"/>
            <w:rFonts w:ascii="Arial" w:hAnsi="Arial" w:cs="Arial"/>
            <w:bCs/>
            <w:lang w:val="en-US"/>
          </w:rPr>
          <w:t>https://ijetrm.com/issues/files/May-2024-19-1747674533-JAN202416.pdf</w:t>
        </w:r>
      </w:hyperlink>
      <w:r w:rsidRPr="001F1D25">
        <w:rPr>
          <w:rFonts w:ascii="Arial" w:hAnsi="Arial" w:cs="Arial"/>
          <w:bCs/>
          <w:lang w:val="en-US"/>
        </w:rPr>
        <w:t xml:space="preserve"> </w:t>
      </w:r>
    </w:p>
    <w:p w14:paraId="6A9B66AB"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Kaur, D. </w:t>
      </w:r>
      <w:proofErr w:type="gramStart"/>
      <w:r w:rsidRPr="001F1D25">
        <w:rPr>
          <w:rFonts w:ascii="Arial" w:hAnsi="Arial" w:cs="Arial"/>
          <w:bCs/>
          <w:lang w:val="en-US"/>
        </w:rPr>
        <w:t>and  Srivastava</w:t>
      </w:r>
      <w:proofErr w:type="gramEnd"/>
      <w:r w:rsidRPr="001F1D25">
        <w:rPr>
          <w:rFonts w:ascii="Arial" w:hAnsi="Arial" w:cs="Arial"/>
          <w:bCs/>
          <w:lang w:val="en-US"/>
        </w:rPr>
        <w:t>, S. (2017) ‘Corporate debt restructuring and firm performance: A study of Indian firms’, </w:t>
      </w:r>
      <w:r w:rsidRPr="001F1D25">
        <w:rPr>
          <w:rFonts w:ascii="Arial" w:hAnsi="Arial" w:cs="Arial"/>
          <w:bCs/>
          <w:i/>
          <w:iCs/>
          <w:lang w:val="en-US"/>
        </w:rPr>
        <w:t>Serbian Journal of Management</w:t>
      </w:r>
      <w:r w:rsidRPr="001F1D25">
        <w:rPr>
          <w:rFonts w:ascii="Arial" w:hAnsi="Arial" w:cs="Arial"/>
          <w:bCs/>
          <w:lang w:val="en-US"/>
        </w:rPr>
        <w:t>, </w:t>
      </w:r>
      <w:r w:rsidRPr="001F1D25">
        <w:rPr>
          <w:rFonts w:ascii="Arial" w:hAnsi="Arial" w:cs="Arial"/>
          <w:bCs/>
          <w:iCs/>
          <w:lang w:val="en-US"/>
        </w:rPr>
        <w:t>12</w:t>
      </w:r>
      <w:r w:rsidRPr="001F1D25">
        <w:rPr>
          <w:rFonts w:ascii="Arial" w:hAnsi="Arial" w:cs="Arial"/>
          <w:bCs/>
          <w:lang w:val="en-US"/>
        </w:rPr>
        <w:t xml:space="preserve">(2), pp. 271-281. Available at: </w:t>
      </w:r>
      <w:hyperlink r:id="rId41" w:history="1">
        <w:r w:rsidRPr="001F1D25">
          <w:rPr>
            <w:rStyle w:val="Hyperlink"/>
            <w:rFonts w:ascii="Arial" w:hAnsi="Arial" w:cs="Arial"/>
            <w:bCs/>
            <w:lang w:val="en-US"/>
          </w:rPr>
          <w:t>https://aseestant.ceon.rs/index.php/sjm/article/download/11916/pdf</w:t>
        </w:r>
      </w:hyperlink>
      <w:r w:rsidRPr="001F1D25">
        <w:rPr>
          <w:rFonts w:ascii="Arial" w:hAnsi="Arial" w:cs="Arial"/>
          <w:bCs/>
          <w:lang w:val="en-US"/>
        </w:rPr>
        <w:t xml:space="preserve"> </w:t>
      </w:r>
    </w:p>
    <w:p w14:paraId="66BEACBF" w14:textId="77777777" w:rsidR="001F1D25" w:rsidRPr="001F1D25" w:rsidRDefault="001F1D25" w:rsidP="001F1D25">
      <w:pPr>
        <w:jc w:val="center"/>
        <w:rPr>
          <w:rFonts w:ascii="Arial" w:hAnsi="Arial" w:cs="Arial"/>
          <w:bCs/>
          <w:lang w:val="en-US"/>
        </w:rPr>
      </w:pPr>
      <w:r w:rsidRPr="001F1D25">
        <w:rPr>
          <w:rFonts w:ascii="Arial" w:hAnsi="Arial" w:cs="Arial"/>
          <w:bCs/>
          <w:lang w:val="en-US"/>
        </w:rPr>
        <w:t>Harrison, S., Joyce, P., Milner, D. and Coyle, B. (2020) </w:t>
      </w:r>
      <w:r w:rsidRPr="001F1D25">
        <w:rPr>
          <w:rFonts w:ascii="Arial" w:hAnsi="Arial" w:cs="Arial"/>
          <w:bCs/>
          <w:i/>
          <w:iCs/>
          <w:lang w:val="en-US"/>
        </w:rPr>
        <w:t>Oxford International AQA Examinations: International AS Level Business</w:t>
      </w:r>
      <w:r w:rsidRPr="001F1D25">
        <w:rPr>
          <w:rFonts w:ascii="Arial" w:hAnsi="Arial" w:cs="Arial"/>
          <w:bCs/>
          <w:lang w:val="en-US"/>
        </w:rPr>
        <w:t>. Oxford: Oxford University Press-Children.</w:t>
      </w:r>
    </w:p>
    <w:p w14:paraId="3BF61A8A" w14:textId="77777777" w:rsidR="001F1D25" w:rsidRPr="001F1D25" w:rsidRDefault="001F1D25" w:rsidP="001F1D25">
      <w:pPr>
        <w:jc w:val="center"/>
        <w:rPr>
          <w:rFonts w:ascii="Arial" w:hAnsi="Arial" w:cs="Arial"/>
          <w:bCs/>
          <w:lang w:val="en-US"/>
        </w:rPr>
      </w:pPr>
      <w:proofErr w:type="spellStart"/>
      <w:r w:rsidRPr="001F1D25">
        <w:rPr>
          <w:rFonts w:ascii="Arial" w:hAnsi="Arial" w:cs="Arial"/>
          <w:bCs/>
          <w:lang w:val="en-US"/>
        </w:rPr>
        <w:t>Ittelson</w:t>
      </w:r>
      <w:proofErr w:type="spellEnd"/>
      <w:r w:rsidRPr="001F1D25">
        <w:rPr>
          <w:rFonts w:ascii="Arial" w:hAnsi="Arial" w:cs="Arial"/>
          <w:bCs/>
          <w:lang w:val="en-US"/>
        </w:rPr>
        <w:t xml:space="preserve">, T. (2022) </w:t>
      </w:r>
      <w:r w:rsidRPr="001F1D25">
        <w:rPr>
          <w:rFonts w:ascii="Arial" w:hAnsi="Arial" w:cs="Arial"/>
          <w:bCs/>
          <w:i/>
          <w:iCs/>
          <w:lang w:val="en-US"/>
        </w:rPr>
        <w:t>Financial Statements: A Step-by-Step Guide to Understanding and Creating Financial Reports</w:t>
      </w:r>
      <w:r w:rsidRPr="001F1D25">
        <w:rPr>
          <w:rFonts w:ascii="Arial" w:hAnsi="Arial" w:cs="Arial"/>
          <w:bCs/>
          <w:lang w:val="en-US"/>
        </w:rPr>
        <w:t xml:space="preserve">. Massachusetts: Red Wheel Weiser. </w:t>
      </w:r>
    </w:p>
    <w:p w14:paraId="6B650356" w14:textId="77777777" w:rsidR="001F1D25" w:rsidRPr="001F1D25" w:rsidRDefault="001F1D25" w:rsidP="001F1D25">
      <w:pPr>
        <w:jc w:val="center"/>
        <w:rPr>
          <w:rFonts w:ascii="Arial" w:hAnsi="Arial" w:cs="Arial"/>
          <w:bCs/>
          <w:lang w:val="en-US"/>
        </w:rPr>
      </w:pPr>
      <w:proofErr w:type="spellStart"/>
      <w:r w:rsidRPr="001F1D25">
        <w:rPr>
          <w:rFonts w:ascii="Arial" w:hAnsi="Arial" w:cs="Arial"/>
          <w:bCs/>
          <w:lang w:val="en-US"/>
        </w:rPr>
        <w:t>Kieso</w:t>
      </w:r>
      <w:proofErr w:type="spellEnd"/>
      <w:r w:rsidRPr="001F1D25">
        <w:rPr>
          <w:rFonts w:ascii="Arial" w:hAnsi="Arial" w:cs="Arial"/>
          <w:bCs/>
          <w:lang w:val="en-US"/>
        </w:rPr>
        <w:t>, D.E., Weygandt, J.J. and Warfield, T.D. (2016) </w:t>
      </w:r>
      <w:r w:rsidRPr="001F1D25">
        <w:rPr>
          <w:rFonts w:ascii="Arial" w:hAnsi="Arial" w:cs="Arial"/>
          <w:bCs/>
          <w:i/>
          <w:iCs/>
          <w:lang w:val="en-US"/>
        </w:rPr>
        <w:t>Intermediate accounting</w:t>
      </w:r>
      <w:r w:rsidRPr="001F1D25">
        <w:rPr>
          <w:rFonts w:ascii="Arial" w:hAnsi="Arial" w:cs="Arial"/>
          <w:bCs/>
          <w:lang w:val="en-US"/>
        </w:rPr>
        <w:t>. New Jersey: John Wiley &amp; Sons.</w:t>
      </w:r>
    </w:p>
    <w:p w14:paraId="1D3DE6F7"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Kumar, S.V. (2019) </w:t>
      </w:r>
      <w:r w:rsidRPr="001F1D25">
        <w:rPr>
          <w:rFonts w:ascii="Arial" w:hAnsi="Arial" w:cs="Arial"/>
          <w:bCs/>
          <w:i/>
          <w:iCs/>
          <w:lang w:val="en-US"/>
        </w:rPr>
        <w:t>Financial Management Problems and Solutions</w:t>
      </w:r>
      <w:r w:rsidRPr="001F1D25">
        <w:rPr>
          <w:rFonts w:ascii="Arial" w:hAnsi="Arial" w:cs="Arial"/>
          <w:bCs/>
          <w:lang w:val="en-US"/>
        </w:rPr>
        <w:t>. ND: V Publishing.</w:t>
      </w:r>
    </w:p>
    <w:p w14:paraId="6AD25AC9"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Mahmoud, A. (2023) ‘Investment Appraisal Simplified-a Tutorial’, </w:t>
      </w:r>
      <w:r w:rsidRPr="001F1D25">
        <w:rPr>
          <w:rFonts w:ascii="Arial" w:hAnsi="Arial" w:cs="Arial"/>
          <w:bCs/>
          <w:i/>
          <w:iCs/>
          <w:lang w:val="en-US"/>
        </w:rPr>
        <w:t>Arden University</w:t>
      </w:r>
      <w:r w:rsidRPr="001F1D25">
        <w:rPr>
          <w:rFonts w:ascii="Arial" w:hAnsi="Arial" w:cs="Arial"/>
          <w:bCs/>
          <w:lang w:val="en-US"/>
        </w:rPr>
        <w:t>, pp. 1-5. Available at: DOI:10.13140/RG.2.2.34638.13125</w:t>
      </w:r>
    </w:p>
    <w:p w14:paraId="22F1AEAF" w14:textId="77777777" w:rsidR="001F1D25" w:rsidRPr="001F1D25" w:rsidRDefault="001F1D25" w:rsidP="001F1D25">
      <w:pPr>
        <w:jc w:val="center"/>
        <w:rPr>
          <w:rFonts w:ascii="Arial" w:hAnsi="Arial" w:cs="Arial"/>
          <w:bCs/>
          <w:lang w:val="en-US"/>
        </w:rPr>
      </w:pPr>
      <w:proofErr w:type="spellStart"/>
      <w:r w:rsidRPr="001F1D25">
        <w:rPr>
          <w:rFonts w:ascii="Arial" w:hAnsi="Arial" w:cs="Arial"/>
          <w:bCs/>
          <w:lang w:val="en-US"/>
        </w:rPr>
        <w:t>Megaladevi</w:t>
      </w:r>
      <w:proofErr w:type="spellEnd"/>
      <w:r w:rsidRPr="001F1D25">
        <w:rPr>
          <w:rFonts w:ascii="Arial" w:hAnsi="Arial" w:cs="Arial"/>
          <w:bCs/>
          <w:lang w:val="en-US"/>
        </w:rPr>
        <w:t>, P., Shanthi, S. and Merlin, S. (2021) </w:t>
      </w:r>
      <w:r w:rsidRPr="001F1D25">
        <w:rPr>
          <w:rFonts w:ascii="Arial" w:hAnsi="Arial" w:cs="Arial"/>
          <w:bCs/>
          <w:i/>
          <w:iCs/>
          <w:lang w:val="en-US"/>
        </w:rPr>
        <w:t xml:space="preserve">Accounting </w:t>
      </w:r>
      <w:proofErr w:type="gramStart"/>
      <w:r w:rsidRPr="001F1D25">
        <w:rPr>
          <w:rFonts w:ascii="Arial" w:hAnsi="Arial" w:cs="Arial"/>
          <w:bCs/>
          <w:i/>
          <w:iCs/>
          <w:lang w:val="en-US"/>
        </w:rPr>
        <w:t>For</w:t>
      </w:r>
      <w:proofErr w:type="gramEnd"/>
      <w:r w:rsidRPr="001F1D25">
        <w:rPr>
          <w:rFonts w:ascii="Arial" w:hAnsi="Arial" w:cs="Arial"/>
          <w:bCs/>
          <w:i/>
          <w:iCs/>
          <w:lang w:val="en-US"/>
        </w:rPr>
        <w:t xml:space="preserve"> Decision Making: e-Book for MBA 1st Semester of Anna University. </w:t>
      </w:r>
      <w:r w:rsidRPr="001F1D25">
        <w:rPr>
          <w:rFonts w:ascii="Arial" w:hAnsi="Arial" w:cs="Arial"/>
          <w:bCs/>
          <w:lang w:val="en-US"/>
        </w:rPr>
        <w:t>Chennai: Thakur Publication Private Limited.</w:t>
      </w:r>
    </w:p>
    <w:p w14:paraId="2CC72526" w14:textId="77777777" w:rsidR="001F1D25" w:rsidRPr="001F1D25" w:rsidRDefault="001F1D25" w:rsidP="001F1D25">
      <w:pPr>
        <w:jc w:val="center"/>
        <w:rPr>
          <w:rFonts w:ascii="Arial" w:hAnsi="Arial" w:cs="Arial"/>
          <w:bCs/>
          <w:lang w:val="en-US"/>
        </w:rPr>
      </w:pPr>
      <w:r w:rsidRPr="001F1D25">
        <w:rPr>
          <w:rFonts w:ascii="Arial" w:hAnsi="Arial" w:cs="Arial"/>
          <w:bCs/>
          <w:lang w:val="en-US"/>
        </w:rPr>
        <w:t>Negrão, C.S.V., Maia, I.G.P. and Brito, J.A.F. (2023) </w:t>
      </w:r>
      <w:r w:rsidRPr="001F1D25">
        <w:rPr>
          <w:rFonts w:ascii="Arial" w:hAnsi="Arial" w:cs="Arial"/>
          <w:bCs/>
          <w:i/>
          <w:iCs/>
          <w:lang w:val="en-US"/>
        </w:rPr>
        <w:t>Multidisciplinary Approaches to Organizational Governance during Health Crises</w:t>
      </w:r>
      <w:r w:rsidRPr="001F1D25">
        <w:rPr>
          <w:rFonts w:ascii="Arial" w:hAnsi="Arial" w:cs="Arial"/>
          <w:bCs/>
          <w:lang w:val="en-US"/>
        </w:rPr>
        <w:t>. Pennsylvania: IGI Global.</w:t>
      </w:r>
    </w:p>
    <w:p w14:paraId="6EE8F7C5" w14:textId="77777777" w:rsidR="001F1D25" w:rsidRPr="001F1D25" w:rsidRDefault="001F1D25" w:rsidP="001F1D25">
      <w:pPr>
        <w:jc w:val="center"/>
        <w:rPr>
          <w:rFonts w:ascii="Arial" w:hAnsi="Arial" w:cs="Arial"/>
          <w:bCs/>
          <w:lang w:val="en-US"/>
        </w:rPr>
      </w:pPr>
      <w:r w:rsidRPr="001F1D25">
        <w:rPr>
          <w:rFonts w:ascii="Arial" w:hAnsi="Arial" w:cs="Arial"/>
          <w:bCs/>
          <w:lang w:val="en-US"/>
        </w:rPr>
        <w:lastRenderedPageBreak/>
        <w:t>Ochieng, E., Price, A. and Moore, D. (2017) </w:t>
      </w:r>
      <w:r w:rsidRPr="001F1D25">
        <w:rPr>
          <w:rFonts w:ascii="Arial" w:hAnsi="Arial" w:cs="Arial"/>
          <w:bCs/>
          <w:i/>
          <w:iCs/>
          <w:lang w:val="en-US"/>
        </w:rPr>
        <w:t>Major infrastructure projects: Planning for delivery</w:t>
      </w:r>
      <w:r w:rsidRPr="001F1D25">
        <w:rPr>
          <w:rFonts w:ascii="Arial" w:hAnsi="Arial" w:cs="Arial"/>
          <w:bCs/>
          <w:lang w:val="en-US"/>
        </w:rPr>
        <w:t>. London: Bloomsbury Publishing.</w:t>
      </w:r>
    </w:p>
    <w:p w14:paraId="7A764004"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Ramya, S. and Sumathi, K. (2023) </w:t>
      </w:r>
      <w:r w:rsidRPr="001F1D25">
        <w:rPr>
          <w:rFonts w:ascii="Arial" w:hAnsi="Arial" w:cs="Arial"/>
          <w:bCs/>
          <w:i/>
          <w:iCs/>
          <w:lang w:val="en-US"/>
        </w:rPr>
        <w:t xml:space="preserve">Financial management- Theory and Practice. </w:t>
      </w:r>
      <w:r w:rsidRPr="001F1D25">
        <w:rPr>
          <w:rFonts w:ascii="Arial" w:hAnsi="Arial" w:cs="Arial"/>
          <w:bCs/>
          <w:lang w:val="en-US"/>
        </w:rPr>
        <w:t>ND: SK Research Group.</w:t>
      </w:r>
    </w:p>
    <w:p w14:paraId="2582D89C" w14:textId="77777777" w:rsidR="001F1D25" w:rsidRPr="001F1D25" w:rsidRDefault="001F1D25" w:rsidP="001F1D25">
      <w:pPr>
        <w:jc w:val="center"/>
        <w:rPr>
          <w:rFonts w:ascii="Arial" w:hAnsi="Arial" w:cs="Arial"/>
          <w:bCs/>
          <w:lang w:val="en-US"/>
        </w:rPr>
      </w:pPr>
      <w:r w:rsidRPr="001F1D25">
        <w:rPr>
          <w:rFonts w:ascii="Arial" w:hAnsi="Arial" w:cs="Arial"/>
          <w:bCs/>
          <w:lang w:val="en-US"/>
        </w:rPr>
        <w:t>Ranaldo, A. (2023) Foreign exchange swaps and cross-currency swaps. In </w:t>
      </w:r>
      <w:r w:rsidRPr="001F1D25">
        <w:rPr>
          <w:rFonts w:ascii="Arial" w:hAnsi="Arial" w:cs="Arial"/>
          <w:bCs/>
          <w:i/>
          <w:iCs/>
          <w:lang w:val="en-US"/>
        </w:rPr>
        <w:t>Research Handbook of Financial Markets</w:t>
      </w:r>
      <w:r w:rsidRPr="001F1D25">
        <w:rPr>
          <w:rFonts w:ascii="Arial" w:hAnsi="Arial" w:cs="Arial"/>
          <w:bCs/>
          <w:lang w:val="en-US"/>
        </w:rPr>
        <w:t xml:space="preserve"> (pp. 451-469). Edward Elgar Publishing. </w:t>
      </w:r>
    </w:p>
    <w:p w14:paraId="27BC9597"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Rashid, F., Khan, R.A. and Qureshi, I.H. (2023) ‘A comprehensive review of the </w:t>
      </w:r>
      <w:proofErr w:type="spellStart"/>
      <w:r w:rsidRPr="001F1D25">
        <w:rPr>
          <w:rFonts w:ascii="Arial" w:hAnsi="Arial" w:cs="Arial"/>
          <w:bCs/>
          <w:lang w:val="en-US"/>
        </w:rPr>
        <w:t>altman</w:t>
      </w:r>
      <w:proofErr w:type="spellEnd"/>
      <w:r w:rsidRPr="001F1D25">
        <w:rPr>
          <w:rFonts w:ascii="Arial" w:hAnsi="Arial" w:cs="Arial"/>
          <w:bCs/>
          <w:lang w:val="en-US"/>
        </w:rPr>
        <w:t xml:space="preserve"> z-score model across industries’, </w:t>
      </w:r>
      <w:r w:rsidRPr="001F1D25">
        <w:rPr>
          <w:rFonts w:ascii="Arial" w:hAnsi="Arial" w:cs="Arial"/>
          <w:bCs/>
          <w:i/>
          <w:iCs/>
          <w:lang w:val="en-US"/>
        </w:rPr>
        <w:t>The Business Review</w:t>
      </w:r>
      <w:r w:rsidRPr="001F1D25">
        <w:rPr>
          <w:rFonts w:ascii="Arial" w:hAnsi="Arial" w:cs="Arial"/>
          <w:bCs/>
          <w:lang w:val="en-US"/>
        </w:rPr>
        <w:t>, 27(2), pp. 35-42. Available at: https://papers.ssrn.com/sol3/Delivery.cfm/5044057.pdf?abstractid=5044057</w:t>
      </w:r>
    </w:p>
    <w:p w14:paraId="08C38F2F"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Street. (2022) </w:t>
      </w:r>
      <w:r w:rsidRPr="001F1D25">
        <w:rPr>
          <w:rFonts w:ascii="Arial" w:hAnsi="Arial" w:cs="Arial"/>
          <w:bCs/>
          <w:i/>
          <w:iCs/>
          <w:lang w:val="en-US"/>
        </w:rPr>
        <w:t>Altman Z-Score</w:t>
      </w:r>
      <w:r w:rsidRPr="001F1D25">
        <w:rPr>
          <w:rFonts w:ascii="Arial" w:hAnsi="Arial" w:cs="Arial"/>
          <w:bCs/>
          <w:lang w:val="en-US"/>
        </w:rPr>
        <w:t xml:space="preserve">. Available at: </w:t>
      </w:r>
      <w:hyperlink r:id="rId42" w:history="1">
        <w:r w:rsidRPr="001F1D25">
          <w:rPr>
            <w:rStyle w:val="Hyperlink"/>
            <w:rFonts w:ascii="Arial" w:hAnsi="Arial" w:cs="Arial"/>
            <w:bCs/>
            <w:lang w:val="en-US"/>
          </w:rPr>
          <w:t>https://www.wallstreetprep.com/knowledge/altman-z-score/</w:t>
        </w:r>
      </w:hyperlink>
      <w:r w:rsidRPr="001F1D25">
        <w:rPr>
          <w:rFonts w:ascii="Arial" w:hAnsi="Arial" w:cs="Arial"/>
          <w:bCs/>
          <w:lang w:val="en-US"/>
        </w:rPr>
        <w:t xml:space="preserve"> (Accessed: 17 December 2025).</w:t>
      </w:r>
    </w:p>
    <w:p w14:paraId="5158C2EF"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Trejo-Pech, C. J., </w:t>
      </w:r>
      <w:proofErr w:type="gramStart"/>
      <w:r w:rsidRPr="001F1D25">
        <w:rPr>
          <w:rFonts w:ascii="Arial" w:hAnsi="Arial" w:cs="Arial"/>
          <w:bCs/>
          <w:lang w:val="en-US"/>
        </w:rPr>
        <w:t>and  White</w:t>
      </w:r>
      <w:proofErr w:type="gramEnd"/>
      <w:r w:rsidRPr="001F1D25">
        <w:rPr>
          <w:rFonts w:ascii="Arial" w:hAnsi="Arial" w:cs="Arial"/>
          <w:bCs/>
          <w:lang w:val="en-US"/>
        </w:rPr>
        <w:t xml:space="preserve">, S. (2021) ‘Why no debt? The capital structure of Cal-Maine Foods Inc’. Available at: </w:t>
      </w:r>
      <w:hyperlink r:id="rId43" w:history="1">
        <w:r w:rsidRPr="001F1D25">
          <w:rPr>
            <w:rStyle w:val="Hyperlink"/>
            <w:rFonts w:ascii="Arial" w:hAnsi="Arial" w:cs="Arial"/>
            <w:bCs/>
            <w:lang w:val="en-US"/>
          </w:rPr>
          <w:t>https://ageconsearch.umn.edu/record/313135/files/Final%20AAEA%20Conference%20Meeting%20Cal%20Maine%20Debt.pdf</w:t>
        </w:r>
      </w:hyperlink>
      <w:r w:rsidRPr="001F1D25">
        <w:rPr>
          <w:rFonts w:ascii="Arial" w:hAnsi="Arial" w:cs="Arial"/>
          <w:bCs/>
          <w:lang w:val="en-US"/>
        </w:rPr>
        <w:t xml:space="preserve"> (Accessed: 17 December 2025).</w:t>
      </w:r>
    </w:p>
    <w:p w14:paraId="553B21E4" w14:textId="77777777" w:rsidR="001F1D25" w:rsidRPr="001F1D25" w:rsidRDefault="001F1D25" w:rsidP="001F1D25">
      <w:pPr>
        <w:jc w:val="center"/>
        <w:rPr>
          <w:rFonts w:ascii="Arial" w:hAnsi="Arial" w:cs="Arial"/>
          <w:bCs/>
          <w:lang w:val="en-US"/>
        </w:rPr>
      </w:pPr>
      <w:proofErr w:type="spellStart"/>
      <w:r w:rsidRPr="001F1D25">
        <w:rPr>
          <w:rFonts w:ascii="Arial" w:hAnsi="Arial" w:cs="Arial"/>
          <w:bCs/>
          <w:lang w:val="en-US"/>
        </w:rPr>
        <w:t>Zhuyun</w:t>
      </w:r>
      <w:proofErr w:type="spellEnd"/>
      <w:r w:rsidRPr="001F1D25">
        <w:rPr>
          <w:rFonts w:ascii="Arial" w:hAnsi="Arial" w:cs="Arial"/>
          <w:bCs/>
          <w:lang w:val="en-US"/>
        </w:rPr>
        <w:t xml:space="preserve">, L. I. U., </w:t>
      </w:r>
      <w:proofErr w:type="gramStart"/>
      <w:r w:rsidRPr="001F1D25">
        <w:rPr>
          <w:rFonts w:ascii="Arial" w:hAnsi="Arial" w:cs="Arial"/>
          <w:bCs/>
          <w:lang w:val="en-US"/>
        </w:rPr>
        <w:t>and  Zhong</w:t>
      </w:r>
      <w:proofErr w:type="gramEnd"/>
      <w:r w:rsidRPr="001F1D25">
        <w:rPr>
          <w:rFonts w:ascii="Arial" w:hAnsi="Arial" w:cs="Arial"/>
          <w:bCs/>
          <w:lang w:val="en-US"/>
        </w:rPr>
        <w:t xml:space="preserve">, M. (n.d.) </w:t>
      </w:r>
      <w:proofErr w:type="gramStart"/>
      <w:r w:rsidRPr="001F1D25">
        <w:rPr>
          <w:rFonts w:ascii="Arial" w:hAnsi="Arial" w:cs="Arial"/>
          <w:bCs/>
          <w:i/>
          <w:iCs/>
          <w:lang w:val="en-US"/>
        </w:rPr>
        <w:t>A</w:t>
      </w:r>
      <w:proofErr w:type="gramEnd"/>
      <w:r w:rsidRPr="001F1D25">
        <w:rPr>
          <w:rFonts w:ascii="Arial" w:hAnsi="Arial" w:cs="Arial"/>
          <w:bCs/>
          <w:i/>
          <w:iCs/>
          <w:lang w:val="en-US"/>
        </w:rPr>
        <w:t xml:space="preserve"> Analysis of the Implementation Effect of the New Round of Market-based Debt-to-Equity Swaps―Case Study Based on CREC</w:t>
      </w:r>
      <w:r w:rsidRPr="001F1D25">
        <w:rPr>
          <w:rFonts w:ascii="Arial" w:hAnsi="Arial" w:cs="Arial"/>
          <w:bCs/>
          <w:lang w:val="en-US"/>
        </w:rPr>
        <w:t xml:space="preserve">. Available at: </w:t>
      </w:r>
      <w:hyperlink r:id="rId44" w:history="1">
        <w:r w:rsidRPr="001F1D25">
          <w:rPr>
            <w:rStyle w:val="Hyperlink"/>
            <w:rFonts w:ascii="Arial" w:hAnsi="Arial" w:cs="Arial"/>
            <w:bCs/>
            <w:lang w:val="en-US"/>
          </w:rPr>
          <w:t>https://www.researchgate.net/profile/Zhuyun-Liu-3/publication/348575954_Analysis_of_the_Implementation_Effect_of_the_New_Round_of_Market-based_Debt-to-Equity_Swaps_-Case_Study_Based_on_CREC/links/6005a8a945851553a053a233/Analysis-of-the-Implementation-Effect-of-the-New-Round-of-Market-based-Debt-to-Equity-Swaps-Case-Study-Based-on-CREC.pdf</w:t>
        </w:r>
      </w:hyperlink>
      <w:r w:rsidRPr="001F1D25">
        <w:rPr>
          <w:rFonts w:ascii="Arial" w:hAnsi="Arial" w:cs="Arial"/>
          <w:bCs/>
          <w:lang w:val="en-US"/>
        </w:rPr>
        <w:t xml:space="preserve"> (Accessed: 17 December 2025).</w:t>
      </w:r>
      <w:r w:rsidRPr="001F1D25">
        <w:rPr>
          <w:rFonts w:ascii="Arial" w:hAnsi="Arial" w:cs="Arial"/>
          <w:bCs/>
          <w:lang w:val="en-US"/>
        </w:rPr>
        <w:br w:type="page"/>
      </w:r>
    </w:p>
    <w:p w14:paraId="58900437" w14:textId="77777777" w:rsidR="001F1D25" w:rsidRPr="001F1D25" w:rsidRDefault="001F1D25" w:rsidP="001F1D25">
      <w:pPr>
        <w:jc w:val="center"/>
        <w:rPr>
          <w:rFonts w:ascii="Arial" w:hAnsi="Arial" w:cs="Arial"/>
          <w:b/>
          <w:bCs/>
          <w:lang w:val="en-US"/>
        </w:rPr>
      </w:pPr>
      <w:bookmarkStart w:id="15" w:name="_Toc1105194213"/>
      <w:r w:rsidRPr="001F1D25">
        <w:rPr>
          <w:rFonts w:ascii="Arial" w:hAnsi="Arial" w:cs="Arial"/>
          <w:b/>
          <w:bCs/>
          <w:lang w:val="en-US"/>
        </w:rPr>
        <w:lastRenderedPageBreak/>
        <w:t>Appendices</w:t>
      </w:r>
      <w:bookmarkEnd w:id="15"/>
    </w:p>
    <w:p w14:paraId="27FE8A66" w14:textId="77777777" w:rsidR="001F1D25" w:rsidRPr="001F1D25" w:rsidRDefault="001F1D25" w:rsidP="001F1D25">
      <w:pPr>
        <w:jc w:val="center"/>
        <w:rPr>
          <w:rFonts w:ascii="Arial" w:hAnsi="Arial" w:cs="Arial"/>
          <w:bCs/>
          <w:lang w:val="en-US"/>
        </w:rPr>
      </w:pPr>
      <w:r w:rsidRPr="001F1D25">
        <w:rPr>
          <w:rFonts w:ascii="Arial" w:hAnsi="Arial" w:cs="Arial"/>
          <w:bCs/>
          <w:lang w:val="en-US"/>
        </w:rPr>
        <w:t>1.</w:t>
      </w:r>
    </w:p>
    <w:tbl>
      <w:tblPr>
        <w:tblW w:w="5000" w:type="pct"/>
        <w:tblLook w:val="04A0" w:firstRow="1" w:lastRow="0" w:firstColumn="1" w:lastColumn="0" w:noHBand="0" w:noVBand="1"/>
      </w:tblPr>
      <w:tblGrid>
        <w:gridCol w:w="3960"/>
        <w:gridCol w:w="1002"/>
        <w:gridCol w:w="1002"/>
        <w:gridCol w:w="1002"/>
        <w:gridCol w:w="1025"/>
        <w:gridCol w:w="1025"/>
      </w:tblGrid>
      <w:tr w:rsidR="001F1D25" w:rsidRPr="001F1D25" w14:paraId="665E82D5" w14:textId="77777777">
        <w:trPr>
          <w:trHeight w:val="336"/>
        </w:trPr>
        <w:tc>
          <w:tcPr>
            <w:tcW w:w="5000" w:type="pct"/>
            <w:gridSpan w:val="6"/>
            <w:tcBorders>
              <w:top w:val="single" w:sz="4" w:space="0" w:color="000000"/>
              <w:left w:val="single" w:sz="4" w:space="0" w:color="000000"/>
              <w:bottom w:val="single" w:sz="4" w:space="0" w:color="000000"/>
              <w:right w:val="single" w:sz="4" w:space="0" w:color="000000"/>
            </w:tcBorders>
            <w:noWrap/>
            <w:vAlign w:val="center"/>
            <w:hideMark/>
          </w:tcPr>
          <w:p w14:paraId="6B102B6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Calculation of Ratios</w:t>
            </w:r>
          </w:p>
        </w:tc>
      </w:tr>
      <w:tr w:rsidR="001F1D25" w:rsidRPr="001F1D25" w14:paraId="46CC9D7E"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52CE130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Profitability Ratios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6BBB6E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A637AFB"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571AD3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2022</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350F4CD5"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2023</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27035B27"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2024</w:t>
            </w:r>
          </w:p>
        </w:tc>
      </w:tr>
      <w:tr w:rsidR="001F1D25" w:rsidRPr="001F1D25" w14:paraId="36DE136D"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32C2B8B3" w14:textId="77777777" w:rsidR="001F1D25" w:rsidRPr="001F1D25" w:rsidRDefault="001F1D25" w:rsidP="001F1D25">
            <w:pPr>
              <w:jc w:val="center"/>
              <w:rPr>
                <w:rFonts w:ascii="Arial" w:hAnsi="Arial" w:cs="Arial"/>
                <w:bCs/>
                <w:lang w:val="en-US"/>
              </w:rPr>
            </w:pPr>
            <w:r w:rsidRPr="001F1D25">
              <w:rPr>
                <w:rFonts w:ascii="Arial" w:hAnsi="Arial" w:cs="Arial"/>
                <w:bCs/>
                <w:lang w:val="en-US"/>
              </w:rPr>
              <w:t>Gross profit</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73348144" w14:textId="77777777" w:rsidR="001F1D25" w:rsidRPr="001F1D25" w:rsidRDefault="001F1D25" w:rsidP="001F1D25">
            <w:pPr>
              <w:jc w:val="center"/>
              <w:rPr>
                <w:rFonts w:ascii="Arial" w:hAnsi="Arial" w:cs="Arial"/>
                <w:bCs/>
                <w:lang w:val="en-US"/>
              </w:rPr>
            </w:pPr>
            <w:r w:rsidRPr="001F1D25">
              <w:rPr>
                <w:rFonts w:ascii="Arial" w:hAnsi="Arial" w:cs="Arial"/>
                <w:bCs/>
                <w:lang w:val="en-US"/>
              </w:rPr>
              <w:t>176,256</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40501087" w14:textId="77777777" w:rsidR="001F1D25" w:rsidRPr="001F1D25" w:rsidRDefault="001F1D25" w:rsidP="001F1D25">
            <w:pPr>
              <w:jc w:val="center"/>
              <w:rPr>
                <w:rFonts w:ascii="Arial" w:hAnsi="Arial" w:cs="Arial"/>
                <w:bCs/>
                <w:lang w:val="en-US"/>
              </w:rPr>
            </w:pPr>
            <w:r w:rsidRPr="001F1D25">
              <w:rPr>
                <w:rFonts w:ascii="Arial" w:hAnsi="Arial" w:cs="Arial"/>
                <w:bCs/>
                <w:lang w:val="en-US"/>
              </w:rPr>
              <w:t>173,016</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5A96EA93" w14:textId="77777777" w:rsidR="001F1D25" w:rsidRPr="001F1D25" w:rsidRDefault="001F1D25" w:rsidP="001F1D25">
            <w:pPr>
              <w:jc w:val="center"/>
              <w:rPr>
                <w:rFonts w:ascii="Arial" w:hAnsi="Arial" w:cs="Arial"/>
                <w:bCs/>
                <w:lang w:val="en-US"/>
              </w:rPr>
            </w:pPr>
            <w:r w:rsidRPr="001F1D25">
              <w:rPr>
                <w:rFonts w:ascii="Arial" w:hAnsi="Arial" w:cs="Arial"/>
                <w:bCs/>
                <w:lang w:val="en-US"/>
              </w:rPr>
              <w:t>152,292</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6AB1F9F1" w14:textId="77777777" w:rsidR="001F1D25" w:rsidRPr="001F1D25" w:rsidRDefault="001F1D25" w:rsidP="001F1D25">
            <w:pPr>
              <w:jc w:val="center"/>
              <w:rPr>
                <w:rFonts w:ascii="Arial" w:hAnsi="Arial" w:cs="Arial"/>
                <w:bCs/>
                <w:lang w:val="en-US"/>
              </w:rPr>
            </w:pPr>
            <w:r w:rsidRPr="001F1D25">
              <w:rPr>
                <w:rFonts w:ascii="Arial" w:hAnsi="Arial" w:cs="Arial"/>
                <w:bCs/>
                <w:lang w:val="en-US"/>
              </w:rPr>
              <w:t>97,560</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48CE8C02" w14:textId="77777777" w:rsidR="001F1D25" w:rsidRPr="001F1D25" w:rsidRDefault="001F1D25" w:rsidP="001F1D25">
            <w:pPr>
              <w:jc w:val="center"/>
              <w:rPr>
                <w:rFonts w:ascii="Arial" w:hAnsi="Arial" w:cs="Arial"/>
                <w:bCs/>
                <w:lang w:val="en-US"/>
              </w:rPr>
            </w:pPr>
            <w:r w:rsidRPr="001F1D25">
              <w:rPr>
                <w:rFonts w:ascii="Arial" w:hAnsi="Arial" w:cs="Arial"/>
                <w:bCs/>
                <w:lang w:val="en-US"/>
              </w:rPr>
              <w:t>113,994</w:t>
            </w:r>
          </w:p>
        </w:tc>
      </w:tr>
      <w:tr w:rsidR="001F1D25" w:rsidRPr="001F1D25" w14:paraId="566CAD6D"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009C0941" w14:textId="77777777" w:rsidR="001F1D25" w:rsidRPr="001F1D25" w:rsidRDefault="001F1D25" w:rsidP="001F1D25">
            <w:pPr>
              <w:jc w:val="center"/>
              <w:rPr>
                <w:rFonts w:ascii="Arial" w:hAnsi="Arial" w:cs="Arial"/>
                <w:bCs/>
                <w:lang w:val="en-US"/>
              </w:rPr>
            </w:pPr>
            <w:r w:rsidRPr="001F1D25">
              <w:rPr>
                <w:rFonts w:ascii="Arial" w:hAnsi="Arial" w:cs="Arial"/>
                <w:bCs/>
                <w:lang w:val="en-US"/>
              </w:rPr>
              <w:t>Sales</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7D1BAF1E" w14:textId="77777777" w:rsidR="001F1D25" w:rsidRPr="001F1D25" w:rsidRDefault="001F1D25" w:rsidP="001F1D25">
            <w:pPr>
              <w:jc w:val="center"/>
              <w:rPr>
                <w:rFonts w:ascii="Arial" w:hAnsi="Arial" w:cs="Arial"/>
                <w:bCs/>
                <w:lang w:val="en-US"/>
              </w:rPr>
            </w:pPr>
            <w:r w:rsidRPr="001F1D25">
              <w:rPr>
                <w:rFonts w:ascii="Arial" w:hAnsi="Arial" w:cs="Arial"/>
                <w:bCs/>
                <w:lang w:val="en-US"/>
              </w:rPr>
              <w:t>614,680</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2A1A0E0F" w14:textId="77777777" w:rsidR="001F1D25" w:rsidRPr="001F1D25" w:rsidRDefault="001F1D25" w:rsidP="001F1D25">
            <w:pPr>
              <w:jc w:val="center"/>
              <w:rPr>
                <w:rFonts w:ascii="Arial" w:hAnsi="Arial" w:cs="Arial"/>
                <w:bCs/>
                <w:lang w:val="en-US"/>
              </w:rPr>
            </w:pPr>
            <w:r w:rsidRPr="001F1D25">
              <w:rPr>
                <w:rFonts w:ascii="Arial" w:hAnsi="Arial" w:cs="Arial"/>
                <w:bCs/>
                <w:lang w:val="en-US"/>
              </w:rPr>
              <w:t>601,602</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449A13B7" w14:textId="77777777" w:rsidR="001F1D25" w:rsidRPr="001F1D25" w:rsidRDefault="001F1D25" w:rsidP="001F1D25">
            <w:pPr>
              <w:jc w:val="center"/>
              <w:rPr>
                <w:rFonts w:ascii="Arial" w:hAnsi="Arial" w:cs="Arial"/>
                <w:bCs/>
                <w:lang w:val="en-US"/>
              </w:rPr>
            </w:pPr>
            <w:r w:rsidRPr="001F1D25">
              <w:rPr>
                <w:rFonts w:ascii="Arial" w:hAnsi="Arial" w:cs="Arial"/>
                <w:bCs/>
                <w:lang w:val="en-US"/>
              </w:rPr>
              <w:t>542,751</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65F32B25" w14:textId="77777777" w:rsidR="001F1D25" w:rsidRPr="001F1D25" w:rsidRDefault="001F1D25" w:rsidP="001F1D25">
            <w:pPr>
              <w:jc w:val="center"/>
              <w:rPr>
                <w:rFonts w:ascii="Arial" w:hAnsi="Arial" w:cs="Arial"/>
                <w:bCs/>
                <w:lang w:val="en-US"/>
              </w:rPr>
            </w:pPr>
            <w:r w:rsidRPr="001F1D25">
              <w:rPr>
                <w:rFonts w:ascii="Arial" w:hAnsi="Arial" w:cs="Arial"/>
                <w:bCs/>
                <w:lang w:val="en-US"/>
              </w:rPr>
              <w:t>420,457</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3CCB1836" w14:textId="77777777" w:rsidR="001F1D25" w:rsidRPr="001F1D25" w:rsidRDefault="001F1D25" w:rsidP="001F1D25">
            <w:pPr>
              <w:jc w:val="center"/>
              <w:rPr>
                <w:rFonts w:ascii="Arial" w:hAnsi="Arial" w:cs="Arial"/>
                <w:bCs/>
                <w:lang w:val="en-US"/>
              </w:rPr>
            </w:pPr>
            <w:r w:rsidRPr="001F1D25">
              <w:rPr>
                <w:rFonts w:ascii="Arial" w:hAnsi="Arial" w:cs="Arial"/>
                <w:bCs/>
                <w:lang w:val="en-US"/>
              </w:rPr>
              <w:t>394,879</w:t>
            </w:r>
          </w:p>
        </w:tc>
      </w:tr>
      <w:tr w:rsidR="001F1D25" w:rsidRPr="001F1D25" w14:paraId="7E304C21"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2246185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Gross profit ratio </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61FE6F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28.67%</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0EB8DA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28.76%</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7A550D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28.06%</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0C1B7C3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23.20%</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1579D6C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28.87%</w:t>
            </w:r>
          </w:p>
        </w:tc>
      </w:tr>
      <w:tr w:rsidR="001F1D25" w:rsidRPr="001F1D25" w14:paraId="126B539E"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1DE579AA" w14:textId="77777777" w:rsidR="001F1D25" w:rsidRPr="001F1D25" w:rsidRDefault="001F1D25" w:rsidP="001F1D25">
            <w:pPr>
              <w:jc w:val="center"/>
              <w:rPr>
                <w:rFonts w:ascii="Arial" w:hAnsi="Arial" w:cs="Arial"/>
                <w:bCs/>
                <w:lang w:val="en-US"/>
              </w:rPr>
            </w:pPr>
            <w:r w:rsidRPr="001F1D25">
              <w:rPr>
                <w:rFonts w:ascii="Arial" w:hAnsi="Arial" w:cs="Arial"/>
                <w:bCs/>
                <w:lang w:val="en-US"/>
              </w:rPr>
              <w:t>(Gross profit)/sales*100</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077922FD"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4D3FE82D"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27BADCE4"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46B8E8CD"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3EC7CF5F" w14:textId="77777777" w:rsidR="001F1D25" w:rsidRPr="001F1D25" w:rsidRDefault="001F1D25" w:rsidP="001F1D25">
            <w:pPr>
              <w:jc w:val="center"/>
              <w:rPr>
                <w:rFonts w:ascii="Arial" w:hAnsi="Arial" w:cs="Arial"/>
                <w:bCs/>
                <w:lang w:val="en-US"/>
              </w:rPr>
            </w:pPr>
          </w:p>
        </w:tc>
      </w:tr>
      <w:tr w:rsidR="001F1D25" w:rsidRPr="001F1D25" w14:paraId="111F356B"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tcPr>
          <w:p w14:paraId="3A73A1A6"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010D4190"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7498E622"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28C1A8BB"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2872CF0C"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577DD347" w14:textId="77777777" w:rsidR="001F1D25" w:rsidRPr="001F1D25" w:rsidRDefault="001F1D25" w:rsidP="001F1D25">
            <w:pPr>
              <w:jc w:val="center"/>
              <w:rPr>
                <w:rFonts w:ascii="Arial" w:hAnsi="Arial" w:cs="Arial"/>
                <w:bCs/>
                <w:lang w:val="en-US"/>
              </w:rPr>
            </w:pPr>
          </w:p>
        </w:tc>
      </w:tr>
      <w:tr w:rsidR="001F1D25" w:rsidRPr="001F1D25" w14:paraId="552452D7"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5510F8D" w14:textId="77777777" w:rsidR="001F1D25" w:rsidRPr="001F1D25" w:rsidRDefault="001F1D25" w:rsidP="001F1D25">
            <w:pPr>
              <w:jc w:val="center"/>
              <w:rPr>
                <w:rFonts w:ascii="Arial" w:hAnsi="Arial" w:cs="Arial"/>
                <w:bCs/>
                <w:lang w:val="en-US"/>
              </w:rPr>
            </w:pPr>
            <w:r w:rsidRPr="001F1D25">
              <w:rPr>
                <w:rFonts w:ascii="Arial" w:hAnsi="Arial" w:cs="Arial"/>
                <w:bCs/>
                <w:lang w:val="en-US"/>
              </w:rPr>
              <w:t>Net profit</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41CE9194" w14:textId="77777777" w:rsidR="001F1D25" w:rsidRPr="001F1D25" w:rsidRDefault="001F1D25" w:rsidP="001F1D25">
            <w:pPr>
              <w:jc w:val="center"/>
              <w:rPr>
                <w:rFonts w:ascii="Arial" w:hAnsi="Arial" w:cs="Arial"/>
                <w:bCs/>
                <w:lang w:val="en-US"/>
              </w:rPr>
            </w:pPr>
            <w:r w:rsidRPr="001F1D25">
              <w:rPr>
                <w:rFonts w:ascii="Arial" w:hAnsi="Arial" w:cs="Arial"/>
                <w:bCs/>
                <w:lang w:val="en-US"/>
              </w:rPr>
              <w:t>38,572</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2CB3B043" w14:textId="77777777" w:rsidR="001F1D25" w:rsidRPr="001F1D25" w:rsidRDefault="001F1D25" w:rsidP="001F1D25">
            <w:pPr>
              <w:jc w:val="center"/>
              <w:rPr>
                <w:rFonts w:ascii="Arial" w:hAnsi="Arial" w:cs="Arial"/>
                <w:bCs/>
                <w:lang w:val="en-US"/>
              </w:rPr>
            </w:pPr>
            <w:r w:rsidRPr="001F1D25">
              <w:rPr>
                <w:rFonts w:ascii="Arial" w:hAnsi="Arial" w:cs="Arial"/>
                <w:bCs/>
                <w:lang w:val="en-US"/>
              </w:rPr>
              <w:t>5,301</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047DB77C" w14:textId="77777777" w:rsidR="001F1D25" w:rsidRPr="001F1D25" w:rsidRDefault="001F1D25" w:rsidP="001F1D25">
            <w:pPr>
              <w:jc w:val="center"/>
              <w:rPr>
                <w:rFonts w:ascii="Arial" w:hAnsi="Arial" w:cs="Arial"/>
                <w:bCs/>
                <w:lang w:val="en-US"/>
              </w:rPr>
            </w:pPr>
            <w:r w:rsidRPr="001F1D25">
              <w:rPr>
                <w:rFonts w:ascii="Arial" w:hAnsi="Arial" w:cs="Arial"/>
                <w:bCs/>
                <w:lang w:val="en-US"/>
              </w:rPr>
              <w:t>407</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65F4CBEA" w14:textId="77777777" w:rsidR="001F1D25" w:rsidRPr="001F1D25" w:rsidRDefault="001F1D25" w:rsidP="001F1D25">
            <w:pPr>
              <w:jc w:val="center"/>
              <w:rPr>
                <w:rFonts w:ascii="Arial" w:hAnsi="Arial" w:cs="Arial"/>
                <w:bCs/>
                <w:lang w:val="en-US"/>
              </w:rPr>
            </w:pPr>
            <w:r w:rsidRPr="001F1D25">
              <w:rPr>
                <w:rFonts w:ascii="Arial" w:hAnsi="Arial" w:cs="Arial"/>
                <w:bCs/>
                <w:lang w:val="en-US"/>
              </w:rPr>
              <w:t>-98,238</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7B3FAEDD" w14:textId="77777777" w:rsidR="001F1D25" w:rsidRPr="001F1D25" w:rsidRDefault="001F1D25" w:rsidP="001F1D25">
            <w:pPr>
              <w:jc w:val="center"/>
              <w:rPr>
                <w:rFonts w:ascii="Arial" w:hAnsi="Arial" w:cs="Arial"/>
                <w:bCs/>
                <w:lang w:val="en-US"/>
              </w:rPr>
            </w:pPr>
            <w:r w:rsidRPr="001F1D25">
              <w:rPr>
                <w:rFonts w:ascii="Arial" w:hAnsi="Arial" w:cs="Arial"/>
                <w:bCs/>
                <w:lang w:val="en-US"/>
              </w:rPr>
              <w:t>-24,029</w:t>
            </w:r>
          </w:p>
        </w:tc>
      </w:tr>
      <w:tr w:rsidR="001F1D25" w:rsidRPr="001F1D25" w14:paraId="07E0ADC1"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6D8AD400" w14:textId="77777777" w:rsidR="001F1D25" w:rsidRPr="001F1D25" w:rsidRDefault="001F1D25" w:rsidP="001F1D25">
            <w:pPr>
              <w:jc w:val="center"/>
              <w:rPr>
                <w:rFonts w:ascii="Arial" w:hAnsi="Arial" w:cs="Arial"/>
                <w:bCs/>
                <w:lang w:val="en-US"/>
              </w:rPr>
            </w:pPr>
            <w:r w:rsidRPr="001F1D25">
              <w:rPr>
                <w:rFonts w:ascii="Arial" w:hAnsi="Arial" w:cs="Arial"/>
                <w:bCs/>
                <w:lang w:val="en-US"/>
              </w:rPr>
              <w:t>Sales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1F3F24C" w14:textId="77777777" w:rsidR="001F1D25" w:rsidRPr="001F1D25" w:rsidRDefault="001F1D25" w:rsidP="001F1D25">
            <w:pPr>
              <w:jc w:val="center"/>
              <w:rPr>
                <w:rFonts w:ascii="Arial" w:hAnsi="Arial" w:cs="Arial"/>
                <w:bCs/>
                <w:lang w:val="en-US"/>
              </w:rPr>
            </w:pPr>
            <w:r w:rsidRPr="001F1D25">
              <w:rPr>
                <w:rFonts w:ascii="Arial" w:hAnsi="Arial" w:cs="Arial"/>
                <w:bCs/>
                <w:lang w:val="en-US"/>
              </w:rPr>
              <w:t>614,680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6A30F7A" w14:textId="77777777" w:rsidR="001F1D25" w:rsidRPr="001F1D25" w:rsidRDefault="001F1D25" w:rsidP="001F1D25">
            <w:pPr>
              <w:jc w:val="center"/>
              <w:rPr>
                <w:rFonts w:ascii="Arial" w:hAnsi="Arial" w:cs="Arial"/>
                <w:bCs/>
                <w:lang w:val="en-US"/>
              </w:rPr>
            </w:pPr>
            <w:r w:rsidRPr="001F1D25">
              <w:rPr>
                <w:rFonts w:ascii="Arial" w:hAnsi="Arial" w:cs="Arial"/>
                <w:bCs/>
                <w:lang w:val="en-US"/>
              </w:rPr>
              <w:t>601,602</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389561D6" w14:textId="77777777" w:rsidR="001F1D25" w:rsidRPr="001F1D25" w:rsidRDefault="001F1D25" w:rsidP="001F1D25">
            <w:pPr>
              <w:jc w:val="center"/>
              <w:rPr>
                <w:rFonts w:ascii="Arial" w:hAnsi="Arial" w:cs="Arial"/>
                <w:bCs/>
                <w:lang w:val="en-US"/>
              </w:rPr>
            </w:pPr>
            <w:r w:rsidRPr="001F1D25">
              <w:rPr>
                <w:rFonts w:ascii="Arial" w:hAnsi="Arial" w:cs="Arial"/>
                <w:bCs/>
                <w:lang w:val="en-US"/>
              </w:rPr>
              <w:t>542,751</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55D72726" w14:textId="77777777" w:rsidR="001F1D25" w:rsidRPr="001F1D25" w:rsidRDefault="001F1D25" w:rsidP="001F1D25">
            <w:pPr>
              <w:jc w:val="center"/>
              <w:rPr>
                <w:rFonts w:ascii="Arial" w:hAnsi="Arial" w:cs="Arial"/>
                <w:bCs/>
                <w:lang w:val="en-US"/>
              </w:rPr>
            </w:pPr>
            <w:r w:rsidRPr="001F1D25">
              <w:rPr>
                <w:rFonts w:ascii="Arial" w:hAnsi="Arial" w:cs="Arial"/>
                <w:bCs/>
                <w:lang w:val="en-US"/>
              </w:rPr>
              <w:t>420,457</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3A05B43F" w14:textId="77777777" w:rsidR="001F1D25" w:rsidRPr="001F1D25" w:rsidRDefault="001F1D25" w:rsidP="001F1D25">
            <w:pPr>
              <w:jc w:val="center"/>
              <w:rPr>
                <w:rFonts w:ascii="Arial" w:hAnsi="Arial" w:cs="Arial"/>
                <w:bCs/>
                <w:lang w:val="en-US"/>
              </w:rPr>
            </w:pPr>
            <w:r w:rsidRPr="001F1D25">
              <w:rPr>
                <w:rFonts w:ascii="Arial" w:hAnsi="Arial" w:cs="Arial"/>
                <w:bCs/>
                <w:lang w:val="en-US"/>
              </w:rPr>
              <w:t>394,879</w:t>
            </w:r>
          </w:p>
        </w:tc>
      </w:tr>
      <w:tr w:rsidR="001F1D25" w:rsidRPr="001F1D25" w14:paraId="2C7E20AA"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517688E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Net profit ratio</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B6FAE55"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6.28%</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167FE29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0.88%</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324DAC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0.07%</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77E8E96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-23.36%</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3D4F7667"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-6.09%</w:t>
            </w:r>
          </w:p>
        </w:tc>
      </w:tr>
      <w:tr w:rsidR="001F1D25" w:rsidRPr="001F1D25" w14:paraId="5AA429F4"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DB7EC07" w14:textId="77777777" w:rsidR="001F1D25" w:rsidRPr="001F1D25" w:rsidRDefault="001F1D25" w:rsidP="001F1D25">
            <w:pPr>
              <w:jc w:val="center"/>
              <w:rPr>
                <w:rFonts w:ascii="Arial" w:hAnsi="Arial" w:cs="Arial"/>
                <w:bCs/>
                <w:lang w:val="en-US"/>
              </w:rPr>
            </w:pPr>
            <w:r w:rsidRPr="001F1D25">
              <w:rPr>
                <w:rFonts w:ascii="Arial" w:hAnsi="Arial" w:cs="Arial"/>
                <w:bCs/>
                <w:lang w:val="en-US"/>
              </w:rPr>
              <w:t>(Net profit/</w:t>
            </w:r>
            <w:proofErr w:type="gramStart"/>
            <w:r w:rsidRPr="001F1D25">
              <w:rPr>
                <w:rFonts w:ascii="Arial" w:hAnsi="Arial" w:cs="Arial"/>
                <w:bCs/>
                <w:lang w:val="en-US"/>
              </w:rPr>
              <w:t>sales)*</w:t>
            </w:r>
            <w:proofErr w:type="gramEnd"/>
            <w:r w:rsidRPr="001F1D25">
              <w:rPr>
                <w:rFonts w:ascii="Arial" w:hAnsi="Arial" w:cs="Arial"/>
                <w:bCs/>
                <w:lang w:val="en-US"/>
              </w:rPr>
              <w:t>100</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13E6B352"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1479FE20"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2716C0FB"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2EF62F3B"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357EC04D" w14:textId="77777777" w:rsidR="001F1D25" w:rsidRPr="001F1D25" w:rsidRDefault="001F1D25" w:rsidP="001F1D25">
            <w:pPr>
              <w:jc w:val="center"/>
              <w:rPr>
                <w:rFonts w:ascii="Arial" w:hAnsi="Arial" w:cs="Arial"/>
                <w:bCs/>
                <w:lang w:val="en-US"/>
              </w:rPr>
            </w:pPr>
          </w:p>
        </w:tc>
      </w:tr>
      <w:tr w:rsidR="001F1D25" w:rsidRPr="001F1D25" w14:paraId="3379B12A"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tcPr>
          <w:p w14:paraId="66EA69A1"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49E32638"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2A3E1F4B"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2C4337C5"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29BF4AE6"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2AA9143A" w14:textId="77777777" w:rsidR="001F1D25" w:rsidRPr="001F1D25" w:rsidRDefault="001F1D25" w:rsidP="001F1D25">
            <w:pPr>
              <w:jc w:val="center"/>
              <w:rPr>
                <w:rFonts w:ascii="Arial" w:hAnsi="Arial" w:cs="Arial"/>
                <w:bCs/>
                <w:lang w:val="en-US"/>
              </w:rPr>
            </w:pPr>
          </w:p>
        </w:tc>
      </w:tr>
      <w:tr w:rsidR="001F1D25" w:rsidRPr="001F1D25" w14:paraId="07F8E30D"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5E8E65A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Liquidity Ratios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17DED03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59E6EDA7"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B37FC6F"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2022</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7DDBDCD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2023</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76B48FA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2024</w:t>
            </w:r>
          </w:p>
        </w:tc>
      </w:tr>
      <w:tr w:rsidR="001F1D25" w:rsidRPr="001F1D25" w14:paraId="3014557E"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22B1F4B" w14:textId="77777777" w:rsidR="001F1D25" w:rsidRPr="001F1D25" w:rsidRDefault="001F1D25" w:rsidP="001F1D25">
            <w:pPr>
              <w:jc w:val="center"/>
              <w:rPr>
                <w:rFonts w:ascii="Arial" w:hAnsi="Arial" w:cs="Arial"/>
                <w:bCs/>
                <w:lang w:val="en-US"/>
              </w:rPr>
            </w:pPr>
            <w:r w:rsidRPr="001F1D25">
              <w:rPr>
                <w:rFonts w:ascii="Arial" w:hAnsi="Arial" w:cs="Arial"/>
                <w:bCs/>
                <w:lang w:val="en-US"/>
              </w:rPr>
              <w:t>Current assets</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7B5C7B93" w14:textId="77777777" w:rsidR="001F1D25" w:rsidRPr="001F1D25" w:rsidRDefault="001F1D25" w:rsidP="001F1D25">
            <w:pPr>
              <w:jc w:val="center"/>
              <w:rPr>
                <w:rFonts w:ascii="Arial" w:hAnsi="Arial" w:cs="Arial"/>
                <w:bCs/>
                <w:lang w:val="en-US"/>
              </w:rPr>
            </w:pPr>
            <w:r w:rsidRPr="001F1D25">
              <w:rPr>
                <w:rFonts w:ascii="Arial" w:hAnsi="Arial" w:cs="Arial"/>
                <w:bCs/>
                <w:lang w:val="en-US"/>
              </w:rPr>
              <w:t>326,843</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25FDB602" w14:textId="77777777" w:rsidR="001F1D25" w:rsidRPr="001F1D25" w:rsidRDefault="001F1D25" w:rsidP="001F1D25">
            <w:pPr>
              <w:jc w:val="center"/>
              <w:rPr>
                <w:rFonts w:ascii="Arial" w:hAnsi="Arial" w:cs="Arial"/>
                <w:bCs/>
                <w:lang w:val="en-US"/>
              </w:rPr>
            </w:pPr>
            <w:r w:rsidRPr="001F1D25">
              <w:rPr>
                <w:rFonts w:ascii="Arial" w:hAnsi="Arial" w:cs="Arial"/>
                <w:bCs/>
                <w:lang w:val="en-US"/>
              </w:rPr>
              <w:t>337,146</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113C2B18" w14:textId="77777777" w:rsidR="001F1D25" w:rsidRPr="001F1D25" w:rsidRDefault="001F1D25" w:rsidP="001F1D25">
            <w:pPr>
              <w:jc w:val="center"/>
              <w:rPr>
                <w:rFonts w:ascii="Arial" w:hAnsi="Arial" w:cs="Arial"/>
                <w:bCs/>
                <w:lang w:val="en-US"/>
              </w:rPr>
            </w:pPr>
            <w:r w:rsidRPr="001F1D25">
              <w:rPr>
                <w:rFonts w:ascii="Arial" w:hAnsi="Arial" w:cs="Arial"/>
                <w:bCs/>
                <w:lang w:val="en-US"/>
              </w:rPr>
              <w:t>338,040</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4C4DEC51" w14:textId="77777777" w:rsidR="001F1D25" w:rsidRPr="001F1D25" w:rsidRDefault="001F1D25" w:rsidP="001F1D25">
            <w:pPr>
              <w:jc w:val="center"/>
              <w:rPr>
                <w:rFonts w:ascii="Arial" w:hAnsi="Arial" w:cs="Arial"/>
                <w:bCs/>
                <w:lang w:val="en-US"/>
              </w:rPr>
            </w:pPr>
            <w:r w:rsidRPr="001F1D25">
              <w:rPr>
                <w:rFonts w:ascii="Arial" w:hAnsi="Arial" w:cs="Arial"/>
                <w:bCs/>
                <w:lang w:val="en-US"/>
              </w:rPr>
              <w:t>258,851</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646FCCE5" w14:textId="77777777" w:rsidR="001F1D25" w:rsidRPr="001F1D25" w:rsidRDefault="001F1D25" w:rsidP="001F1D25">
            <w:pPr>
              <w:jc w:val="center"/>
              <w:rPr>
                <w:rFonts w:ascii="Arial" w:hAnsi="Arial" w:cs="Arial"/>
                <w:bCs/>
                <w:lang w:val="en-US"/>
              </w:rPr>
            </w:pPr>
            <w:r w:rsidRPr="001F1D25">
              <w:rPr>
                <w:rFonts w:ascii="Arial" w:hAnsi="Arial" w:cs="Arial"/>
                <w:bCs/>
                <w:lang w:val="en-US"/>
              </w:rPr>
              <w:t>242,494</w:t>
            </w:r>
          </w:p>
        </w:tc>
      </w:tr>
      <w:tr w:rsidR="001F1D25" w:rsidRPr="001F1D25" w14:paraId="7056D738"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1720969F" w14:textId="77777777" w:rsidR="001F1D25" w:rsidRPr="001F1D25" w:rsidRDefault="001F1D25" w:rsidP="001F1D25">
            <w:pPr>
              <w:jc w:val="center"/>
              <w:rPr>
                <w:rFonts w:ascii="Arial" w:hAnsi="Arial" w:cs="Arial"/>
                <w:bCs/>
                <w:lang w:val="en-US"/>
              </w:rPr>
            </w:pPr>
            <w:r w:rsidRPr="001F1D25">
              <w:rPr>
                <w:rFonts w:ascii="Arial" w:hAnsi="Arial" w:cs="Arial"/>
                <w:bCs/>
                <w:lang w:val="en-US"/>
              </w:rPr>
              <w:t>Current liabilities</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583F0F0D" w14:textId="77777777" w:rsidR="001F1D25" w:rsidRPr="001F1D25" w:rsidRDefault="001F1D25" w:rsidP="001F1D25">
            <w:pPr>
              <w:jc w:val="center"/>
              <w:rPr>
                <w:rFonts w:ascii="Arial" w:hAnsi="Arial" w:cs="Arial"/>
                <w:bCs/>
                <w:lang w:val="en-US"/>
              </w:rPr>
            </w:pPr>
            <w:r w:rsidRPr="001F1D25">
              <w:rPr>
                <w:rFonts w:ascii="Arial" w:hAnsi="Arial" w:cs="Arial"/>
                <w:bCs/>
                <w:lang w:val="en-US"/>
              </w:rPr>
              <w:t>179,510</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063155E5" w14:textId="77777777" w:rsidR="001F1D25" w:rsidRPr="001F1D25" w:rsidRDefault="001F1D25" w:rsidP="001F1D25">
            <w:pPr>
              <w:jc w:val="center"/>
              <w:rPr>
                <w:rFonts w:ascii="Arial" w:hAnsi="Arial" w:cs="Arial"/>
                <w:bCs/>
                <w:lang w:val="en-US"/>
              </w:rPr>
            </w:pPr>
            <w:r w:rsidRPr="001F1D25">
              <w:rPr>
                <w:rFonts w:ascii="Arial" w:hAnsi="Arial" w:cs="Arial"/>
                <w:bCs/>
                <w:lang w:val="en-US"/>
              </w:rPr>
              <w:t>216,787</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2DB8E272" w14:textId="77777777" w:rsidR="001F1D25" w:rsidRPr="001F1D25" w:rsidRDefault="001F1D25" w:rsidP="001F1D25">
            <w:pPr>
              <w:jc w:val="center"/>
              <w:rPr>
                <w:rFonts w:ascii="Arial" w:hAnsi="Arial" w:cs="Arial"/>
                <w:bCs/>
                <w:lang w:val="en-US"/>
              </w:rPr>
            </w:pPr>
            <w:r w:rsidRPr="001F1D25">
              <w:rPr>
                <w:rFonts w:ascii="Arial" w:hAnsi="Arial" w:cs="Arial"/>
                <w:bCs/>
                <w:lang w:val="en-US"/>
              </w:rPr>
              <w:t>216,473</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28D4085B" w14:textId="77777777" w:rsidR="001F1D25" w:rsidRPr="001F1D25" w:rsidRDefault="001F1D25" w:rsidP="001F1D25">
            <w:pPr>
              <w:jc w:val="center"/>
              <w:rPr>
                <w:rFonts w:ascii="Arial" w:hAnsi="Arial" w:cs="Arial"/>
                <w:bCs/>
                <w:lang w:val="en-US"/>
              </w:rPr>
            </w:pPr>
            <w:r w:rsidRPr="001F1D25">
              <w:rPr>
                <w:rFonts w:ascii="Arial" w:hAnsi="Arial" w:cs="Arial"/>
                <w:bCs/>
                <w:lang w:val="en-US"/>
              </w:rPr>
              <w:t>161,148</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695155D6" w14:textId="77777777" w:rsidR="001F1D25" w:rsidRPr="001F1D25" w:rsidRDefault="001F1D25" w:rsidP="001F1D25">
            <w:pPr>
              <w:jc w:val="center"/>
              <w:rPr>
                <w:rFonts w:ascii="Arial" w:hAnsi="Arial" w:cs="Arial"/>
                <w:bCs/>
                <w:lang w:val="en-US"/>
              </w:rPr>
            </w:pPr>
            <w:r w:rsidRPr="001F1D25">
              <w:rPr>
                <w:rFonts w:ascii="Arial" w:hAnsi="Arial" w:cs="Arial"/>
                <w:bCs/>
                <w:lang w:val="en-US"/>
              </w:rPr>
              <w:t>158,291</w:t>
            </w:r>
          </w:p>
        </w:tc>
      </w:tr>
      <w:tr w:rsidR="001F1D25" w:rsidRPr="001F1D25" w14:paraId="2462DBB6"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4E8B6F7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Current ratio</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563EEB5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1.82</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6D71F4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1.56</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5D8BDB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1.56</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26F3E3A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1.61</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7571A8B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1.53</w:t>
            </w:r>
          </w:p>
        </w:tc>
      </w:tr>
      <w:tr w:rsidR="001F1D25" w:rsidRPr="001F1D25" w14:paraId="1FAF8CDC"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F939D92" w14:textId="77777777" w:rsidR="001F1D25" w:rsidRPr="001F1D25" w:rsidRDefault="001F1D25" w:rsidP="001F1D25">
            <w:pPr>
              <w:jc w:val="center"/>
              <w:rPr>
                <w:rFonts w:ascii="Arial" w:hAnsi="Arial" w:cs="Arial"/>
                <w:bCs/>
                <w:lang w:val="en-US"/>
              </w:rPr>
            </w:pPr>
            <w:r w:rsidRPr="001F1D25">
              <w:rPr>
                <w:rFonts w:ascii="Arial" w:hAnsi="Arial" w:cs="Arial"/>
                <w:bCs/>
                <w:lang w:val="en-US"/>
              </w:rPr>
              <w:t>(CA/CL)</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5D10DCAE"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6AEED5C0"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678B1F15"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5F345E0A"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770897AC" w14:textId="77777777" w:rsidR="001F1D25" w:rsidRPr="001F1D25" w:rsidRDefault="001F1D25" w:rsidP="001F1D25">
            <w:pPr>
              <w:jc w:val="center"/>
              <w:rPr>
                <w:rFonts w:ascii="Arial" w:hAnsi="Arial" w:cs="Arial"/>
                <w:bCs/>
                <w:lang w:val="en-US"/>
              </w:rPr>
            </w:pPr>
          </w:p>
        </w:tc>
      </w:tr>
      <w:tr w:rsidR="001F1D25" w:rsidRPr="001F1D25" w14:paraId="264CB861"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tcPr>
          <w:p w14:paraId="2CBB92A3"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32F55254"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08643590"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07678F03"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2AE61452"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57A66A66" w14:textId="77777777" w:rsidR="001F1D25" w:rsidRPr="001F1D25" w:rsidRDefault="001F1D25" w:rsidP="001F1D25">
            <w:pPr>
              <w:jc w:val="center"/>
              <w:rPr>
                <w:rFonts w:ascii="Arial" w:hAnsi="Arial" w:cs="Arial"/>
                <w:bCs/>
                <w:lang w:val="en-US"/>
              </w:rPr>
            </w:pPr>
          </w:p>
        </w:tc>
      </w:tr>
      <w:tr w:rsidR="001F1D25" w:rsidRPr="001F1D25" w14:paraId="6ED148F5"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684A153D" w14:textId="77777777" w:rsidR="001F1D25" w:rsidRPr="001F1D25" w:rsidRDefault="001F1D25" w:rsidP="001F1D25">
            <w:pPr>
              <w:jc w:val="center"/>
              <w:rPr>
                <w:rFonts w:ascii="Arial" w:hAnsi="Arial" w:cs="Arial"/>
                <w:bCs/>
                <w:lang w:val="en-US"/>
              </w:rPr>
            </w:pPr>
            <w:r w:rsidRPr="001F1D25">
              <w:rPr>
                <w:rFonts w:ascii="Arial" w:hAnsi="Arial" w:cs="Arial"/>
                <w:bCs/>
                <w:lang w:val="en-US"/>
              </w:rPr>
              <w:t>Current assets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D1DA13E" w14:textId="77777777" w:rsidR="001F1D25" w:rsidRPr="001F1D25" w:rsidRDefault="001F1D25" w:rsidP="001F1D25">
            <w:pPr>
              <w:jc w:val="center"/>
              <w:rPr>
                <w:rFonts w:ascii="Arial" w:hAnsi="Arial" w:cs="Arial"/>
                <w:bCs/>
                <w:lang w:val="en-US"/>
              </w:rPr>
            </w:pPr>
            <w:r w:rsidRPr="001F1D25">
              <w:rPr>
                <w:rFonts w:ascii="Arial" w:hAnsi="Arial" w:cs="Arial"/>
                <w:bCs/>
                <w:lang w:val="en-US"/>
              </w:rPr>
              <w:t>326,843</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4BFD0CA" w14:textId="77777777" w:rsidR="001F1D25" w:rsidRPr="001F1D25" w:rsidRDefault="001F1D25" w:rsidP="001F1D25">
            <w:pPr>
              <w:jc w:val="center"/>
              <w:rPr>
                <w:rFonts w:ascii="Arial" w:hAnsi="Arial" w:cs="Arial"/>
                <w:bCs/>
                <w:lang w:val="en-US"/>
              </w:rPr>
            </w:pPr>
            <w:r w:rsidRPr="001F1D25">
              <w:rPr>
                <w:rFonts w:ascii="Arial" w:hAnsi="Arial" w:cs="Arial"/>
                <w:bCs/>
                <w:lang w:val="en-US"/>
              </w:rPr>
              <w:t>337,146</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DB9CC97" w14:textId="77777777" w:rsidR="001F1D25" w:rsidRPr="001F1D25" w:rsidRDefault="001F1D25" w:rsidP="001F1D25">
            <w:pPr>
              <w:jc w:val="center"/>
              <w:rPr>
                <w:rFonts w:ascii="Arial" w:hAnsi="Arial" w:cs="Arial"/>
                <w:bCs/>
                <w:lang w:val="en-US"/>
              </w:rPr>
            </w:pPr>
            <w:r w:rsidRPr="001F1D25">
              <w:rPr>
                <w:rFonts w:ascii="Arial" w:hAnsi="Arial" w:cs="Arial"/>
                <w:bCs/>
                <w:lang w:val="en-US"/>
              </w:rPr>
              <w:t>338,040</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5BEABCC2" w14:textId="77777777" w:rsidR="001F1D25" w:rsidRPr="001F1D25" w:rsidRDefault="001F1D25" w:rsidP="001F1D25">
            <w:pPr>
              <w:jc w:val="center"/>
              <w:rPr>
                <w:rFonts w:ascii="Arial" w:hAnsi="Arial" w:cs="Arial"/>
                <w:bCs/>
                <w:lang w:val="en-US"/>
              </w:rPr>
            </w:pPr>
            <w:r w:rsidRPr="001F1D25">
              <w:rPr>
                <w:rFonts w:ascii="Arial" w:hAnsi="Arial" w:cs="Arial"/>
                <w:bCs/>
                <w:lang w:val="en-US"/>
              </w:rPr>
              <w:t>258,851</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57583AB6" w14:textId="77777777" w:rsidR="001F1D25" w:rsidRPr="001F1D25" w:rsidRDefault="001F1D25" w:rsidP="001F1D25">
            <w:pPr>
              <w:jc w:val="center"/>
              <w:rPr>
                <w:rFonts w:ascii="Arial" w:hAnsi="Arial" w:cs="Arial"/>
                <w:bCs/>
                <w:lang w:val="en-US"/>
              </w:rPr>
            </w:pPr>
            <w:r w:rsidRPr="001F1D25">
              <w:rPr>
                <w:rFonts w:ascii="Arial" w:hAnsi="Arial" w:cs="Arial"/>
                <w:bCs/>
                <w:lang w:val="en-US"/>
              </w:rPr>
              <w:t>242,494</w:t>
            </w:r>
          </w:p>
        </w:tc>
      </w:tr>
      <w:tr w:rsidR="001F1D25" w:rsidRPr="001F1D25" w14:paraId="09D75B2D"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6DE8CDF8" w14:textId="77777777" w:rsidR="001F1D25" w:rsidRPr="001F1D25" w:rsidRDefault="001F1D25" w:rsidP="001F1D25">
            <w:pPr>
              <w:jc w:val="center"/>
              <w:rPr>
                <w:rFonts w:ascii="Arial" w:hAnsi="Arial" w:cs="Arial"/>
                <w:bCs/>
                <w:lang w:val="en-US"/>
              </w:rPr>
            </w:pPr>
            <w:r w:rsidRPr="001F1D25">
              <w:rPr>
                <w:rFonts w:ascii="Arial" w:hAnsi="Arial" w:cs="Arial"/>
                <w:bCs/>
                <w:lang w:val="en-US"/>
              </w:rPr>
              <w:lastRenderedPageBreak/>
              <w:t>Inventory</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1732A3C0" w14:textId="77777777" w:rsidR="001F1D25" w:rsidRPr="001F1D25" w:rsidRDefault="001F1D25" w:rsidP="001F1D25">
            <w:pPr>
              <w:jc w:val="center"/>
              <w:rPr>
                <w:rFonts w:ascii="Arial" w:hAnsi="Arial" w:cs="Arial"/>
                <w:bCs/>
                <w:lang w:val="en-US"/>
              </w:rPr>
            </w:pPr>
            <w:r w:rsidRPr="001F1D25">
              <w:rPr>
                <w:rFonts w:ascii="Arial" w:hAnsi="Arial" w:cs="Arial"/>
                <w:bCs/>
                <w:lang w:val="en-US"/>
              </w:rPr>
              <w:t>120,430</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0CC0AB95" w14:textId="77777777" w:rsidR="001F1D25" w:rsidRPr="001F1D25" w:rsidRDefault="001F1D25" w:rsidP="001F1D25">
            <w:pPr>
              <w:jc w:val="center"/>
              <w:rPr>
                <w:rFonts w:ascii="Arial" w:hAnsi="Arial" w:cs="Arial"/>
                <w:bCs/>
                <w:lang w:val="en-US"/>
              </w:rPr>
            </w:pPr>
            <w:r w:rsidRPr="001F1D25">
              <w:rPr>
                <w:rFonts w:ascii="Arial" w:hAnsi="Arial" w:cs="Arial"/>
                <w:bCs/>
                <w:lang w:val="en-US"/>
              </w:rPr>
              <w:t>134,469</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56833AC2" w14:textId="77777777" w:rsidR="001F1D25" w:rsidRPr="001F1D25" w:rsidRDefault="001F1D25" w:rsidP="001F1D25">
            <w:pPr>
              <w:jc w:val="center"/>
              <w:rPr>
                <w:rFonts w:ascii="Arial" w:hAnsi="Arial" w:cs="Arial"/>
                <w:bCs/>
                <w:lang w:val="en-US"/>
              </w:rPr>
            </w:pPr>
            <w:r w:rsidRPr="001F1D25">
              <w:rPr>
                <w:rFonts w:ascii="Arial" w:hAnsi="Arial" w:cs="Arial"/>
                <w:bCs/>
                <w:lang w:val="en-US"/>
              </w:rPr>
              <w:t>140,181</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03721732" w14:textId="77777777" w:rsidR="001F1D25" w:rsidRPr="001F1D25" w:rsidRDefault="001F1D25" w:rsidP="001F1D25">
            <w:pPr>
              <w:jc w:val="center"/>
              <w:rPr>
                <w:rFonts w:ascii="Arial" w:hAnsi="Arial" w:cs="Arial"/>
                <w:bCs/>
                <w:lang w:val="en-US"/>
              </w:rPr>
            </w:pPr>
            <w:r w:rsidRPr="001F1D25">
              <w:rPr>
                <w:rFonts w:ascii="Arial" w:hAnsi="Arial" w:cs="Arial"/>
                <w:bCs/>
                <w:lang w:val="en-US"/>
              </w:rPr>
              <w:t>88,273</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4AF09029" w14:textId="77777777" w:rsidR="001F1D25" w:rsidRPr="001F1D25" w:rsidRDefault="001F1D25" w:rsidP="001F1D25">
            <w:pPr>
              <w:jc w:val="center"/>
              <w:rPr>
                <w:rFonts w:ascii="Arial" w:hAnsi="Arial" w:cs="Arial"/>
                <w:bCs/>
                <w:lang w:val="en-US"/>
              </w:rPr>
            </w:pPr>
            <w:r w:rsidRPr="001F1D25">
              <w:rPr>
                <w:rFonts w:ascii="Arial" w:hAnsi="Arial" w:cs="Arial"/>
                <w:bCs/>
                <w:lang w:val="en-US"/>
              </w:rPr>
              <w:t>79,355</w:t>
            </w:r>
          </w:p>
        </w:tc>
      </w:tr>
      <w:tr w:rsidR="001F1D25" w:rsidRPr="001F1D25" w14:paraId="46AE2836"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25D17E81" w14:textId="77777777" w:rsidR="001F1D25" w:rsidRPr="001F1D25" w:rsidRDefault="001F1D25" w:rsidP="001F1D25">
            <w:pPr>
              <w:jc w:val="center"/>
              <w:rPr>
                <w:rFonts w:ascii="Arial" w:hAnsi="Arial" w:cs="Arial"/>
                <w:bCs/>
                <w:lang w:val="en-US"/>
              </w:rPr>
            </w:pPr>
            <w:r w:rsidRPr="001F1D25">
              <w:rPr>
                <w:rFonts w:ascii="Arial" w:hAnsi="Arial" w:cs="Arial"/>
                <w:bCs/>
                <w:lang w:val="en-US"/>
              </w:rPr>
              <w:t>Current liabilities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0EED455" w14:textId="77777777" w:rsidR="001F1D25" w:rsidRPr="001F1D25" w:rsidRDefault="001F1D25" w:rsidP="001F1D25">
            <w:pPr>
              <w:jc w:val="center"/>
              <w:rPr>
                <w:rFonts w:ascii="Arial" w:hAnsi="Arial" w:cs="Arial"/>
                <w:bCs/>
                <w:lang w:val="en-US"/>
              </w:rPr>
            </w:pPr>
            <w:r w:rsidRPr="001F1D25">
              <w:rPr>
                <w:rFonts w:ascii="Arial" w:hAnsi="Arial" w:cs="Arial"/>
                <w:bCs/>
                <w:lang w:val="en-US"/>
              </w:rPr>
              <w:t>179,510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1554A6EF" w14:textId="77777777" w:rsidR="001F1D25" w:rsidRPr="001F1D25" w:rsidRDefault="001F1D25" w:rsidP="001F1D25">
            <w:pPr>
              <w:jc w:val="center"/>
              <w:rPr>
                <w:rFonts w:ascii="Arial" w:hAnsi="Arial" w:cs="Arial"/>
                <w:bCs/>
                <w:lang w:val="en-US"/>
              </w:rPr>
            </w:pPr>
            <w:r w:rsidRPr="001F1D25">
              <w:rPr>
                <w:rFonts w:ascii="Arial" w:hAnsi="Arial" w:cs="Arial"/>
                <w:bCs/>
                <w:lang w:val="en-US"/>
              </w:rPr>
              <w:t>216,787</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6B94E195" w14:textId="77777777" w:rsidR="001F1D25" w:rsidRPr="001F1D25" w:rsidRDefault="001F1D25" w:rsidP="001F1D25">
            <w:pPr>
              <w:jc w:val="center"/>
              <w:rPr>
                <w:rFonts w:ascii="Arial" w:hAnsi="Arial" w:cs="Arial"/>
                <w:bCs/>
                <w:lang w:val="en-US"/>
              </w:rPr>
            </w:pPr>
            <w:r w:rsidRPr="001F1D25">
              <w:rPr>
                <w:rFonts w:ascii="Arial" w:hAnsi="Arial" w:cs="Arial"/>
                <w:bCs/>
                <w:lang w:val="en-US"/>
              </w:rPr>
              <w:t>216,473</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499F0B43" w14:textId="77777777" w:rsidR="001F1D25" w:rsidRPr="001F1D25" w:rsidRDefault="001F1D25" w:rsidP="001F1D25">
            <w:pPr>
              <w:jc w:val="center"/>
              <w:rPr>
                <w:rFonts w:ascii="Arial" w:hAnsi="Arial" w:cs="Arial"/>
                <w:bCs/>
                <w:lang w:val="en-US"/>
              </w:rPr>
            </w:pPr>
            <w:r w:rsidRPr="001F1D25">
              <w:rPr>
                <w:rFonts w:ascii="Arial" w:hAnsi="Arial" w:cs="Arial"/>
                <w:bCs/>
                <w:lang w:val="en-US"/>
              </w:rPr>
              <w:t>161,148</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757FE62C" w14:textId="77777777" w:rsidR="001F1D25" w:rsidRPr="001F1D25" w:rsidRDefault="001F1D25" w:rsidP="001F1D25">
            <w:pPr>
              <w:jc w:val="center"/>
              <w:rPr>
                <w:rFonts w:ascii="Arial" w:hAnsi="Arial" w:cs="Arial"/>
                <w:bCs/>
                <w:lang w:val="en-US"/>
              </w:rPr>
            </w:pPr>
            <w:r w:rsidRPr="001F1D25">
              <w:rPr>
                <w:rFonts w:ascii="Arial" w:hAnsi="Arial" w:cs="Arial"/>
                <w:bCs/>
                <w:lang w:val="en-US"/>
              </w:rPr>
              <w:t>158,291</w:t>
            </w:r>
          </w:p>
        </w:tc>
      </w:tr>
      <w:tr w:rsidR="001F1D25" w:rsidRPr="001F1D25" w14:paraId="101F2CC8"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22496DC5"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Quick ratio</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604E35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1.15</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3492C3CB"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0.93</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D6E235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0.91</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054E2C87"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1.06</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230EF6CF"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1.03</w:t>
            </w:r>
          </w:p>
        </w:tc>
      </w:tr>
      <w:tr w:rsidR="001F1D25" w:rsidRPr="001F1D25" w14:paraId="4F0CB0EA"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1705B65F" w14:textId="77777777" w:rsidR="001F1D25" w:rsidRPr="001F1D25" w:rsidRDefault="001F1D25" w:rsidP="001F1D25">
            <w:pPr>
              <w:jc w:val="center"/>
              <w:rPr>
                <w:rFonts w:ascii="Arial" w:hAnsi="Arial" w:cs="Arial"/>
                <w:bCs/>
                <w:lang w:val="en-US"/>
              </w:rPr>
            </w:pPr>
            <w:r w:rsidRPr="001F1D25">
              <w:rPr>
                <w:rFonts w:ascii="Arial" w:hAnsi="Arial" w:cs="Arial"/>
                <w:bCs/>
                <w:lang w:val="en-US"/>
              </w:rPr>
              <w:t>(CA- inventory)/ CL</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51321973"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0A0740CC"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534D9ACA"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63381890"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7A133CB4" w14:textId="77777777" w:rsidR="001F1D25" w:rsidRPr="001F1D25" w:rsidRDefault="001F1D25" w:rsidP="001F1D25">
            <w:pPr>
              <w:jc w:val="center"/>
              <w:rPr>
                <w:rFonts w:ascii="Arial" w:hAnsi="Arial" w:cs="Arial"/>
                <w:bCs/>
                <w:lang w:val="en-US"/>
              </w:rPr>
            </w:pPr>
          </w:p>
        </w:tc>
      </w:tr>
      <w:tr w:rsidR="001F1D25" w:rsidRPr="001F1D25" w14:paraId="79249C40" w14:textId="77777777">
        <w:trPr>
          <w:trHeight w:val="336"/>
        </w:trPr>
        <w:tc>
          <w:tcPr>
            <w:tcW w:w="2186" w:type="pct"/>
            <w:noWrap/>
            <w:vAlign w:val="center"/>
          </w:tcPr>
          <w:p w14:paraId="34EBCDA9" w14:textId="77777777" w:rsidR="001F1D25" w:rsidRPr="001F1D25" w:rsidRDefault="001F1D25" w:rsidP="001F1D25">
            <w:pPr>
              <w:jc w:val="center"/>
              <w:rPr>
                <w:rFonts w:ascii="Arial" w:hAnsi="Arial" w:cs="Arial"/>
                <w:bCs/>
                <w:lang w:val="en-US"/>
              </w:rPr>
            </w:pPr>
          </w:p>
        </w:tc>
        <w:tc>
          <w:tcPr>
            <w:tcW w:w="548" w:type="pct"/>
            <w:noWrap/>
            <w:vAlign w:val="center"/>
          </w:tcPr>
          <w:p w14:paraId="553D9F44" w14:textId="77777777" w:rsidR="001F1D25" w:rsidRPr="001F1D25" w:rsidRDefault="001F1D25" w:rsidP="001F1D25">
            <w:pPr>
              <w:jc w:val="center"/>
              <w:rPr>
                <w:rFonts w:ascii="Arial" w:hAnsi="Arial" w:cs="Arial"/>
                <w:bCs/>
                <w:lang w:val="en-US"/>
              </w:rPr>
            </w:pPr>
          </w:p>
        </w:tc>
        <w:tc>
          <w:tcPr>
            <w:tcW w:w="548" w:type="pct"/>
            <w:noWrap/>
            <w:vAlign w:val="center"/>
          </w:tcPr>
          <w:p w14:paraId="3813C97F" w14:textId="77777777" w:rsidR="001F1D25" w:rsidRPr="001F1D25" w:rsidRDefault="001F1D25" w:rsidP="001F1D25">
            <w:pPr>
              <w:jc w:val="center"/>
              <w:rPr>
                <w:rFonts w:ascii="Arial" w:hAnsi="Arial" w:cs="Arial"/>
                <w:bCs/>
                <w:lang w:val="en-US"/>
              </w:rPr>
            </w:pPr>
          </w:p>
        </w:tc>
        <w:tc>
          <w:tcPr>
            <w:tcW w:w="548" w:type="pct"/>
            <w:noWrap/>
            <w:vAlign w:val="center"/>
          </w:tcPr>
          <w:p w14:paraId="6A25E626" w14:textId="77777777" w:rsidR="001F1D25" w:rsidRPr="001F1D25" w:rsidRDefault="001F1D25" w:rsidP="001F1D25">
            <w:pPr>
              <w:jc w:val="center"/>
              <w:rPr>
                <w:rFonts w:ascii="Arial" w:hAnsi="Arial" w:cs="Arial"/>
                <w:bCs/>
                <w:lang w:val="en-US"/>
              </w:rPr>
            </w:pPr>
          </w:p>
        </w:tc>
        <w:tc>
          <w:tcPr>
            <w:tcW w:w="583" w:type="pct"/>
            <w:noWrap/>
            <w:vAlign w:val="center"/>
          </w:tcPr>
          <w:p w14:paraId="4AFB37EA" w14:textId="77777777" w:rsidR="001F1D25" w:rsidRPr="001F1D25" w:rsidRDefault="001F1D25" w:rsidP="001F1D25">
            <w:pPr>
              <w:jc w:val="center"/>
              <w:rPr>
                <w:rFonts w:ascii="Arial" w:hAnsi="Arial" w:cs="Arial"/>
                <w:bCs/>
                <w:lang w:val="en-US"/>
              </w:rPr>
            </w:pPr>
          </w:p>
        </w:tc>
        <w:tc>
          <w:tcPr>
            <w:tcW w:w="584" w:type="pct"/>
            <w:noWrap/>
            <w:vAlign w:val="center"/>
          </w:tcPr>
          <w:p w14:paraId="229CEC5E" w14:textId="77777777" w:rsidR="001F1D25" w:rsidRPr="001F1D25" w:rsidRDefault="001F1D25" w:rsidP="001F1D25">
            <w:pPr>
              <w:jc w:val="center"/>
              <w:rPr>
                <w:rFonts w:ascii="Arial" w:hAnsi="Arial" w:cs="Arial"/>
                <w:bCs/>
                <w:lang w:val="en-US"/>
              </w:rPr>
            </w:pPr>
          </w:p>
        </w:tc>
      </w:tr>
      <w:tr w:rsidR="001F1D25" w:rsidRPr="001F1D25" w14:paraId="0BA98250"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0C8B35B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Efficiency Ratios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5399827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32F74F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EA6D7C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2022</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31B017E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2023</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4B90C38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2024</w:t>
            </w:r>
          </w:p>
        </w:tc>
      </w:tr>
      <w:tr w:rsidR="001F1D25" w:rsidRPr="001F1D25" w14:paraId="39007351"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00F8E4FF" w14:textId="77777777" w:rsidR="001F1D25" w:rsidRPr="001F1D25" w:rsidRDefault="001F1D25" w:rsidP="001F1D25">
            <w:pPr>
              <w:jc w:val="center"/>
              <w:rPr>
                <w:rFonts w:ascii="Arial" w:hAnsi="Arial" w:cs="Arial"/>
                <w:bCs/>
                <w:lang w:val="en-US"/>
              </w:rPr>
            </w:pPr>
            <w:r w:rsidRPr="001F1D25">
              <w:rPr>
                <w:rFonts w:ascii="Arial" w:hAnsi="Arial" w:cs="Arial"/>
                <w:bCs/>
                <w:lang w:val="en-US"/>
              </w:rPr>
              <w:t>Sales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6775CB5F" w14:textId="77777777" w:rsidR="001F1D25" w:rsidRPr="001F1D25" w:rsidRDefault="001F1D25" w:rsidP="001F1D25">
            <w:pPr>
              <w:jc w:val="center"/>
              <w:rPr>
                <w:rFonts w:ascii="Arial" w:hAnsi="Arial" w:cs="Arial"/>
                <w:bCs/>
                <w:lang w:val="en-US"/>
              </w:rPr>
            </w:pPr>
            <w:r w:rsidRPr="001F1D25">
              <w:rPr>
                <w:rFonts w:ascii="Arial" w:hAnsi="Arial" w:cs="Arial"/>
                <w:bCs/>
                <w:lang w:val="en-US"/>
              </w:rPr>
              <w:t>614,680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D07F952" w14:textId="77777777" w:rsidR="001F1D25" w:rsidRPr="001F1D25" w:rsidRDefault="001F1D25" w:rsidP="001F1D25">
            <w:pPr>
              <w:jc w:val="center"/>
              <w:rPr>
                <w:rFonts w:ascii="Arial" w:hAnsi="Arial" w:cs="Arial"/>
                <w:bCs/>
                <w:lang w:val="en-US"/>
              </w:rPr>
            </w:pPr>
            <w:r w:rsidRPr="001F1D25">
              <w:rPr>
                <w:rFonts w:ascii="Arial" w:hAnsi="Arial" w:cs="Arial"/>
                <w:bCs/>
                <w:lang w:val="en-US"/>
              </w:rPr>
              <w:t>601,602</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5F47CC2" w14:textId="77777777" w:rsidR="001F1D25" w:rsidRPr="001F1D25" w:rsidRDefault="001F1D25" w:rsidP="001F1D25">
            <w:pPr>
              <w:jc w:val="center"/>
              <w:rPr>
                <w:rFonts w:ascii="Arial" w:hAnsi="Arial" w:cs="Arial"/>
                <w:bCs/>
                <w:lang w:val="en-US"/>
              </w:rPr>
            </w:pPr>
            <w:r w:rsidRPr="001F1D25">
              <w:rPr>
                <w:rFonts w:ascii="Arial" w:hAnsi="Arial" w:cs="Arial"/>
                <w:bCs/>
                <w:lang w:val="en-US"/>
              </w:rPr>
              <w:t>542,751</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2F62DA45" w14:textId="77777777" w:rsidR="001F1D25" w:rsidRPr="001F1D25" w:rsidRDefault="001F1D25" w:rsidP="001F1D25">
            <w:pPr>
              <w:jc w:val="center"/>
              <w:rPr>
                <w:rFonts w:ascii="Arial" w:hAnsi="Arial" w:cs="Arial"/>
                <w:bCs/>
                <w:lang w:val="en-US"/>
              </w:rPr>
            </w:pPr>
            <w:r w:rsidRPr="001F1D25">
              <w:rPr>
                <w:rFonts w:ascii="Arial" w:hAnsi="Arial" w:cs="Arial"/>
                <w:bCs/>
                <w:lang w:val="en-US"/>
              </w:rPr>
              <w:t>420,457</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7E5C60F4" w14:textId="77777777" w:rsidR="001F1D25" w:rsidRPr="001F1D25" w:rsidRDefault="001F1D25" w:rsidP="001F1D25">
            <w:pPr>
              <w:jc w:val="center"/>
              <w:rPr>
                <w:rFonts w:ascii="Arial" w:hAnsi="Arial" w:cs="Arial"/>
                <w:bCs/>
                <w:lang w:val="en-US"/>
              </w:rPr>
            </w:pPr>
            <w:r w:rsidRPr="001F1D25">
              <w:rPr>
                <w:rFonts w:ascii="Arial" w:hAnsi="Arial" w:cs="Arial"/>
                <w:bCs/>
                <w:lang w:val="en-US"/>
              </w:rPr>
              <w:t>394,879</w:t>
            </w:r>
          </w:p>
        </w:tc>
      </w:tr>
      <w:tr w:rsidR="001F1D25" w:rsidRPr="001F1D25" w14:paraId="5AD44175"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6154BBDF" w14:textId="77777777" w:rsidR="001F1D25" w:rsidRPr="001F1D25" w:rsidRDefault="001F1D25" w:rsidP="001F1D25">
            <w:pPr>
              <w:jc w:val="center"/>
              <w:rPr>
                <w:rFonts w:ascii="Arial" w:hAnsi="Arial" w:cs="Arial"/>
                <w:bCs/>
                <w:lang w:val="en-US"/>
              </w:rPr>
            </w:pPr>
            <w:r w:rsidRPr="001F1D25">
              <w:rPr>
                <w:rFonts w:ascii="Arial" w:hAnsi="Arial" w:cs="Arial"/>
                <w:bCs/>
                <w:lang w:val="en-US"/>
              </w:rPr>
              <w:t>Total assets</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0AB844DD" w14:textId="77777777" w:rsidR="001F1D25" w:rsidRPr="001F1D25" w:rsidRDefault="001F1D25" w:rsidP="001F1D25">
            <w:pPr>
              <w:jc w:val="center"/>
              <w:rPr>
                <w:rFonts w:ascii="Arial" w:hAnsi="Arial" w:cs="Arial"/>
                <w:bCs/>
                <w:lang w:val="en-US"/>
              </w:rPr>
            </w:pPr>
            <w:r w:rsidRPr="001F1D25">
              <w:rPr>
                <w:rFonts w:ascii="Arial" w:hAnsi="Arial" w:cs="Arial"/>
                <w:bCs/>
                <w:lang w:val="en-US"/>
              </w:rPr>
              <w:t>510,290</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5A368682" w14:textId="77777777" w:rsidR="001F1D25" w:rsidRPr="001F1D25" w:rsidRDefault="001F1D25" w:rsidP="001F1D25">
            <w:pPr>
              <w:jc w:val="center"/>
              <w:rPr>
                <w:rFonts w:ascii="Arial" w:hAnsi="Arial" w:cs="Arial"/>
                <w:bCs/>
                <w:lang w:val="en-US"/>
              </w:rPr>
            </w:pPr>
            <w:r w:rsidRPr="001F1D25">
              <w:rPr>
                <w:rFonts w:ascii="Arial" w:hAnsi="Arial" w:cs="Arial"/>
                <w:bCs/>
                <w:lang w:val="en-US"/>
              </w:rPr>
              <w:t>510,348</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78D31A37" w14:textId="77777777" w:rsidR="001F1D25" w:rsidRPr="001F1D25" w:rsidRDefault="001F1D25" w:rsidP="001F1D25">
            <w:pPr>
              <w:jc w:val="center"/>
              <w:rPr>
                <w:rFonts w:ascii="Arial" w:hAnsi="Arial" w:cs="Arial"/>
                <w:bCs/>
                <w:lang w:val="en-US"/>
              </w:rPr>
            </w:pPr>
            <w:r w:rsidRPr="001F1D25">
              <w:rPr>
                <w:rFonts w:ascii="Arial" w:hAnsi="Arial" w:cs="Arial"/>
                <w:bCs/>
                <w:lang w:val="en-US"/>
              </w:rPr>
              <w:t>504,163</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55A1ACE3" w14:textId="77777777" w:rsidR="001F1D25" w:rsidRPr="001F1D25" w:rsidRDefault="001F1D25" w:rsidP="001F1D25">
            <w:pPr>
              <w:jc w:val="center"/>
              <w:rPr>
                <w:rFonts w:ascii="Arial" w:hAnsi="Arial" w:cs="Arial"/>
                <w:bCs/>
                <w:lang w:val="en-US"/>
              </w:rPr>
            </w:pPr>
            <w:r w:rsidRPr="001F1D25">
              <w:rPr>
                <w:rFonts w:ascii="Arial" w:hAnsi="Arial" w:cs="Arial"/>
                <w:bCs/>
                <w:lang w:val="en-US"/>
              </w:rPr>
              <w:t>355,872</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36725283" w14:textId="77777777" w:rsidR="001F1D25" w:rsidRPr="001F1D25" w:rsidRDefault="001F1D25" w:rsidP="001F1D25">
            <w:pPr>
              <w:jc w:val="center"/>
              <w:rPr>
                <w:rFonts w:ascii="Arial" w:hAnsi="Arial" w:cs="Arial"/>
                <w:bCs/>
                <w:lang w:val="en-US"/>
              </w:rPr>
            </w:pPr>
            <w:r w:rsidRPr="001F1D25">
              <w:rPr>
                <w:rFonts w:ascii="Arial" w:hAnsi="Arial" w:cs="Arial"/>
                <w:bCs/>
                <w:lang w:val="en-US"/>
              </w:rPr>
              <w:t>323,354</w:t>
            </w:r>
          </w:p>
        </w:tc>
      </w:tr>
      <w:tr w:rsidR="001F1D25" w:rsidRPr="001F1D25" w14:paraId="1CD454C9"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1BE0057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Asset turnover ratio</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C3F5A0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1.20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56DEC0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1.18</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503A90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1.08</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787809AB"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1.18</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3017D1B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1.22</w:t>
            </w:r>
          </w:p>
        </w:tc>
      </w:tr>
      <w:tr w:rsidR="001F1D25" w:rsidRPr="001F1D25" w14:paraId="79678383"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18C56290" w14:textId="77777777" w:rsidR="001F1D25" w:rsidRPr="001F1D25" w:rsidRDefault="001F1D25" w:rsidP="001F1D25">
            <w:pPr>
              <w:jc w:val="center"/>
              <w:rPr>
                <w:rFonts w:ascii="Arial" w:hAnsi="Arial" w:cs="Arial"/>
                <w:bCs/>
                <w:lang w:val="en-US"/>
              </w:rPr>
            </w:pPr>
            <w:r w:rsidRPr="001F1D25">
              <w:rPr>
                <w:rFonts w:ascii="Arial" w:hAnsi="Arial" w:cs="Arial"/>
                <w:bCs/>
                <w:lang w:val="en-US"/>
              </w:rPr>
              <w:t>Sales/ Total assets</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6762E2FC"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57AAD1FC"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4F4694BA"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61C477CA"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49346084" w14:textId="77777777" w:rsidR="001F1D25" w:rsidRPr="001F1D25" w:rsidRDefault="001F1D25" w:rsidP="001F1D25">
            <w:pPr>
              <w:jc w:val="center"/>
              <w:rPr>
                <w:rFonts w:ascii="Arial" w:hAnsi="Arial" w:cs="Arial"/>
                <w:bCs/>
                <w:lang w:val="en-US"/>
              </w:rPr>
            </w:pPr>
          </w:p>
        </w:tc>
      </w:tr>
      <w:tr w:rsidR="001F1D25" w:rsidRPr="001F1D25" w14:paraId="2FCA4433"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tcPr>
          <w:p w14:paraId="132D3772"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48B4D7D2"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5CC87119"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10A7B5CF"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0CF684FE"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6858BFFD" w14:textId="77777777" w:rsidR="001F1D25" w:rsidRPr="001F1D25" w:rsidRDefault="001F1D25" w:rsidP="001F1D25">
            <w:pPr>
              <w:jc w:val="center"/>
              <w:rPr>
                <w:rFonts w:ascii="Arial" w:hAnsi="Arial" w:cs="Arial"/>
                <w:bCs/>
                <w:lang w:val="en-US"/>
              </w:rPr>
            </w:pPr>
          </w:p>
        </w:tc>
      </w:tr>
      <w:tr w:rsidR="001F1D25" w:rsidRPr="001F1D25" w14:paraId="0FCCC0AD"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DA71298" w14:textId="77777777" w:rsidR="001F1D25" w:rsidRPr="001F1D25" w:rsidRDefault="001F1D25" w:rsidP="001F1D25">
            <w:pPr>
              <w:jc w:val="center"/>
              <w:rPr>
                <w:rFonts w:ascii="Arial" w:hAnsi="Arial" w:cs="Arial"/>
                <w:bCs/>
                <w:lang w:val="en-US"/>
              </w:rPr>
            </w:pPr>
            <w:r w:rsidRPr="001F1D25">
              <w:rPr>
                <w:rFonts w:ascii="Arial" w:hAnsi="Arial" w:cs="Arial"/>
                <w:bCs/>
                <w:lang w:val="en-US"/>
              </w:rPr>
              <w:t>COGS</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0D8148A8" w14:textId="77777777" w:rsidR="001F1D25" w:rsidRPr="001F1D25" w:rsidRDefault="001F1D25" w:rsidP="001F1D25">
            <w:pPr>
              <w:jc w:val="center"/>
              <w:rPr>
                <w:rFonts w:ascii="Arial" w:hAnsi="Arial" w:cs="Arial"/>
                <w:bCs/>
                <w:lang w:val="en-US"/>
              </w:rPr>
            </w:pPr>
            <w:r w:rsidRPr="001F1D25">
              <w:rPr>
                <w:rFonts w:ascii="Arial" w:hAnsi="Arial" w:cs="Arial"/>
                <w:bCs/>
                <w:lang w:val="en-US"/>
              </w:rPr>
              <w:t>438,424</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33CD1D30" w14:textId="77777777" w:rsidR="001F1D25" w:rsidRPr="001F1D25" w:rsidRDefault="001F1D25" w:rsidP="001F1D25">
            <w:pPr>
              <w:jc w:val="center"/>
              <w:rPr>
                <w:rFonts w:ascii="Arial" w:hAnsi="Arial" w:cs="Arial"/>
                <w:bCs/>
                <w:lang w:val="en-US"/>
              </w:rPr>
            </w:pPr>
            <w:r w:rsidRPr="001F1D25">
              <w:rPr>
                <w:rFonts w:ascii="Arial" w:hAnsi="Arial" w:cs="Arial"/>
                <w:bCs/>
                <w:lang w:val="en-US"/>
              </w:rPr>
              <w:t>428,586</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5EE59134" w14:textId="77777777" w:rsidR="001F1D25" w:rsidRPr="001F1D25" w:rsidRDefault="001F1D25" w:rsidP="001F1D25">
            <w:pPr>
              <w:jc w:val="center"/>
              <w:rPr>
                <w:rFonts w:ascii="Arial" w:hAnsi="Arial" w:cs="Arial"/>
                <w:bCs/>
                <w:lang w:val="en-US"/>
              </w:rPr>
            </w:pPr>
            <w:r w:rsidRPr="001F1D25">
              <w:rPr>
                <w:rFonts w:ascii="Arial" w:hAnsi="Arial" w:cs="Arial"/>
                <w:bCs/>
                <w:lang w:val="en-US"/>
              </w:rPr>
              <w:t>390,459</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28005EC5" w14:textId="77777777" w:rsidR="001F1D25" w:rsidRPr="001F1D25" w:rsidRDefault="001F1D25" w:rsidP="001F1D25">
            <w:pPr>
              <w:jc w:val="center"/>
              <w:rPr>
                <w:rFonts w:ascii="Arial" w:hAnsi="Arial" w:cs="Arial"/>
                <w:bCs/>
                <w:lang w:val="en-US"/>
              </w:rPr>
            </w:pPr>
            <w:r w:rsidRPr="001F1D25">
              <w:rPr>
                <w:rFonts w:ascii="Arial" w:hAnsi="Arial" w:cs="Arial"/>
                <w:bCs/>
                <w:lang w:val="en-US"/>
              </w:rPr>
              <w:t>322,897</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31406E1B" w14:textId="77777777" w:rsidR="001F1D25" w:rsidRPr="001F1D25" w:rsidRDefault="001F1D25" w:rsidP="001F1D25">
            <w:pPr>
              <w:jc w:val="center"/>
              <w:rPr>
                <w:rFonts w:ascii="Arial" w:hAnsi="Arial" w:cs="Arial"/>
                <w:bCs/>
                <w:lang w:val="en-US"/>
              </w:rPr>
            </w:pPr>
            <w:r w:rsidRPr="001F1D25">
              <w:rPr>
                <w:rFonts w:ascii="Arial" w:hAnsi="Arial" w:cs="Arial"/>
                <w:bCs/>
                <w:lang w:val="en-US"/>
              </w:rPr>
              <w:t>280,885</w:t>
            </w:r>
          </w:p>
        </w:tc>
      </w:tr>
      <w:tr w:rsidR="001F1D25" w:rsidRPr="001F1D25" w14:paraId="3880FF73"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3D086F89" w14:textId="77777777" w:rsidR="001F1D25" w:rsidRPr="001F1D25" w:rsidRDefault="001F1D25" w:rsidP="001F1D25">
            <w:pPr>
              <w:jc w:val="center"/>
              <w:rPr>
                <w:rFonts w:ascii="Arial" w:hAnsi="Arial" w:cs="Arial"/>
                <w:bCs/>
                <w:lang w:val="en-US"/>
              </w:rPr>
            </w:pPr>
            <w:r w:rsidRPr="001F1D25">
              <w:rPr>
                <w:rFonts w:ascii="Arial" w:hAnsi="Arial" w:cs="Arial"/>
                <w:bCs/>
                <w:lang w:val="en-US"/>
              </w:rPr>
              <w:t>Average inventory</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7ABA793" w14:textId="77777777" w:rsidR="001F1D25" w:rsidRPr="001F1D25" w:rsidRDefault="001F1D25" w:rsidP="001F1D25">
            <w:pPr>
              <w:jc w:val="center"/>
              <w:rPr>
                <w:rFonts w:ascii="Arial" w:hAnsi="Arial" w:cs="Arial"/>
                <w:bCs/>
                <w:lang w:val="en-US"/>
              </w:rPr>
            </w:pPr>
            <w:r w:rsidRPr="001F1D25">
              <w:rPr>
                <w:rFonts w:ascii="Arial" w:hAnsi="Arial" w:cs="Arial"/>
                <w:bCs/>
                <w:lang w:val="en-US"/>
              </w:rPr>
              <w:t>127,450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5F486CD8" w14:textId="77777777" w:rsidR="001F1D25" w:rsidRPr="001F1D25" w:rsidRDefault="001F1D25" w:rsidP="001F1D25">
            <w:pPr>
              <w:jc w:val="center"/>
              <w:rPr>
                <w:rFonts w:ascii="Arial" w:hAnsi="Arial" w:cs="Arial"/>
                <w:bCs/>
                <w:lang w:val="en-US"/>
              </w:rPr>
            </w:pPr>
            <w:r w:rsidRPr="001F1D25">
              <w:rPr>
                <w:rFonts w:ascii="Arial" w:hAnsi="Arial" w:cs="Arial"/>
                <w:bCs/>
                <w:lang w:val="en-US"/>
              </w:rPr>
              <w:t>127,450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8848E61" w14:textId="77777777" w:rsidR="001F1D25" w:rsidRPr="001F1D25" w:rsidRDefault="001F1D25" w:rsidP="001F1D25">
            <w:pPr>
              <w:jc w:val="center"/>
              <w:rPr>
                <w:rFonts w:ascii="Arial" w:hAnsi="Arial" w:cs="Arial"/>
                <w:bCs/>
                <w:lang w:val="en-US"/>
              </w:rPr>
            </w:pPr>
            <w:r w:rsidRPr="001F1D25">
              <w:rPr>
                <w:rFonts w:ascii="Arial" w:hAnsi="Arial" w:cs="Arial"/>
                <w:bCs/>
                <w:lang w:val="en-US"/>
              </w:rPr>
              <w:t>137,325</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10571F5E" w14:textId="77777777" w:rsidR="001F1D25" w:rsidRPr="001F1D25" w:rsidRDefault="001F1D25" w:rsidP="001F1D25">
            <w:pPr>
              <w:jc w:val="center"/>
              <w:rPr>
                <w:rFonts w:ascii="Arial" w:hAnsi="Arial" w:cs="Arial"/>
                <w:bCs/>
                <w:lang w:val="en-US"/>
              </w:rPr>
            </w:pPr>
            <w:r w:rsidRPr="001F1D25">
              <w:rPr>
                <w:rFonts w:ascii="Arial" w:hAnsi="Arial" w:cs="Arial"/>
                <w:bCs/>
                <w:lang w:val="en-US"/>
              </w:rPr>
              <w:t>114,227</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795B2400" w14:textId="77777777" w:rsidR="001F1D25" w:rsidRPr="001F1D25" w:rsidRDefault="001F1D25" w:rsidP="001F1D25">
            <w:pPr>
              <w:jc w:val="center"/>
              <w:rPr>
                <w:rFonts w:ascii="Arial" w:hAnsi="Arial" w:cs="Arial"/>
                <w:bCs/>
                <w:lang w:val="en-US"/>
              </w:rPr>
            </w:pPr>
            <w:r w:rsidRPr="001F1D25">
              <w:rPr>
                <w:rFonts w:ascii="Arial" w:hAnsi="Arial" w:cs="Arial"/>
                <w:bCs/>
                <w:lang w:val="en-US"/>
              </w:rPr>
              <w:t>83,814</w:t>
            </w:r>
          </w:p>
        </w:tc>
      </w:tr>
      <w:tr w:rsidR="001F1D25" w:rsidRPr="001F1D25" w14:paraId="7DF64647"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47D4A48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Inventory turnover ratio</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3B8F9BB"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3.44</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A514C3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3.36</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BE6505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2.84</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1DA522C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2.83</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6334DC5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3.35</w:t>
            </w:r>
          </w:p>
        </w:tc>
      </w:tr>
      <w:tr w:rsidR="001F1D25" w:rsidRPr="001F1D25" w14:paraId="12DC872C"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6BF30CF9" w14:textId="77777777" w:rsidR="001F1D25" w:rsidRPr="001F1D25" w:rsidRDefault="001F1D25" w:rsidP="001F1D25">
            <w:pPr>
              <w:jc w:val="center"/>
              <w:rPr>
                <w:rFonts w:ascii="Arial" w:hAnsi="Arial" w:cs="Arial"/>
                <w:bCs/>
                <w:lang w:val="en-US"/>
              </w:rPr>
            </w:pPr>
            <w:r w:rsidRPr="001F1D25">
              <w:rPr>
                <w:rFonts w:ascii="Arial" w:hAnsi="Arial" w:cs="Arial"/>
                <w:bCs/>
                <w:lang w:val="en-US"/>
              </w:rPr>
              <w:t>(COGS/ average inventory)</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66459DF9"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17CA3A7E"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4432AFDE"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6791A50C"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5975AF8D" w14:textId="77777777" w:rsidR="001F1D25" w:rsidRPr="001F1D25" w:rsidRDefault="001F1D25" w:rsidP="001F1D25">
            <w:pPr>
              <w:jc w:val="center"/>
              <w:rPr>
                <w:rFonts w:ascii="Arial" w:hAnsi="Arial" w:cs="Arial"/>
                <w:bCs/>
                <w:lang w:val="en-US"/>
              </w:rPr>
            </w:pPr>
          </w:p>
        </w:tc>
      </w:tr>
      <w:tr w:rsidR="001F1D25" w:rsidRPr="001F1D25" w14:paraId="143C9FCC" w14:textId="77777777">
        <w:trPr>
          <w:trHeight w:val="336"/>
        </w:trPr>
        <w:tc>
          <w:tcPr>
            <w:tcW w:w="2186" w:type="pct"/>
            <w:noWrap/>
            <w:vAlign w:val="center"/>
          </w:tcPr>
          <w:p w14:paraId="313A5962" w14:textId="77777777" w:rsidR="001F1D25" w:rsidRPr="001F1D25" w:rsidRDefault="001F1D25" w:rsidP="001F1D25">
            <w:pPr>
              <w:jc w:val="center"/>
              <w:rPr>
                <w:rFonts w:ascii="Arial" w:hAnsi="Arial" w:cs="Arial"/>
                <w:bCs/>
                <w:lang w:val="en-US"/>
              </w:rPr>
            </w:pPr>
          </w:p>
        </w:tc>
        <w:tc>
          <w:tcPr>
            <w:tcW w:w="548" w:type="pct"/>
            <w:noWrap/>
            <w:vAlign w:val="center"/>
          </w:tcPr>
          <w:p w14:paraId="2683D97F" w14:textId="77777777" w:rsidR="001F1D25" w:rsidRPr="001F1D25" w:rsidRDefault="001F1D25" w:rsidP="001F1D25">
            <w:pPr>
              <w:jc w:val="center"/>
              <w:rPr>
                <w:rFonts w:ascii="Arial" w:hAnsi="Arial" w:cs="Arial"/>
                <w:bCs/>
                <w:lang w:val="en-US"/>
              </w:rPr>
            </w:pPr>
          </w:p>
        </w:tc>
        <w:tc>
          <w:tcPr>
            <w:tcW w:w="548" w:type="pct"/>
            <w:noWrap/>
            <w:vAlign w:val="center"/>
          </w:tcPr>
          <w:p w14:paraId="2B3BAF42" w14:textId="77777777" w:rsidR="001F1D25" w:rsidRPr="001F1D25" w:rsidRDefault="001F1D25" w:rsidP="001F1D25">
            <w:pPr>
              <w:jc w:val="center"/>
              <w:rPr>
                <w:rFonts w:ascii="Arial" w:hAnsi="Arial" w:cs="Arial"/>
                <w:bCs/>
                <w:lang w:val="en-US"/>
              </w:rPr>
            </w:pPr>
          </w:p>
        </w:tc>
        <w:tc>
          <w:tcPr>
            <w:tcW w:w="548" w:type="pct"/>
            <w:noWrap/>
            <w:vAlign w:val="center"/>
          </w:tcPr>
          <w:p w14:paraId="2BBF53D0" w14:textId="77777777" w:rsidR="001F1D25" w:rsidRPr="001F1D25" w:rsidRDefault="001F1D25" w:rsidP="001F1D25">
            <w:pPr>
              <w:jc w:val="center"/>
              <w:rPr>
                <w:rFonts w:ascii="Arial" w:hAnsi="Arial" w:cs="Arial"/>
                <w:bCs/>
                <w:lang w:val="en-US"/>
              </w:rPr>
            </w:pPr>
          </w:p>
        </w:tc>
        <w:tc>
          <w:tcPr>
            <w:tcW w:w="583" w:type="pct"/>
            <w:noWrap/>
            <w:vAlign w:val="center"/>
          </w:tcPr>
          <w:p w14:paraId="65FF2E6C" w14:textId="77777777" w:rsidR="001F1D25" w:rsidRPr="001F1D25" w:rsidRDefault="001F1D25" w:rsidP="001F1D25">
            <w:pPr>
              <w:jc w:val="center"/>
              <w:rPr>
                <w:rFonts w:ascii="Arial" w:hAnsi="Arial" w:cs="Arial"/>
                <w:bCs/>
                <w:lang w:val="en-US"/>
              </w:rPr>
            </w:pPr>
          </w:p>
        </w:tc>
        <w:tc>
          <w:tcPr>
            <w:tcW w:w="584" w:type="pct"/>
            <w:noWrap/>
            <w:vAlign w:val="center"/>
          </w:tcPr>
          <w:p w14:paraId="09A4D99A" w14:textId="77777777" w:rsidR="001F1D25" w:rsidRPr="001F1D25" w:rsidRDefault="001F1D25" w:rsidP="001F1D25">
            <w:pPr>
              <w:jc w:val="center"/>
              <w:rPr>
                <w:rFonts w:ascii="Arial" w:hAnsi="Arial" w:cs="Arial"/>
                <w:bCs/>
                <w:lang w:val="en-US"/>
              </w:rPr>
            </w:pPr>
          </w:p>
        </w:tc>
      </w:tr>
      <w:tr w:rsidR="001F1D25" w:rsidRPr="001F1D25" w14:paraId="78316A8A"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4CB0715"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Gearing Ratios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BDBB6C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6FEC2F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168B123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2022</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7046AB8F"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2023</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6230762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2024</w:t>
            </w:r>
          </w:p>
        </w:tc>
      </w:tr>
      <w:tr w:rsidR="001F1D25" w:rsidRPr="001F1D25" w14:paraId="4AA063D5"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1AD12F10" w14:textId="77777777" w:rsidR="001F1D25" w:rsidRPr="001F1D25" w:rsidRDefault="001F1D25" w:rsidP="001F1D25">
            <w:pPr>
              <w:jc w:val="center"/>
              <w:rPr>
                <w:rFonts w:ascii="Arial" w:hAnsi="Arial" w:cs="Arial"/>
                <w:bCs/>
                <w:lang w:val="en-US"/>
              </w:rPr>
            </w:pPr>
            <w:r w:rsidRPr="001F1D25">
              <w:rPr>
                <w:rFonts w:ascii="Arial" w:hAnsi="Arial" w:cs="Arial"/>
                <w:bCs/>
                <w:lang w:val="en-US"/>
              </w:rPr>
              <w:t>Debt</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66074743" w14:textId="77777777" w:rsidR="001F1D25" w:rsidRPr="001F1D25" w:rsidRDefault="001F1D25" w:rsidP="001F1D25">
            <w:pPr>
              <w:jc w:val="center"/>
              <w:rPr>
                <w:rFonts w:ascii="Arial" w:hAnsi="Arial" w:cs="Arial"/>
                <w:bCs/>
                <w:lang w:val="en-US"/>
              </w:rPr>
            </w:pPr>
            <w:r w:rsidRPr="001F1D25">
              <w:rPr>
                <w:rFonts w:ascii="Arial" w:hAnsi="Arial" w:cs="Arial"/>
                <w:bCs/>
                <w:lang w:val="en-US"/>
              </w:rPr>
              <w:t>196,989</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4045B5FF" w14:textId="77777777" w:rsidR="001F1D25" w:rsidRPr="001F1D25" w:rsidRDefault="001F1D25" w:rsidP="001F1D25">
            <w:pPr>
              <w:jc w:val="center"/>
              <w:rPr>
                <w:rFonts w:ascii="Arial" w:hAnsi="Arial" w:cs="Arial"/>
                <w:bCs/>
                <w:lang w:val="en-US"/>
              </w:rPr>
            </w:pPr>
            <w:r w:rsidRPr="001F1D25">
              <w:rPr>
                <w:rFonts w:ascii="Arial" w:hAnsi="Arial" w:cs="Arial"/>
                <w:bCs/>
                <w:lang w:val="en-US"/>
              </w:rPr>
              <w:t>234,399</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4D63DD9D" w14:textId="77777777" w:rsidR="001F1D25" w:rsidRPr="001F1D25" w:rsidRDefault="001F1D25" w:rsidP="001F1D25">
            <w:pPr>
              <w:jc w:val="center"/>
              <w:rPr>
                <w:rFonts w:ascii="Arial" w:hAnsi="Arial" w:cs="Arial"/>
                <w:bCs/>
                <w:lang w:val="en-US"/>
              </w:rPr>
            </w:pPr>
            <w:r w:rsidRPr="001F1D25">
              <w:rPr>
                <w:rFonts w:ascii="Arial" w:hAnsi="Arial" w:cs="Arial"/>
                <w:bCs/>
                <w:lang w:val="en-US"/>
              </w:rPr>
              <w:t>235,757</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0B39B20B" w14:textId="77777777" w:rsidR="001F1D25" w:rsidRPr="001F1D25" w:rsidRDefault="001F1D25" w:rsidP="001F1D25">
            <w:pPr>
              <w:jc w:val="center"/>
              <w:rPr>
                <w:rFonts w:ascii="Arial" w:hAnsi="Arial" w:cs="Arial"/>
                <w:bCs/>
                <w:lang w:val="en-US"/>
              </w:rPr>
            </w:pPr>
            <w:r w:rsidRPr="001F1D25">
              <w:rPr>
                <w:rFonts w:ascii="Arial" w:hAnsi="Arial" w:cs="Arial"/>
                <w:bCs/>
                <w:lang w:val="en-US"/>
              </w:rPr>
              <w:t>176,952</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3F7019F3" w14:textId="77777777" w:rsidR="001F1D25" w:rsidRPr="001F1D25" w:rsidRDefault="001F1D25" w:rsidP="001F1D25">
            <w:pPr>
              <w:jc w:val="center"/>
              <w:rPr>
                <w:rFonts w:ascii="Arial" w:hAnsi="Arial" w:cs="Arial"/>
                <w:bCs/>
                <w:lang w:val="en-US"/>
              </w:rPr>
            </w:pPr>
            <w:r w:rsidRPr="001F1D25">
              <w:rPr>
                <w:rFonts w:ascii="Arial" w:hAnsi="Arial" w:cs="Arial"/>
                <w:bCs/>
                <w:lang w:val="en-US"/>
              </w:rPr>
              <w:t>170,249</w:t>
            </w:r>
          </w:p>
        </w:tc>
      </w:tr>
      <w:tr w:rsidR="001F1D25" w:rsidRPr="001F1D25" w14:paraId="42A5A713"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0622B315" w14:textId="77777777" w:rsidR="001F1D25" w:rsidRPr="001F1D25" w:rsidRDefault="001F1D25" w:rsidP="001F1D25">
            <w:pPr>
              <w:jc w:val="center"/>
              <w:rPr>
                <w:rFonts w:ascii="Arial" w:hAnsi="Arial" w:cs="Arial"/>
                <w:bCs/>
                <w:lang w:val="en-US"/>
              </w:rPr>
            </w:pPr>
            <w:r w:rsidRPr="001F1D25">
              <w:rPr>
                <w:rFonts w:ascii="Arial" w:hAnsi="Arial" w:cs="Arial"/>
                <w:bCs/>
                <w:lang w:val="en-US"/>
              </w:rPr>
              <w:t>Equity</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C3CD1CA" w14:textId="77777777" w:rsidR="001F1D25" w:rsidRPr="001F1D25" w:rsidRDefault="001F1D25" w:rsidP="001F1D25">
            <w:pPr>
              <w:jc w:val="center"/>
              <w:rPr>
                <w:rFonts w:ascii="Arial" w:hAnsi="Arial" w:cs="Arial"/>
                <w:bCs/>
                <w:lang w:val="en-US"/>
              </w:rPr>
            </w:pPr>
            <w:r w:rsidRPr="001F1D25">
              <w:rPr>
                <w:rFonts w:ascii="Arial" w:hAnsi="Arial" w:cs="Arial"/>
                <w:bCs/>
                <w:lang w:val="en-US"/>
              </w:rPr>
              <w:t>313,301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449362F" w14:textId="77777777" w:rsidR="001F1D25" w:rsidRPr="001F1D25" w:rsidRDefault="001F1D25" w:rsidP="001F1D25">
            <w:pPr>
              <w:jc w:val="center"/>
              <w:rPr>
                <w:rFonts w:ascii="Arial" w:hAnsi="Arial" w:cs="Arial"/>
                <w:bCs/>
                <w:lang w:val="en-US"/>
              </w:rPr>
            </w:pPr>
            <w:r w:rsidRPr="001F1D25">
              <w:rPr>
                <w:rFonts w:ascii="Arial" w:hAnsi="Arial" w:cs="Arial"/>
                <w:bCs/>
                <w:lang w:val="en-US"/>
              </w:rPr>
              <w:t>275,949</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7B07008" w14:textId="77777777" w:rsidR="001F1D25" w:rsidRPr="001F1D25" w:rsidRDefault="001F1D25" w:rsidP="001F1D25">
            <w:pPr>
              <w:jc w:val="center"/>
              <w:rPr>
                <w:rFonts w:ascii="Arial" w:hAnsi="Arial" w:cs="Arial"/>
                <w:bCs/>
                <w:lang w:val="en-US"/>
              </w:rPr>
            </w:pPr>
            <w:r w:rsidRPr="001F1D25">
              <w:rPr>
                <w:rFonts w:ascii="Arial" w:hAnsi="Arial" w:cs="Arial"/>
                <w:bCs/>
                <w:lang w:val="en-US"/>
              </w:rPr>
              <w:t>268,406</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56C6BD45" w14:textId="77777777" w:rsidR="001F1D25" w:rsidRPr="001F1D25" w:rsidRDefault="001F1D25" w:rsidP="001F1D25">
            <w:pPr>
              <w:jc w:val="center"/>
              <w:rPr>
                <w:rFonts w:ascii="Arial" w:hAnsi="Arial" w:cs="Arial"/>
                <w:bCs/>
                <w:lang w:val="en-US"/>
              </w:rPr>
            </w:pPr>
            <w:r w:rsidRPr="001F1D25">
              <w:rPr>
                <w:rFonts w:ascii="Arial" w:hAnsi="Arial" w:cs="Arial"/>
                <w:bCs/>
                <w:lang w:val="en-US"/>
              </w:rPr>
              <w:t>178,920</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2157DC28" w14:textId="77777777" w:rsidR="001F1D25" w:rsidRPr="001F1D25" w:rsidRDefault="001F1D25" w:rsidP="001F1D25">
            <w:pPr>
              <w:jc w:val="center"/>
              <w:rPr>
                <w:rFonts w:ascii="Arial" w:hAnsi="Arial" w:cs="Arial"/>
                <w:bCs/>
                <w:lang w:val="en-US"/>
              </w:rPr>
            </w:pPr>
            <w:r w:rsidRPr="001F1D25">
              <w:rPr>
                <w:rFonts w:ascii="Arial" w:hAnsi="Arial" w:cs="Arial"/>
                <w:bCs/>
                <w:lang w:val="en-US"/>
              </w:rPr>
              <w:t>153,105</w:t>
            </w:r>
          </w:p>
        </w:tc>
      </w:tr>
      <w:tr w:rsidR="001F1D25" w:rsidRPr="001F1D25" w14:paraId="3DFDCD78"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680754BF"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Debt-equity ratio</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C4B233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0.63</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6992CA2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0.85</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3F62E80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0.88</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506D346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0.99</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0880530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1.11</w:t>
            </w:r>
          </w:p>
        </w:tc>
      </w:tr>
      <w:tr w:rsidR="001F1D25" w:rsidRPr="001F1D25" w14:paraId="1DB034E9"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4CC04897" w14:textId="77777777" w:rsidR="001F1D25" w:rsidRPr="001F1D25" w:rsidRDefault="001F1D25" w:rsidP="001F1D25">
            <w:pPr>
              <w:jc w:val="center"/>
              <w:rPr>
                <w:rFonts w:ascii="Arial" w:hAnsi="Arial" w:cs="Arial"/>
                <w:bCs/>
                <w:lang w:val="en-US"/>
              </w:rPr>
            </w:pPr>
            <w:r w:rsidRPr="001F1D25">
              <w:rPr>
                <w:rFonts w:ascii="Arial" w:hAnsi="Arial" w:cs="Arial"/>
                <w:bCs/>
                <w:lang w:val="en-US"/>
              </w:rPr>
              <w:t>(Debt/equity)</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07AD9416"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2916D18E"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6B720BF3"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1141618A"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1447B324" w14:textId="77777777" w:rsidR="001F1D25" w:rsidRPr="001F1D25" w:rsidRDefault="001F1D25" w:rsidP="001F1D25">
            <w:pPr>
              <w:jc w:val="center"/>
              <w:rPr>
                <w:rFonts w:ascii="Arial" w:hAnsi="Arial" w:cs="Arial"/>
                <w:bCs/>
                <w:lang w:val="en-US"/>
              </w:rPr>
            </w:pPr>
          </w:p>
        </w:tc>
      </w:tr>
      <w:tr w:rsidR="001F1D25" w:rsidRPr="001F1D25" w14:paraId="38931924"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tcPr>
          <w:p w14:paraId="0BEA9767"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41BF0C35"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59441329"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239FF7CB"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4AF1EFCD"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3E896922" w14:textId="77777777" w:rsidR="001F1D25" w:rsidRPr="001F1D25" w:rsidRDefault="001F1D25" w:rsidP="001F1D25">
            <w:pPr>
              <w:jc w:val="center"/>
              <w:rPr>
                <w:rFonts w:ascii="Arial" w:hAnsi="Arial" w:cs="Arial"/>
                <w:bCs/>
                <w:lang w:val="en-US"/>
              </w:rPr>
            </w:pPr>
          </w:p>
        </w:tc>
      </w:tr>
      <w:tr w:rsidR="001F1D25" w:rsidRPr="001F1D25" w14:paraId="79E19ACB"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E38411B" w14:textId="77777777" w:rsidR="001F1D25" w:rsidRPr="001F1D25" w:rsidRDefault="001F1D25" w:rsidP="001F1D25">
            <w:pPr>
              <w:jc w:val="center"/>
              <w:rPr>
                <w:rFonts w:ascii="Arial" w:hAnsi="Arial" w:cs="Arial"/>
                <w:bCs/>
                <w:lang w:val="en-US"/>
              </w:rPr>
            </w:pPr>
            <w:r w:rsidRPr="001F1D25">
              <w:rPr>
                <w:rFonts w:ascii="Arial" w:hAnsi="Arial" w:cs="Arial"/>
                <w:bCs/>
                <w:lang w:val="en-US"/>
              </w:rPr>
              <w:lastRenderedPageBreak/>
              <w:t>EBIT</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4F26B081" w14:textId="77777777" w:rsidR="001F1D25" w:rsidRPr="001F1D25" w:rsidRDefault="001F1D25" w:rsidP="001F1D25">
            <w:pPr>
              <w:jc w:val="center"/>
              <w:rPr>
                <w:rFonts w:ascii="Arial" w:hAnsi="Arial" w:cs="Arial"/>
                <w:bCs/>
                <w:lang w:val="en-US"/>
              </w:rPr>
            </w:pPr>
            <w:r w:rsidRPr="001F1D25">
              <w:rPr>
                <w:rFonts w:ascii="Arial" w:hAnsi="Arial" w:cs="Arial"/>
                <w:bCs/>
                <w:lang w:val="en-US"/>
              </w:rPr>
              <w:t>37,267</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1A4E1CE8" w14:textId="77777777" w:rsidR="001F1D25" w:rsidRPr="001F1D25" w:rsidRDefault="001F1D25" w:rsidP="001F1D25">
            <w:pPr>
              <w:jc w:val="center"/>
              <w:rPr>
                <w:rFonts w:ascii="Arial" w:hAnsi="Arial" w:cs="Arial"/>
                <w:bCs/>
                <w:lang w:val="en-US"/>
              </w:rPr>
            </w:pPr>
            <w:r w:rsidRPr="001F1D25">
              <w:rPr>
                <w:rFonts w:ascii="Arial" w:hAnsi="Arial" w:cs="Arial"/>
                <w:bCs/>
                <w:lang w:val="en-US"/>
              </w:rPr>
              <w:t>23,253</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41B7B42B" w14:textId="77777777" w:rsidR="001F1D25" w:rsidRPr="001F1D25" w:rsidRDefault="001F1D25" w:rsidP="001F1D25">
            <w:pPr>
              <w:jc w:val="center"/>
              <w:rPr>
                <w:rFonts w:ascii="Arial" w:hAnsi="Arial" w:cs="Arial"/>
                <w:bCs/>
                <w:lang w:val="en-US"/>
              </w:rPr>
            </w:pPr>
            <w:r w:rsidRPr="001F1D25">
              <w:rPr>
                <w:rFonts w:ascii="Arial" w:hAnsi="Arial" w:cs="Arial"/>
                <w:bCs/>
                <w:lang w:val="en-US"/>
              </w:rPr>
              <w:t>14,548</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3F879ED4" w14:textId="77777777" w:rsidR="001F1D25" w:rsidRPr="001F1D25" w:rsidRDefault="001F1D25" w:rsidP="001F1D25">
            <w:pPr>
              <w:jc w:val="center"/>
              <w:rPr>
                <w:rFonts w:ascii="Arial" w:hAnsi="Arial" w:cs="Arial"/>
                <w:bCs/>
                <w:lang w:val="en-US"/>
              </w:rPr>
            </w:pPr>
            <w:r w:rsidRPr="001F1D25">
              <w:rPr>
                <w:rFonts w:ascii="Arial" w:hAnsi="Arial" w:cs="Arial"/>
                <w:bCs/>
                <w:lang w:val="en-US"/>
              </w:rPr>
              <w:t>-85,301</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50E4F040" w14:textId="77777777" w:rsidR="001F1D25" w:rsidRPr="001F1D25" w:rsidRDefault="001F1D25" w:rsidP="001F1D25">
            <w:pPr>
              <w:jc w:val="center"/>
              <w:rPr>
                <w:rFonts w:ascii="Arial" w:hAnsi="Arial" w:cs="Arial"/>
                <w:bCs/>
                <w:lang w:val="en-US"/>
              </w:rPr>
            </w:pPr>
            <w:r w:rsidRPr="001F1D25">
              <w:rPr>
                <w:rFonts w:ascii="Arial" w:hAnsi="Arial" w:cs="Arial"/>
                <w:bCs/>
                <w:lang w:val="en-US"/>
              </w:rPr>
              <w:t>-15,297</w:t>
            </w:r>
          </w:p>
        </w:tc>
      </w:tr>
      <w:tr w:rsidR="001F1D25" w:rsidRPr="001F1D25" w14:paraId="245045A4"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5EFC4BE4" w14:textId="77777777" w:rsidR="001F1D25" w:rsidRPr="001F1D25" w:rsidRDefault="001F1D25" w:rsidP="001F1D25">
            <w:pPr>
              <w:jc w:val="center"/>
              <w:rPr>
                <w:rFonts w:ascii="Arial" w:hAnsi="Arial" w:cs="Arial"/>
                <w:bCs/>
                <w:lang w:val="en-US"/>
              </w:rPr>
            </w:pPr>
            <w:r w:rsidRPr="001F1D25">
              <w:rPr>
                <w:rFonts w:ascii="Arial" w:hAnsi="Arial" w:cs="Arial"/>
                <w:bCs/>
                <w:lang w:val="en-US"/>
              </w:rPr>
              <w:t>Interest</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0FF84445" w14:textId="77777777" w:rsidR="001F1D25" w:rsidRPr="001F1D25" w:rsidRDefault="001F1D25" w:rsidP="001F1D25">
            <w:pPr>
              <w:jc w:val="center"/>
              <w:rPr>
                <w:rFonts w:ascii="Arial" w:hAnsi="Arial" w:cs="Arial"/>
                <w:bCs/>
                <w:lang w:val="en-US"/>
              </w:rPr>
            </w:pPr>
            <w:r w:rsidRPr="001F1D25">
              <w:rPr>
                <w:rFonts w:ascii="Arial" w:hAnsi="Arial" w:cs="Arial"/>
                <w:bCs/>
                <w:lang w:val="en-US"/>
              </w:rPr>
              <w:t>1,422</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425FC7C2" w14:textId="77777777" w:rsidR="001F1D25" w:rsidRPr="001F1D25" w:rsidRDefault="001F1D25" w:rsidP="001F1D25">
            <w:pPr>
              <w:jc w:val="center"/>
              <w:rPr>
                <w:rFonts w:ascii="Arial" w:hAnsi="Arial" w:cs="Arial"/>
                <w:bCs/>
                <w:lang w:val="en-US"/>
              </w:rPr>
            </w:pPr>
            <w:r w:rsidRPr="001F1D25">
              <w:rPr>
                <w:rFonts w:ascii="Arial" w:hAnsi="Arial" w:cs="Arial"/>
                <w:bCs/>
                <w:lang w:val="en-US"/>
              </w:rPr>
              <w:t>566</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6F7F3C42" w14:textId="77777777" w:rsidR="001F1D25" w:rsidRPr="001F1D25" w:rsidRDefault="001F1D25" w:rsidP="001F1D25">
            <w:pPr>
              <w:jc w:val="center"/>
              <w:rPr>
                <w:rFonts w:ascii="Arial" w:hAnsi="Arial" w:cs="Arial"/>
                <w:bCs/>
                <w:lang w:val="en-US"/>
              </w:rPr>
            </w:pPr>
            <w:r w:rsidRPr="001F1D25">
              <w:rPr>
                <w:rFonts w:ascii="Arial" w:hAnsi="Arial" w:cs="Arial"/>
                <w:bCs/>
                <w:lang w:val="en-US"/>
              </w:rPr>
              <w:t>2,200</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7F37A78F" w14:textId="77777777" w:rsidR="001F1D25" w:rsidRPr="001F1D25" w:rsidRDefault="001F1D25" w:rsidP="001F1D25">
            <w:pPr>
              <w:jc w:val="center"/>
              <w:rPr>
                <w:rFonts w:ascii="Arial" w:hAnsi="Arial" w:cs="Arial"/>
                <w:bCs/>
                <w:lang w:val="en-US"/>
              </w:rPr>
            </w:pPr>
            <w:r w:rsidRPr="001F1D25">
              <w:rPr>
                <w:rFonts w:ascii="Arial" w:hAnsi="Arial" w:cs="Arial"/>
                <w:bCs/>
                <w:lang w:val="en-US"/>
              </w:rPr>
              <w:t>4,332</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15241542" w14:textId="77777777" w:rsidR="001F1D25" w:rsidRPr="001F1D25" w:rsidRDefault="001F1D25" w:rsidP="001F1D25">
            <w:pPr>
              <w:jc w:val="center"/>
              <w:rPr>
                <w:rFonts w:ascii="Arial" w:hAnsi="Arial" w:cs="Arial"/>
                <w:bCs/>
                <w:lang w:val="en-US"/>
              </w:rPr>
            </w:pPr>
            <w:r w:rsidRPr="001F1D25">
              <w:rPr>
                <w:rFonts w:ascii="Arial" w:hAnsi="Arial" w:cs="Arial"/>
                <w:bCs/>
                <w:lang w:val="en-US"/>
              </w:rPr>
              <w:t>3,361</w:t>
            </w:r>
          </w:p>
        </w:tc>
      </w:tr>
      <w:tr w:rsidR="001F1D25" w:rsidRPr="001F1D25" w14:paraId="6CFDE76D"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368C750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Interest coverage ratio</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57350B5"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26.21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3EC198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41.08</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39D225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6.61</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7E3B680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-19.69</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4811C6A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-4.55</w:t>
            </w:r>
          </w:p>
        </w:tc>
      </w:tr>
      <w:tr w:rsidR="001F1D25" w:rsidRPr="001F1D25" w14:paraId="4F869308"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63A431BD" w14:textId="77777777" w:rsidR="001F1D25" w:rsidRPr="001F1D25" w:rsidRDefault="001F1D25" w:rsidP="001F1D25">
            <w:pPr>
              <w:jc w:val="center"/>
              <w:rPr>
                <w:rFonts w:ascii="Arial" w:hAnsi="Arial" w:cs="Arial"/>
                <w:bCs/>
                <w:lang w:val="en-US"/>
              </w:rPr>
            </w:pPr>
            <w:r w:rsidRPr="001F1D25">
              <w:rPr>
                <w:rFonts w:ascii="Arial" w:hAnsi="Arial" w:cs="Arial"/>
                <w:bCs/>
                <w:lang w:val="en-US"/>
              </w:rPr>
              <w:t>EBIT/ interest</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2D15044A"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1A52628D"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659B82A1"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19EF384D"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094FA556" w14:textId="77777777" w:rsidR="001F1D25" w:rsidRPr="001F1D25" w:rsidRDefault="001F1D25" w:rsidP="001F1D25">
            <w:pPr>
              <w:jc w:val="center"/>
              <w:rPr>
                <w:rFonts w:ascii="Arial" w:hAnsi="Arial" w:cs="Arial"/>
                <w:bCs/>
                <w:lang w:val="en-US"/>
              </w:rPr>
            </w:pPr>
          </w:p>
        </w:tc>
      </w:tr>
      <w:tr w:rsidR="001F1D25" w:rsidRPr="001F1D25" w14:paraId="6FACD121" w14:textId="77777777">
        <w:trPr>
          <w:trHeight w:val="336"/>
        </w:trPr>
        <w:tc>
          <w:tcPr>
            <w:tcW w:w="2186" w:type="pct"/>
            <w:noWrap/>
            <w:vAlign w:val="center"/>
          </w:tcPr>
          <w:p w14:paraId="78C37BFC" w14:textId="77777777" w:rsidR="001F1D25" w:rsidRPr="001F1D25" w:rsidRDefault="001F1D25" w:rsidP="001F1D25">
            <w:pPr>
              <w:jc w:val="center"/>
              <w:rPr>
                <w:rFonts w:ascii="Arial" w:hAnsi="Arial" w:cs="Arial"/>
                <w:bCs/>
                <w:lang w:val="en-US"/>
              </w:rPr>
            </w:pPr>
          </w:p>
        </w:tc>
        <w:tc>
          <w:tcPr>
            <w:tcW w:w="548" w:type="pct"/>
            <w:noWrap/>
            <w:vAlign w:val="center"/>
          </w:tcPr>
          <w:p w14:paraId="7E7869D4" w14:textId="77777777" w:rsidR="001F1D25" w:rsidRPr="001F1D25" w:rsidRDefault="001F1D25" w:rsidP="001F1D25">
            <w:pPr>
              <w:jc w:val="center"/>
              <w:rPr>
                <w:rFonts w:ascii="Arial" w:hAnsi="Arial" w:cs="Arial"/>
                <w:bCs/>
                <w:lang w:val="en-US"/>
              </w:rPr>
            </w:pPr>
          </w:p>
        </w:tc>
        <w:tc>
          <w:tcPr>
            <w:tcW w:w="548" w:type="pct"/>
            <w:noWrap/>
            <w:vAlign w:val="center"/>
          </w:tcPr>
          <w:p w14:paraId="6C80F0CF" w14:textId="77777777" w:rsidR="001F1D25" w:rsidRPr="001F1D25" w:rsidRDefault="001F1D25" w:rsidP="001F1D25">
            <w:pPr>
              <w:jc w:val="center"/>
              <w:rPr>
                <w:rFonts w:ascii="Arial" w:hAnsi="Arial" w:cs="Arial"/>
                <w:bCs/>
                <w:lang w:val="en-US"/>
              </w:rPr>
            </w:pPr>
          </w:p>
        </w:tc>
        <w:tc>
          <w:tcPr>
            <w:tcW w:w="548" w:type="pct"/>
            <w:noWrap/>
            <w:vAlign w:val="center"/>
          </w:tcPr>
          <w:p w14:paraId="29A32CB6" w14:textId="77777777" w:rsidR="001F1D25" w:rsidRPr="001F1D25" w:rsidRDefault="001F1D25" w:rsidP="001F1D25">
            <w:pPr>
              <w:jc w:val="center"/>
              <w:rPr>
                <w:rFonts w:ascii="Arial" w:hAnsi="Arial" w:cs="Arial"/>
                <w:bCs/>
                <w:lang w:val="en-US"/>
              </w:rPr>
            </w:pPr>
          </w:p>
        </w:tc>
        <w:tc>
          <w:tcPr>
            <w:tcW w:w="583" w:type="pct"/>
            <w:noWrap/>
            <w:vAlign w:val="center"/>
          </w:tcPr>
          <w:p w14:paraId="73F7112A" w14:textId="77777777" w:rsidR="001F1D25" w:rsidRPr="001F1D25" w:rsidRDefault="001F1D25" w:rsidP="001F1D25">
            <w:pPr>
              <w:jc w:val="center"/>
              <w:rPr>
                <w:rFonts w:ascii="Arial" w:hAnsi="Arial" w:cs="Arial"/>
                <w:bCs/>
                <w:lang w:val="en-US"/>
              </w:rPr>
            </w:pPr>
          </w:p>
        </w:tc>
        <w:tc>
          <w:tcPr>
            <w:tcW w:w="584" w:type="pct"/>
            <w:noWrap/>
            <w:vAlign w:val="center"/>
          </w:tcPr>
          <w:p w14:paraId="685A6A4C" w14:textId="77777777" w:rsidR="001F1D25" w:rsidRPr="001F1D25" w:rsidRDefault="001F1D25" w:rsidP="001F1D25">
            <w:pPr>
              <w:jc w:val="center"/>
              <w:rPr>
                <w:rFonts w:ascii="Arial" w:hAnsi="Arial" w:cs="Arial"/>
                <w:bCs/>
                <w:lang w:val="en-US"/>
              </w:rPr>
            </w:pPr>
          </w:p>
        </w:tc>
      </w:tr>
      <w:tr w:rsidR="001F1D25" w:rsidRPr="001F1D25" w14:paraId="39F04E81"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53DFD1E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Investment Ratios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C85638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3447807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36173F7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2022</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34E9F4C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2023</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0E60FDAB"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2024</w:t>
            </w:r>
          </w:p>
        </w:tc>
      </w:tr>
      <w:tr w:rsidR="001F1D25" w:rsidRPr="001F1D25" w14:paraId="1E7DAD74"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53008C58" w14:textId="77777777" w:rsidR="001F1D25" w:rsidRPr="001F1D25" w:rsidRDefault="001F1D25" w:rsidP="001F1D25">
            <w:pPr>
              <w:jc w:val="center"/>
              <w:rPr>
                <w:rFonts w:ascii="Arial" w:hAnsi="Arial" w:cs="Arial"/>
                <w:bCs/>
                <w:lang w:val="en-US"/>
              </w:rPr>
            </w:pPr>
            <w:r w:rsidRPr="001F1D25">
              <w:rPr>
                <w:rFonts w:ascii="Arial" w:hAnsi="Arial" w:cs="Arial"/>
                <w:bCs/>
                <w:lang w:val="en-US"/>
              </w:rPr>
              <w:t>Earnings</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5714F1DF" w14:textId="77777777" w:rsidR="001F1D25" w:rsidRPr="001F1D25" w:rsidRDefault="001F1D25" w:rsidP="001F1D25">
            <w:pPr>
              <w:jc w:val="center"/>
              <w:rPr>
                <w:rFonts w:ascii="Arial" w:hAnsi="Arial" w:cs="Arial"/>
                <w:bCs/>
                <w:lang w:val="en-US"/>
              </w:rPr>
            </w:pPr>
            <w:r w:rsidRPr="001F1D25">
              <w:rPr>
                <w:rFonts w:ascii="Arial" w:hAnsi="Arial" w:cs="Arial"/>
                <w:bCs/>
                <w:lang w:val="en-US"/>
              </w:rPr>
              <w:t>38,572</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598FD30C" w14:textId="77777777" w:rsidR="001F1D25" w:rsidRPr="001F1D25" w:rsidRDefault="001F1D25" w:rsidP="001F1D25">
            <w:pPr>
              <w:jc w:val="center"/>
              <w:rPr>
                <w:rFonts w:ascii="Arial" w:hAnsi="Arial" w:cs="Arial"/>
                <w:bCs/>
                <w:lang w:val="en-US"/>
              </w:rPr>
            </w:pPr>
            <w:r w:rsidRPr="001F1D25">
              <w:rPr>
                <w:rFonts w:ascii="Arial" w:hAnsi="Arial" w:cs="Arial"/>
                <w:bCs/>
                <w:lang w:val="en-US"/>
              </w:rPr>
              <w:t>5,301</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7DA067CB" w14:textId="77777777" w:rsidR="001F1D25" w:rsidRPr="001F1D25" w:rsidRDefault="001F1D25" w:rsidP="001F1D25">
            <w:pPr>
              <w:jc w:val="center"/>
              <w:rPr>
                <w:rFonts w:ascii="Arial" w:hAnsi="Arial" w:cs="Arial"/>
                <w:bCs/>
                <w:lang w:val="en-US"/>
              </w:rPr>
            </w:pPr>
            <w:r w:rsidRPr="001F1D25">
              <w:rPr>
                <w:rFonts w:ascii="Arial" w:hAnsi="Arial" w:cs="Arial"/>
                <w:bCs/>
                <w:lang w:val="en-US"/>
              </w:rPr>
              <w:t>407</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0DBAE14B" w14:textId="77777777" w:rsidR="001F1D25" w:rsidRPr="001F1D25" w:rsidRDefault="001F1D25" w:rsidP="001F1D25">
            <w:pPr>
              <w:jc w:val="center"/>
              <w:rPr>
                <w:rFonts w:ascii="Arial" w:hAnsi="Arial" w:cs="Arial"/>
                <w:bCs/>
                <w:lang w:val="en-US"/>
              </w:rPr>
            </w:pPr>
            <w:r w:rsidRPr="001F1D25">
              <w:rPr>
                <w:rFonts w:ascii="Arial" w:hAnsi="Arial" w:cs="Arial"/>
                <w:bCs/>
                <w:lang w:val="en-US"/>
              </w:rPr>
              <w:t>-98,238</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5561A82D" w14:textId="77777777" w:rsidR="001F1D25" w:rsidRPr="001F1D25" w:rsidRDefault="001F1D25" w:rsidP="001F1D25">
            <w:pPr>
              <w:jc w:val="center"/>
              <w:rPr>
                <w:rFonts w:ascii="Arial" w:hAnsi="Arial" w:cs="Arial"/>
                <w:bCs/>
                <w:lang w:val="en-US"/>
              </w:rPr>
            </w:pPr>
            <w:r w:rsidRPr="001F1D25">
              <w:rPr>
                <w:rFonts w:ascii="Arial" w:hAnsi="Arial" w:cs="Arial"/>
                <w:bCs/>
                <w:lang w:val="en-US"/>
              </w:rPr>
              <w:t>-24,029</w:t>
            </w:r>
          </w:p>
        </w:tc>
      </w:tr>
      <w:tr w:rsidR="001F1D25" w:rsidRPr="001F1D25" w14:paraId="4C83B0E2"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5673EC38" w14:textId="77777777" w:rsidR="001F1D25" w:rsidRPr="001F1D25" w:rsidRDefault="001F1D25" w:rsidP="001F1D25">
            <w:pPr>
              <w:jc w:val="center"/>
              <w:rPr>
                <w:rFonts w:ascii="Arial" w:hAnsi="Arial" w:cs="Arial"/>
                <w:bCs/>
                <w:lang w:val="en-US"/>
              </w:rPr>
            </w:pPr>
            <w:r w:rsidRPr="001F1D25">
              <w:rPr>
                <w:rFonts w:ascii="Arial" w:hAnsi="Arial" w:cs="Arial"/>
                <w:bCs/>
                <w:lang w:val="en-US"/>
              </w:rPr>
              <w:t>Outstanding shares</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3839F936" w14:textId="77777777" w:rsidR="001F1D25" w:rsidRPr="001F1D25" w:rsidRDefault="001F1D25" w:rsidP="001F1D25">
            <w:pPr>
              <w:jc w:val="center"/>
              <w:rPr>
                <w:rFonts w:ascii="Arial" w:hAnsi="Arial" w:cs="Arial"/>
                <w:bCs/>
                <w:lang w:val="en-US"/>
              </w:rPr>
            </w:pPr>
            <w:r w:rsidRPr="001F1D25">
              <w:rPr>
                <w:rFonts w:ascii="Arial" w:hAnsi="Arial" w:cs="Arial"/>
                <w:bCs/>
                <w:lang w:val="en-US"/>
              </w:rPr>
              <w:t>13,893</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231A506E" w14:textId="77777777" w:rsidR="001F1D25" w:rsidRPr="001F1D25" w:rsidRDefault="001F1D25" w:rsidP="001F1D25">
            <w:pPr>
              <w:jc w:val="center"/>
              <w:rPr>
                <w:rFonts w:ascii="Arial" w:hAnsi="Arial" w:cs="Arial"/>
                <w:bCs/>
                <w:lang w:val="en-US"/>
              </w:rPr>
            </w:pPr>
            <w:r w:rsidRPr="001F1D25">
              <w:rPr>
                <w:rFonts w:ascii="Arial" w:hAnsi="Arial" w:cs="Arial"/>
                <w:bCs/>
                <w:lang w:val="en-US"/>
              </w:rPr>
              <w:t>13,465</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438C4E33" w14:textId="77777777" w:rsidR="001F1D25" w:rsidRPr="001F1D25" w:rsidRDefault="001F1D25" w:rsidP="001F1D25">
            <w:pPr>
              <w:jc w:val="center"/>
              <w:rPr>
                <w:rFonts w:ascii="Arial" w:hAnsi="Arial" w:cs="Arial"/>
                <w:bCs/>
                <w:lang w:val="en-US"/>
              </w:rPr>
            </w:pPr>
            <w:r w:rsidRPr="001F1D25">
              <w:rPr>
                <w:rFonts w:ascii="Arial" w:hAnsi="Arial" w:cs="Arial"/>
                <w:bCs/>
                <w:lang w:val="en-US"/>
              </w:rPr>
              <w:t>12,703</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78A0C3E1" w14:textId="77777777" w:rsidR="001F1D25" w:rsidRPr="001F1D25" w:rsidRDefault="001F1D25" w:rsidP="001F1D25">
            <w:pPr>
              <w:jc w:val="center"/>
              <w:rPr>
                <w:rFonts w:ascii="Arial" w:hAnsi="Arial" w:cs="Arial"/>
                <w:bCs/>
                <w:lang w:val="en-US"/>
              </w:rPr>
            </w:pPr>
            <w:r w:rsidRPr="001F1D25">
              <w:rPr>
                <w:rFonts w:ascii="Arial" w:hAnsi="Arial" w:cs="Arial"/>
                <w:bCs/>
                <w:lang w:val="en-US"/>
              </w:rPr>
              <w:t>12,855</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4A878846" w14:textId="77777777" w:rsidR="001F1D25" w:rsidRPr="001F1D25" w:rsidRDefault="001F1D25" w:rsidP="001F1D25">
            <w:pPr>
              <w:jc w:val="center"/>
              <w:rPr>
                <w:rFonts w:ascii="Arial" w:hAnsi="Arial" w:cs="Arial"/>
                <w:bCs/>
                <w:lang w:val="en-US"/>
              </w:rPr>
            </w:pPr>
            <w:r w:rsidRPr="001F1D25">
              <w:rPr>
                <w:rFonts w:ascii="Arial" w:hAnsi="Arial" w:cs="Arial"/>
                <w:bCs/>
                <w:lang w:val="en-US"/>
              </w:rPr>
              <w:t>12,959</w:t>
            </w:r>
          </w:p>
        </w:tc>
      </w:tr>
      <w:tr w:rsidR="001F1D25" w:rsidRPr="001F1D25" w14:paraId="33244F33"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325A49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EPS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627400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2.78</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AD0B91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0.39</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459920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0.03</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1B44EFB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-7.64</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3EADF88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-1.85</w:t>
            </w:r>
          </w:p>
        </w:tc>
      </w:tr>
      <w:tr w:rsidR="001F1D25" w:rsidRPr="001F1D25" w14:paraId="22CCF8BA"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12FF308C" w14:textId="77777777" w:rsidR="001F1D25" w:rsidRPr="001F1D25" w:rsidRDefault="001F1D25" w:rsidP="001F1D25">
            <w:pPr>
              <w:jc w:val="center"/>
              <w:rPr>
                <w:rFonts w:ascii="Arial" w:hAnsi="Arial" w:cs="Arial"/>
                <w:bCs/>
                <w:lang w:val="en-US"/>
              </w:rPr>
            </w:pPr>
            <w:r w:rsidRPr="001F1D25">
              <w:rPr>
                <w:rFonts w:ascii="Arial" w:hAnsi="Arial" w:cs="Arial"/>
                <w:bCs/>
                <w:lang w:val="en-US"/>
              </w:rPr>
              <w:t>(Earnings/ outstanding shares)</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62F6163E"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15C028E2"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07ED3036"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315F2D62"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2B5CD10F" w14:textId="77777777" w:rsidR="001F1D25" w:rsidRPr="001F1D25" w:rsidRDefault="001F1D25" w:rsidP="001F1D25">
            <w:pPr>
              <w:jc w:val="center"/>
              <w:rPr>
                <w:rFonts w:ascii="Arial" w:hAnsi="Arial" w:cs="Arial"/>
                <w:bCs/>
                <w:lang w:val="en-US"/>
              </w:rPr>
            </w:pPr>
          </w:p>
        </w:tc>
      </w:tr>
      <w:tr w:rsidR="001F1D25" w:rsidRPr="001F1D25" w14:paraId="6A0FBCB0"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tcPr>
          <w:p w14:paraId="2C6ECDF7"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31E040C4"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03217659"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35C5F153"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05C7D174"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5DBB0084" w14:textId="77777777" w:rsidR="001F1D25" w:rsidRPr="001F1D25" w:rsidRDefault="001F1D25" w:rsidP="001F1D25">
            <w:pPr>
              <w:jc w:val="center"/>
              <w:rPr>
                <w:rFonts w:ascii="Arial" w:hAnsi="Arial" w:cs="Arial"/>
                <w:bCs/>
                <w:lang w:val="en-US"/>
              </w:rPr>
            </w:pPr>
          </w:p>
        </w:tc>
      </w:tr>
      <w:tr w:rsidR="001F1D25" w:rsidRPr="001F1D25" w14:paraId="0EF3A766"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8C6ABFD" w14:textId="77777777" w:rsidR="001F1D25" w:rsidRPr="001F1D25" w:rsidRDefault="001F1D25" w:rsidP="001F1D25">
            <w:pPr>
              <w:jc w:val="center"/>
              <w:rPr>
                <w:rFonts w:ascii="Arial" w:hAnsi="Arial" w:cs="Arial"/>
                <w:bCs/>
                <w:lang w:val="en-US"/>
              </w:rPr>
            </w:pPr>
            <w:r w:rsidRPr="001F1D25">
              <w:rPr>
                <w:rFonts w:ascii="Arial" w:hAnsi="Arial" w:cs="Arial"/>
                <w:bCs/>
                <w:lang w:val="en-US"/>
              </w:rPr>
              <w:t>Equity</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8C0F301" w14:textId="77777777" w:rsidR="001F1D25" w:rsidRPr="001F1D25" w:rsidRDefault="001F1D25" w:rsidP="001F1D25">
            <w:pPr>
              <w:jc w:val="center"/>
              <w:rPr>
                <w:rFonts w:ascii="Arial" w:hAnsi="Arial" w:cs="Arial"/>
                <w:bCs/>
                <w:lang w:val="en-US"/>
              </w:rPr>
            </w:pPr>
            <w:r w:rsidRPr="001F1D25">
              <w:rPr>
                <w:rFonts w:ascii="Arial" w:hAnsi="Arial" w:cs="Arial"/>
                <w:bCs/>
                <w:lang w:val="en-US"/>
              </w:rPr>
              <w:t>313,301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1D37755C" w14:textId="77777777" w:rsidR="001F1D25" w:rsidRPr="001F1D25" w:rsidRDefault="001F1D25" w:rsidP="001F1D25">
            <w:pPr>
              <w:jc w:val="center"/>
              <w:rPr>
                <w:rFonts w:ascii="Arial" w:hAnsi="Arial" w:cs="Arial"/>
                <w:bCs/>
                <w:lang w:val="en-US"/>
              </w:rPr>
            </w:pPr>
            <w:r w:rsidRPr="001F1D25">
              <w:rPr>
                <w:rFonts w:ascii="Arial" w:hAnsi="Arial" w:cs="Arial"/>
                <w:bCs/>
                <w:lang w:val="en-US"/>
              </w:rPr>
              <w:t>275,949</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39E17F8" w14:textId="77777777" w:rsidR="001F1D25" w:rsidRPr="001F1D25" w:rsidRDefault="001F1D25" w:rsidP="001F1D25">
            <w:pPr>
              <w:jc w:val="center"/>
              <w:rPr>
                <w:rFonts w:ascii="Arial" w:hAnsi="Arial" w:cs="Arial"/>
                <w:bCs/>
                <w:lang w:val="en-US"/>
              </w:rPr>
            </w:pPr>
            <w:r w:rsidRPr="001F1D25">
              <w:rPr>
                <w:rFonts w:ascii="Arial" w:hAnsi="Arial" w:cs="Arial"/>
                <w:bCs/>
                <w:lang w:val="en-US"/>
              </w:rPr>
              <w:t>268,406</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130A8539" w14:textId="77777777" w:rsidR="001F1D25" w:rsidRPr="001F1D25" w:rsidRDefault="001F1D25" w:rsidP="001F1D25">
            <w:pPr>
              <w:jc w:val="center"/>
              <w:rPr>
                <w:rFonts w:ascii="Arial" w:hAnsi="Arial" w:cs="Arial"/>
                <w:bCs/>
                <w:lang w:val="en-US"/>
              </w:rPr>
            </w:pPr>
            <w:r w:rsidRPr="001F1D25">
              <w:rPr>
                <w:rFonts w:ascii="Arial" w:hAnsi="Arial" w:cs="Arial"/>
                <w:bCs/>
                <w:lang w:val="en-US"/>
              </w:rPr>
              <w:t>178,920</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15A5A690" w14:textId="77777777" w:rsidR="001F1D25" w:rsidRPr="001F1D25" w:rsidRDefault="001F1D25" w:rsidP="001F1D25">
            <w:pPr>
              <w:jc w:val="center"/>
              <w:rPr>
                <w:rFonts w:ascii="Arial" w:hAnsi="Arial" w:cs="Arial"/>
                <w:bCs/>
                <w:lang w:val="en-US"/>
              </w:rPr>
            </w:pPr>
            <w:r w:rsidRPr="001F1D25">
              <w:rPr>
                <w:rFonts w:ascii="Arial" w:hAnsi="Arial" w:cs="Arial"/>
                <w:bCs/>
                <w:lang w:val="en-US"/>
              </w:rPr>
              <w:t>153,105</w:t>
            </w:r>
          </w:p>
        </w:tc>
      </w:tr>
      <w:tr w:rsidR="001F1D25" w:rsidRPr="001F1D25" w14:paraId="658B69C6"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3469B9AA" w14:textId="77777777" w:rsidR="001F1D25" w:rsidRPr="001F1D25" w:rsidRDefault="001F1D25" w:rsidP="001F1D25">
            <w:pPr>
              <w:jc w:val="center"/>
              <w:rPr>
                <w:rFonts w:ascii="Arial" w:hAnsi="Arial" w:cs="Arial"/>
                <w:bCs/>
                <w:lang w:val="en-US"/>
              </w:rPr>
            </w:pPr>
            <w:r w:rsidRPr="001F1D25">
              <w:rPr>
                <w:rFonts w:ascii="Arial" w:hAnsi="Arial" w:cs="Arial"/>
                <w:bCs/>
                <w:lang w:val="en-US"/>
              </w:rPr>
              <w:t>Net profit</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57047EC8" w14:textId="77777777" w:rsidR="001F1D25" w:rsidRPr="001F1D25" w:rsidRDefault="001F1D25" w:rsidP="001F1D25">
            <w:pPr>
              <w:jc w:val="center"/>
              <w:rPr>
                <w:rFonts w:ascii="Arial" w:hAnsi="Arial" w:cs="Arial"/>
                <w:bCs/>
                <w:lang w:val="en-US"/>
              </w:rPr>
            </w:pPr>
            <w:r w:rsidRPr="001F1D25">
              <w:rPr>
                <w:rFonts w:ascii="Arial" w:hAnsi="Arial" w:cs="Arial"/>
                <w:bCs/>
                <w:lang w:val="en-US"/>
              </w:rPr>
              <w:t>38,572</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62809832" w14:textId="77777777" w:rsidR="001F1D25" w:rsidRPr="001F1D25" w:rsidRDefault="001F1D25" w:rsidP="001F1D25">
            <w:pPr>
              <w:jc w:val="center"/>
              <w:rPr>
                <w:rFonts w:ascii="Arial" w:hAnsi="Arial" w:cs="Arial"/>
                <w:bCs/>
                <w:lang w:val="en-US"/>
              </w:rPr>
            </w:pPr>
            <w:r w:rsidRPr="001F1D25">
              <w:rPr>
                <w:rFonts w:ascii="Arial" w:hAnsi="Arial" w:cs="Arial"/>
                <w:bCs/>
                <w:lang w:val="en-US"/>
              </w:rPr>
              <w:t>5,301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A5B9253" w14:textId="77777777" w:rsidR="001F1D25" w:rsidRPr="001F1D25" w:rsidRDefault="001F1D25" w:rsidP="001F1D25">
            <w:pPr>
              <w:jc w:val="center"/>
              <w:rPr>
                <w:rFonts w:ascii="Arial" w:hAnsi="Arial" w:cs="Arial"/>
                <w:bCs/>
                <w:lang w:val="en-US"/>
              </w:rPr>
            </w:pPr>
            <w:r w:rsidRPr="001F1D25">
              <w:rPr>
                <w:rFonts w:ascii="Arial" w:hAnsi="Arial" w:cs="Arial"/>
                <w:bCs/>
                <w:lang w:val="en-US"/>
              </w:rPr>
              <w:t>407</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26096407" w14:textId="77777777" w:rsidR="001F1D25" w:rsidRPr="001F1D25" w:rsidRDefault="001F1D25" w:rsidP="001F1D25">
            <w:pPr>
              <w:jc w:val="center"/>
              <w:rPr>
                <w:rFonts w:ascii="Arial" w:hAnsi="Arial" w:cs="Arial"/>
                <w:bCs/>
                <w:lang w:val="en-US"/>
              </w:rPr>
            </w:pPr>
            <w:r w:rsidRPr="001F1D25">
              <w:rPr>
                <w:rFonts w:ascii="Arial" w:hAnsi="Arial" w:cs="Arial"/>
                <w:bCs/>
                <w:lang w:val="en-US"/>
              </w:rPr>
              <w:t>-98,238</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514F2D58" w14:textId="77777777" w:rsidR="001F1D25" w:rsidRPr="001F1D25" w:rsidRDefault="001F1D25" w:rsidP="001F1D25">
            <w:pPr>
              <w:jc w:val="center"/>
              <w:rPr>
                <w:rFonts w:ascii="Arial" w:hAnsi="Arial" w:cs="Arial"/>
                <w:bCs/>
                <w:lang w:val="en-US"/>
              </w:rPr>
            </w:pPr>
            <w:r w:rsidRPr="001F1D25">
              <w:rPr>
                <w:rFonts w:ascii="Arial" w:hAnsi="Arial" w:cs="Arial"/>
                <w:bCs/>
                <w:lang w:val="en-US"/>
              </w:rPr>
              <w:t>-24,029</w:t>
            </w:r>
          </w:p>
        </w:tc>
      </w:tr>
      <w:tr w:rsidR="001F1D25" w:rsidRPr="001F1D25" w14:paraId="050EFB3D"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3065C4D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Return on equity</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B3D6C3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12.31%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E6E048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1.92%</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DAF800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0.15%</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40CEC0F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-54.91%</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56CCACD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-15.69%</w:t>
            </w:r>
          </w:p>
        </w:tc>
      </w:tr>
      <w:tr w:rsidR="001F1D25" w:rsidRPr="001F1D25" w14:paraId="38B8893A"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2AC90BCF" w14:textId="77777777" w:rsidR="001F1D25" w:rsidRPr="001F1D25" w:rsidRDefault="001F1D25" w:rsidP="001F1D25">
            <w:pPr>
              <w:jc w:val="center"/>
              <w:rPr>
                <w:rFonts w:ascii="Arial" w:hAnsi="Arial" w:cs="Arial"/>
                <w:bCs/>
                <w:lang w:val="en-US"/>
              </w:rPr>
            </w:pPr>
            <w:r w:rsidRPr="001F1D25">
              <w:rPr>
                <w:rFonts w:ascii="Arial" w:hAnsi="Arial" w:cs="Arial"/>
                <w:bCs/>
                <w:lang w:val="en-US"/>
              </w:rPr>
              <w:t>Net profit/ equity</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7DD6C3F6"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3328A450"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393452ED"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275E1AFA"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603DAA3B" w14:textId="77777777" w:rsidR="001F1D25" w:rsidRPr="001F1D25" w:rsidRDefault="001F1D25" w:rsidP="001F1D25">
            <w:pPr>
              <w:jc w:val="center"/>
              <w:rPr>
                <w:rFonts w:ascii="Arial" w:hAnsi="Arial" w:cs="Arial"/>
                <w:bCs/>
                <w:lang w:val="en-US"/>
              </w:rPr>
            </w:pPr>
          </w:p>
        </w:tc>
      </w:tr>
      <w:tr w:rsidR="001F1D25" w:rsidRPr="001F1D25" w14:paraId="2E95269E" w14:textId="77777777">
        <w:trPr>
          <w:trHeight w:val="336"/>
        </w:trPr>
        <w:tc>
          <w:tcPr>
            <w:tcW w:w="2186" w:type="pct"/>
            <w:noWrap/>
            <w:vAlign w:val="center"/>
          </w:tcPr>
          <w:p w14:paraId="1A755036" w14:textId="77777777" w:rsidR="001F1D25" w:rsidRPr="001F1D25" w:rsidRDefault="001F1D25" w:rsidP="001F1D25">
            <w:pPr>
              <w:jc w:val="center"/>
              <w:rPr>
                <w:rFonts w:ascii="Arial" w:hAnsi="Arial" w:cs="Arial"/>
                <w:bCs/>
                <w:lang w:val="en-US"/>
              </w:rPr>
            </w:pPr>
          </w:p>
        </w:tc>
        <w:tc>
          <w:tcPr>
            <w:tcW w:w="548" w:type="pct"/>
            <w:noWrap/>
            <w:vAlign w:val="center"/>
          </w:tcPr>
          <w:p w14:paraId="2192EECD" w14:textId="77777777" w:rsidR="001F1D25" w:rsidRPr="001F1D25" w:rsidRDefault="001F1D25" w:rsidP="001F1D25">
            <w:pPr>
              <w:jc w:val="center"/>
              <w:rPr>
                <w:rFonts w:ascii="Arial" w:hAnsi="Arial" w:cs="Arial"/>
                <w:bCs/>
                <w:lang w:val="en-US"/>
              </w:rPr>
            </w:pPr>
          </w:p>
        </w:tc>
        <w:tc>
          <w:tcPr>
            <w:tcW w:w="548" w:type="pct"/>
            <w:noWrap/>
            <w:vAlign w:val="center"/>
          </w:tcPr>
          <w:p w14:paraId="1CDFF761" w14:textId="77777777" w:rsidR="001F1D25" w:rsidRPr="001F1D25" w:rsidRDefault="001F1D25" w:rsidP="001F1D25">
            <w:pPr>
              <w:jc w:val="center"/>
              <w:rPr>
                <w:rFonts w:ascii="Arial" w:hAnsi="Arial" w:cs="Arial"/>
                <w:bCs/>
                <w:lang w:val="en-US"/>
              </w:rPr>
            </w:pPr>
          </w:p>
        </w:tc>
        <w:tc>
          <w:tcPr>
            <w:tcW w:w="548" w:type="pct"/>
            <w:noWrap/>
            <w:vAlign w:val="center"/>
          </w:tcPr>
          <w:p w14:paraId="572213F6" w14:textId="77777777" w:rsidR="001F1D25" w:rsidRPr="001F1D25" w:rsidRDefault="001F1D25" w:rsidP="001F1D25">
            <w:pPr>
              <w:jc w:val="center"/>
              <w:rPr>
                <w:rFonts w:ascii="Arial" w:hAnsi="Arial" w:cs="Arial"/>
                <w:bCs/>
                <w:lang w:val="en-US"/>
              </w:rPr>
            </w:pPr>
          </w:p>
        </w:tc>
        <w:tc>
          <w:tcPr>
            <w:tcW w:w="583" w:type="pct"/>
            <w:noWrap/>
            <w:vAlign w:val="center"/>
          </w:tcPr>
          <w:p w14:paraId="5164A865" w14:textId="77777777" w:rsidR="001F1D25" w:rsidRPr="001F1D25" w:rsidRDefault="001F1D25" w:rsidP="001F1D25">
            <w:pPr>
              <w:jc w:val="center"/>
              <w:rPr>
                <w:rFonts w:ascii="Arial" w:hAnsi="Arial" w:cs="Arial"/>
                <w:bCs/>
                <w:lang w:val="en-US"/>
              </w:rPr>
            </w:pPr>
          </w:p>
        </w:tc>
        <w:tc>
          <w:tcPr>
            <w:tcW w:w="584" w:type="pct"/>
            <w:noWrap/>
            <w:vAlign w:val="center"/>
          </w:tcPr>
          <w:p w14:paraId="1D9D1757" w14:textId="77777777" w:rsidR="001F1D25" w:rsidRPr="001F1D25" w:rsidRDefault="001F1D25" w:rsidP="001F1D25">
            <w:pPr>
              <w:jc w:val="center"/>
              <w:rPr>
                <w:rFonts w:ascii="Arial" w:hAnsi="Arial" w:cs="Arial"/>
                <w:bCs/>
                <w:lang w:val="en-US"/>
              </w:rPr>
            </w:pPr>
          </w:p>
        </w:tc>
      </w:tr>
      <w:tr w:rsidR="001F1D25" w:rsidRPr="001F1D25" w14:paraId="7E934D9D"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2AF75637"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 Ratios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6DB3352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F0AE35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2FC0A09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2022</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0BDD200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2023</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3D22E40B"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2024</w:t>
            </w:r>
          </w:p>
        </w:tc>
      </w:tr>
      <w:tr w:rsidR="001F1D25" w:rsidRPr="001F1D25" w14:paraId="4E6CBB95"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4157525" w14:textId="77777777" w:rsidR="001F1D25" w:rsidRPr="001F1D25" w:rsidRDefault="001F1D25" w:rsidP="001F1D25">
            <w:pPr>
              <w:jc w:val="center"/>
              <w:rPr>
                <w:rFonts w:ascii="Arial" w:hAnsi="Arial" w:cs="Arial"/>
                <w:bCs/>
                <w:lang w:val="en-US"/>
              </w:rPr>
            </w:pPr>
            <w:r w:rsidRPr="001F1D25">
              <w:rPr>
                <w:rFonts w:ascii="Arial" w:hAnsi="Arial" w:cs="Arial"/>
                <w:bCs/>
                <w:lang w:val="en-US"/>
              </w:rPr>
              <w:t>Operating cash flow</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763C090B" w14:textId="77777777" w:rsidR="001F1D25" w:rsidRPr="001F1D25" w:rsidRDefault="001F1D25" w:rsidP="001F1D25">
            <w:pPr>
              <w:jc w:val="center"/>
              <w:rPr>
                <w:rFonts w:ascii="Arial" w:hAnsi="Arial" w:cs="Arial"/>
                <w:bCs/>
                <w:lang w:val="en-US"/>
              </w:rPr>
            </w:pPr>
            <w:r w:rsidRPr="001F1D25">
              <w:rPr>
                <w:rFonts w:ascii="Arial" w:hAnsi="Arial" w:cs="Arial"/>
                <w:bCs/>
                <w:lang w:val="en-US"/>
              </w:rPr>
              <w:t>73,392</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7833EDE5" w14:textId="77777777" w:rsidR="001F1D25" w:rsidRPr="001F1D25" w:rsidRDefault="001F1D25" w:rsidP="001F1D25">
            <w:pPr>
              <w:jc w:val="center"/>
              <w:rPr>
                <w:rFonts w:ascii="Arial" w:hAnsi="Arial" w:cs="Arial"/>
                <w:bCs/>
                <w:lang w:val="en-US"/>
              </w:rPr>
            </w:pPr>
            <w:r w:rsidRPr="001F1D25">
              <w:rPr>
                <w:rFonts w:ascii="Arial" w:hAnsi="Arial" w:cs="Arial"/>
                <w:bCs/>
                <w:lang w:val="en-US"/>
              </w:rPr>
              <w:t>40,283</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7B3A509D" w14:textId="77777777" w:rsidR="001F1D25" w:rsidRPr="001F1D25" w:rsidRDefault="001F1D25" w:rsidP="001F1D25">
            <w:pPr>
              <w:jc w:val="center"/>
              <w:rPr>
                <w:rFonts w:ascii="Arial" w:hAnsi="Arial" w:cs="Arial"/>
                <w:bCs/>
                <w:lang w:val="en-US"/>
              </w:rPr>
            </w:pPr>
            <w:r w:rsidRPr="001F1D25">
              <w:rPr>
                <w:rFonts w:ascii="Arial" w:hAnsi="Arial" w:cs="Arial"/>
                <w:bCs/>
                <w:lang w:val="en-US"/>
              </w:rPr>
              <w:t>10,926</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0733A2EE" w14:textId="77777777" w:rsidR="001F1D25" w:rsidRPr="001F1D25" w:rsidRDefault="001F1D25" w:rsidP="001F1D25">
            <w:pPr>
              <w:jc w:val="center"/>
              <w:rPr>
                <w:rFonts w:ascii="Arial" w:hAnsi="Arial" w:cs="Arial"/>
                <w:bCs/>
                <w:lang w:val="en-US"/>
              </w:rPr>
            </w:pPr>
            <w:r w:rsidRPr="001F1D25">
              <w:rPr>
                <w:rFonts w:ascii="Arial" w:hAnsi="Arial" w:cs="Arial"/>
                <w:bCs/>
                <w:lang w:val="en-US"/>
              </w:rPr>
              <w:t>25,190</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62FE3CBB" w14:textId="77777777" w:rsidR="001F1D25" w:rsidRPr="001F1D25" w:rsidRDefault="001F1D25" w:rsidP="001F1D25">
            <w:pPr>
              <w:jc w:val="center"/>
              <w:rPr>
                <w:rFonts w:ascii="Arial" w:hAnsi="Arial" w:cs="Arial"/>
                <w:bCs/>
                <w:lang w:val="en-US"/>
              </w:rPr>
            </w:pPr>
            <w:r w:rsidRPr="001F1D25">
              <w:rPr>
                <w:rFonts w:ascii="Arial" w:hAnsi="Arial" w:cs="Arial"/>
                <w:bCs/>
                <w:lang w:val="en-US"/>
              </w:rPr>
              <w:t>14,822</w:t>
            </w:r>
          </w:p>
        </w:tc>
      </w:tr>
      <w:tr w:rsidR="001F1D25" w:rsidRPr="001F1D25" w14:paraId="48C7E56C"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3C652150" w14:textId="77777777" w:rsidR="001F1D25" w:rsidRPr="001F1D25" w:rsidRDefault="001F1D25" w:rsidP="001F1D25">
            <w:pPr>
              <w:jc w:val="center"/>
              <w:rPr>
                <w:rFonts w:ascii="Arial" w:hAnsi="Arial" w:cs="Arial"/>
                <w:bCs/>
                <w:lang w:val="en-US"/>
              </w:rPr>
            </w:pPr>
            <w:r w:rsidRPr="001F1D25">
              <w:rPr>
                <w:rFonts w:ascii="Arial" w:hAnsi="Arial" w:cs="Arial"/>
                <w:bCs/>
                <w:lang w:val="en-US"/>
              </w:rPr>
              <w:t>Current liabilities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EBBE045" w14:textId="77777777" w:rsidR="001F1D25" w:rsidRPr="001F1D25" w:rsidRDefault="001F1D25" w:rsidP="001F1D25">
            <w:pPr>
              <w:jc w:val="center"/>
              <w:rPr>
                <w:rFonts w:ascii="Arial" w:hAnsi="Arial" w:cs="Arial"/>
                <w:bCs/>
                <w:lang w:val="en-US"/>
              </w:rPr>
            </w:pPr>
            <w:r w:rsidRPr="001F1D25">
              <w:rPr>
                <w:rFonts w:ascii="Arial" w:hAnsi="Arial" w:cs="Arial"/>
                <w:bCs/>
                <w:lang w:val="en-US"/>
              </w:rPr>
              <w:t>179,510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58976140" w14:textId="77777777" w:rsidR="001F1D25" w:rsidRPr="001F1D25" w:rsidRDefault="001F1D25" w:rsidP="001F1D25">
            <w:pPr>
              <w:jc w:val="center"/>
              <w:rPr>
                <w:rFonts w:ascii="Arial" w:hAnsi="Arial" w:cs="Arial"/>
                <w:bCs/>
                <w:lang w:val="en-US"/>
              </w:rPr>
            </w:pPr>
            <w:r w:rsidRPr="001F1D25">
              <w:rPr>
                <w:rFonts w:ascii="Arial" w:hAnsi="Arial" w:cs="Arial"/>
                <w:bCs/>
                <w:lang w:val="en-US"/>
              </w:rPr>
              <w:t>216,787</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427AB834" w14:textId="77777777" w:rsidR="001F1D25" w:rsidRPr="001F1D25" w:rsidRDefault="001F1D25" w:rsidP="001F1D25">
            <w:pPr>
              <w:jc w:val="center"/>
              <w:rPr>
                <w:rFonts w:ascii="Arial" w:hAnsi="Arial" w:cs="Arial"/>
                <w:bCs/>
                <w:lang w:val="en-US"/>
              </w:rPr>
            </w:pPr>
            <w:r w:rsidRPr="001F1D25">
              <w:rPr>
                <w:rFonts w:ascii="Arial" w:hAnsi="Arial" w:cs="Arial"/>
                <w:bCs/>
                <w:lang w:val="en-US"/>
              </w:rPr>
              <w:t>216,473</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78F98891" w14:textId="77777777" w:rsidR="001F1D25" w:rsidRPr="001F1D25" w:rsidRDefault="001F1D25" w:rsidP="001F1D25">
            <w:pPr>
              <w:jc w:val="center"/>
              <w:rPr>
                <w:rFonts w:ascii="Arial" w:hAnsi="Arial" w:cs="Arial"/>
                <w:bCs/>
                <w:lang w:val="en-US"/>
              </w:rPr>
            </w:pPr>
            <w:r w:rsidRPr="001F1D25">
              <w:rPr>
                <w:rFonts w:ascii="Arial" w:hAnsi="Arial" w:cs="Arial"/>
                <w:bCs/>
                <w:lang w:val="en-US"/>
              </w:rPr>
              <w:t>161,148</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17F90F2D" w14:textId="77777777" w:rsidR="001F1D25" w:rsidRPr="001F1D25" w:rsidRDefault="001F1D25" w:rsidP="001F1D25">
            <w:pPr>
              <w:jc w:val="center"/>
              <w:rPr>
                <w:rFonts w:ascii="Arial" w:hAnsi="Arial" w:cs="Arial"/>
                <w:bCs/>
                <w:lang w:val="en-US"/>
              </w:rPr>
            </w:pPr>
            <w:r w:rsidRPr="001F1D25">
              <w:rPr>
                <w:rFonts w:ascii="Arial" w:hAnsi="Arial" w:cs="Arial"/>
                <w:bCs/>
                <w:lang w:val="en-US"/>
              </w:rPr>
              <w:t>158,291</w:t>
            </w:r>
          </w:p>
        </w:tc>
      </w:tr>
      <w:tr w:rsidR="001F1D25" w:rsidRPr="001F1D25" w14:paraId="0EF636D8"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37B9434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Operating cash flow ratio</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59574CA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0.41</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05250D5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0.19</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97DBEE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0.05</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6811D79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0.16</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0F88D23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0.09</w:t>
            </w:r>
          </w:p>
        </w:tc>
      </w:tr>
      <w:tr w:rsidR="001F1D25" w:rsidRPr="001F1D25" w14:paraId="60E92B92"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16A2B74A" w14:textId="77777777" w:rsidR="001F1D25" w:rsidRPr="001F1D25" w:rsidRDefault="001F1D25" w:rsidP="001F1D25">
            <w:pPr>
              <w:jc w:val="center"/>
              <w:rPr>
                <w:rFonts w:ascii="Arial" w:hAnsi="Arial" w:cs="Arial"/>
                <w:bCs/>
                <w:lang w:val="en-US"/>
              </w:rPr>
            </w:pPr>
            <w:r w:rsidRPr="001F1D25">
              <w:rPr>
                <w:rFonts w:ascii="Arial" w:hAnsi="Arial" w:cs="Arial"/>
                <w:bCs/>
                <w:lang w:val="en-US"/>
              </w:rPr>
              <w:t>(Operating cash flow/ current liabilities)</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7B5E5BE9"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6DF8E52A"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007C6F47"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40C5A360"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791976A2" w14:textId="77777777" w:rsidR="001F1D25" w:rsidRPr="001F1D25" w:rsidRDefault="001F1D25" w:rsidP="001F1D25">
            <w:pPr>
              <w:jc w:val="center"/>
              <w:rPr>
                <w:rFonts w:ascii="Arial" w:hAnsi="Arial" w:cs="Arial"/>
                <w:bCs/>
                <w:lang w:val="en-US"/>
              </w:rPr>
            </w:pPr>
          </w:p>
        </w:tc>
      </w:tr>
      <w:tr w:rsidR="001F1D25" w:rsidRPr="001F1D25" w14:paraId="0D8ACD1E"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tcPr>
          <w:p w14:paraId="6C3970A7"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72A3B718"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0DB3FA73"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4C9BC274"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0E7FAA38"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52B1E429" w14:textId="77777777" w:rsidR="001F1D25" w:rsidRPr="001F1D25" w:rsidRDefault="001F1D25" w:rsidP="001F1D25">
            <w:pPr>
              <w:jc w:val="center"/>
              <w:rPr>
                <w:rFonts w:ascii="Arial" w:hAnsi="Arial" w:cs="Arial"/>
                <w:bCs/>
                <w:lang w:val="en-US"/>
              </w:rPr>
            </w:pPr>
          </w:p>
        </w:tc>
      </w:tr>
      <w:tr w:rsidR="001F1D25" w:rsidRPr="001F1D25" w14:paraId="49C6B177"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20EBB1AC" w14:textId="77777777" w:rsidR="001F1D25" w:rsidRPr="001F1D25" w:rsidRDefault="001F1D25" w:rsidP="001F1D25">
            <w:pPr>
              <w:jc w:val="center"/>
              <w:rPr>
                <w:rFonts w:ascii="Arial" w:hAnsi="Arial" w:cs="Arial"/>
                <w:bCs/>
                <w:lang w:val="en-US"/>
              </w:rPr>
            </w:pPr>
            <w:r w:rsidRPr="001F1D25">
              <w:rPr>
                <w:rFonts w:ascii="Arial" w:hAnsi="Arial" w:cs="Arial"/>
                <w:bCs/>
                <w:lang w:val="en-US"/>
              </w:rPr>
              <w:t>Cash</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0D0BC8B0" w14:textId="77777777" w:rsidR="001F1D25" w:rsidRPr="001F1D25" w:rsidRDefault="001F1D25" w:rsidP="001F1D25">
            <w:pPr>
              <w:jc w:val="center"/>
              <w:rPr>
                <w:rFonts w:ascii="Arial" w:hAnsi="Arial" w:cs="Arial"/>
                <w:bCs/>
                <w:lang w:val="en-US"/>
              </w:rPr>
            </w:pPr>
            <w:r w:rsidRPr="001F1D25">
              <w:rPr>
                <w:rFonts w:ascii="Arial" w:hAnsi="Arial" w:cs="Arial"/>
                <w:bCs/>
                <w:lang w:val="en-US"/>
              </w:rPr>
              <w:t>57,153</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181EBA11" w14:textId="77777777" w:rsidR="001F1D25" w:rsidRPr="001F1D25" w:rsidRDefault="001F1D25" w:rsidP="001F1D25">
            <w:pPr>
              <w:jc w:val="center"/>
              <w:rPr>
                <w:rFonts w:ascii="Arial" w:hAnsi="Arial" w:cs="Arial"/>
                <w:bCs/>
                <w:lang w:val="en-US"/>
              </w:rPr>
            </w:pPr>
            <w:r w:rsidRPr="001F1D25">
              <w:rPr>
                <w:rFonts w:ascii="Arial" w:hAnsi="Arial" w:cs="Arial"/>
                <w:bCs/>
                <w:lang w:val="en-US"/>
              </w:rPr>
              <w:t>60,813</w:t>
            </w:r>
          </w:p>
        </w:tc>
        <w:tc>
          <w:tcPr>
            <w:tcW w:w="548" w:type="pct"/>
            <w:tcBorders>
              <w:top w:val="single" w:sz="4" w:space="0" w:color="000000"/>
              <w:left w:val="single" w:sz="4" w:space="0" w:color="000000"/>
              <w:bottom w:val="single" w:sz="4" w:space="0" w:color="000000"/>
              <w:right w:val="single" w:sz="4" w:space="0" w:color="000000"/>
            </w:tcBorders>
            <w:noWrap/>
            <w:vAlign w:val="bottom"/>
            <w:hideMark/>
          </w:tcPr>
          <w:p w14:paraId="6DD4E581" w14:textId="77777777" w:rsidR="001F1D25" w:rsidRPr="001F1D25" w:rsidRDefault="001F1D25" w:rsidP="001F1D25">
            <w:pPr>
              <w:jc w:val="center"/>
              <w:rPr>
                <w:rFonts w:ascii="Arial" w:hAnsi="Arial" w:cs="Arial"/>
                <w:bCs/>
                <w:lang w:val="en-US"/>
              </w:rPr>
            </w:pPr>
            <w:r w:rsidRPr="001F1D25">
              <w:rPr>
                <w:rFonts w:ascii="Arial" w:hAnsi="Arial" w:cs="Arial"/>
                <w:bCs/>
                <w:lang w:val="en-US"/>
              </w:rPr>
              <w:t>66,740</w:t>
            </w:r>
          </w:p>
        </w:tc>
        <w:tc>
          <w:tcPr>
            <w:tcW w:w="583" w:type="pct"/>
            <w:tcBorders>
              <w:top w:val="single" w:sz="4" w:space="0" w:color="000000"/>
              <w:left w:val="single" w:sz="4" w:space="0" w:color="000000"/>
              <w:bottom w:val="single" w:sz="4" w:space="0" w:color="000000"/>
              <w:right w:val="single" w:sz="4" w:space="0" w:color="000000"/>
            </w:tcBorders>
            <w:noWrap/>
            <w:vAlign w:val="bottom"/>
            <w:hideMark/>
          </w:tcPr>
          <w:p w14:paraId="1B758312" w14:textId="77777777" w:rsidR="001F1D25" w:rsidRPr="001F1D25" w:rsidRDefault="001F1D25" w:rsidP="001F1D25">
            <w:pPr>
              <w:jc w:val="center"/>
              <w:rPr>
                <w:rFonts w:ascii="Arial" w:hAnsi="Arial" w:cs="Arial"/>
                <w:bCs/>
                <w:lang w:val="en-US"/>
              </w:rPr>
            </w:pPr>
            <w:r w:rsidRPr="001F1D25">
              <w:rPr>
                <w:rFonts w:ascii="Arial" w:hAnsi="Arial" w:cs="Arial"/>
                <w:bCs/>
                <w:lang w:val="en-US"/>
              </w:rPr>
              <w:t>42,751</w:t>
            </w:r>
          </w:p>
        </w:tc>
        <w:tc>
          <w:tcPr>
            <w:tcW w:w="584" w:type="pct"/>
            <w:tcBorders>
              <w:top w:val="single" w:sz="4" w:space="0" w:color="000000"/>
              <w:left w:val="single" w:sz="4" w:space="0" w:color="000000"/>
              <w:bottom w:val="single" w:sz="4" w:space="0" w:color="000000"/>
              <w:right w:val="single" w:sz="4" w:space="0" w:color="000000"/>
            </w:tcBorders>
            <w:noWrap/>
            <w:vAlign w:val="bottom"/>
            <w:hideMark/>
          </w:tcPr>
          <w:p w14:paraId="06321119" w14:textId="77777777" w:rsidR="001F1D25" w:rsidRPr="001F1D25" w:rsidRDefault="001F1D25" w:rsidP="001F1D25">
            <w:pPr>
              <w:jc w:val="center"/>
              <w:rPr>
                <w:rFonts w:ascii="Arial" w:hAnsi="Arial" w:cs="Arial"/>
                <w:bCs/>
                <w:lang w:val="en-US"/>
              </w:rPr>
            </w:pPr>
            <w:r w:rsidRPr="001F1D25">
              <w:rPr>
                <w:rFonts w:ascii="Arial" w:hAnsi="Arial" w:cs="Arial"/>
                <w:bCs/>
                <w:lang w:val="en-US"/>
              </w:rPr>
              <w:t>26,783</w:t>
            </w:r>
          </w:p>
        </w:tc>
      </w:tr>
      <w:tr w:rsidR="001F1D25" w:rsidRPr="001F1D25" w14:paraId="749AD5C1"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669303B6" w14:textId="77777777" w:rsidR="001F1D25" w:rsidRPr="001F1D25" w:rsidRDefault="001F1D25" w:rsidP="001F1D25">
            <w:pPr>
              <w:jc w:val="center"/>
              <w:rPr>
                <w:rFonts w:ascii="Arial" w:hAnsi="Arial" w:cs="Arial"/>
                <w:bCs/>
                <w:lang w:val="en-US"/>
              </w:rPr>
            </w:pPr>
            <w:r w:rsidRPr="001F1D25">
              <w:rPr>
                <w:rFonts w:ascii="Arial" w:hAnsi="Arial" w:cs="Arial"/>
                <w:bCs/>
                <w:lang w:val="en-US"/>
              </w:rPr>
              <w:lastRenderedPageBreak/>
              <w:t>Current liabilities</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31024305" w14:textId="77777777" w:rsidR="001F1D25" w:rsidRPr="001F1D25" w:rsidRDefault="001F1D25" w:rsidP="001F1D25">
            <w:pPr>
              <w:jc w:val="center"/>
              <w:rPr>
                <w:rFonts w:ascii="Arial" w:hAnsi="Arial" w:cs="Arial"/>
                <w:bCs/>
                <w:lang w:val="en-US"/>
              </w:rPr>
            </w:pPr>
            <w:r w:rsidRPr="001F1D25">
              <w:rPr>
                <w:rFonts w:ascii="Arial" w:hAnsi="Arial" w:cs="Arial"/>
                <w:bCs/>
                <w:lang w:val="en-US"/>
              </w:rPr>
              <w:t>179,510</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3ED1F1DB" w14:textId="77777777" w:rsidR="001F1D25" w:rsidRPr="001F1D25" w:rsidRDefault="001F1D25" w:rsidP="001F1D25">
            <w:pPr>
              <w:jc w:val="center"/>
              <w:rPr>
                <w:rFonts w:ascii="Arial" w:hAnsi="Arial" w:cs="Arial"/>
                <w:bCs/>
                <w:lang w:val="en-US"/>
              </w:rPr>
            </w:pPr>
            <w:r w:rsidRPr="001F1D25">
              <w:rPr>
                <w:rFonts w:ascii="Arial" w:hAnsi="Arial" w:cs="Arial"/>
                <w:bCs/>
                <w:lang w:val="en-US"/>
              </w:rPr>
              <w:t>216,787</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17382CA3" w14:textId="77777777" w:rsidR="001F1D25" w:rsidRPr="001F1D25" w:rsidRDefault="001F1D25" w:rsidP="001F1D25">
            <w:pPr>
              <w:jc w:val="center"/>
              <w:rPr>
                <w:rFonts w:ascii="Arial" w:hAnsi="Arial" w:cs="Arial"/>
                <w:bCs/>
                <w:lang w:val="en-US"/>
              </w:rPr>
            </w:pPr>
            <w:r w:rsidRPr="001F1D25">
              <w:rPr>
                <w:rFonts w:ascii="Arial" w:hAnsi="Arial" w:cs="Arial"/>
                <w:bCs/>
                <w:lang w:val="en-US"/>
              </w:rPr>
              <w:t>216,473</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61152707" w14:textId="77777777" w:rsidR="001F1D25" w:rsidRPr="001F1D25" w:rsidRDefault="001F1D25" w:rsidP="001F1D25">
            <w:pPr>
              <w:jc w:val="center"/>
              <w:rPr>
                <w:rFonts w:ascii="Arial" w:hAnsi="Arial" w:cs="Arial"/>
                <w:bCs/>
                <w:lang w:val="en-US"/>
              </w:rPr>
            </w:pPr>
            <w:r w:rsidRPr="001F1D25">
              <w:rPr>
                <w:rFonts w:ascii="Arial" w:hAnsi="Arial" w:cs="Arial"/>
                <w:bCs/>
                <w:lang w:val="en-US"/>
              </w:rPr>
              <w:t>161,148</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03873221" w14:textId="77777777" w:rsidR="001F1D25" w:rsidRPr="001F1D25" w:rsidRDefault="001F1D25" w:rsidP="001F1D25">
            <w:pPr>
              <w:jc w:val="center"/>
              <w:rPr>
                <w:rFonts w:ascii="Arial" w:hAnsi="Arial" w:cs="Arial"/>
                <w:bCs/>
                <w:lang w:val="en-US"/>
              </w:rPr>
            </w:pPr>
            <w:r w:rsidRPr="001F1D25">
              <w:rPr>
                <w:rFonts w:ascii="Arial" w:hAnsi="Arial" w:cs="Arial"/>
                <w:bCs/>
                <w:lang w:val="en-US"/>
              </w:rPr>
              <w:t>158,291</w:t>
            </w:r>
          </w:p>
        </w:tc>
      </w:tr>
      <w:tr w:rsidR="001F1D25" w:rsidRPr="001F1D25" w14:paraId="370D15E9"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73074F0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ratio</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A700B45"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0.32</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376D51C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0.28</w:t>
            </w:r>
          </w:p>
        </w:tc>
        <w:tc>
          <w:tcPr>
            <w:tcW w:w="548" w:type="pct"/>
            <w:tcBorders>
              <w:top w:val="single" w:sz="4" w:space="0" w:color="000000"/>
              <w:left w:val="single" w:sz="4" w:space="0" w:color="000000"/>
              <w:bottom w:val="single" w:sz="4" w:space="0" w:color="000000"/>
              <w:right w:val="single" w:sz="4" w:space="0" w:color="000000"/>
            </w:tcBorders>
            <w:noWrap/>
            <w:vAlign w:val="center"/>
            <w:hideMark/>
          </w:tcPr>
          <w:p w14:paraId="77E6EE9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0.31</w:t>
            </w:r>
          </w:p>
        </w:tc>
        <w:tc>
          <w:tcPr>
            <w:tcW w:w="583" w:type="pct"/>
            <w:tcBorders>
              <w:top w:val="single" w:sz="4" w:space="0" w:color="000000"/>
              <w:left w:val="single" w:sz="4" w:space="0" w:color="000000"/>
              <w:bottom w:val="single" w:sz="4" w:space="0" w:color="000000"/>
              <w:right w:val="single" w:sz="4" w:space="0" w:color="000000"/>
            </w:tcBorders>
            <w:noWrap/>
            <w:vAlign w:val="center"/>
            <w:hideMark/>
          </w:tcPr>
          <w:p w14:paraId="715B487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0.27</w:t>
            </w:r>
          </w:p>
        </w:tc>
        <w:tc>
          <w:tcPr>
            <w:tcW w:w="584" w:type="pct"/>
            <w:tcBorders>
              <w:top w:val="single" w:sz="4" w:space="0" w:color="000000"/>
              <w:left w:val="single" w:sz="4" w:space="0" w:color="000000"/>
              <w:bottom w:val="single" w:sz="4" w:space="0" w:color="000000"/>
              <w:right w:val="single" w:sz="4" w:space="0" w:color="000000"/>
            </w:tcBorders>
            <w:noWrap/>
            <w:vAlign w:val="center"/>
            <w:hideMark/>
          </w:tcPr>
          <w:p w14:paraId="55F870D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0.17</w:t>
            </w:r>
          </w:p>
        </w:tc>
      </w:tr>
      <w:tr w:rsidR="001F1D25" w:rsidRPr="001F1D25" w14:paraId="2353DCD0" w14:textId="77777777">
        <w:trPr>
          <w:trHeight w:val="336"/>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0C0E5B86" w14:textId="77777777" w:rsidR="001F1D25" w:rsidRPr="001F1D25" w:rsidRDefault="001F1D25" w:rsidP="001F1D25">
            <w:pPr>
              <w:jc w:val="center"/>
              <w:rPr>
                <w:rFonts w:ascii="Arial" w:hAnsi="Arial" w:cs="Arial"/>
                <w:bCs/>
                <w:lang w:val="en-US"/>
              </w:rPr>
            </w:pPr>
            <w:r w:rsidRPr="001F1D25">
              <w:rPr>
                <w:rFonts w:ascii="Arial" w:hAnsi="Arial" w:cs="Arial"/>
                <w:bCs/>
                <w:lang w:val="en-US"/>
              </w:rPr>
              <w:t>(Cash flow/ current liabilities)</w:t>
            </w: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1DD9C8EC"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46FDC3C6" w14:textId="77777777" w:rsidR="001F1D25" w:rsidRPr="001F1D25" w:rsidRDefault="001F1D25" w:rsidP="001F1D25">
            <w:pPr>
              <w:jc w:val="center"/>
              <w:rPr>
                <w:rFonts w:ascii="Arial" w:hAnsi="Arial" w:cs="Arial"/>
                <w:bCs/>
                <w:lang w:val="en-US"/>
              </w:rPr>
            </w:pPr>
          </w:p>
        </w:tc>
        <w:tc>
          <w:tcPr>
            <w:tcW w:w="548" w:type="pct"/>
            <w:tcBorders>
              <w:top w:val="single" w:sz="4" w:space="0" w:color="000000"/>
              <w:left w:val="single" w:sz="4" w:space="0" w:color="000000"/>
              <w:bottom w:val="single" w:sz="4" w:space="0" w:color="000000"/>
              <w:right w:val="single" w:sz="4" w:space="0" w:color="000000"/>
            </w:tcBorders>
            <w:noWrap/>
            <w:vAlign w:val="center"/>
          </w:tcPr>
          <w:p w14:paraId="104C6C0F" w14:textId="77777777" w:rsidR="001F1D25" w:rsidRPr="001F1D25" w:rsidRDefault="001F1D25" w:rsidP="001F1D25">
            <w:pPr>
              <w:jc w:val="center"/>
              <w:rPr>
                <w:rFonts w:ascii="Arial" w:hAnsi="Arial" w:cs="Arial"/>
                <w:bCs/>
                <w:lang w:val="en-US"/>
              </w:rPr>
            </w:pPr>
          </w:p>
        </w:tc>
        <w:tc>
          <w:tcPr>
            <w:tcW w:w="583" w:type="pct"/>
            <w:tcBorders>
              <w:top w:val="single" w:sz="4" w:space="0" w:color="000000"/>
              <w:left w:val="single" w:sz="4" w:space="0" w:color="000000"/>
              <w:bottom w:val="single" w:sz="4" w:space="0" w:color="000000"/>
              <w:right w:val="single" w:sz="4" w:space="0" w:color="000000"/>
            </w:tcBorders>
            <w:noWrap/>
            <w:vAlign w:val="center"/>
          </w:tcPr>
          <w:p w14:paraId="5EDA28DB" w14:textId="77777777" w:rsidR="001F1D25" w:rsidRPr="001F1D25" w:rsidRDefault="001F1D25" w:rsidP="001F1D25">
            <w:pPr>
              <w:jc w:val="center"/>
              <w:rPr>
                <w:rFonts w:ascii="Arial" w:hAnsi="Arial" w:cs="Arial"/>
                <w:bCs/>
                <w:lang w:val="en-US"/>
              </w:rPr>
            </w:pP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725E363E" w14:textId="77777777" w:rsidR="001F1D25" w:rsidRPr="001F1D25" w:rsidRDefault="001F1D25" w:rsidP="001F1D25">
            <w:pPr>
              <w:jc w:val="center"/>
              <w:rPr>
                <w:rFonts w:ascii="Arial" w:hAnsi="Arial" w:cs="Arial"/>
                <w:bCs/>
                <w:lang w:val="en-US"/>
              </w:rPr>
            </w:pPr>
          </w:p>
        </w:tc>
      </w:tr>
    </w:tbl>
    <w:p w14:paraId="634AEDCE" w14:textId="77777777" w:rsidR="001F1D25" w:rsidRPr="001F1D25" w:rsidRDefault="001F1D25" w:rsidP="001F1D25">
      <w:pPr>
        <w:jc w:val="center"/>
        <w:rPr>
          <w:rFonts w:ascii="Arial" w:hAnsi="Arial" w:cs="Arial"/>
          <w:bCs/>
          <w:lang w:val="en-US"/>
        </w:rPr>
      </w:pPr>
    </w:p>
    <w:tbl>
      <w:tblPr>
        <w:tblW w:w="5000" w:type="pct"/>
        <w:tblLook w:val="04A0" w:firstRow="1" w:lastRow="0" w:firstColumn="1" w:lastColumn="0" w:noHBand="0" w:noVBand="1"/>
      </w:tblPr>
      <w:tblGrid>
        <w:gridCol w:w="3504"/>
        <w:gridCol w:w="2637"/>
        <w:gridCol w:w="2248"/>
        <w:gridCol w:w="627"/>
      </w:tblGrid>
      <w:tr w:rsidR="001F1D25" w:rsidRPr="001F1D25" w14:paraId="118A46FF" w14:textId="77777777">
        <w:trPr>
          <w:trHeight w:val="336"/>
        </w:trPr>
        <w:tc>
          <w:tcPr>
            <w:tcW w:w="5000" w:type="pct"/>
            <w:gridSpan w:val="4"/>
            <w:tcBorders>
              <w:top w:val="single" w:sz="4" w:space="0" w:color="000000"/>
              <w:left w:val="single" w:sz="4" w:space="0" w:color="000000"/>
              <w:bottom w:val="single" w:sz="4" w:space="0" w:color="000000"/>
              <w:right w:val="single" w:sz="4" w:space="0" w:color="000000"/>
            </w:tcBorders>
            <w:noWrap/>
            <w:vAlign w:val="center"/>
            <w:hideMark/>
          </w:tcPr>
          <w:p w14:paraId="4C91D44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Altman Z-Score</w:t>
            </w:r>
          </w:p>
        </w:tc>
      </w:tr>
      <w:tr w:rsidR="001F1D25" w:rsidRPr="001F1D25" w14:paraId="40DD93CF" w14:textId="77777777">
        <w:trPr>
          <w:trHeight w:val="336"/>
        </w:trPr>
        <w:tc>
          <w:tcPr>
            <w:tcW w:w="1961" w:type="pct"/>
            <w:tcBorders>
              <w:top w:val="single" w:sz="4" w:space="0" w:color="000000"/>
              <w:left w:val="single" w:sz="4" w:space="0" w:color="000000"/>
              <w:bottom w:val="single" w:sz="4" w:space="0" w:color="000000"/>
              <w:right w:val="single" w:sz="4" w:space="0" w:color="000000"/>
            </w:tcBorders>
            <w:noWrap/>
            <w:vAlign w:val="center"/>
            <w:hideMark/>
          </w:tcPr>
          <w:p w14:paraId="00D260E2" w14:textId="77777777" w:rsidR="001F1D25" w:rsidRPr="001F1D25" w:rsidRDefault="001F1D25" w:rsidP="001F1D25">
            <w:pPr>
              <w:jc w:val="center"/>
              <w:rPr>
                <w:rFonts w:ascii="Arial" w:hAnsi="Arial" w:cs="Arial"/>
                <w:bCs/>
                <w:lang w:val="en-US"/>
              </w:rPr>
            </w:pPr>
            <w:r w:rsidRPr="001F1D25">
              <w:rPr>
                <w:rFonts w:ascii="Arial" w:hAnsi="Arial" w:cs="Arial"/>
                <w:bCs/>
                <w:lang w:val="en-US"/>
              </w:rPr>
              <w:t>Z= 1.2x1 + 1.4x2 + 3.3x3 + 0.6x4 + 1.0x5</w:t>
            </w:r>
          </w:p>
        </w:tc>
        <w:tc>
          <w:tcPr>
            <w:tcW w:w="1466" w:type="pct"/>
            <w:tcBorders>
              <w:top w:val="single" w:sz="4" w:space="0" w:color="000000"/>
              <w:left w:val="single" w:sz="4" w:space="0" w:color="000000"/>
              <w:bottom w:val="single" w:sz="4" w:space="0" w:color="000000"/>
              <w:right w:val="single" w:sz="4" w:space="0" w:color="000000"/>
            </w:tcBorders>
            <w:noWrap/>
            <w:vAlign w:val="center"/>
          </w:tcPr>
          <w:p w14:paraId="21DB7314" w14:textId="77777777" w:rsidR="001F1D25" w:rsidRPr="001F1D25" w:rsidRDefault="001F1D25" w:rsidP="001F1D25">
            <w:pPr>
              <w:jc w:val="center"/>
              <w:rPr>
                <w:rFonts w:ascii="Arial" w:hAnsi="Arial" w:cs="Arial"/>
                <w:bCs/>
                <w:lang w:val="en-US"/>
              </w:rPr>
            </w:pPr>
          </w:p>
        </w:tc>
        <w:tc>
          <w:tcPr>
            <w:tcW w:w="1235" w:type="pct"/>
            <w:tcBorders>
              <w:top w:val="single" w:sz="4" w:space="0" w:color="000000"/>
              <w:left w:val="single" w:sz="4" w:space="0" w:color="000000"/>
              <w:bottom w:val="single" w:sz="4" w:space="0" w:color="000000"/>
              <w:right w:val="single" w:sz="4" w:space="0" w:color="000000"/>
            </w:tcBorders>
            <w:noWrap/>
            <w:vAlign w:val="center"/>
          </w:tcPr>
          <w:p w14:paraId="7ADA89D9" w14:textId="77777777" w:rsidR="001F1D25" w:rsidRPr="001F1D25" w:rsidRDefault="001F1D25" w:rsidP="001F1D25">
            <w:pPr>
              <w:jc w:val="center"/>
              <w:rPr>
                <w:rFonts w:ascii="Arial" w:hAnsi="Arial" w:cs="Arial"/>
                <w:bCs/>
                <w:lang w:val="en-US"/>
              </w:rPr>
            </w:pPr>
          </w:p>
        </w:tc>
        <w:tc>
          <w:tcPr>
            <w:tcW w:w="336" w:type="pct"/>
            <w:tcBorders>
              <w:top w:val="single" w:sz="4" w:space="0" w:color="000000"/>
              <w:left w:val="single" w:sz="4" w:space="0" w:color="000000"/>
              <w:bottom w:val="single" w:sz="4" w:space="0" w:color="000000"/>
              <w:right w:val="single" w:sz="4" w:space="0" w:color="000000"/>
            </w:tcBorders>
            <w:noWrap/>
            <w:vAlign w:val="center"/>
          </w:tcPr>
          <w:p w14:paraId="2CE74F65" w14:textId="77777777" w:rsidR="001F1D25" w:rsidRPr="001F1D25" w:rsidRDefault="001F1D25" w:rsidP="001F1D25">
            <w:pPr>
              <w:jc w:val="center"/>
              <w:rPr>
                <w:rFonts w:ascii="Arial" w:hAnsi="Arial" w:cs="Arial"/>
                <w:bCs/>
                <w:lang w:val="en-US"/>
              </w:rPr>
            </w:pPr>
          </w:p>
        </w:tc>
      </w:tr>
      <w:tr w:rsidR="001F1D25" w:rsidRPr="001F1D25" w14:paraId="6A22A287" w14:textId="77777777">
        <w:trPr>
          <w:trHeight w:val="336"/>
        </w:trPr>
        <w:tc>
          <w:tcPr>
            <w:tcW w:w="1961" w:type="pct"/>
            <w:tcBorders>
              <w:top w:val="single" w:sz="4" w:space="0" w:color="000000"/>
              <w:left w:val="single" w:sz="4" w:space="0" w:color="000000"/>
              <w:bottom w:val="single" w:sz="4" w:space="0" w:color="000000"/>
              <w:right w:val="single" w:sz="4" w:space="0" w:color="000000"/>
            </w:tcBorders>
            <w:noWrap/>
            <w:vAlign w:val="center"/>
            <w:hideMark/>
          </w:tcPr>
          <w:p w14:paraId="0F7C35EF" w14:textId="77777777" w:rsidR="001F1D25" w:rsidRPr="001F1D25" w:rsidRDefault="001F1D25" w:rsidP="001F1D25">
            <w:pPr>
              <w:jc w:val="center"/>
              <w:rPr>
                <w:rFonts w:ascii="Arial" w:hAnsi="Arial" w:cs="Arial"/>
                <w:bCs/>
                <w:lang w:val="en-US"/>
              </w:rPr>
            </w:pPr>
            <w:r w:rsidRPr="001F1D25">
              <w:rPr>
                <w:rFonts w:ascii="Arial" w:hAnsi="Arial" w:cs="Arial"/>
                <w:bCs/>
                <w:lang w:val="en-US"/>
              </w:rPr>
              <w:t>x1=</w:t>
            </w:r>
          </w:p>
        </w:tc>
        <w:tc>
          <w:tcPr>
            <w:tcW w:w="1466" w:type="pct"/>
            <w:tcBorders>
              <w:top w:val="single" w:sz="4" w:space="0" w:color="000000"/>
              <w:left w:val="single" w:sz="4" w:space="0" w:color="000000"/>
              <w:bottom w:val="single" w:sz="4" w:space="0" w:color="000000"/>
              <w:right w:val="single" w:sz="4" w:space="0" w:color="000000"/>
            </w:tcBorders>
            <w:noWrap/>
            <w:vAlign w:val="center"/>
            <w:hideMark/>
          </w:tcPr>
          <w:p w14:paraId="2B2DBB1C" w14:textId="77777777" w:rsidR="001F1D25" w:rsidRPr="001F1D25" w:rsidRDefault="001F1D25" w:rsidP="001F1D25">
            <w:pPr>
              <w:jc w:val="center"/>
              <w:rPr>
                <w:rFonts w:ascii="Arial" w:hAnsi="Arial" w:cs="Arial"/>
                <w:bCs/>
                <w:lang w:val="en-US"/>
              </w:rPr>
            </w:pPr>
            <w:r w:rsidRPr="001F1D25">
              <w:rPr>
                <w:rFonts w:ascii="Arial" w:hAnsi="Arial" w:cs="Arial"/>
                <w:bCs/>
                <w:lang w:val="en-US"/>
              </w:rPr>
              <w:t>Working capital/Total assets</w:t>
            </w:r>
          </w:p>
        </w:tc>
        <w:tc>
          <w:tcPr>
            <w:tcW w:w="1235" w:type="pct"/>
            <w:tcBorders>
              <w:top w:val="single" w:sz="4" w:space="0" w:color="000000"/>
              <w:left w:val="single" w:sz="4" w:space="0" w:color="000000"/>
              <w:bottom w:val="single" w:sz="4" w:space="0" w:color="000000"/>
              <w:right w:val="single" w:sz="4" w:space="0" w:color="000000"/>
            </w:tcBorders>
            <w:noWrap/>
            <w:vAlign w:val="center"/>
            <w:hideMark/>
          </w:tcPr>
          <w:p w14:paraId="146FFE3C" w14:textId="77777777" w:rsidR="001F1D25" w:rsidRPr="001F1D25" w:rsidRDefault="001F1D25" w:rsidP="001F1D25">
            <w:pPr>
              <w:jc w:val="center"/>
              <w:rPr>
                <w:rFonts w:ascii="Arial" w:hAnsi="Arial" w:cs="Arial"/>
                <w:bCs/>
                <w:lang w:val="en-US"/>
              </w:rPr>
            </w:pPr>
            <w:r w:rsidRPr="001F1D25">
              <w:rPr>
                <w:rFonts w:ascii="Arial" w:hAnsi="Arial" w:cs="Arial"/>
                <w:bCs/>
                <w:lang w:val="en-US"/>
              </w:rPr>
              <w:t>(242494-158291)/323354</w:t>
            </w:r>
          </w:p>
        </w:tc>
        <w:tc>
          <w:tcPr>
            <w:tcW w:w="336" w:type="pct"/>
            <w:tcBorders>
              <w:top w:val="single" w:sz="4" w:space="0" w:color="000000"/>
              <w:left w:val="single" w:sz="4" w:space="0" w:color="000000"/>
              <w:bottom w:val="single" w:sz="4" w:space="0" w:color="000000"/>
              <w:right w:val="single" w:sz="4" w:space="0" w:color="000000"/>
            </w:tcBorders>
            <w:noWrap/>
            <w:vAlign w:val="center"/>
            <w:hideMark/>
          </w:tcPr>
          <w:p w14:paraId="27790E34"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0.26 </w:t>
            </w:r>
          </w:p>
        </w:tc>
      </w:tr>
      <w:tr w:rsidR="001F1D25" w:rsidRPr="001F1D25" w14:paraId="2DB7BD59" w14:textId="77777777">
        <w:trPr>
          <w:trHeight w:val="336"/>
        </w:trPr>
        <w:tc>
          <w:tcPr>
            <w:tcW w:w="1961" w:type="pct"/>
            <w:tcBorders>
              <w:top w:val="single" w:sz="4" w:space="0" w:color="000000"/>
              <w:left w:val="single" w:sz="4" w:space="0" w:color="000000"/>
              <w:bottom w:val="single" w:sz="4" w:space="0" w:color="000000"/>
              <w:right w:val="single" w:sz="4" w:space="0" w:color="000000"/>
            </w:tcBorders>
            <w:noWrap/>
            <w:vAlign w:val="center"/>
            <w:hideMark/>
          </w:tcPr>
          <w:p w14:paraId="4DC1F361" w14:textId="77777777" w:rsidR="001F1D25" w:rsidRPr="001F1D25" w:rsidRDefault="001F1D25" w:rsidP="001F1D25">
            <w:pPr>
              <w:jc w:val="center"/>
              <w:rPr>
                <w:rFonts w:ascii="Arial" w:hAnsi="Arial" w:cs="Arial"/>
                <w:bCs/>
                <w:lang w:val="en-US"/>
              </w:rPr>
            </w:pPr>
            <w:r w:rsidRPr="001F1D25">
              <w:rPr>
                <w:rFonts w:ascii="Arial" w:hAnsi="Arial" w:cs="Arial"/>
                <w:bCs/>
                <w:lang w:val="en-US"/>
              </w:rPr>
              <w:t>x2=</w:t>
            </w:r>
          </w:p>
        </w:tc>
        <w:tc>
          <w:tcPr>
            <w:tcW w:w="1466" w:type="pct"/>
            <w:tcBorders>
              <w:top w:val="single" w:sz="4" w:space="0" w:color="000000"/>
              <w:left w:val="single" w:sz="4" w:space="0" w:color="000000"/>
              <w:bottom w:val="single" w:sz="4" w:space="0" w:color="000000"/>
              <w:right w:val="single" w:sz="4" w:space="0" w:color="000000"/>
            </w:tcBorders>
            <w:noWrap/>
            <w:vAlign w:val="center"/>
            <w:hideMark/>
          </w:tcPr>
          <w:p w14:paraId="24A29E04" w14:textId="77777777" w:rsidR="001F1D25" w:rsidRPr="001F1D25" w:rsidRDefault="001F1D25" w:rsidP="001F1D25">
            <w:pPr>
              <w:jc w:val="center"/>
              <w:rPr>
                <w:rFonts w:ascii="Arial" w:hAnsi="Arial" w:cs="Arial"/>
                <w:bCs/>
                <w:lang w:val="en-US"/>
              </w:rPr>
            </w:pPr>
            <w:r w:rsidRPr="001F1D25">
              <w:rPr>
                <w:rFonts w:ascii="Arial" w:hAnsi="Arial" w:cs="Arial"/>
                <w:bCs/>
                <w:lang w:val="en-US"/>
              </w:rPr>
              <w:t>Retained earnings/total assets</w:t>
            </w:r>
          </w:p>
        </w:tc>
        <w:tc>
          <w:tcPr>
            <w:tcW w:w="1235" w:type="pct"/>
            <w:tcBorders>
              <w:top w:val="single" w:sz="4" w:space="0" w:color="000000"/>
              <w:left w:val="single" w:sz="4" w:space="0" w:color="000000"/>
              <w:bottom w:val="single" w:sz="4" w:space="0" w:color="000000"/>
              <w:right w:val="single" w:sz="4" w:space="0" w:color="000000"/>
            </w:tcBorders>
            <w:noWrap/>
            <w:vAlign w:val="center"/>
            <w:hideMark/>
          </w:tcPr>
          <w:p w14:paraId="0D94C7C3" w14:textId="77777777" w:rsidR="001F1D25" w:rsidRPr="001F1D25" w:rsidRDefault="001F1D25" w:rsidP="001F1D25">
            <w:pPr>
              <w:jc w:val="center"/>
              <w:rPr>
                <w:rFonts w:ascii="Arial" w:hAnsi="Arial" w:cs="Arial"/>
                <w:bCs/>
                <w:lang w:val="en-US"/>
              </w:rPr>
            </w:pPr>
            <w:r w:rsidRPr="001F1D25">
              <w:rPr>
                <w:rFonts w:ascii="Arial" w:hAnsi="Arial" w:cs="Arial"/>
                <w:bCs/>
                <w:lang w:val="en-US"/>
              </w:rPr>
              <w:t>(208431/323354)</w:t>
            </w:r>
          </w:p>
        </w:tc>
        <w:tc>
          <w:tcPr>
            <w:tcW w:w="336" w:type="pct"/>
            <w:tcBorders>
              <w:top w:val="single" w:sz="4" w:space="0" w:color="000000"/>
              <w:left w:val="single" w:sz="4" w:space="0" w:color="000000"/>
              <w:bottom w:val="single" w:sz="4" w:space="0" w:color="000000"/>
              <w:right w:val="single" w:sz="4" w:space="0" w:color="000000"/>
            </w:tcBorders>
            <w:noWrap/>
            <w:vAlign w:val="center"/>
            <w:hideMark/>
          </w:tcPr>
          <w:p w14:paraId="1FC0422F"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0.64 </w:t>
            </w:r>
          </w:p>
        </w:tc>
      </w:tr>
      <w:tr w:rsidR="001F1D25" w:rsidRPr="001F1D25" w14:paraId="60A67F71" w14:textId="77777777">
        <w:trPr>
          <w:trHeight w:val="336"/>
        </w:trPr>
        <w:tc>
          <w:tcPr>
            <w:tcW w:w="1961" w:type="pct"/>
            <w:tcBorders>
              <w:top w:val="single" w:sz="4" w:space="0" w:color="000000"/>
              <w:left w:val="single" w:sz="4" w:space="0" w:color="000000"/>
              <w:bottom w:val="single" w:sz="4" w:space="0" w:color="000000"/>
              <w:right w:val="single" w:sz="4" w:space="0" w:color="000000"/>
            </w:tcBorders>
            <w:noWrap/>
            <w:vAlign w:val="center"/>
            <w:hideMark/>
          </w:tcPr>
          <w:p w14:paraId="7CE7C29D" w14:textId="77777777" w:rsidR="001F1D25" w:rsidRPr="001F1D25" w:rsidRDefault="001F1D25" w:rsidP="001F1D25">
            <w:pPr>
              <w:jc w:val="center"/>
              <w:rPr>
                <w:rFonts w:ascii="Arial" w:hAnsi="Arial" w:cs="Arial"/>
                <w:bCs/>
                <w:lang w:val="en-US"/>
              </w:rPr>
            </w:pPr>
            <w:r w:rsidRPr="001F1D25">
              <w:rPr>
                <w:rFonts w:ascii="Arial" w:hAnsi="Arial" w:cs="Arial"/>
                <w:bCs/>
                <w:lang w:val="en-US"/>
              </w:rPr>
              <w:t>x3=</w:t>
            </w:r>
          </w:p>
        </w:tc>
        <w:tc>
          <w:tcPr>
            <w:tcW w:w="1466" w:type="pct"/>
            <w:tcBorders>
              <w:top w:val="single" w:sz="4" w:space="0" w:color="000000"/>
              <w:left w:val="single" w:sz="4" w:space="0" w:color="000000"/>
              <w:bottom w:val="single" w:sz="4" w:space="0" w:color="000000"/>
              <w:right w:val="single" w:sz="4" w:space="0" w:color="000000"/>
            </w:tcBorders>
            <w:noWrap/>
            <w:vAlign w:val="center"/>
            <w:hideMark/>
          </w:tcPr>
          <w:p w14:paraId="62220595" w14:textId="77777777" w:rsidR="001F1D25" w:rsidRPr="001F1D25" w:rsidRDefault="001F1D25" w:rsidP="001F1D25">
            <w:pPr>
              <w:jc w:val="center"/>
              <w:rPr>
                <w:rFonts w:ascii="Arial" w:hAnsi="Arial" w:cs="Arial"/>
                <w:bCs/>
                <w:lang w:val="en-US"/>
              </w:rPr>
            </w:pPr>
            <w:r w:rsidRPr="001F1D25">
              <w:rPr>
                <w:rFonts w:ascii="Arial" w:hAnsi="Arial" w:cs="Arial"/>
                <w:bCs/>
                <w:lang w:val="en-US"/>
              </w:rPr>
              <w:t>EBIT/total assets</w:t>
            </w:r>
          </w:p>
        </w:tc>
        <w:tc>
          <w:tcPr>
            <w:tcW w:w="1235" w:type="pct"/>
            <w:tcBorders>
              <w:top w:val="single" w:sz="4" w:space="0" w:color="000000"/>
              <w:left w:val="single" w:sz="4" w:space="0" w:color="000000"/>
              <w:bottom w:val="single" w:sz="4" w:space="0" w:color="000000"/>
              <w:right w:val="single" w:sz="4" w:space="0" w:color="000000"/>
            </w:tcBorders>
            <w:noWrap/>
            <w:vAlign w:val="center"/>
            <w:hideMark/>
          </w:tcPr>
          <w:p w14:paraId="4E3D0B68" w14:textId="77777777" w:rsidR="001F1D25" w:rsidRPr="001F1D25" w:rsidRDefault="001F1D25" w:rsidP="001F1D25">
            <w:pPr>
              <w:jc w:val="center"/>
              <w:rPr>
                <w:rFonts w:ascii="Arial" w:hAnsi="Arial" w:cs="Arial"/>
                <w:bCs/>
                <w:lang w:val="en-US"/>
              </w:rPr>
            </w:pPr>
            <w:r w:rsidRPr="001F1D25">
              <w:rPr>
                <w:rFonts w:ascii="Arial" w:hAnsi="Arial" w:cs="Arial"/>
                <w:bCs/>
                <w:lang w:val="en-US"/>
              </w:rPr>
              <w:t>(-15297/323354)</w:t>
            </w:r>
          </w:p>
        </w:tc>
        <w:tc>
          <w:tcPr>
            <w:tcW w:w="336" w:type="pct"/>
            <w:tcBorders>
              <w:top w:val="single" w:sz="4" w:space="0" w:color="000000"/>
              <w:left w:val="single" w:sz="4" w:space="0" w:color="000000"/>
              <w:bottom w:val="single" w:sz="4" w:space="0" w:color="000000"/>
              <w:right w:val="single" w:sz="4" w:space="0" w:color="000000"/>
            </w:tcBorders>
            <w:noWrap/>
            <w:vAlign w:val="center"/>
            <w:hideMark/>
          </w:tcPr>
          <w:p w14:paraId="16EB6C4D"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-0.05 </w:t>
            </w:r>
          </w:p>
        </w:tc>
      </w:tr>
      <w:tr w:rsidR="001F1D25" w:rsidRPr="001F1D25" w14:paraId="66130ABE" w14:textId="77777777">
        <w:trPr>
          <w:trHeight w:val="336"/>
        </w:trPr>
        <w:tc>
          <w:tcPr>
            <w:tcW w:w="1961" w:type="pct"/>
            <w:tcBorders>
              <w:top w:val="single" w:sz="4" w:space="0" w:color="000000"/>
              <w:left w:val="single" w:sz="4" w:space="0" w:color="000000"/>
              <w:bottom w:val="single" w:sz="4" w:space="0" w:color="000000"/>
              <w:right w:val="single" w:sz="4" w:space="0" w:color="000000"/>
            </w:tcBorders>
            <w:noWrap/>
            <w:vAlign w:val="center"/>
            <w:hideMark/>
          </w:tcPr>
          <w:p w14:paraId="6E73F81A" w14:textId="77777777" w:rsidR="001F1D25" w:rsidRPr="001F1D25" w:rsidRDefault="001F1D25" w:rsidP="001F1D25">
            <w:pPr>
              <w:jc w:val="center"/>
              <w:rPr>
                <w:rFonts w:ascii="Arial" w:hAnsi="Arial" w:cs="Arial"/>
                <w:bCs/>
                <w:lang w:val="en-US"/>
              </w:rPr>
            </w:pPr>
            <w:r w:rsidRPr="001F1D25">
              <w:rPr>
                <w:rFonts w:ascii="Arial" w:hAnsi="Arial" w:cs="Arial"/>
                <w:bCs/>
                <w:lang w:val="en-US"/>
              </w:rPr>
              <w:t>x4=</w:t>
            </w:r>
          </w:p>
        </w:tc>
        <w:tc>
          <w:tcPr>
            <w:tcW w:w="1466" w:type="pct"/>
            <w:tcBorders>
              <w:top w:val="single" w:sz="4" w:space="0" w:color="000000"/>
              <w:left w:val="single" w:sz="4" w:space="0" w:color="000000"/>
              <w:bottom w:val="single" w:sz="4" w:space="0" w:color="000000"/>
              <w:right w:val="single" w:sz="4" w:space="0" w:color="000000"/>
            </w:tcBorders>
            <w:noWrap/>
            <w:vAlign w:val="center"/>
            <w:hideMark/>
          </w:tcPr>
          <w:p w14:paraId="7201E66B" w14:textId="77777777" w:rsidR="001F1D25" w:rsidRPr="001F1D25" w:rsidRDefault="001F1D25" w:rsidP="001F1D25">
            <w:pPr>
              <w:jc w:val="center"/>
              <w:rPr>
                <w:rFonts w:ascii="Arial" w:hAnsi="Arial" w:cs="Arial"/>
                <w:bCs/>
                <w:lang w:val="en-US"/>
              </w:rPr>
            </w:pPr>
            <w:r w:rsidRPr="001F1D25">
              <w:rPr>
                <w:rFonts w:ascii="Arial" w:hAnsi="Arial" w:cs="Arial"/>
                <w:bCs/>
                <w:lang w:val="en-US"/>
              </w:rPr>
              <w:t>Equity/total liabilities</w:t>
            </w:r>
          </w:p>
        </w:tc>
        <w:tc>
          <w:tcPr>
            <w:tcW w:w="1235" w:type="pct"/>
            <w:tcBorders>
              <w:top w:val="single" w:sz="4" w:space="0" w:color="000000"/>
              <w:left w:val="single" w:sz="4" w:space="0" w:color="000000"/>
              <w:bottom w:val="single" w:sz="4" w:space="0" w:color="000000"/>
              <w:right w:val="single" w:sz="4" w:space="0" w:color="000000"/>
            </w:tcBorders>
            <w:noWrap/>
            <w:vAlign w:val="center"/>
            <w:hideMark/>
          </w:tcPr>
          <w:p w14:paraId="4DF18324" w14:textId="77777777" w:rsidR="001F1D25" w:rsidRPr="001F1D25" w:rsidRDefault="001F1D25" w:rsidP="001F1D25">
            <w:pPr>
              <w:jc w:val="center"/>
              <w:rPr>
                <w:rFonts w:ascii="Arial" w:hAnsi="Arial" w:cs="Arial"/>
                <w:bCs/>
                <w:lang w:val="en-US"/>
              </w:rPr>
            </w:pPr>
            <w:r w:rsidRPr="001F1D25">
              <w:rPr>
                <w:rFonts w:ascii="Arial" w:hAnsi="Arial" w:cs="Arial"/>
                <w:bCs/>
                <w:lang w:val="en-US"/>
              </w:rPr>
              <w:t>(153105/170249)</w:t>
            </w:r>
          </w:p>
        </w:tc>
        <w:tc>
          <w:tcPr>
            <w:tcW w:w="336" w:type="pct"/>
            <w:tcBorders>
              <w:top w:val="single" w:sz="4" w:space="0" w:color="000000"/>
              <w:left w:val="single" w:sz="4" w:space="0" w:color="000000"/>
              <w:bottom w:val="single" w:sz="4" w:space="0" w:color="000000"/>
              <w:right w:val="single" w:sz="4" w:space="0" w:color="000000"/>
            </w:tcBorders>
            <w:noWrap/>
            <w:vAlign w:val="center"/>
            <w:hideMark/>
          </w:tcPr>
          <w:p w14:paraId="4540E80D"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0.90 </w:t>
            </w:r>
          </w:p>
        </w:tc>
      </w:tr>
      <w:tr w:rsidR="001F1D25" w:rsidRPr="001F1D25" w14:paraId="5DAB8192" w14:textId="77777777">
        <w:trPr>
          <w:trHeight w:val="336"/>
        </w:trPr>
        <w:tc>
          <w:tcPr>
            <w:tcW w:w="1961" w:type="pct"/>
            <w:tcBorders>
              <w:top w:val="single" w:sz="4" w:space="0" w:color="000000"/>
              <w:left w:val="single" w:sz="4" w:space="0" w:color="000000"/>
              <w:bottom w:val="single" w:sz="4" w:space="0" w:color="000000"/>
              <w:right w:val="single" w:sz="4" w:space="0" w:color="000000"/>
            </w:tcBorders>
            <w:noWrap/>
            <w:vAlign w:val="center"/>
            <w:hideMark/>
          </w:tcPr>
          <w:p w14:paraId="03901AEE" w14:textId="77777777" w:rsidR="001F1D25" w:rsidRPr="001F1D25" w:rsidRDefault="001F1D25" w:rsidP="001F1D25">
            <w:pPr>
              <w:jc w:val="center"/>
              <w:rPr>
                <w:rFonts w:ascii="Arial" w:hAnsi="Arial" w:cs="Arial"/>
                <w:bCs/>
                <w:lang w:val="en-US"/>
              </w:rPr>
            </w:pPr>
            <w:r w:rsidRPr="001F1D25">
              <w:rPr>
                <w:rFonts w:ascii="Arial" w:hAnsi="Arial" w:cs="Arial"/>
                <w:bCs/>
                <w:lang w:val="en-US"/>
              </w:rPr>
              <w:t>x5=</w:t>
            </w:r>
          </w:p>
        </w:tc>
        <w:tc>
          <w:tcPr>
            <w:tcW w:w="1466" w:type="pct"/>
            <w:tcBorders>
              <w:top w:val="single" w:sz="4" w:space="0" w:color="000000"/>
              <w:left w:val="single" w:sz="4" w:space="0" w:color="000000"/>
              <w:bottom w:val="single" w:sz="4" w:space="0" w:color="000000"/>
              <w:right w:val="single" w:sz="4" w:space="0" w:color="000000"/>
            </w:tcBorders>
            <w:noWrap/>
            <w:vAlign w:val="center"/>
            <w:hideMark/>
          </w:tcPr>
          <w:p w14:paraId="4A65D242" w14:textId="77777777" w:rsidR="001F1D25" w:rsidRPr="001F1D25" w:rsidRDefault="001F1D25" w:rsidP="001F1D25">
            <w:pPr>
              <w:jc w:val="center"/>
              <w:rPr>
                <w:rFonts w:ascii="Arial" w:hAnsi="Arial" w:cs="Arial"/>
                <w:bCs/>
                <w:lang w:val="en-US"/>
              </w:rPr>
            </w:pPr>
            <w:r w:rsidRPr="001F1D25">
              <w:rPr>
                <w:rFonts w:ascii="Arial" w:hAnsi="Arial" w:cs="Arial"/>
                <w:bCs/>
                <w:lang w:val="en-US"/>
              </w:rPr>
              <w:t>Sales/total assets</w:t>
            </w:r>
          </w:p>
        </w:tc>
        <w:tc>
          <w:tcPr>
            <w:tcW w:w="1235" w:type="pct"/>
            <w:tcBorders>
              <w:top w:val="single" w:sz="4" w:space="0" w:color="000000"/>
              <w:left w:val="single" w:sz="4" w:space="0" w:color="000000"/>
              <w:bottom w:val="single" w:sz="4" w:space="0" w:color="000000"/>
              <w:right w:val="single" w:sz="4" w:space="0" w:color="000000"/>
            </w:tcBorders>
            <w:noWrap/>
            <w:vAlign w:val="center"/>
            <w:hideMark/>
          </w:tcPr>
          <w:p w14:paraId="3F4017DA" w14:textId="77777777" w:rsidR="001F1D25" w:rsidRPr="001F1D25" w:rsidRDefault="001F1D25" w:rsidP="001F1D25">
            <w:pPr>
              <w:jc w:val="center"/>
              <w:rPr>
                <w:rFonts w:ascii="Arial" w:hAnsi="Arial" w:cs="Arial"/>
                <w:bCs/>
                <w:lang w:val="en-US"/>
              </w:rPr>
            </w:pPr>
            <w:r w:rsidRPr="001F1D25">
              <w:rPr>
                <w:rFonts w:ascii="Arial" w:hAnsi="Arial" w:cs="Arial"/>
                <w:bCs/>
                <w:lang w:val="en-US"/>
              </w:rPr>
              <w:t>(394879/323354)</w:t>
            </w:r>
          </w:p>
        </w:tc>
        <w:tc>
          <w:tcPr>
            <w:tcW w:w="336" w:type="pct"/>
            <w:tcBorders>
              <w:top w:val="single" w:sz="4" w:space="0" w:color="000000"/>
              <w:left w:val="single" w:sz="4" w:space="0" w:color="000000"/>
              <w:bottom w:val="single" w:sz="4" w:space="0" w:color="000000"/>
              <w:right w:val="single" w:sz="4" w:space="0" w:color="000000"/>
            </w:tcBorders>
            <w:noWrap/>
            <w:vAlign w:val="center"/>
            <w:hideMark/>
          </w:tcPr>
          <w:p w14:paraId="18DFD2ED"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1.22 </w:t>
            </w:r>
          </w:p>
        </w:tc>
      </w:tr>
      <w:tr w:rsidR="001F1D25" w:rsidRPr="001F1D25" w14:paraId="0BD3D04C" w14:textId="77777777">
        <w:trPr>
          <w:trHeight w:val="336"/>
        </w:trPr>
        <w:tc>
          <w:tcPr>
            <w:tcW w:w="5000" w:type="pct"/>
            <w:gridSpan w:val="4"/>
            <w:tcBorders>
              <w:top w:val="single" w:sz="4" w:space="0" w:color="000000"/>
              <w:left w:val="single" w:sz="4" w:space="0" w:color="000000"/>
              <w:bottom w:val="single" w:sz="4" w:space="0" w:color="000000"/>
              <w:right w:val="single" w:sz="4" w:space="0" w:color="000000"/>
            </w:tcBorders>
            <w:vAlign w:val="center"/>
            <w:hideMark/>
          </w:tcPr>
          <w:p w14:paraId="1796B614" w14:textId="77777777" w:rsidR="001F1D25" w:rsidRPr="001F1D25" w:rsidRDefault="001F1D25" w:rsidP="001F1D25">
            <w:pPr>
              <w:jc w:val="center"/>
              <w:rPr>
                <w:rFonts w:ascii="Arial" w:hAnsi="Arial" w:cs="Arial"/>
                <w:bCs/>
                <w:lang w:val="en-US"/>
              </w:rPr>
            </w:pPr>
            <w:r w:rsidRPr="001F1D25">
              <w:rPr>
                <w:rFonts w:ascii="Arial" w:hAnsi="Arial" w:cs="Arial"/>
                <w:bCs/>
                <w:lang w:val="en-US"/>
              </w:rPr>
              <w:t>Thus,</w:t>
            </w:r>
          </w:p>
        </w:tc>
      </w:tr>
      <w:tr w:rsidR="001F1D25" w:rsidRPr="001F1D25" w14:paraId="5E5B3CB5" w14:textId="77777777">
        <w:trPr>
          <w:trHeight w:val="336"/>
        </w:trPr>
        <w:tc>
          <w:tcPr>
            <w:tcW w:w="5000" w:type="pct"/>
            <w:gridSpan w:val="4"/>
            <w:tcBorders>
              <w:top w:val="single" w:sz="4" w:space="0" w:color="000000"/>
              <w:left w:val="single" w:sz="4" w:space="0" w:color="000000"/>
              <w:bottom w:val="single" w:sz="4" w:space="0" w:color="000000"/>
              <w:right w:val="single" w:sz="4" w:space="0" w:color="000000"/>
            </w:tcBorders>
            <w:noWrap/>
            <w:vAlign w:val="center"/>
            <w:hideMark/>
          </w:tcPr>
          <w:p w14:paraId="57EA9B78" w14:textId="77777777" w:rsidR="001F1D25" w:rsidRPr="001F1D25" w:rsidRDefault="001F1D25" w:rsidP="001F1D25">
            <w:pPr>
              <w:jc w:val="center"/>
              <w:rPr>
                <w:rFonts w:ascii="Arial" w:hAnsi="Arial" w:cs="Arial"/>
                <w:bCs/>
                <w:lang w:val="en-US"/>
              </w:rPr>
            </w:pPr>
            <w:r w:rsidRPr="001F1D25">
              <w:rPr>
                <w:rFonts w:ascii="Arial" w:hAnsi="Arial" w:cs="Arial"/>
                <w:bCs/>
                <w:lang w:val="en-US"/>
              </w:rPr>
              <w:t>Z=1.2*(</w:t>
            </w:r>
            <w:proofErr w:type="gramStart"/>
            <w:r w:rsidRPr="001F1D25">
              <w:rPr>
                <w:rFonts w:ascii="Arial" w:hAnsi="Arial" w:cs="Arial"/>
                <w:bCs/>
                <w:lang w:val="en-US"/>
              </w:rPr>
              <w:t>0.26)+</w:t>
            </w:r>
            <w:proofErr w:type="gramEnd"/>
            <w:r w:rsidRPr="001F1D25">
              <w:rPr>
                <w:rFonts w:ascii="Arial" w:hAnsi="Arial" w:cs="Arial"/>
                <w:bCs/>
                <w:lang w:val="en-US"/>
              </w:rPr>
              <w:t>1.4*(</w:t>
            </w:r>
            <w:proofErr w:type="gramStart"/>
            <w:r w:rsidRPr="001F1D25">
              <w:rPr>
                <w:rFonts w:ascii="Arial" w:hAnsi="Arial" w:cs="Arial"/>
                <w:bCs/>
                <w:lang w:val="en-US"/>
              </w:rPr>
              <w:t>0.64)+</w:t>
            </w:r>
            <w:proofErr w:type="gramEnd"/>
            <w:r w:rsidRPr="001F1D25">
              <w:rPr>
                <w:rFonts w:ascii="Arial" w:hAnsi="Arial" w:cs="Arial"/>
                <w:bCs/>
                <w:lang w:val="en-US"/>
              </w:rPr>
              <w:t>3.3*(-0.</w:t>
            </w:r>
            <w:proofErr w:type="gramStart"/>
            <w:r w:rsidRPr="001F1D25">
              <w:rPr>
                <w:rFonts w:ascii="Arial" w:hAnsi="Arial" w:cs="Arial"/>
                <w:bCs/>
                <w:lang w:val="en-US"/>
              </w:rPr>
              <w:t>05)+</w:t>
            </w:r>
            <w:proofErr w:type="gramEnd"/>
            <w:r w:rsidRPr="001F1D25">
              <w:rPr>
                <w:rFonts w:ascii="Arial" w:hAnsi="Arial" w:cs="Arial"/>
                <w:bCs/>
                <w:lang w:val="en-US"/>
              </w:rPr>
              <w:t>0.6*(.</w:t>
            </w:r>
            <w:proofErr w:type="gramStart"/>
            <w:r w:rsidRPr="001F1D25">
              <w:rPr>
                <w:rFonts w:ascii="Arial" w:hAnsi="Arial" w:cs="Arial"/>
                <w:bCs/>
                <w:lang w:val="en-US"/>
              </w:rPr>
              <w:t>90)+</w:t>
            </w:r>
            <w:proofErr w:type="gramEnd"/>
            <w:r w:rsidRPr="001F1D25">
              <w:rPr>
                <w:rFonts w:ascii="Arial" w:hAnsi="Arial" w:cs="Arial"/>
                <w:bCs/>
                <w:lang w:val="en-US"/>
              </w:rPr>
              <w:t>1*(1.22)</w:t>
            </w:r>
          </w:p>
        </w:tc>
      </w:tr>
      <w:tr w:rsidR="001F1D25" w:rsidRPr="001F1D25" w14:paraId="20391F9A" w14:textId="77777777">
        <w:trPr>
          <w:trHeight w:val="336"/>
        </w:trPr>
        <w:tc>
          <w:tcPr>
            <w:tcW w:w="5000" w:type="pct"/>
            <w:gridSpan w:val="4"/>
            <w:tcBorders>
              <w:top w:val="single" w:sz="4" w:space="0" w:color="000000"/>
              <w:left w:val="single" w:sz="4" w:space="0" w:color="000000"/>
              <w:bottom w:val="single" w:sz="4" w:space="0" w:color="000000"/>
              <w:right w:val="single" w:sz="4" w:space="0" w:color="000000"/>
            </w:tcBorders>
            <w:noWrap/>
            <w:vAlign w:val="center"/>
            <w:hideMark/>
          </w:tcPr>
          <w:p w14:paraId="6D34DE18"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2.80 </w:t>
            </w:r>
          </w:p>
        </w:tc>
      </w:tr>
    </w:tbl>
    <w:p w14:paraId="4A7E2B8A" w14:textId="77777777" w:rsidR="001F1D25" w:rsidRPr="001F1D25" w:rsidRDefault="001F1D25" w:rsidP="001F1D25">
      <w:pPr>
        <w:jc w:val="center"/>
        <w:rPr>
          <w:rFonts w:ascii="Arial" w:hAnsi="Arial" w:cs="Arial"/>
          <w:bCs/>
          <w:lang w:val="en-US"/>
        </w:rPr>
      </w:pPr>
    </w:p>
    <w:p w14:paraId="655929BE" w14:textId="77777777" w:rsidR="001F1D25" w:rsidRPr="001F1D25" w:rsidRDefault="001F1D25" w:rsidP="001F1D25">
      <w:pPr>
        <w:jc w:val="center"/>
        <w:rPr>
          <w:rFonts w:ascii="Arial" w:hAnsi="Arial" w:cs="Arial"/>
          <w:bCs/>
          <w:lang w:val="en-US"/>
        </w:rPr>
      </w:pPr>
      <w:r w:rsidRPr="001F1D25">
        <w:rPr>
          <w:rFonts w:ascii="Arial" w:hAnsi="Arial" w:cs="Arial"/>
          <w:bCs/>
          <w:lang w:val="en-US"/>
        </w:rPr>
        <w:t>2.</w:t>
      </w:r>
    </w:p>
    <w:tbl>
      <w:tblPr>
        <w:tblW w:w="5000" w:type="pct"/>
        <w:tblLook w:val="04A0" w:firstRow="1" w:lastRow="0" w:firstColumn="1" w:lastColumn="0" w:noHBand="0" w:noVBand="1"/>
      </w:tblPr>
      <w:tblGrid>
        <w:gridCol w:w="4357"/>
        <w:gridCol w:w="931"/>
        <w:gridCol w:w="932"/>
        <w:gridCol w:w="932"/>
        <w:gridCol w:w="932"/>
        <w:gridCol w:w="932"/>
      </w:tblGrid>
      <w:tr w:rsidR="001F1D25" w:rsidRPr="001F1D25" w14:paraId="1B8E4956" w14:textId="77777777">
        <w:trPr>
          <w:trHeight w:val="336"/>
        </w:trPr>
        <w:tc>
          <w:tcPr>
            <w:tcW w:w="5000" w:type="pct"/>
            <w:gridSpan w:val="6"/>
            <w:tcBorders>
              <w:top w:val="single" w:sz="4" w:space="0" w:color="000000"/>
              <w:left w:val="single" w:sz="4" w:space="0" w:color="000000"/>
              <w:bottom w:val="single" w:sz="4" w:space="0" w:color="000000"/>
              <w:right w:val="single" w:sz="4" w:space="0" w:color="000000"/>
            </w:tcBorders>
            <w:noWrap/>
            <w:vAlign w:val="center"/>
            <w:hideMark/>
          </w:tcPr>
          <w:p w14:paraId="28A34B5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Calculation of Cash Operating Cycle</w:t>
            </w:r>
          </w:p>
        </w:tc>
      </w:tr>
      <w:tr w:rsidR="001F1D25" w:rsidRPr="001F1D25" w14:paraId="2104A1B9"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3CA01DF7" w14:textId="77777777" w:rsidR="001F1D25" w:rsidRPr="001F1D25" w:rsidRDefault="001F1D25" w:rsidP="001F1D25">
            <w:pPr>
              <w:jc w:val="center"/>
              <w:rPr>
                <w:rFonts w:ascii="Arial" w:hAnsi="Arial" w:cs="Arial"/>
                <w:b/>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65AA6FA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2020</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5689911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2021</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768EEC4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2022</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640B34F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2023</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1CFC959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2024</w:t>
            </w:r>
          </w:p>
        </w:tc>
      </w:tr>
      <w:tr w:rsidR="001F1D25" w:rsidRPr="001F1D25" w14:paraId="63B5594D"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49BCE915" w14:textId="77777777" w:rsidR="001F1D25" w:rsidRPr="001F1D25" w:rsidRDefault="001F1D25" w:rsidP="001F1D25">
            <w:pPr>
              <w:jc w:val="center"/>
              <w:rPr>
                <w:rFonts w:ascii="Arial" w:hAnsi="Arial" w:cs="Arial"/>
                <w:bCs/>
                <w:lang w:val="en-US"/>
              </w:rPr>
            </w:pPr>
            <w:r w:rsidRPr="001F1D25">
              <w:rPr>
                <w:rFonts w:ascii="Arial" w:hAnsi="Arial" w:cs="Arial"/>
                <w:bCs/>
                <w:lang w:val="en-US"/>
              </w:rPr>
              <w:t>Average inventory</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6F46B147" w14:textId="77777777" w:rsidR="001F1D25" w:rsidRPr="001F1D25" w:rsidRDefault="001F1D25" w:rsidP="001F1D25">
            <w:pPr>
              <w:jc w:val="center"/>
              <w:rPr>
                <w:rFonts w:ascii="Arial" w:hAnsi="Arial" w:cs="Arial"/>
                <w:bCs/>
                <w:lang w:val="en-US"/>
              </w:rPr>
            </w:pPr>
            <w:r w:rsidRPr="001F1D25">
              <w:rPr>
                <w:rFonts w:ascii="Arial" w:hAnsi="Arial" w:cs="Arial"/>
                <w:bCs/>
                <w:lang w:val="en-US"/>
              </w:rPr>
              <w:t>127,450</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060BEB28" w14:textId="77777777" w:rsidR="001F1D25" w:rsidRPr="001F1D25" w:rsidRDefault="001F1D25" w:rsidP="001F1D25">
            <w:pPr>
              <w:jc w:val="center"/>
              <w:rPr>
                <w:rFonts w:ascii="Arial" w:hAnsi="Arial" w:cs="Arial"/>
                <w:bCs/>
                <w:lang w:val="en-US"/>
              </w:rPr>
            </w:pPr>
            <w:r w:rsidRPr="001F1D25">
              <w:rPr>
                <w:rFonts w:ascii="Arial" w:hAnsi="Arial" w:cs="Arial"/>
                <w:bCs/>
                <w:lang w:val="en-US"/>
              </w:rPr>
              <w:t>127,450</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12490279" w14:textId="77777777" w:rsidR="001F1D25" w:rsidRPr="001F1D25" w:rsidRDefault="001F1D25" w:rsidP="001F1D25">
            <w:pPr>
              <w:jc w:val="center"/>
              <w:rPr>
                <w:rFonts w:ascii="Arial" w:hAnsi="Arial" w:cs="Arial"/>
                <w:bCs/>
                <w:lang w:val="en-US"/>
              </w:rPr>
            </w:pPr>
            <w:r w:rsidRPr="001F1D25">
              <w:rPr>
                <w:rFonts w:ascii="Arial" w:hAnsi="Arial" w:cs="Arial"/>
                <w:bCs/>
                <w:lang w:val="en-US"/>
              </w:rPr>
              <w:t>137,325</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15F0A47E" w14:textId="77777777" w:rsidR="001F1D25" w:rsidRPr="001F1D25" w:rsidRDefault="001F1D25" w:rsidP="001F1D25">
            <w:pPr>
              <w:jc w:val="center"/>
              <w:rPr>
                <w:rFonts w:ascii="Arial" w:hAnsi="Arial" w:cs="Arial"/>
                <w:bCs/>
                <w:lang w:val="en-US"/>
              </w:rPr>
            </w:pPr>
            <w:r w:rsidRPr="001F1D25">
              <w:rPr>
                <w:rFonts w:ascii="Arial" w:hAnsi="Arial" w:cs="Arial"/>
                <w:bCs/>
                <w:lang w:val="en-US"/>
              </w:rPr>
              <w:t>114,227</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4BE322A8" w14:textId="77777777" w:rsidR="001F1D25" w:rsidRPr="001F1D25" w:rsidRDefault="001F1D25" w:rsidP="001F1D25">
            <w:pPr>
              <w:jc w:val="center"/>
              <w:rPr>
                <w:rFonts w:ascii="Arial" w:hAnsi="Arial" w:cs="Arial"/>
                <w:bCs/>
                <w:lang w:val="en-US"/>
              </w:rPr>
            </w:pPr>
            <w:r w:rsidRPr="001F1D25">
              <w:rPr>
                <w:rFonts w:ascii="Arial" w:hAnsi="Arial" w:cs="Arial"/>
                <w:bCs/>
                <w:lang w:val="en-US"/>
              </w:rPr>
              <w:t>83,814</w:t>
            </w:r>
          </w:p>
        </w:tc>
      </w:tr>
      <w:tr w:rsidR="001F1D25" w:rsidRPr="001F1D25" w14:paraId="66938B3F"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3F2FC9BF" w14:textId="77777777" w:rsidR="001F1D25" w:rsidRPr="001F1D25" w:rsidRDefault="001F1D25" w:rsidP="001F1D25">
            <w:pPr>
              <w:jc w:val="center"/>
              <w:rPr>
                <w:rFonts w:ascii="Arial" w:hAnsi="Arial" w:cs="Arial"/>
                <w:bCs/>
                <w:lang w:val="en-US"/>
              </w:rPr>
            </w:pPr>
            <w:r w:rsidRPr="001F1D25">
              <w:rPr>
                <w:rFonts w:ascii="Arial" w:hAnsi="Arial" w:cs="Arial"/>
                <w:bCs/>
                <w:lang w:val="en-US"/>
              </w:rPr>
              <w:t>COGS</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275B7802" w14:textId="77777777" w:rsidR="001F1D25" w:rsidRPr="001F1D25" w:rsidRDefault="001F1D25" w:rsidP="001F1D25">
            <w:pPr>
              <w:jc w:val="center"/>
              <w:rPr>
                <w:rFonts w:ascii="Arial" w:hAnsi="Arial" w:cs="Arial"/>
                <w:bCs/>
                <w:lang w:val="en-US"/>
              </w:rPr>
            </w:pPr>
            <w:r w:rsidRPr="001F1D25">
              <w:rPr>
                <w:rFonts w:ascii="Arial" w:hAnsi="Arial" w:cs="Arial"/>
                <w:bCs/>
                <w:lang w:val="en-US"/>
              </w:rPr>
              <w:t>438,424</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7B17B379" w14:textId="77777777" w:rsidR="001F1D25" w:rsidRPr="001F1D25" w:rsidRDefault="001F1D25" w:rsidP="001F1D25">
            <w:pPr>
              <w:jc w:val="center"/>
              <w:rPr>
                <w:rFonts w:ascii="Arial" w:hAnsi="Arial" w:cs="Arial"/>
                <w:bCs/>
                <w:lang w:val="en-US"/>
              </w:rPr>
            </w:pPr>
            <w:r w:rsidRPr="001F1D25">
              <w:rPr>
                <w:rFonts w:ascii="Arial" w:hAnsi="Arial" w:cs="Arial"/>
                <w:bCs/>
                <w:lang w:val="en-US"/>
              </w:rPr>
              <w:t>428,586</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574D257D" w14:textId="77777777" w:rsidR="001F1D25" w:rsidRPr="001F1D25" w:rsidRDefault="001F1D25" w:rsidP="001F1D25">
            <w:pPr>
              <w:jc w:val="center"/>
              <w:rPr>
                <w:rFonts w:ascii="Arial" w:hAnsi="Arial" w:cs="Arial"/>
                <w:bCs/>
                <w:lang w:val="en-US"/>
              </w:rPr>
            </w:pPr>
            <w:r w:rsidRPr="001F1D25">
              <w:rPr>
                <w:rFonts w:ascii="Arial" w:hAnsi="Arial" w:cs="Arial"/>
                <w:bCs/>
                <w:lang w:val="en-US"/>
              </w:rPr>
              <w:t>390,459</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5A4020E" w14:textId="77777777" w:rsidR="001F1D25" w:rsidRPr="001F1D25" w:rsidRDefault="001F1D25" w:rsidP="001F1D25">
            <w:pPr>
              <w:jc w:val="center"/>
              <w:rPr>
                <w:rFonts w:ascii="Arial" w:hAnsi="Arial" w:cs="Arial"/>
                <w:bCs/>
                <w:lang w:val="en-US"/>
              </w:rPr>
            </w:pPr>
            <w:r w:rsidRPr="001F1D25">
              <w:rPr>
                <w:rFonts w:ascii="Arial" w:hAnsi="Arial" w:cs="Arial"/>
                <w:bCs/>
                <w:lang w:val="en-US"/>
              </w:rPr>
              <w:t>322,897</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3FEF9E2A" w14:textId="77777777" w:rsidR="001F1D25" w:rsidRPr="001F1D25" w:rsidRDefault="001F1D25" w:rsidP="001F1D25">
            <w:pPr>
              <w:jc w:val="center"/>
              <w:rPr>
                <w:rFonts w:ascii="Arial" w:hAnsi="Arial" w:cs="Arial"/>
                <w:bCs/>
                <w:lang w:val="en-US"/>
              </w:rPr>
            </w:pPr>
            <w:r w:rsidRPr="001F1D25">
              <w:rPr>
                <w:rFonts w:ascii="Arial" w:hAnsi="Arial" w:cs="Arial"/>
                <w:bCs/>
                <w:lang w:val="en-US"/>
              </w:rPr>
              <w:t>280,885</w:t>
            </w:r>
          </w:p>
        </w:tc>
      </w:tr>
      <w:tr w:rsidR="001F1D25" w:rsidRPr="001F1D25" w14:paraId="6475B199"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4551CF7F"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Inventory days</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6E920C4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106</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73EE1B7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109</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10A19C0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128</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22EA5CC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129</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13F621A7"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109</w:t>
            </w:r>
          </w:p>
        </w:tc>
      </w:tr>
      <w:tr w:rsidR="001F1D25" w:rsidRPr="001F1D25" w14:paraId="265B0C06"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122B21B0" w14:textId="77777777" w:rsidR="001F1D25" w:rsidRPr="001F1D25" w:rsidRDefault="001F1D25" w:rsidP="001F1D25">
            <w:pPr>
              <w:jc w:val="center"/>
              <w:rPr>
                <w:rFonts w:ascii="Arial" w:hAnsi="Arial" w:cs="Arial"/>
                <w:bCs/>
                <w:lang w:val="en-US"/>
              </w:rPr>
            </w:pPr>
            <w:r w:rsidRPr="001F1D25">
              <w:rPr>
                <w:rFonts w:ascii="Arial" w:hAnsi="Arial" w:cs="Arial"/>
                <w:bCs/>
                <w:lang w:val="en-US"/>
              </w:rPr>
              <w:lastRenderedPageBreak/>
              <w:t>(Average inventory/</w:t>
            </w:r>
            <w:proofErr w:type="gramStart"/>
            <w:r w:rsidRPr="001F1D25">
              <w:rPr>
                <w:rFonts w:ascii="Arial" w:hAnsi="Arial" w:cs="Arial"/>
                <w:bCs/>
                <w:lang w:val="en-US"/>
              </w:rPr>
              <w:t>COGS)*</w:t>
            </w:r>
            <w:proofErr w:type="gramEnd"/>
            <w:r w:rsidRPr="001F1D25">
              <w:rPr>
                <w:rFonts w:ascii="Arial" w:hAnsi="Arial" w:cs="Arial"/>
                <w:bCs/>
                <w:lang w:val="en-US"/>
              </w:rPr>
              <w:t>365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BB80E05"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EFE8851"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5C0759A"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436C5742" w14:textId="77777777" w:rsidR="001F1D25" w:rsidRPr="001F1D25" w:rsidRDefault="001F1D25" w:rsidP="001F1D25">
            <w:pPr>
              <w:jc w:val="center"/>
              <w:rPr>
                <w:rFonts w:ascii="Arial" w:hAnsi="Arial" w:cs="Arial"/>
                <w:bCs/>
                <w:lang w:val="en-US"/>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2E5C4F4D" w14:textId="77777777" w:rsidR="001F1D25" w:rsidRPr="001F1D25" w:rsidRDefault="001F1D25" w:rsidP="001F1D25">
            <w:pPr>
              <w:jc w:val="center"/>
              <w:rPr>
                <w:rFonts w:ascii="Arial" w:hAnsi="Arial" w:cs="Arial"/>
                <w:bCs/>
                <w:lang w:val="en-US"/>
              </w:rPr>
            </w:pPr>
          </w:p>
        </w:tc>
      </w:tr>
      <w:tr w:rsidR="001F1D25" w:rsidRPr="001F1D25" w14:paraId="08E86170"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0DE90DDC"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40C575EE"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24A1076"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E667961"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C4B311D" w14:textId="77777777" w:rsidR="001F1D25" w:rsidRPr="001F1D25" w:rsidRDefault="001F1D25" w:rsidP="001F1D25">
            <w:pPr>
              <w:jc w:val="center"/>
              <w:rPr>
                <w:rFonts w:ascii="Arial" w:hAnsi="Arial" w:cs="Arial"/>
                <w:bCs/>
                <w:lang w:val="en-US"/>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4BA80C30" w14:textId="77777777" w:rsidR="001F1D25" w:rsidRPr="001F1D25" w:rsidRDefault="001F1D25" w:rsidP="001F1D25">
            <w:pPr>
              <w:jc w:val="center"/>
              <w:rPr>
                <w:rFonts w:ascii="Arial" w:hAnsi="Arial" w:cs="Arial"/>
                <w:bCs/>
                <w:lang w:val="en-US"/>
              </w:rPr>
            </w:pPr>
          </w:p>
        </w:tc>
      </w:tr>
      <w:tr w:rsidR="001F1D25" w:rsidRPr="001F1D25" w14:paraId="7098DF4D"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55EEAA8D" w14:textId="77777777" w:rsidR="001F1D25" w:rsidRPr="001F1D25" w:rsidRDefault="001F1D25" w:rsidP="001F1D25">
            <w:pPr>
              <w:jc w:val="center"/>
              <w:rPr>
                <w:rFonts w:ascii="Arial" w:hAnsi="Arial" w:cs="Arial"/>
                <w:bCs/>
                <w:lang w:val="en-US"/>
              </w:rPr>
            </w:pPr>
            <w:r w:rsidRPr="001F1D25">
              <w:rPr>
                <w:rFonts w:ascii="Arial" w:hAnsi="Arial" w:cs="Arial"/>
                <w:bCs/>
                <w:lang w:val="en-US"/>
              </w:rPr>
              <w:t>Receivables</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011CB26" w14:textId="77777777" w:rsidR="001F1D25" w:rsidRPr="001F1D25" w:rsidRDefault="001F1D25" w:rsidP="001F1D25">
            <w:pPr>
              <w:jc w:val="center"/>
              <w:rPr>
                <w:rFonts w:ascii="Arial" w:hAnsi="Arial" w:cs="Arial"/>
                <w:bCs/>
                <w:lang w:val="en-US"/>
              </w:rPr>
            </w:pPr>
            <w:r w:rsidRPr="001F1D25">
              <w:rPr>
                <w:rFonts w:ascii="Arial" w:hAnsi="Arial" w:cs="Arial"/>
                <w:bCs/>
                <w:lang w:val="en-US"/>
              </w:rPr>
              <w:t>129,433</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05AB482D" w14:textId="77777777" w:rsidR="001F1D25" w:rsidRPr="001F1D25" w:rsidRDefault="001F1D25" w:rsidP="001F1D25">
            <w:pPr>
              <w:jc w:val="center"/>
              <w:rPr>
                <w:rFonts w:ascii="Arial" w:hAnsi="Arial" w:cs="Arial"/>
                <w:bCs/>
                <w:lang w:val="en-US"/>
              </w:rPr>
            </w:pPr>
            <w:r w:rsidRPr="001F1D25">
              <w:rPr>
                <w:rFonts w:ascii="Arial" w:hAnsi="Arial" w:cs="Arial"/>
                <w:bCs/>
                <w:lang w:val="en-US"/>
              </w:rPr>
              <w:t>129,215</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16FC91E2" w14:textId="77777777" w:rsidR="001F1D25" w:rsidRPr="001F1D25" w:rsidRDefault="001F1D25" w:rsidP="001F1D25">
            <w:pPr>
              <w:jc w:val="center"/>
              <w:rPr>
                <w:rFonts w:ascii="Arial" w:hAnsi="Arial" w:cs="Arial"/>
                <w:bCs/>
                <w:lang w:val="en-US"/>
              </w:rPr>
            </w:pPr>
            <w:r w:rsidRPr="001F1D25">
              <w:rPr>
                <w:rFonts w:ascii="Arial" w:hAnsi="Arial" w:cs="Arial"/>
                <w:bCs/>
                <w:lang w:val="en-US"/>
              </w:rPr>
              <w:t>112,346</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72755308" w14:textId="77777777" w:rsidR="001F1D25" w:rsidRPr="001F1D25" w:rsidRDefault="001F1D25" w:rsidP="001F1D25">
            <w:pPr>
              <w:jc w:val="center"/>
              <w:rPr>
                <w:rFonts w:ascii="Arial" w:hAnsi="Arial" w:cs="Arial"/>
                <w:bCs/>
                <w:lang w:val="en-US"/>
              </w:rPr>
            </w:pPr>
            <w:r w:rsidRPr="001F1D25">
              <w:rPr>
                <w:rFonts w:ascii="Arial" w:hAnsi="Arial" w:cs="Arial"/>
                <w:bCs/>
                <w:lang w:val="en-US"/>
              </w:rPr>
              <w:t>112,596</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19FF4222" w14:textId="77777777" w:rsidR="001F1D25" w:rsidRPr="001F1D25" w:rsidRDefault="001F1D25" w:rsidP="001F1D25">
            <w:pPr>
              <w:jc w:val="center"/>
              <w:rPr>
                <w:rFonts w:ascii="Arial" w:hAnsi="Arial" w:cs="Arial"/>
                <w:bCs/>
                <w:lang w:val="en-US"/>
              </w:rPr>
            </w:pPr>
            <w:r w:rsidRPr="001F1D25">
              <w:rPr>
                <w:rFonts w:ascii="Arial" w:hAnsi="Arial" w:cs="Arial"/>
                <w:bCs/>
                <w:lang w:val="en-US"/>
              </w:rPr>
              <w:t>114,182</w:t>
            </w:r>
          </w:p>
        </w:tc>
      </w:tr>
      <w:tr w:rsidR="001F1D25" w:rsidRPr="001F1D25" w14:paraId="5B230377"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33BB7BB8" w14:textId="77777777" w:rsidR="001F1D25" w:rsidRPr="001F1D25" w:rsidRDefault="001F1D25" w:rsidP="001F1D25">
            <w:pPr>
              <w:jc w:val="center"/>
              <w:rPr>
                <w:rFonts w:ascii="Arial" w:hAnsi="Arial" w:cs="Arial"/>
                <w:bCs/>
                <w:lang w:val="en-US"/>
              </w:rPr>
            </w:pPr>
            <w:r w:rsidRPr="001F1D25">
              <w:rPr>
                <w:rFonts w:ascii="Arial" w:hAnsi="Arial" w:cs="Arial"/>
                <w:bCs/>
                <w:lang w:val="en-US"/>
              </w:rPr>
              <w:t>Sales</w:t>
            </w:r>
          </w:p>
        </w:tc>
        <w:tc>
          <w:tcPr>
            <w:tcW w:w="511" w:type="pct"/>
            <w:tcBorders>
              <w:top w:val="single" w:sz="4" w:space="0" w:color="000000"/>
              <w:left w:val="single" w:sz="4" w:space="0" w:color="000000"/>
              <w:bottom w:val="single" w:sz="4" w:space="0" w:color="000000"/>
              <w:right w:val="single" w:sz="4" w:space="0" w:color="000000"/>
            </w:tcBorders>
            <w:noWrap/>
            <w:vAlign w:val="bottom"/>
            <w:hideMark/>
          </w:tcPr>
          <w:p w14:paraId="3A86074E" w14:textId="77777777" w:rsidR="001F1D25" w:rsidRPr="001F1D25" w:rsidRDefault="001F1D25" w:rsidP="001F1D25">
            <w:pPr>
              <w:jc w:val="center"/>
              <w:rPr>
                <w:rFonts w:ascii="Arial" w:hAnsi="Arial" w:cs="Arial"/>
                <w:bCs/>
                <w:lang w:val="en-US"/>
              </w:rPr>
            </w:pPr>
            <w:r w:rsidRPr="001F1D25">
              <w:rPr>
                <w:rFonts w:ascii="Arial" w:hAnsi="Arial" w:cs="Arial"/>
                <w:bCs/>
                <w:lang w:val="en-US"/>
              </w:rPr>
              <w:t>614,680</w:t>
            </w:r>
          </w:p>
        </w:tc>
        <w:tc>
          <w:tcPr>
            <w:tcW w:w="511" w:type="pct"/>
            <w:tcBorders>
              <w:top w:val="single" w:sz="4" w:space="0" w:color="000000"/>
              <w:left w:val="single" w:sz="4" w:space="0" w:color="000000"/>
              <w:bottom w:val="single" w:sz="4" w:space="0" w:color="000000"/>
              <w:right w:val="single" w:sz="4" w:space="0" w:color="000000"/>
            </w:tcBorders>
            <w:noWrap/>
            <w:vAlign w:val="bottom"/>
            <w:hideMark/>
          </w:tcPr>
          <w:p w14:paraId="42D2FD6C" w14:textId="77777777" w:rsidR="001F1D25" w:rsidRPr="001F1D25" w:rsidRDefault="001F1D25" w:rsidP="001F1D25">
            <w:pPr>
              <w:jc w:val="center"/>
              <w:rPr>
                <w:rFonts w:ascii="Arial" w:hAnsi="Arial" w:cs="Arial"/>
                <w:bCs/>
                <w:lang w:val="en-US"/>
              </w:rPr>
            </w:pPr>
            <w:r w:rsidRPr="001F1D25">
              <w:rPr>
                <w:rFonts w:ascii="Arial" w:hAnsi="Arial" w:cs="Arial"/>
                <w:bCs/>
                <w:lang w:val="en-US"/>
              </w:rPr>
              <w:t>601,602</w:t>
            </w:r>
          </w:p>
        </w:tc>
        <w:tc>
          <w:tcPr>
            <w:tcW w:w="511" w:type="pct"/>
            <w:tcBorders>
              <w:top w:val="single" w:sz="4" w:space="0" w:color="000000"/>
              <w:left w:val="single" w:sz="4" w:space="0" w:color="000000"/>
              <w:bottom w:val="single" w:sz="4" w:space="0" w:color="000000"/>
              <w:right w:val="single" w:sz="4" w:space="0" w:color="000000"/>
            </w:tcBorders>
            <w:noWrap/>
            <w:vAlign w:val="bottom"/>
            <w:hideMark/>
          </w:tcPr>
          <w:p w14:paraId="3350FA04" w14:textId="77777777" w:rsidR="001F1D25" w:rsidRPr="001F1D25" w:rsidRDefault="001F1D25" w:rsidP="001F1D25">
            <w:pPr>
              <w:jc w:val="center"/>
              <w:rPr>
                <w:rFonts w:ascii="Arial" w:hAnsi="Arial" w:cs="Arial"/>
                <w:bCs/>
                <w:lang w:val="en-US"/>
              </w:rPr>
            </w:pPr>
            <w:r w:rsidRPr="001F1D25">
              <w:rPr>
                <w:rFonts w:ascii="Arial" w:hAnsi="Arial" w:cs="Arial"/>
                <w:bCs/>
                <w:lang w:val="en-US"/>
              </w:rPr>
              <w:t>542,751</w:t>
            </w:r>
          </w:p>
        </w:tc>
        <w:tc>
          <w:tcPr>
            <w:tcW w:w="511" w:type="pct"/>
            <w:tcBorders>
              <w:top w:val="single" w:sz="4" w:space="0" w:color="000000"/>
              <w:left w:val="single" w:sz="4" w:space="0" w:color="000000"/>
              <w:bottom w:val="single" w:sz="4" w:space="0" w:color="000000"/>
              <w:right w:val="single" w:sz="4" w:space="0" w:color="000000"/>
            </w:tcBorders>
            <w:noWrap/>
            <w:vAlign w:val="bottom"/>
            <w:hideMark/>
          </w:tcPr>
          <w:p w14:paraId="449446DE" w14:textId="77777777" w:rsidR="001F1D25" w:rsidRPr="001F1D25" w:rsidRDefault="001F1D25" w:rsidP="001F1D25">
            <w:pPr>
              <w:jc w:val="center"/>
              <w:rPr>
                <w:rFonts w:ascii="Arial" w:hAnsi="Arial" w:cs="Arial"/>
                <w:bCs/>
                <w:lang w:val="en-US"/>
              </w:rPr>
            </w:pPr>
            <w:r w:rsidRPr="001F1D25">
              <w:rPr>
                <w:rFonts w:ascii="Arial" w:hAnsi="Arial" w:cs="Arial"/>
                <w:bCs/>
                <w:lang w:val="en-US"/>
              </w:rPr>
              <w:t>420,457</w:t>
            </w:r>
          </w:p>
        </w:tc>
        <w:tc>
          <w:tcPr>
            <w:tcW w:w="513" w:type="pct"/>
            <w:tcBorders>
              <w:top w:val="single" w:sz="4" w:space="0" w:color="000000"/>
              <w:left w:val="single" w:sz="4" w:space="0" w:color="000000"/>
              <w:bottom w:val="single" w:sz="4" w:space="0" w:color="000000"/>
              <w:right w:val="single" w:sz="4" w:space="0" w:color="000000"/>
            </w:tcBorders>
            <w:noWrap/>
            <w:vAlign w:val="bottom"/>
            <w:hideMark/>
          </w:tcPr>
          <w:p w14:paraId="076F7D35" w14:textId="77777777" w:rsidR="001F1D25" w:rsidRPr="001F1D25" w:rsidRDefault="001F1D25" w:rsidP="001F1D25">
            <w:pPr>
              <w:jc w:val="center"/>
              <w:rPr>
                <w:rFonts w:ascii="Arial" w:hAnsi="Arial" w:cs="Arial"/>
                <w:bCs/>
                <w:lang w:val="en-US"/>
              </w:rPr>
            </w:pPr>
            <w:r w:rsidRPr="001F1D25">
              <w:rPr>
                <w:rFonts w:ascii="Arial" w:hAnsi="Arial" w:cs="Arial"/>
                <w:bCs/>
                <w:lang w:val="en-US"/>
              </w:rPr>
              <w:t>394,879</w:t>
            </w:r>
          </w:p>
        </w:tc>
      </w:tr>
      <w:tr w:rsidR="001F1D25" w:rsidRPr="001F1D25" w14:paraId="4A297848"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6948C25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Receivable days</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2753B8A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77</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51E0AC7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78</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33457FD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76</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0C4530F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98</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55737A5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106</w:t>
            </w:r>
          </w:p>
        </w:tc>
      </w:tr>
      <w:tr w:rsidR="001F1D25" w:rsidRPr="001F1D25" w14:paraId="2C7404E9"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33F834BA" w14:textId="77777777" w:rsidR="001F1D25" w:rsidRPr="001F1D25" w:rsidRDefault="001F1D25" w:rsidP="001F1D25">
            <w:pPr>
              <w:jc w:val="center"/>
              <w:rPr>
                <w:rFonts w:ascii="Arial" w:hAnsi="Arial" w:cs="Arial"/>
                <w:bCs/>
                <w:lang w:val="en-US"/>
              </w:rPr>
            </w:pPr>
            <w:r w:rsidRPr="001F1D25">
              <w:rPr>
                <w:rFonts w:ascii="Arial" w:hAnsi="Arial" w:cs="Arial"/>
                <w:bCs/>
                <w:lang w:val="en-US"/>
              </w:rPr>
              <w:t>(Receivables/</w:t>
            </w:r>
            <w:proofErr w:type="gramStart"/>
            <w:r w:rsidRPr="001F1D25">
              <w:rPr>
                <w:rFonts w:ascii="Arial" w:hAnsi="Arial" w:cs="Arial"/>
                <w:bCs/>
                <w:lang w:val="en-US"/>
              </w:rPr>
              <w:t>Sales)*</w:t>
            </w:r>
            <w:proofErr w:type="gramEnd"/>
            <w:r w:rsidRPr="001F1D25">
              <w:rPr>
                <w:rFonts w:ascii="Arial" w:hAnsi="Arial" w:cs="Arial"/>
                <w:bCs/>
                <w:lang w:val="en-US"/>
              </w:rPr>
              <w:t>365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40BA3DA"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D99CBB1"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0283BE9"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528F4817" w14:textId="77777777" w:rsidR="001F1D25" w:rsidRPr="001F1D25" w:rsidRDefault="001F1D25" w:rsidP="001F1D25">
            <w:pPr>
              <w:jc w:val="center"/>
              <w:rPr>
                <w:rFonts w:ascii="Arial" w:hAnsi="Arial" w:cs="Arial"/>
                <w:bCs/>
                <w:lang w:val="en-US"/>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5DCD6A4D" w14:textId="77777777" w:rsidR="001F1D25" w:rsidRPr="001F1D25" w:rsidRDefault="001F1D25" w:rsidP="001F1D25">
            <w:pPr>
              <w:jc w:val="center"/>
              <w:rPr>
                <w:rFonts w:ascii="Arial" w:hAnsi="Arial" w:cs="Arial"/>
                <w:bCs/>
                <w:lang w:val="en-US"/>
              </w:rPr>
            </w:pPr>
          </w:p>
        </w:tc>
      </w:tr>
      <w:tr w:rsidR="001F1D25" w:rsidRPr="001F1D25" w14:paraId="29C96A6E"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79ED1890"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7D435D0"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43213CD0"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D26BFA4"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292ECBE" w14:textId="77777777" w:rsidR="001F1D25" w:rsidRPr="001F1D25" w:rsidRDefault="001F1D25" w:rsidP="001F1D25">
            <w:pPr>
              <w:jc w:val="center"/>
              <w:rPr>
                <w:rFonts w:ascii="Arial" w:hAnsi="Arial" w:cs="Arial"/>
                <w:bCs/>
                <w:lang w:val="en-US"/>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5990F9BB" w14:textId="77777777" w:rsidR="001F1D25" w:rsidRPr="001F1D25" w:rsidRDefault="001F1D25" w:rsidP="001F1D25">
            <w:pPr>
              <w:jc w:val="center"/>
              <w:rPr>
                <w:rFonts w:ascii="Arial" w:hAnsi="Arial" w:cs="Arial"/>
                <w:bCs/>
                <w:lang w:val="en-US"/>
              </w:rPr>
            </w:pPr>
          </w:p>
        </w:tc>
      </w:tr>
      <w:tr w:rsidR="001F1D25" w:rsidRPr="001F1D25" w14:paraId="5831E1EB"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2F04D33B" w14:textId="77777777" w:rsidR="001F1D25" w:rsidRPr="001F1D25" w:rsidRDefault="001F1D25" w:rsidP="001F1D25">
            <w:pPr>
              <w:jc w:val="center"/>
              <w:rPr>
                <w:rFonts w:ascii="Arial" w:hAnsi="Arial" w:cs="Arial"/>
                <w:bCs/>
                <w:lang w:val="en-US"/>
              </w:rPr>
            </w:pPr>
            <w:r w:rsidRPr="001F1D25">
              <w:rPr>
                <w:rFonts w:ascii="Arial" w:hAnsi="Arial" w:cs="Arial"/>
                <w:bCs/>
                <w:lang w:val="en-US"/>
              </w:rPr>
              <w:t>Payables</w:t>
            </w:r>
          </w:p>
        </w:tc>
        <w:tc>
          <w:tcPr>
            <w:tcW w:w="511" w:type="pct"/>
            <w:tcBorders>
              <w:top w:val="single" w:sz="4" w:space="0" w:color="000000"/>
              <w:left w:val="single" w:sz="4" w:space="0" w:color="000000"/>
              <w:bottom w:val="single" w:sz="4" w:space="0" w:color="000000"/>
              <w:right w:val="single" w:sz="4" w:space="0" w:color="000000"/>
            </w:tcBorders>
            <w:noWrap/>
            <w:vAlign w:val="bottom"/>
            <w:hideMark/>
          </w:tcPr>
          <w:p w14:paraId="67284D08" w14:textId="77777777" w:rsidR="001F1D25" w:rsidRPr="001F1D25" w:rsidRDefault="001F1D25" w:rsidP="001F1D25">
            <w:pPr>
              <w:jc w:val="center"/>
              <w:rPr>
                <w:rFonts w:ascii="Arial" w:hAnsi="Arial" w:cs="Arial"/>
                <w:bCs/>
                <w:lang w:val="en-US"/>
              </w:rPr>
            </w:pPr>
            <w:r w:rsidRPr="001F1D25">
              <w:rPr>
                <w:rFonts w:ascii="Arial" w:hAnsi="Arial" w:cs="Arial"/>
                <w:bCs/>
                <w:lang w:val="en-US"/>
              </w:rPr>
              <w:t>83,229</w:t>
            </w:r>
          </w:p>
        </w:tc>
        <w:tc>
          <w:tcPr>
            <w:tcW w:w="511" w:type="pct"/>
            <w:tcBorders>
              <w:top w:val="single" w:sz="4" w:space="0" w:color="000000"/>
              <w:left w:val="single" w:sz="4" w:space="0" w:color="000000"/>
              <w:bottom w:val="single" w:sz="4" w:space="0" w:color="000000"/>
              <w:right w:val="single" w:sz="4" w:space="0" w:color="000000"/>
            </w:tcBorders>
            <w:noWrap/>
            <w:vAlign w:val="bottom"/>
            <w:hideMark/>
          </w:tcPr>
          <w:p w14:paraId="10201A81" w14:textId="77777777" w:rsidR="001F1D25" w:rsidRPr="001F1D25" w:rsidRDefault="001F1D25" w:rsidP="001F1D25">
            <w:pPr>
              <w:jc w:val="center"/>
              <w:rPr>
                <w:rFonts w:ascii="Arial" w:hAnsi="Arial" w:cs="Arial"/>
                <w:bCs/>
                <w:lang w:val="en-US"/>
              </w:rPr>
            </w:pPr>
            <w:r w:rsidRPr="001F1D25">
              <w:rPr>
                <w:rFonts w:ascii="Arial" w:hAnsi="Arial" w:cs="Arial"/>
                <w:bCs/>
                <w:lang w:val="en-US"/>
              </w:rPr>
              <w:t>92,707</w:t>
            </w:r>
          </w:p>
        </w:tc>
        <w:tc>
          <w:tcPr>
            <w:tcW w:w="511" w:type="pct"/>
            <w:tcBorders>
              <w:top w:val="single" w:sz="4" w:space="0" w:color="000000"/>
              <w:left w:val="single" w:sz="4" w:space="0" w:color="000000"/>
              <w:bottom w:val="single" w:sz="4" w:space="0" w:color="000000"/>
              <w:right w:val="single" w:sz="4" w:space="0" w:color="000000"/>
            </w:tcBorders>
            <w:noWrap/>
            <w:vAlign w:val="bottom"/>
            <w:hideMark/>
          </w:tcPr>
          <w:p w14:paraId="3AA57E3C" w14:textId="77777777" w:rsidR="001F1D25" w:rsidRPr="001F1D25" w:rsidRDefault="001F1D25" w:rsidP="001F1D25">
            <w:pPr>
              <w:jc w:val="center"/>
              <w:rPr>
                <w:rFonts w:ascii="Arial" w:hAnsi="Arial" w:cs="Arial"/>
                <w:bCs/>
                <w:lang w:val="en-US"/>
              </w:rPr>
            </w:pPr>
            <w:r w:rsidRPr="001F1D25">
              <w:rPr>
                <w:rFonts w:ascii="Arial" w:hAnsi="Arial" w:cs="Arial"/>
                <w:bCs/>
                <w:lang w:val="en-US"/>
              </w:rPr>
              <w:t>71,373</w:t>
            </w:r>
          </w:p>
        </w:tc>
        <w:tc>
          <w:tcPr>
            <w:tcW w:w="511" w:type="pct"/>
            <w:tcBorders>
              <w:top w:val="single" w:sz="4" w:space="0" w:color="000000"/>
              <w:left w:val="single" w:sz="4" w:space="0" w:color="000000"/>
              <w:bottom w:val="single" w:sz="4" w:space="0" w:color="000000"/>
              <w:right w:val="single" w:sz="4" w:space="0" w:color="000000"/>
            </w:tcBorders>
            <w:noWrap/>
            <w:vAlign w:val="bottom"/>
            <w:hideMark/>
          </w:tcPr>
          <w:p w14:paraId="79E8A68D" w14:textId="77777777" w:rsidR="001F1D25" w:rsidRPr="001F1D25" w:rsidRDefault="001F1D25" w:rsidP="001F1D25">
            <w:pPr>
              <w:jc w:val="center"/>
              <w:rPr>
                <w:rFonts w:ascii="Arial" w:hAnsi="Arial" w:cs="Arial"/>
                <w:bCs/>
                <w:lang w:val="en-US"/>
              </w:rPr>
            </w:pPr>
            <w:r w:rsidRPr="001F1D25">
              <w:rPr>
                <w:rFonts w:ascii="Arial" w:hAnsi="Arial" w:cs="Arial"/>
                <w:bCs/>
                <w:lang w:val="en-US"/>
              </w:rPr>
              <w:t>57,033</w:t>
            </w:r>
          </w:p>
        </w:tc>
        <w:tc>
          <w:tcPr>
            <w:tcW w:w="513" w:type="pct"/>
            <w:tcBorders>
              <w:top w:val="single" w:sz="4" w:space="0" w:color="000000"/>
              <w:left w:val="single" w:sz="4" w:space="0" w:color="000000"/>
              <w:bottom w:val="single" w:sz="4" w:space="0" w:color="000000"/>
              <w:right w:val="single" w:sz="4" w:space="0" w:color="000000"/>
            </w:tcBorders>
            <w:noWrap/>
            <w:vAlign w:val="bottom"/>
            <w:hideMark/>
          </w:tcPr>
          <w:p w14:paraId="6D4A587F" w14:textId="77777777" w:rsidR="001F1D25" w:rsidRPr="001F1D25" w:rsidRDefault="001F1D25" w:rsidP="001F1D25">
            <w:pPr>
              <w:jc w:val="center"/>
              <w:rPr>
                <w:rFonts w:ascii="Arial" w:hAnsi="Arial" w:cs="Arial"/>
                <w:bCs/>
                <w:lang w:val="en-US"/>
              </w:rPr>
            </w:pPr>
            <w:r w:rsidRPr="001F1D25">
              <w:rPr>
                <w:rFonts w:ascii="Arial" w:hAnsi="Arial" w:cs="Arial"/>
                <w:bCs/>
                <w:lang w:val="en-US"/>
              </w:rPr>
              <w:t>72,031</w:t>
            </w:r>
          </w:p>
        </w:tc>
      </w:tr>
      <w:tr w:rsidR="001F1D25" w:rsidRPr="001F1D25" w14:paraId="0EDD8EEC"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0CB4CFDD" w14:textId="77777777" w:rsidR="001F1D25" w:rsidRPr="001F1D25" w:rsidRDefault="001F1D25" w:rsidP="001F1D25">
            <w:pPr>
              <w:jc w:val="center"/>
              <w:rPr>
                <w:rFonts w:ascii="Arial" w:hAnsi="Arial" w:cs="Arial"/>
                <w:bCs/>
                <w:lang w:val="en-US"/>
              </w:rPr>
            </w:pPr>
            <w:r w:rsidRPr="001F1D25">
              <w:rPr>
                <w:rFonts w:ascii="Arial" w:hAnsi="Arial" w:cs="Arial"/>
                <w:bCs/>
                <w:lang w:val="en-US"/>
              </w:rPr>
              <w:t>COGS</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0F96FC72" w14:textId="77777777" w:rsidR="001F1D25" w:rsidRPr="001F1D25" w:rsidRDefault="001F1D25" w:rsidP="001F1D25">
            <w:pPr>
              <w:jc w:val="center"/>
              <w:rPr>
                <w:rFonts w:ascii="Arial" w:hAnsi="Arial" w:cs="Arial"/>
                <w:bCs/>
                <w:lang w:val="en-US"/>
              </w:rPr>
            </w:pPr>
            <w:r w:rsidRPr="001F1D25">
              <w:rPr>
                <w:rFonts w:ascii="Arial" w:hAnsi="Arial" w:cs="Arial"/>
                <w:bCs/>
                <w:lang w:val="en-US"/>
              </w:rPr>
              <w:t>438,424</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2E5F6CDE" w14:textId="77777777" w:rsidR="001F1D25" w:rsidRPr="001F1D25" w:rsidRDefault="001F1D25" w:rsidP="001F1D25">
            <w:pPr>
              <w:jc w:val="center"/>
              <w:rPr>
                <w:rFonts w:ascii="Arial" w:hAnsi="Arial" w:cs="Arial"/>
                <w:bCs/>
                <w:lang w:val="en-US"/>
              </w:rPr>
            </w:pPr>
            <w:r w:rsidRPr="001F1D25">
              <w:rPr>
                <w:rFonts w:ascii="Arial" w:hAnsi="Arial" w:cs="Arial"/>
                <w:bCs/>
                <w:lang w:val="en-US"/>
              </w:rPr>
              <w:t>428,586</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1DE0571E" w14:textId="77777777" w:rsidR="001F1D25" w:rsidRPr="001F1D25" w:rsidRDefault="001F1D25" w:rsidP="001F1D25">
            <w:pPr>
              <w:jc w:val="center"/>
              <w:rPr>
                <w:rFonts w:ascii="Arial" w:hAnsi="Arial" w:cs="Arial"/>
                <w:bCs/>
                <w:lang w:val="en-US"/>
              </w:rPr>
            </w:pPr>
            <w:r w:rsidRPr="001F1D25">
              <w:rPr>
                <w:rFonts w:ascii="Arial" w:hAnsi="Arial" w:cs="Arial"/>
                <w:bCs/>
                <w:lang w:val="en-US"/>
              </w:rPr>
              <w:t>390,459</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27AE4E7" w14:textId="77777777" w:rsidR="001F1D25" w:rsidRPr="001F1D25" w:rsidRDefault="001F1D25" w:rsidP="001F1D25">
            <w:pPr>
              <w:jc w:val="center"/>
              <w:rPr>
                <w:rFonts w:ascii="Arial" w:hAnsi="Arial" w:cs="Arial"/>
                <w:bCs/>
                <w:lang w:val="en-US"/>
              </w:rPr>
            </w:pPr>
            <w:r w:rsidRPr="001F1D25">
              <w:rPr>
                <w:rFonts w:ascii="Arial" w:hAnsi="Arial" w:cs="Arial"/>
                <w:bCs/>
                <w:lang w:val="en-US"/>
              </w:rPr>
              <w:t>322,897</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7FAC44EF" w14:textId="77777777" w:rsidR="001F1D25" w:rsidRPr="001F1D25" w:rsidRDefault="001F1D25" w:rsidP="001F1D25">
            <w:pPr>
              <w:jc w:val="center"/>
              <w:rPr>
                <w:rFonts w:ascii="Arial" w:hAnsi="Arial" w:cs="Arial"/>
                <w:bCs/>
                <w:lang w:val="en-US"/>
              </w:rPr>
            </w:pPr>
            <w:r w:rsidRPr="001F1D25">
              <w:rPr>
                <w:rFonts w:ascii="Arial" w:hAnsi="Arial" w:cs="Arial"/>
                <w:bCs/>
                <w:lang w:val="en-US"/>
              </w:rPr>
              <w:t>280,885</w:t>
            </w:r>
          </w:p>
        </w:tc>
      </w:tr>
      <w:tr w:rsidR="001F1D25" w:rsidRPr="001F1D25" w14:paraId="3FD329FC"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64C09E3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Payable days</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C82A3CF"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69</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AD3116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79</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1E4F175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67</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5B3E978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64</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0B470D3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94</w:t>
            </w:r>
          </w:p>
        </w:tc>
      </w:tr>
      <w:tr w:rsidR="001F1D25" w:rsidRPr="001F1D25" w14:paraId="1A89EF21"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22FE8011"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(Payables/ </w:t>
            </w:r>
            <w:proofErr w:type="gramStart"/>
            <w:r w:rsidRPr="001F1D25">
              <w:rPr>
                <w:rFonts w:ascii="Arial" w:hAnsi="Arial" w:cs="Arial"/>
                <w:bCs/>
                <w:lang w:val="en-US"/>
              </w:rPr>
              <w:t>COGS)*</w:t>
            </w:r>
            <w:proofErr w:type="gramEnd"/>
            <w:r w:rsidRPr="001F1D25">
              <w:rPr>
                <w:rFonts w:ascii="Arial" w:hAnsi="Arial" w:cs="Arial"/>
                <w:bCs/>
                <w:lang w:val="en-US"/>
              </w:rPr>
              <w:t>365</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883C5A6"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24230FF"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05E6940"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0F88216" w14:textId="77777777" w:rsidR="001F1D25" w:rsidRPr="001F1D25" w:rsidRDefault="001F1D25" w:rsidP="001F1D25">
            <w:pPr>
              <w:jc w:val="center"/>
              <w:rPr>
                <w:rFonts w:ascii="Arial" w:hAnsi="Arial" w:cs="Arial"/>
                <w:bCs/>
                <w:lang w:val="en-US"/>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28A3448F" w14:textId="77777777" w:rsidR="001F1D25" w:rsidRPr="001F1D25" w:rsidRDefault="001F1D25" w:rsidP="001F1D25">
            <w:pPr>
              <w:jc w:val="center"/>
              <w:rPr>
                <w:rFonts w:ascii="Arial" w:hAnsi="Arial" w:cs="Arial"/>
                <w:bCs/>
                <w:lang w:val="en-US"/>
              </w:rPr>
            </w:pPr>
          </w:p>
        </w:tc>
      </w:tr>
      <w:tr w:rsidR="001F1D25" w:rsidRPr="001F1D25" w14:paraId="2A28D6C1"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38A77BE9"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C4978F5"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9B20446"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D5AF741"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65CC3BF9" w14:textId="77777777" w:rsidR="001F1D25" w:rsidRPr="001F1D25" w:rsidRDefault="001F1D25" w:rsidP="001F1D25">
            <w:pPr>
              <w:jc w:val="center"/>
              <w:rPr>
                <w:rFonts w:ascii="Arial" w:hAnsi="Arial" w:cs="Arial"/>
                <w:bCs/>
                <w:lang w:val="en-US"/>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6725A49C" w14:textId="77777777" w:rsidR="001F1D25" w:rsidRPr="001F1D25" w:rsidRDefault="001F1D25" w:rsidP="001F1D25">
            <w:pPr>
              <w:jc w:val="center"/>
              <w:rPr>
                <w:rFonts w:ascii="Arial" w:hAnsi="Arial" w:cs="Arial"/>
                <w:bCs/>
                <w:lang w:val="en-US"/>
              </w:rPr>
            </w:pPr>
          </w:p>
        </w:tc>
      </w:tr>
      <w:tr w:rsidR="001F1D25" w:rsidRPr="001F1D25" w14:paraId="6AE0B00F"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tcPr>
          <w:p w14:paraId="7BC37B08"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1553E8B5"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4F13128A"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29BB071C"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70C81E3" w14:textId="77777777" w:rsidR="001F1D25" w:rsidRPr="001F1D25" w:rsidRDefault="001F1D25" w:rsidP="001F1D25">
            <w:pPr>
              <w:jc w:val="center"/>
              <w:rPr>
                <w:rFonts w:ascii="Arial" w:hAnsi="Arial" w:cs="Arial"/>
                <w:bCs/>
                <w:lang w:val="en-US"/>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05DF843C" w14:textId="77777777" w:rsidR="001F1D25" w:rsidRPr="001F1D25" w:rsidRDefault="001F1D25" w:rsidP="001F1D25">
            <w:pPr>
              <w:jc w:val="center"/>
              <w:rPr>
                <w:rFonts w:ascii="Arial" w:hAnsi="Arial" w:cs="Arial"/>
                <w:bCs/>
                <w:lang w:val="en-US"/>
              </w:rPr>
            </w:pPr>
          </w:p>
        </w:tc>
      </w:tr>
      <w:tr w:rsidR="001F1D25" w:rsidRPr="001F1D25" w14:paraId="13FC20E4"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48CF2D7A" w14:textId="77777777" w:rsidR="001F1D25" w:rsidRPr="001F1D25" w:rsidRDefault="001F1D25" w:rsidP="001F1D25">
            <w:pPr>
              <w:jc w:val="center"/>
              <w:rPr>
                <w:rFonts w:ascii="Arial" w:hAnsi="Arial" w:cs="Arial"/>
                <w:bCs/>
                <w:lang w:val="en-US"/>
              </w:rPr>
            </w:pPr>
            <w:r w:rsidRPr="001F1D25">
              <w:rPr>
                <w:rFonts w:ascii="Arial" w:hAnsi="Arial" w:cs="Arial"/>
                <w:bCs/>
                <w:lang w:val="en-US"/>
              </w:rPr>
              <w:t>Inventory days</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F108F3D" w14:textId="77777777" w:rsidR="001F1D25" w:rsidRPr="001F1D25" w:rsidRDefault="001F1D25" w:rsidP="001F1D25">
            <w:pPr>
              <w:jc w:val="center"/>
              <w:rPr>
                <w:rFonts w:ascii="Arial" w:hAnsi="Arial" w:cs="Arial"/>
                <w:bCs/>
                <w:lang w:val="en-US"/>
              </w:rPr>
            </w:pPr>
            <w:r w:rsidRPr="001F1D25">
              <w:rPr>
                <w:rFonts w:ascii="Arial" w:hAnsi="Arial" w:cs="Arial"/>
                <w:bCs/>
                <w:lang w:val="en-US"/>
              </w:rPr>
              <w:t>106</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95402E8" w14:textId="77777777" w:rsidR="001F1D25" w:rsidRPr="001F1D25" w:rsidRDefault="001F1D25" w:rsidP="001F1D25">
            <w:pPr>
              <w:jc w:val="center"/>
              <w:rPr>
                <w:rFonts w:ascii="Arial" w:hAnsi="Arial" w:cs="Arial"/>
                <w:bCs/>
                <w:lang w:val="en-US"/>
              </w:rPr>
            </w:pPr>
            <w:r w:rsidRPr="001F1D25">
              <w:rPr>
                <w:rFonts w:ascii="Arial" w:hAnsi="Arial" w:cs="Arial"/>
                <w:bCs/>
                <w:lang w:val="en-US"/>
              </w:rPr>
              <w:t>109</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37005FC4" w14:textId="77777777" w:rsidR="001F1D25" w:rsidRPr="001F1D25" w:rsidRDefault="001F1D25" w:rsidP="001F1D25">
            <w:pPr>
              <w:jc w:val="center"/>
              <w:rPr>
                <w:rFonts w:ascii="Arial" w:hAnsi="Arial" w:cs="Arial"/>
                <w:bCs/>
                <w:lang w:val="en-US"/>
              </w:rPr>
            </w:pPr>
            <w:r w:rsidRPr="001F1D25">
              <w:rPr>
                <w:rFonts w:ascii="Arial" w:hAnsi="Arial" w:cs="Arial"/>
                <w:bCs/>
                <w:lang w:val="en-US"/>
              </w:rPr>
              <w:t>128</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2466A1BF" w14:textId="77777777" w:rsidR="001F1D25" w:rsidRPr="001F1D25" w:rsidRDefault="001F1D25" w:rsidP="001F1D25">
            <w:pPr>
              <w:jc w:val="center"/>
              <w:rPr>
                <w:rFonts w:ascii="Arial" w:hAnsi="Arial" w:cs="Arial"/>
                <w:bCs/>
                <w:lang w:val="en-US"/>
              </w:rPr>
            </w:pPr>
            <w:r w:rsidRPr="001F1D25">
              <w:rPr>
                <w:rFonts w:ascii="Arial" w:hAnsi="Arial" w:cs="Arial"/>
                <w:bCs/>
                <w:lang w:val="en-US"/>
              </w:rPr>
              <w:t>129</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1057D111" w14:textId="77777777" w:rsidR="001F1D25" w:rsidRPr="001F1D25" w:rsidRDefault="001F1D25" w:rsidP="001F1D25">
            <w:pPr>
              <w:jc w:val="center"/>
              <w:rPr>
                <w:rFonts w:ascii="Arial" w:hAnsi="Arial" w:cs="Arial"/>
                <w:bCs/>
                <w:lang w:val="en-US"/>
              </w:rPr>
            </w:pPr>
            <w:r w:rsidRPr="001F1D25">
              <w:rPr>
                <w:rFonts w:ascii="Arial" w:hAnsi="Arial" w:cs="Arial"/>
                <w:bCs/>
                <w:lang w:val="en-US"/>
              </w:rPr>
              <w:t>109</w:t>
            </w:r>
          </w:p>
        </w:tc>
      </w:tr>
      <w:tr w:rsidR="001F1D25" w:rsidRPr="001F1D25" w14:paraId="594A532D"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4A8688A5" w14:textId="77777777" w:rsidR="001F1D25" w:rsidRPr="001F1D25" w:rsidRDefault="001F1D25" w:rsidP="001F1D25">
            <w:pPr>
              <w:jc w:val="center"/>
              <w:rPr>
                <w:rFonts w:ascii="Arial" w:hAnsi="Arial" w:cs="Arial"/>
                <w:bCs/>
                <w:lang w:val="en-US"/>
              </w:rPr>
            </w:pPr>
            <w:r w:rsidRPr="001F1D25">
              <w:rPr>
                <w:rFonts w:ascii="Arial" w:hAnsi="Arial" w:cs="Arial"/>
                <w:bCs/>
                <w:lang w:val="en-US"/>
              </w:rPr>
              <w:t>Receivable days</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2634F62A" w14:textId="77777777" w:rsidR="001F1D25" w:rsidRPr="001F1D25" w:rsidRDefault="001F1D25" w:rsidP="001F1D25">
            <w:pPr>
              <w:jc w:val="center"/>
              <w:rPr>
                <w:rFonts w:ascii="Arial" w:hAnsi="Arial" w:cs="Arial"/>
                <w:bCs/>
                <w:lang w:val="en-US"/>
              </w:rPr>
            </w:pPr>
            <w:r w:rsidRPr="001F1D25">
              <w:rPr>
                <w:rFonts w:ascii="Arial" w:hAnsi="Arial" w:cs="Arial"/>
                <w:bCs/>
                <w:lang w:val="en-US"/>
              </w:rPr>
              <w:t>77</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58D46307" w14:textId="77777777" w:rsidR="001F1D25" w:rsidRPr="001F1D25" w:rsidRDefault="001F1D25" w:rsidP="001F1D25">
            <w:pPr>
              <w:jc w:val="center"/>
              <w:rPr>
                <w:rFonts w:ascii="Arial" w:hAnsi="Arial" w:cs="Arial"/>
                <w:bCs/>
                <w:lang w:val="en-US"/>
              </w:rPr>
            </w:pPr>
            <w:r w:rsidRPr="001F1D25">
              <w:rPr>
                <w:rFonts w:ascii="Arial" w:hAnsi="Arial" w:cs="Arial"/>
                <w:bCs/>
                <w:lang w:val="en-US"/>
              </w:rPr>
              <w:t>78</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66E7DF1A" w14:textId="77777777" w:rsidR="001F1D25" w:rsidRPr="001F1D25" w:rsidRDefault="001F1D25" w:rsidP="001F1D25">
            <w:pPr>
              <w:jc w:val="center"/>
              <w:rPr>
                <w:rFonts w:ascii="Arial" w:hAnsi="Arial" w:cs="Arial"/>
                <w:bCs/>
                <w:lang w:val="en-US"/>
              </w:rPr>
            </w:pPr>
            <w:r w:rsidRPr="001F1D25">
              <w:rPr>
                <w:rFonts w:ascii="Arial" w:hAnsi="Arial" w:cs="Arial"/>
                <w:bCs/>
                <w:lang w:val="en-US"/>
              </w:rPr>
              <w:t>76</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6866E74C" w14:textId="77777777" w:rsidR="001F1D25" w:rsidRPr="001F1D25" w:rsidRDefault="001F1D25" w:rsidP="001F1D25">
            <w:pPr>
              <w:jc w:val="center"/>
              <w:rPr>
                <w:rFonts w:ascii="Arial" w:hAnsi="Arial" w:cs="Arial"/>
                <w:bCs/>
                <w:lang w:val="en-US"/>
              </w:rPr>
            </w:pPr>
            <w:r w:rsidRPr="001F1D25">
              <w:rPr>
                <w:rFonts w:ascii="Arial" w:hAnsi="Arial" w:cs="Arial"/>
                <w:bCs/>
                <w:lang w:val="en-US"/>
              </w:rPr>
              <w:t>98</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4EC43C4E" w14:textId="77777777" w:rsidR="001F1D25" w:rsidRPr="001F1D25" w:rsidRDefault="001F1D25" w:rsidP="001F1D25">
            <w:pPr>
              <w:jc w:val="center"/>
              <w:rPr>
                <w:rFonts w:ascii="Arial" w:hAnsi="Arial" w:cs="Arial"/>
                <w:bCs/>
                <w:lang w:val="en-US"/>
              </w:rPr>
            </w:pPr>
            <w:r w:rsidRPr="001F1D25">
              <w:rPr>
                <w:rFonts w:ascii="Arial" w:hAnsi="Arial" w:cs="Arial"/>
                <w:bCs/>
                <w:lang w:val="en-US"/>
              </w:rPr>
              <w:t>106</w:t>
            </w:r>
          </w:p>
        </w:tc>
      </w:tr>
      <w:tr w:rsidR="001F1D25" w:rsidRPr="001F1D25" w14:paraId="2EB3DCEA"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1365D332" w14:textId="77777777" w:rsidR="001F1D25" w:rsidRPr="001F1D25" w:rsidRDefault="001F1D25" w:rsidP="001F1D25">
            <w:pPr>
              <w:jc w:val="center"/>
              <w:rPr>
                <w:rFonts w:ascii="Arial" w:hAnsi="Arial" w:cs="Arial"/>
                <w:bCs/>
                <w:lang w:val="en-US"/>
              </w:rPr>
            </w:pPr>
            <w:r w:rsidRPr="001F1D25">
              <w:rPr>
                <w:rFonts w:ascii="Arial" w:hAnsi="Arial" w:cs="Arial"/>
                <w:bCs/>
                <w:lang w:val="en-US"/>
              </w:rPr>
              <w:t>Payable days</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463E394" w14:textId="77777777" w:rsidR="001F1D25" w:rsidRPr="001F1D25" w:rsidRDefault="001F1D25" w:rsidP="001F1D25">
            <w:pPr>
              <w:jc w:val="center"/>
              <w:rPr>
                <w:rFonts w:ascii="Arial" w:hAnsi="Arial" w:cs="Arial"/>
                <w:bCs/>
                <w:lang w:val="en-US"/>
              </w:rPr>
            </w:pPr>
            <w:r w:rsidRPr="001F1D25">
              <w:rPr>
                <w:rFonts w:ascii="Arial" w:hAnsi="Arial" w:cs="Arial"/>
                <w:bCs/>
                <w:lang w:val="en-US"/>
              </w:rPr>
              <w:t>69</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71E8A5E" w14:textId="77777777" w:rsidR="001F1D25" w:rsidRPr="001F1D25" w:rsidRDefault="001F1D25" w:rsidP="001F1D25">
            <w:pPr>
              <w:jc w:val="center"/>
              <w:rPr>
                <w:rFonts w:ascii="Arial" w:hAnsi="Arial" w:cs="Arial"/>
                <w:bCs/>
                <w:lang w:val="en-US"/>
              </w:rPr>
            </w:pPr>
            <w:r w:rsidRPr="001F1D25">
              <w:rPr>
                <w:rFonts w:ascii="Arial" w:hAnsi="Arial" w:cs="Arial"/>
                <w:bCs/>
                <w:lang w:val="en-US"/>
              </w:rPr>
              <w:t>79</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79AF1DAC" w14:textId="77777777" w:rsidR="001F1D25" w:rsidRPr="001F1D25" w:rsidRDefault="001F1D25" w:rsidP="001F1D25">
            <w:pPr>
              <w:jc w:val="center"/>
              <w:rPr>
                <w:rFonts w:ascii="Arial" w:hAnsi="Arial" w:cs="Arial"/>
                <w:bCs/>
                <w:lang w:val="en-US"/>
              </w:rPr>
            </w:pPr>
            <w:r w:rsidRPr="001F1D25">
              <w:rPr>
                <w:rFonts w:ascii="Arial" w:hAnsi="Arial" w:cs="Arial"/>
                <w:bCs/>
                <w:lang w:val="en-US"/>
              </w:rPr>
              <w:t>67</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E125468" w14:textId="77777777" w:rsidR="001F1D25" w:rsidRPr="001F1D25" w:rsidRDefault="001F1D25" w:rsidP="001F1D25">
            <w:pPr>
              <w:jc w:val="center"/>
              <w:rPr>
                <w:rFonts w:ascii="Arial" w:hAnsi="Arial" w:cs="Arial"/>
                <w:bCs/>
                <w:lang w:val="en-US"/>
              </w:rPr>
            </w:pPr>
            <w:r w:rsidRPr="001F1D25">
              <w:rPr>
                <w:rFonts w:ascii="Arial" w:hAnsi="Arial" w:cs="Arial"/>
                <w:bCs/>
                <w:lang w:val="en-US"/>
              </w:rPr>
              <w:t>64</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303CFC9D" w14:textId="77777777" w:rsidR="001F1D25" w:rsidRPr="001F1D25" w:rsidRDefault="001F1D25" w:rsidP="001F1D25">
            <w:pPr>
              <w:jc w:val="center"/>
              <w:rPr>
                <w:rFonts w:ascii="Arial" w:hAnsi="Arial" w:cs="Arial"/>
                <w:bCs/>
                <w:lang w:val="en-US"/>
              </w:rPr>
            </w:pPr>
            <w:r w:rsidRPr="001F1D25">
              <w:rPr>
                <w:rFonts w:ascii="Arial" w:hAnsi="Arial" w:cs="Arial"/>
                <w:bCs/>
                <w:lang w:val="en-US"/>
              </w:rPr>
              <w:t>94</w:t>
            </w:r>
          </w:p>
        </w:tc>
      </w:tr>
      <w:tr w:rsidR="001F1D25" w:rsidRPr="001F1D25" w14:paraId="10C0DB2A"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452EDA9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Operating Cycle</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3184CE0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114</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4EE120C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108</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2DB39FF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137</w:t>
            </w:r>
          </w:p>
        </w:tc>
        <w:tc>
          <w:tcPr>
            <w:tcW w:w="511" w:type="pct"/>
            <w:tcBorders>
              <w:top w:val="single" w:sz="4" w:space="0" w:color="000000"/>
              <w:left w:val="single" w:sz="4" w:space="0" w:color="000000"/>
              <w:bottom w:val="single" w:sz="4" w:space="0" w:color="000000"/>
              <w:right w:val="single" w:sz="4" w:space="0" w:color="000000"/>
            </w:tcBorders>
            <w:noWrap/>
            <w:vAlign w:val="center"/>
            <w:hideMark/>
          </w:tcPr>
          <w:p w14:paraId="5F0D154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162</w:t>
            </w:r>
          </w:p>
        </w:tc>
        <w:tc>
          <w:tcPr>
            <w:tcW w:w="513" w:type="pct"/>
            <w:tcBorders>
              <w:top w:val="single" w:sz="4" w:space="0" w:color="000000"/>
              <w:left w:val="single" w:sz="4" w:space="0" w:color="000000"/>
              <w:bottom w:val="single" w:sz="4" w:space="0" w:color="000000"/>
              <w:right w:val="single" w:sz="4" w:space="0" w:color="000000"/>
            </w:tcBorders>
            <w:noWrap/>
            <w:vAlign w:val="center"/>
            <w:hideMark/>
          </w:tcPr>
          <w:p w14:paraId="13F7493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121</w:t>
            </w:r>
          </w:p>
        </w:tc>
      </w:tr>
      <w:tr w:rsidR="001F1D25" w:rsidRPr="001F1D25" w14:paraId="165A428C" w14:textId="77777777">
        <w:trPr>
          <w:trHeight w:val="336"/>
        </w:trPr>
        <w:tc>
          <w:tcPr>
            <w:tcW w:w="2439" w:type="pct"/>
            <w:tcBorders>
              <w:top w:val="single" w:sz="4" w:space="0" w:color="000000"/>
              <w:left w:val="single" w:sz="4" w:space="0" w:color="000000"/>
              <w:bottom w:val="single" w:sz="4" w:space="0" w:color="000000"/>
              <w:right w:val="single" w:sz="4" w:space="0" w:color="000000"/>
            </w:tcBorders>
            <w:noWrap/>
            <w:vAlign w:val="center"/>
            <w:hideMark/>
          </w:tcPr>
          <w:p w14:paraId="51A48A5C"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(Inventory </w:t>
            </w:r>
            <w:proofErr w:type="spellStart"/>
            <w:r w:rsidRPr="001F1D25">
              <w:rPr>
                <w:rFonts w:ascii="Arial" w:hAnsi="Arial" w:cs="Arial"/>
                <w:bCs/>
                <w:lang w:val="en-US"/>
              </w:rPr>
              <w:t>days+receivable</w:t>
            </w:r>
            <w:proofErr w:type="spellEnd"/>
            <w:r w:rsidRPr="001F1D25">
              <w:rPr>
                <w:rFonts w:ascii="Arial" w:hAnsi="Arial" w:cs="Arial"/>
                <w:bCs/>
                <w:lang w:val="en-US"/>
              </w:rPr>
              <w:t xml:space="preserve"> days-payable days)</w:t>
            </w: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305CDCCA"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758F0467"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AA8C727" w14:textId="77777777" w:rsidR="001F1D25" w:rsidRPr="001F1D25" w:rsidRDefault="001F1D25" w:rsidP="001F1D25">
            <w:pPr>
              <w:jc w:val="center"/>
              <w:rPr>
                <w:rFonts w:ascii="Arial" w:hAnsi="Arial" w:cs="Arial"/>
                <w:bCs/>
                <w:lang w:val="en-US"/>
              </w:rPr>
            </w:pPr>
          </w:p>
        </w:tc>
        <w:tc>
          <w:tcPr>
            <w:tcW w:w="511" w:type="pct"/>
            <w:tcBorders>
              <w:top w:val="single" w:sz="4" w:space="0" w:color="000000"/>
              <w:left w:val="single" w:sz="4" w:space="0" w:color="000000"/>
              <w:bottom w:val="single" w:sz="4" w:space="0" w:color="000000"/>
              <w:right w:val="single" w:sz="4" w:space="0" w:color="000000"/>
            </w:tcBorders>
            <w:noWrap/>
            <w:vAlign w:val="center"/>
          </w:tcPr>
          <w:p w14:paraId="07ECCDA8" w14:textId="77777777" w:rsidR="001F1D25" w:rsidRPr="001F1D25" w:rsidRDefault="001F1D25" w:rsidP="001F1D25">
            <w:pPr>
              <w:jc w:val="center"/>
              <w:rPr>
                <w:rFonts w:ascii="Arial" w:hAnsi="Arial" w:cs="Arial"/>
                <w:bCs/>
                <w:lang w:val="en-US"/>
              </w:rPr>
            </w:pPr>
          </w:p>
        </w:tc>
        <w:tc>
          <w:tcPr>
            <w:tcW w:w="513" w:type="pct"/>
            <w:tcBorders>
              <w:top w:val="single" w:sz="4" w:space="0" w:color="000000"/>
              <w:left w:val="single" w:sz="4" w:space="0" w:color="000000"/>
              <w:bottom w:val="single" w:sz="4" w:space="0" w:color="000000"/>
              <w:right w:val="single" w:sz="4" w:space="0" w:color="000000"/>
            </w:tcBorders>
            <w:noWrap/>
            <w:vAlign w:val="center"/>
          </w:tcPr>
          <w:p w14:paraId="229A5922" w14:textId="77777777" w:rsidR="001F1D25" w:rsidRPr="001F1D25" w:rsidRDefault="001F1D25" w:rsidP="001F1D25">
            <w:pPr>
              <w:jc w:val="center"/>
              <w:rPr>
                <w:rFonts w:ascii="Arial" w:hAnsi="Arial" w:cs="Arial"/>
                <w:bCs/>
                <w:lang w:val="en-US"/>
              </w:rPr>
            </w:pPr>
          </w:p>
        </w:tc>
      </w:tr>
    </w:tbl>
    <w:p w14:paraId="1FB7BC7E" w14:textId="77777777" w:rsidR="001F1D25" w:rsidRPr="001F1D25" w:rsidRDefault="001F1D25" w:rsidP="001F1D25">
      <w:pPr>
        <w:jc w:val="center"/>
        <w:rPr>
          <w:rFonts w:ascii="Arial" w:hAnsi="Arial" w:cs="Arial"/>
          <w:bCs/>
          <w:lang w:val="en-US"/>
        </w:rPr>
      </w:pPr>
    </w:p>
    <w:p w14:paraId="66C6FA20" w14:textId="77777777" w:rsidR="001F1D25" w:rsidRPr="001F1D25" w:rsidRDefault="001F1D25" w:rsidP="001F1D25">
      <w:pPr>
        <w:jc w:val="center"/>
        <w:rPr>
          <w:rFonts w:ascii="Arial" w:hAnsi="Arial" w:cs="Arial"/>
          <w:bCs/>
          <w:lang w:val="en-US"/>
        </w:rPr>
      </w:pPr>
      <w:r w:rsidRPr="001F1D25">
        <w:rPr>
          <w:rFonts w:ascii="Arial" w:hAnsi="Arial" w:cs="Arial"/>
          <w:bCs/>
          <w:lang w:val="en-US"/>
        </w:rPr>
        <w:t>3.</w:t>
      </w:r>
    </w:p>
    <w:tbl>
      <w:tblPr>
        <w:tblW w:w="5000" w:type="pct"/>
        <w:tblLook w:val="04A0" w:firstRow="1" w:lastRow="0" w:firstColumn="1" w:lastColumn="0" w:noHBand="0" w:noVBand="1"/>
      </w:tblPr>
      <w:tblGrid>
        <w:gridCol w:w="1399"/>
        <w:gridCol w:w="1468"/>
        <w:gridCol w:w="1071"/>
        <w:gridCol w:w="1468"/>
        <w:gridCol w:w="1071"/>
        <w:gridCol w:w="1468"/>
        <w:gridCol w:w="1071"/>
      </w:tblGrid>
      <w:tr w:rsidR="001F1D25" w:rsidRPr="001F1D25" w14:paraId="2E58FBD3" w14:textId="77777777">
        <w:trPr>
          <w:trHeight w:val="336"/>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7A767AFB"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Calculation of payback period</w:t>
            </w:r>
          </w:p>
        </w:tc>
      </w:tr>
      <w:tr w:rsidR="001F1D25" w:rsidRPr="001F1D25" w14:paraId="66BB615D"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hideMark/>
          </w:tcPr>
          <w:p w14:paraId="26C1A53F"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Projects</w:t>
            </w:r>
          </w:p>
        </w:tc>
        <w:tc>
          <w:tcPr>
            <w:tcW w:w="1405" w:type="pct"/>
            <w:gridSpan w:val="2"/>
            <w:tcBorders>
              <w:top w:val="single" w:sz="4" w:space="0" w:color="000000"/>
              <w:left w:val="single" w:sz="4" w:space="0" w:color="000000"/>
              <w:bottom w:val="single" w:sz="4" w:space="0" w:color="000000"/>
              <w:right w:val="single" w:sz="4" w:space="0" w:color="000000"/>
            </w:tcBorders>
            <w:noWrap/>
            <w:vAlign w:val="center"/>
            <w:hideMark/>
          </w:tcPr>
          <w:p w14:paraId="6DED225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A</w:t>
            </w:r>
          </w:p>
        </w:tc>
        <w:tc>
          <w:tcPr>
            <w:tcW w:w="1405" w:type="pct"/>
            <w:gridSpan w:val="2"/>
            <w:tcBorders>
              <w:top w:val="single" w:sz="4" w:space="0" w:color="000000"/>
              <w:left w:val="single" w:sz="4" w:space="0" w:color="000000"/>
              <w:bottom w:val="single" w:sz="4" w:space="0" w:color="000000"/>
              <w:right w:val="single" w:sz="4" w:space="0" w:color="000000"/>
            </w:tcBorders>
            <w:noWrap/>
            <w:vAlign w:val="center"/>
            <w:hideMark/>
          </w:tcPr>
          <w:p w14:paraId="3D4AAC1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B</w:t>
            </w:r>
          </w:p>
        </w:tc>
        <w:tc>
          <w:tcPr>
            <w:tcW w:w="1406" w:type="pct"/>
            <w:gridSpan w:val="2"/>
            <w:tcBorders>
              <w:top w:val="single" w:sz="4" w:space="0" w:color="000000"/>
              <w:left w:val="single" w:sz="4" w:space="0" w:color="000000"/>
              <w:bottom w:val="single" w:sz="4" w:space="0" w:color="000000"/>
              <w:right w:val="single" w:sz="4" w:space="0" w:color="000000"/>
            </w:tcBorders>
            <w:noWrap/>
            <w:vAlign w:val="center"/>
            <w:hideMark/>
          </w:tcPr>
          <w:p w14:paraId="74B88B0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w:t>
            </w:r>
          </w:p>
        </w:tc>
      </w:tr>
      <w:tr w:rsidR="001F1D25" w:rsidRPr="001F1D25" w14:paraId="0E5F5B01"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hideMark/>
          </w:tcPr>
          <w:p w14:paraId="3D931F8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Year</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502C4ED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 (£M)</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4EDA343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Cumulative</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2411600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 (£M)</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499E65D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Cumulative</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5CB55C1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 (£M)</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3499E127"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Cumulative</w:t>
            </w:r>
          </w:p>
        </w:tc>
      </w:tr>
      <w:tr w:rsidR="001F1D25" w:rsidRPr="001F1D25" w14:paraId="01F4F5D9"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hideMark/>
          </w:tcPr>
          <w:p w14:paraId="7B32F3ED"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6CC4BEA2" w14:textId="77777777" w:rsidR="001F1D25" w:rsidRPr="001F1D25" w:rsidRDefault="001F1D25" w:rsidP="001F1D25">
            <w:pPr>
              <w:jc w:val="center"/>
              <w:rPr>
                <w:rFonts w:ascii="Arial" w:hAnsi="Arial" w:cs="Arial"/>
                <w:bCs/>
                <w:lang w:val="en-US"/>
              </w:rPr>
            </w:pPr>
            <w:r w:rsidRPr="001F1D25">
              <w:rPr>
                <w:rFonts w:ascii="Arial" w:hAnsi="Arial" w:cs="Arial"/>
                <w:bCs/>
                <w:lang w:val="en-US"/>
              </w:rPr>
              <w:t>-40</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52D250A6" w14:textId="77777777" w:rsidR="001F1D25" w:rsidRPr="001F1D25" w:rsidRDefault="001F1D25" w:rsidP="001F1D25">
            <w:pPr>
              <w:jc w:val="center"/>
              <w:rPr>
                <w:rFonts w:ascii="Arial" w:hAnsi="Arial" w:cs="Arial"/>
                <w:bCs/>
                <w:lang w:val="en-US"/>
              </w:rPr>
            </w:pPr>
            <w:r w:rsidRPr="001F1D25">
              <w:rPr>
                <w:rFonts w:ascii="Arial" w:hAnsi="Arial" w:cs="Arial"/>
                <w:bCs/>
                <w:lang w:val="en-US"/>
              </w:rPr>
              <w:t>-40</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696CDD9F" w14:textId="77777777" w:rsidR="001F1D25" w:rsidRPr="001F1D25" w:rsidRDefault="001F1D25" w:rsidP="001F1D25">
            <w:pPr>
              <w:jc w:val="center"/>
              <w:rPr>
                <w:rFonts w:ascii="Arial" w:hAnsi="Arial" w:cs="Arial"/>
                <w:bCs/>
                <w:lang w:val="en-US"/>
              </w:rPr>
            </w:pPr>
            <w:r w:rsidRPr="001F1D25">
              <w:rPr>
                <w:rFonts w:ascii="Arial" w:hAnsi="Arial" w:cs="Arial"/>
                <w:bCs/>
                <w:lang w:val="en-US"/>
              </w:rPr>
              <w:t>-30</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107F1D7E" w14:textId="77777777" w:rsidR="001F1D25" w:rsidRPr="001F1D25" w:rsidRDefault="001F1D25" w:rsidP="001F1D25">
            <w:pPr>
              <w:jc w:val="center"/>
              <w:rPr>
                <w:rFonts w:ascii="Arial" w:hAnsi="Arial" w:cs="Arial"/>
                <w:bCs/>
                <w:lang w:val="en-US"/>
              </w:rPr>
            </w:pPr>
            <w:r w:rsidRPr="001F1D25">
              <w:rPr>
                <w:rFonts w:ascii="Arial" w:hAnsi="Arial" w:cs="Arial"/>
                <w:bCs/>
                <w:lang w:val="en-US"/>
              </w:rPr>
              <w:t>-30</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779B207E" w14:textId="77777777" w:rsidR="001F1D25" w:rsidRPr="001F1D25" w:rsidRDefault="001F1D25" w:rsidP="001F1D25">
            <w:pPr>
              <w:jc w:val="center"/>
              <w:rPr>
                <w:rFonts w:ascii="Arial" w:hAnsi="Arial" w:cs="Arial"/>
                <w:bCs/>
                <w:lang w:val="en-US"/>
              </w:rPr>
            </w:pPr>
            <w:r w:rsidRPr="001F1D25">
              <w:rPr>
                <w:rFonts w:ascii="Arial" w:hAnsi="Arial" w:cs="Arial"/>
                <w:bCs/>
                <w:lang w:val="en-US"/>
              </w:rPr>
              <w:t>-50</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153A8B0C" w14:textId="77777777" w:rsidR="001F1D25" w:rsidRPr="001F1D25" w:rsidRDefault="001F1D25" w:rsidP="001F1D25">
            <w:pPr>
              <w:jc w:val="center"/>
              <w:rPr>
                <w:rFonts w:ascii="Arial" w:hAnsi="Arial" w:cs="Arial"/>
                <w:bCs/>
                <w:lang w:val="en-US"/>
              </w:rPr>
            </w:pPr>
            <w:r w:rsidRPr="001F1D25">
              <w:rPr>
                <w:rFonts w:ascii="Arial" w:hAnsi="Arial" w:cs="Arial"/>
                <w:bCs/>
                <w:lang w:val="en-US"/>
              </w:rPr>
              <w:t>-50</w:t>
            </w:r>
          </w:p>
        </w:tc>
      </w:tr>
      <w:tr w:rsidR="001F1D25" w:rsidRPr="001F1D25" w14:paraId="49A01D8C"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hideMark/>
          </w:tcPr>
          <w:p w14:paraId="2D8838EF" w14:textId="77777777" w:rsidR="001F1D25" w:rsidRPr="001F1D25" w:rsidRDefault="001F1D25" w:rsidP="001F1D25">
            <w:pPr>
              <w:jc w:val="center"/>
              <w:rPr>
                <w:rFonts w:ascii="Arial" w:hAnsi="Arial" w:cs="Arial"/>
                <w:bCs/>
                <w:lang w:val="en-US"/>
              </w:rPr>
            </w:pPr>
            <w:r w:rsidRPr="001F1D25">
              <w:rPr>
                <w:rFonts w:ascii="Arial" w:hAnsi="Arial" w:cs="Arial"/>
                <w:bCs/>
                <w:lang w:val="en-US"/>
              </w:rPr>
              <w:lastRenderedPageBreak/>
              <w:t>1</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5DFCFE05"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4DA9E473" w14:textId="77777777" w:rsidR="001F1D25" w:rsidRPr="001F1D25" w:rsidRDefault="001F1D25" w:rsidP="001F1D25">
            <w:pPr>
              <w:jc w:val="center"/>
              <w:rPr>
                <w:rFonts w:ascii="Arial" w:hAnsi="Arial" w:cs="Arial"/>
                <w:bCs/>
                <w:lang w:val="en-US"/>
              </w:rPr>
            </w:pPr>
            <w:r w:rsidRPr="001F1D25">
              <w:rPr>
                <w:rFonts w:ascii="Arial" w:hAnsi="Arial" w:cs="Arial"/>
                <w:bCs/>
                <w:lang w:val="en-US"/>
              </w:rPr>
              <w:t>-30</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09ADF96E"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7246A8C8" w14:textId="77777777" w:rsidR="001F1D25" w:rsidRPr="001F1D25" w:rsidRDefault="001F1D25" w:rsidP="001F1D25">
            <w:pPr>
              <w:jc w:val="center"/>
              <w:rPr>
                <w:rFonts w:ascii="Arial" w:hAnsi="Arial" w:cs="Arial"/>
                <w:bCs/>
                <w:lang w:val="en-US"/>
              </w:rPr>
            </w:pPr>
            <w:r w:rsidRPr="001F1D25">
              <w:rPr>
                <w:rFonts w:ascii="Arial" w:hAnsi="Arial" w:cs="Arial"/>
                <w:bCs/>
                <w:lang w:val="en-US"/>
              </w:rPr>
              <w:t>-24</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1BC5E6DC" w14:textId="77777777" w:rsidR="001F1D25" w:rsidRPr="001F1D25" w:rsidRDefault="001F1D25" w:rsidP="001F1D25">
            <w:pPr>
              <w:jc w:val="center"/>
              <w:rPr>
                <w:rFonts w:ascii="Arial" w:hAnsi="Arial" w:cs="Arial"/>
                <w:bCs/>
                <w:lang w:val="en-US"/>
              </w:rPr>
            </w:pPr>
            <w:r w:rsidRPr="001F1D25">
              <w:rPr>
                <w:rFonts w:ascii="Arial" w:hAnsi="Arial" w:cs="Arial"/>
                <w:bCs/>
                <w:lang w:val="en-US"/>
              </w:rPr>
              <w:t>5</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12365679" w14:textId="77777777" w:rsidR="001F1D25" w:rsidRPr="001F1D25" w:rsidRDefault="001F1D25" w:rsidP="001F1D25">
            <w:pPr>
              <w:jc w:val="center"/>
              <w:rPr>
                <w:rFonts w:ascii="Arial" w:hAnsi="Arial" w:cs="Arial"/>
                <w:bCs/>
                <w:lang w:val="en-US"/>
              </w:rPr>
            </w:pPr>
            <w:r w:rsidRPr="001F1D25">
              <w:rPr>
                <w:rFonts w:ascii="Arial" w:hAnsi="Arial" w:cs="Arial"/>
                <w:bCs/>
                <w:lang w:val="en-US"/>
              </w:rPr>
              <w:t>-45</w:t>
            </w:r>
          </w:p>
        </w:tc>
      </w:tr>
      <w:tr w:rsidR="001F1D25" w:rsidRPr="001F1D25" w14:paraId="57B0D3F0"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hideMark/>
          </w:tcPr>
          <w:p w14:paraId="1E9A698A" w14:textId="77777777" w:rsidR="001F1D25" w:rsidRPr="001F1D25" w:rsidRDefault="001F1D25" w:rsidP="001F1D25">
            <w:pPr>
              <w:jc w:val="center"/>
              <w:rPr>
                <w:rFonts w:ascii="Arial" w:hAnsi="Arial" w:cs="Arial"/>
                <w:bCs/>
                <w:lang w:val="en-US"/>
              </w:rPr>
            </w:pPr>
            <w:r w:rsidRPr="001F1D25">
              <w:rPr>
                <w:rFonts w:ascii="Arial" w:hAnsi="Arial" w:cs="Arial"/>
                <w:bCs/>
                <w:lang w:val="en-US"/>
              </w:rPr>
              <w:t>2</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24CF9945" w14:textId="77777777" w:rsidR="001F1D25" w:rsidRPr="001F1D25" w:rsidRDefault="001F1D25" w:rsidP="001F1D25">
            <w:pPr>
              <w:jc w:val="center"/>
              <w:rPr>
                <w:rFonts w:ascii="Arial" w:hAnsi="Arial" w:cs="Arial"/>
                <w:bCs/>
                <w:lang w:val="en-US"/>
              </w:rPr>
            </w:pPr>
            <w:r w:rsidRPr="001F1D25">
              <w:rPr>
                <w:rFonts w:ascii="Arial" w:hAnsi="Arial" w:cs="Arial"/>
                <w:bCs/>
                <w:lang w:val="en-US"/>
              </w:rPr>
              <w:t>12</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4B37A024" w14:textId="77777777" w:rsidR="001F1D25" w:rsidRPr="001F1D25" w:rsidRDefault="001F1D25" w:rsidP="001F1D25">
            <w:pPr>
              <w:jc w:val="center"/>
              <w:rPr>
                <w:rFonts w:ascii="Arial" w:hAnsi="Arial" w:cs="Arial"/>
                <w:bCs/>
                <w:lang w:val="en-US"/>
              </w:rPr>
            </w:pPr>
            <w:r w:rsidRPr="001F1D25">
              <w:rPr>
                <w:rFonts w:ascii="Arial" w:hAnsi="Arial" w:cs="Arial"/>
                <w:bCs/>
                <w:lang w:val="en-US"/>
              </w:rPr>
              <w:t>-18</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30076822"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2732BF23" w14:textId="77777777" w:rsidR="001F1D25" w:rsidRPr="001F1D25" w:rsidRDefault="001F1D25" w:rsidP="001F1D25">
            <w:pPr>
              <w:jc w:val="center"/>
              <w:rPr>
                <w:rFonts w:ascii="Arial" w:hAnsi="Arial" w:cs="Arial"/>
                <w:bCs/>
                <w:lang w:val="en-US"/>
              </w:rPr>
            </w:pPr>
            <w:r w:rsidRPr="001F1D25">
              <w:rPr>
                <w:rFonts w:ascii="Arial" w:hAnsi="Arial" w:cs="Arial"/>
                <w:bCs/>
                <w:lang w:val="en-US"/>
              </w:rPr>
              <w:t>-18</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60DB72EF"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5DD53721" w14:textId="77777777" w:rsidR="001F1D25" w:rsidRPr="001F1D25" w:rsidRDefault="001F1D25" w:rsidP="001F1D25">
            <w:pPr>
              <w:jc w:val="center"/>
              <w:rPr>
                <w:rFonts w:ascii="Arial" w:hAnsi="Arial" w:cs="Arial"/>
                <w:bCs/>
                <w:lang w:val="en-US"/>
              </w:rPr>
            </w:pPr>
            <w:r w:rsidRPr="001F1D25">
              <w:rPr>
                <w:rFonts w:ascii="Arial" w:hAnsi="Arial" w:cs="Arial"/>
                <w:bCs/>
                <w:lang w:val="en-US"/>
              </w:rPr>
              <w:t>-35</w:t>
            </w:r>
          </w:p>
        </w:tc>
      </w:tr>
      <w:tr w:rsidR="001F1D25" w:rsidRPr="001F1D25" w14:paraId="2F2FC660"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hideMark/>
          </w:tcPr>
          <w:p w14:paraId="35BF8E0E" w14:textId="77777777" w:rsidR="001F1D25" w:rsidRPr="001F1D25" w:rsidRDefault="001F1D25" w:rsidP="001F1D25">
            <w:pPr>
              <w:jc w:val="center"/>
              <w:rPr>
                <w:rFonts w:ascii="Arial" w:hAnsi="Arial" w:cs="Arial"/>
                <w:bCs/>
                <w:lang w:val="en-US"/>
              </w:rPr>
            </w:pPr>
            <w:r w:rsidRPr="001F1D25">
              <w:rPr>
                <w:rFonts w:ascii="Arial" w:hAnsi="Arial" w:cs="Arial"/>
                <w:bCs/>
                <w:lang w:val="en-US"/>
              </w:rPr>
              <w:t>3</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10B99032" w14:textId="77777777" w:rsidR="001F1D25" w:rsidRPr="001F1D25" w:rsidRDefault="001F1D25" w:rsidP="001F1D25">
            <w:pPr>
              <w:jc w:val="center"/>
              <w:rPr>
                <w:rFonts w:ascii="Arial" w:hAnsi="Arial" w:cs="Arial"/>
                <w:bCs/>
                <w:lang w:val="en-US"/>
              </w:rPr>
            </w:pPr>
            <w:r w:rsidRPr="001F1D25">
              <w:rPr>
                <w:rFonts w:ascii="Arial" w:hAnsi="Arial" w:cs="Arial"/>
                <w:bCs/>
                <w:lang w:val="en-US"/>
              </w:rPr>
              <w:t>14</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39DD913A" w14:textId="77777777" w:rsidR="001F1D25" w:rsidRPr="001F1D25" w:rsidRDefault="001F1D25" w:rsidP="001F1D25">
            <w:pPr>
              <w:jc w:val="center"/>
              <w:rPr>
                <w:rFonts w:ascii="Arial" w:hAnsi="Arial" w:cs="Arial"/>
                <w:bCs/>
                <w:lang w:val="en-US"/>
              </w:rPr>
            </w:pPr>
            <w:r w:rsidRPr="001F1D25">
              <w:rPr>
                <w:rFonts w:ascii="Arial" w:hAnsi="Arial" w:cs="Arial"/>
                <w:bCs/>
                <w:lang w:val="en-US"/>
              </w:rPr>
              <w:t>-4</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0419275B"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540773E6" w14:textId="77777777" w:rsidR="001F1D25" w:rsidRPr="001F1D25" w:rsidRDefault="001F1D25" w:rsidP="001F1D25">
            <w:pPr>
              <w:jc w:val="center"/>
              <w:rPr>
                <w:rFonts w:ascii="Arial" w:hAnsi="Arial" w:cs="Arial"/>
                <w:bCs/>
                <w:lang w:val="en-US"/>
              </w:rPr>
            </w:pPr>
            <w:r w:rsidRPr="001F1D25">
              <w:rPr>
                <w:rFonts w:ascii="Arial" w:hAnsi="Arial" w:cs="Arial"/>
                <w:bCs/>
                <w:lang w:val="en-US"/>
              </w:rPr>
              <w:t>-12</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3CF60DFB" w14:textId="77777777" w:rsidR="001F1D25" w:rsidRPr="001F1D25" w:rsidRDefault="001F1D25" w:rsidP="001F1D25">
            <w:pPr>
              <w:jc w:val="center"/>
              <w:rPr>
                <w:rFonts w:ascii="Arial" w:hAnsi="Arial" w:cs="Arial"/>
                <w:bCs/>
                <w:lang w:val="en-US"/>
              </w:rPr>
            </w:pPr>
            <w:r w:rsidRPr="001F1D25">
              <w:rPr>
                <w:rFonts w:ascii="Arial" w:hAnsi="Arial" w:cs="Arial"/>
                <w:bCs/>
                <w:lang w:val="en-US"/>
              </w:rPr>
              <w:t>20</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46831E57" w14:textId="77777777" w:rsidR="001F1D25" w:rsidRPr="001F1D25" w:rsidRDefault="001F1D25" w:rsidP="001F1D25">
            <w:pPr>
              <w:jc w:val="center"/>
              <w:rPr>
                <w:rFonts w:ascii="Arial" w:hAnsi="Arial" w:cs="Arial"/>
                <w:bCs/>
                <w:lang w:val="en-US"/>
              </w:rPr>
            </w:pPr>
            <w:r w:rsidRPr="001F1D25">
              <w:rPr>
                <w:rFonts w:ascii="Arial" w:hAnsi="Arial" w:cs="Arial"/>
                <w:bCs/>
                <w:lang w:val="en-US"/>
              </w:rPr>
              <w:t>-15</w:t>
            </w:r>
          </w:p>
        </w:tc>
      </w:tr>
      <w:tr w:rsidR="001F1D25" w:rsidRPr="001F1D25" w14:paraId="636A77D0"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hideMark/>
          </w:tcPr>
          <w:p w14:paraId="56DA1163" w14:textId="77777777" w:rsidR="001F1D25" w:rsidRPr="001F1D25" w:rsidRDefault="001F1D25" w:rsidP="001F1D25">
            <w:pPr>
              <w:jc w:val="center"/>
              <w:rPr>
                <w:rFonts w:ascii="Arial" w:hAnsi="Arial" w:cs="Arial"/>
                <w:bCs/>
                <w:lang w:val="en-US"/>
              </w:rPr>
            </w:pPr>
            <w:r w:rsidRPr="001F1D25">
              <w:rPr>
                <w:rFonts w:ascii="Arial" w:hAnsi="Arial" w:cs="Arial"/>
                <w:bCs/>
                <w:lang w:val="en-US"/>
              </w:rPr>
              <w:t>4</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06D9EBDE"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713A6283"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67E224A3"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69A47487"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65174DC9" w14:textId="77777777" w:rsidR="001F1D25" w:rsidRPr="001F1D25" w:rsidRDefault="001F1D25" w:rsidP="001F1D25">
            <w:pPr>
              <w:jc w:val="center"/>
              <w:rPr>
                <w:rFonts w:ascii="Arial" w:hAnsi="Arial" w:cs="Arial"/>
                <w:bCs/>
                <w:lang w:val="en-US"/>
              </w:rPr>
            </w:pPr>
            <w:r w:rsidRPr="001F1D25">
              <w:rPr>
                <w:rFonts w:ascii="Arial" w:hAnsi="Arial" w:cs="Arial"/>
                <w:bCs/>
                <w:lang w:val="en-US"/>
              </w:rPr>
              <w:t>25</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4A1003B1"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r>
      <w:tr w:rsidR="001F1D25" w:rsidRPr="001F1D25" w14:paraId="753B4DD0"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hideMark/>
          </w:tcPr>
          <w:p w14:paraId="06835097" w14:textId="77777777" w:rsidR="001F1D25" w:rsidRPr="001F1D25" w:rsidRDefault="001F1D25" w:rsidP="001F1D25">
            <w:pPr>
              <w:jc w:val="center"/>
              <w:rPr>
                <w:rFonts w:ascii="Arial" w:hAnsi="Arial" w:cs="Arial"/>
                <w:bCs/>
                <w:lang w:val="en-US"/>
              </w:rPr>
            </w:pPr>
            <w:r w:rsidRPr="001F1D25">
              <w:rPr>
                <w:rFonts w:ascii="Arial" w:hAnsi="Arial" w:cs="Arial"/>
                <w:bCs/>
                <w:lang w:val="en-US"/>
              </w:rPr>
              <w:t>5</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76B76527" w14:textId="77777777" w:rsidR="001F1D25" w:rsidRPr="001F1D25" w:rsidRDefault="001F1D25" w:rsidP="001F1D25">
            <w:pPr>
              <w:jc w:val="center"/>
              <w:rPr>
                <w:rFonts w:ascii="Arial" w:hAnsi="Arial" w:cs="Arial"/>
                <w:bCs/>
                <w:lang w:val="en-US"/>
              </w:rPr>
            </w:pPr>
            <w:r w:rsidRPr="001F1D25">
              <w:rPr>
                <w:rFonts w:ascii="Arial" w:hAnsi="Arial" w:cs="Arial"/>
                <w:bCs/>
                <w:lang w:val="en-US"/>
              </w:rPr>
              <w:t>8</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74B08120" w14:textId="77777777" w:rsidR="001F1D25" w:rsidRPr="001F1D25" w:rsidRDefault="001F1D25" w:rsidP="001F1D25">
            <w:pPr>
              <w:jc w:val="center"/>
              <w:rPr>
                <w:rFonts w:ascii="Arial" w:hAnsi="Arial" w:cs="Arial"/>
                <w:bCs/>
                <w:lang w:val="en-US"/>
              </w:rPr>
            </w:pP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3256A17C"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407DEB70"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818" w:type="pct"/>
            <w:tcBorders>
              <w:top w:val="single" w:sz="4" w:space="0" w:color="000000"/>
              <w:left w:val="single" w:sz="4" w:space="0" w:color="000000"/>
              <w:bottom w:val="single" w:sz="4" w:space="0" w:color="000000"/>
              <w:right w:val="single" w:sz="4" w:space="0" w:color="000000"/>
            </w:tcBorders>
            <w:noWrap/>
            <w:vAlign w:val="center"/>
            <w:hideMark/>
          </w:tcPr>
          <w:p w14:paraId="39BDF5EA" w14:textId="77777777" w:rsidR="001F1D25" w:rsidRPr="001F1D25" w:rsidRDefault="001F1D25" w:rsidP="001F1D25">
            <w:pPr>
              <w:jc w:val="center"/>
              <w:rPr>
                <w:rFonts w:ascii="Arial" w:hAnsi="Arial" w:cs="Arial"/>
                <w:bCs/>
                <w:lang w:val="en-US"/>
              </w:rPr>
            </w:pPr>
            <w:r w:rsidRPr="001F1D25">
              <w:rPr>
                <w:rFonts w:ascii="Arial" w:hAnsi="Arial" w:cs="Arial"/>
                <w:bCs/>
                <w:lang w:val="en-US"/>
              </w:rPr>
              <w:t>15</w:t>
            </w:r>
          </w:p>
        </w:tc>
        <w:tc>
          <w:tcPr>
            <w:tcW w:w="587" w:type="pct"/>
            <w:tcBorders>
              <w:top w:val="single" w:sz="4" w:space="0" w:color="000000"/>
              <w:left w:val="single" w:sz="4" w:space="0" w:color="000000"/>
              <w:bottom w:val="single" w:sz="4" w:space="0" w:color="000000"/>
              <w:right w:val="single" w:sz="4" w:space="0" w:color="000000"/>
            </w:tcBorders>
            <w:noWrap/>
            <w:vAlign w:val="center"/>
          </w:tcPr>
          <w:p w14:paraId="478FDDC3" w14:textId="77777777" w:rsidR="001F1D25" w:rsidRPr="001F1D25" w:rsidRDefault="001F1D25" w:rsidP="001F1D25">
            <w:pPr>
              <w:jc w:val="center"/>
              <w:rPr>
                <w:rFonts w:ascii="Arial" w:hAnsi="Arial" w:cs="Arial"/>
                <w:bCs/>
                <w:lang w:val="en-US"/>
              </w:rPr>
            </w:pPr>
          </w:p>
        </w:tc>
      </w:tr>
      <w:tr w:rsidR="001F1D25" w:rsidRPr="001F1D25" w14:paraId="45D79935" w14:textId="77777777">
        <w:trPr>
          <w:trHeight w:val="336"/>
        </w:trPr>
        <w:tc>
          <w:tcPr>
            <w:tcW w:w="782" w:type="pct"/>
            <w:tcBorders>
              <w:top w:val="single" w:sz="4" w:space="0" w:color="000000"/>
              <w:left w:val="single" w:sz="4" w:space="0" w:color="000000"/>
              <w:bottom w:val="single" w:sz="4" w:space="0" w:color="000000"/>
              <w:right w:val="single" w:sz="4" w:space="0" w:color="000000"/>
            </w:tcBorders>
            <w:noWrap/>
            <w:vAlign w:val="center"/>
            <w:hideMark/>
          </w:tcPr>
          <w:p w14:paraId="7F252BC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Payback Period</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500E78CB" w14:textId="77777777" w:rsidR="001F1D25" w:rsidRPr="001F1D25" w:rsidRDefault="001F1D25" w:rsidP="001F1D25">
            <w:pPr>
              <w:jc w:val="center"/>
              <w:rPr>
                <w:rFonts w:ascii="Arial" w:hAnsi="Arial" w:cs="Arial"/>
                <w:b/>
                <w:bCs/>
                <w:lang w:val="en-US"/>
              </w:rPr>
            </w:pP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563CE06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3.40 </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787AD03F" w14:textId="77777777" w:rsidR="001F1D25" w:rsidRPr="001F1D25" w:rsidRDefault="001F1D25" w:rsidP="001F1D25">
            <w:pPr>
              <w:jc w:val="center"/>
              <w:rPr>
                <w:rFonts w:ascii="Arial" w:hAnsi="Arial" w:cs="Arial"/>
                <w:b/>
                <w:bCs/>
                <w:lang w:val="en-US"/>
              </w:rPr>
            </w:pP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1A93FD7F"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5.00 </w:t>
            </w:r>
          </w:p>
        </w:tc>
        <w:tc>
          <w:tcPr>
            <w:tcW w:w="818" w:type="pct"/>
            <w:tcBorders>
              <w:top w:val="single" w:sz="4" w:space="0" w:color="000000"/>
              <w:left w:val="single" w:sz="4" w:space="0" w:color="000000"/>
              <w:bottom w:val="single" w:sz="4" w:space="0" w:color="000000"/>
              <w:right w:val="single" w:sz="4" w:space="0" w:color="000000"/>
            </w:tcBorders>
            <w:noWrap/>
            <w:vAlign w:val="center"/>
          </w:tcPr>
          <w:p w14:paraId="3A70A74F" w14:textId="77777777" w:rsidR="001F1D25" w:rsidRPr="001F1D25" w:rsidRDefault="001F1D25" w:rsidP="001F1D25">
            <w:pPr>
              <w:jc w:val="center"/>
              <w:rPr>
                <w:rFonts w:ascii="Arial" w:hAnsi="Arial" w:cs="Arial"/>
                <w:b/>
                <w:bCs/>
                <w:lang w:val="en-US"/>
              </w:rPr>
            </w:pPr>
          </w:p>
        </w:tc>
        <w:tc>
          <w:tcPr>
            <w:tcW w:w="587" w:type="pct"/>
            <w:tcBorders>
              <w:top w:val="single" w:sz="4" w:space="0" w:color="000000"/>
              <w:left w:val="single" w:sz="4" w:space="0" w:color="000000"/>
              <w:bottom w:val="single" w:sz="4" w:space="0" w:color="000000"/>
              <w:right w:val="single" w:sz="4" w:space="0" w:color="000000"/>
            </w:tcBorders>
            <w:noWrap/>
            <w:vAlign w:val="center"/>
            <w:hideMark/>
          </w:tcPr>
          <w:p w14:paraId="0ECF680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3.60 </w:t>
            </w:r>
          </w:p>
        </w:tc>
      </w:tr>
    </w:tbl>
    <w:p w14:paraId="7B1D61F6" w14:textId="77777777" w:rsidR="001F1D25" w:rsidRPr="001F1D25" w:rsidRDefault="001F1D25" w:rsidP="001F1D25">
      <w:pPr>
        <w:jc w:val="center"/>
        <w:rPr>
          <w:rFonts w:ascii="Arial" w:hAnsi="Arial" w:cs="Arial"/>
          <w:bCs/>
          <w:lang w:val="en-US"/>
        </w:rPr>
      </w:pPr>
    </w:p>
    <w:tbl>
      <w:tblPr>
        <w:tblW w:w="5000" w:type="pct"/>
        <w:tblLook w:val="04A0" w:firstRow="1" w:lastRow="0" w:firstColumn="1" w:lastColumn="0" w:noHBand="0" w:noVBand="1"/>
      </w:tblPr>
      <w:tblGrid>
        <w:gridCol w:w="1425"/>
        <w:gridCol w:w="964"/>
        <w:gridCol w:w="1064"/>
        <w:gridCol w:w="485"/>
        <w:gridCol w:w="964"/>
        <w:gridCol w:w="1064"/>
        <w:gridCol w:w="485"/>
        <w:gridCol w:w="964"/>
        <w:gridCol w:w="1064"/>
        <w:gridCol w:w="537"/>
      </w:tblGrid>
      <w:tr w:rsidR="001F1D25" w:rsidRPr="001F1D25" w14:paraId="1E9F0F10" w14:textId="77777777">
        <w:trPr>
          <w:trHeight w:val="336"/>
        </w:trPr>
        <w:tc>
          <w:tcPr>
            <w:tcW w:w="5000" w:type="pct"/>
            <w:gridSpan w:val="10"/>
            <w:tcBorders>
              <w:top w:val="single" w:sz="4" w:space="0" w:color="000000"/>
              <w:left w:val="single" w:sz="4" w:space="0" w:color="000000"/>
              <w:bottom w:val="single" w:sz="4" w:space="0" w:color="000000"/>
              <w:right w:val="single" w:sz="4" w:space="0" w:color="000000"/>
            </w:tcBorders>
            <w:noWrap/>
            <w:vAlign w:val="center"/>
            <w:hideMark/>
          </w:tcPr>
          <w:p w14:paraId="3144272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Calculation of Accounting rate of return</w:t>
            </w:r>
          </w:p>
        </w:tc>
      </w:tr>
      <w:tr w:rsidR="001F1D25" w:rsidRPr="001F1D25" w14:paraId="04EE9D5D"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5711910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Projects</w:t>
            </w:r>
          </w:p>
        </w:tc>
        <w:tc>
          <w:tcPr>
            <w:tcW w:w="1376" w:type="pct"/>
            <w:gridSpan w:val="3"/>
            <w:tcBorders>
              <w:top w:val="single" w:sz="4" w:space="0" w:color="000000"/>
              <w:left w:val="single" w:sz="4" w:space="0" w:color="000000"/>
              <w:bottom w:val="single" w:sz="4" w:space="0" w:color="000000"/>
              <w:right w:val="single" w:sz="4" w:space="0" w:color="000000"/>
            </w:tcBorders>
            <w:noWrap/>
            <w:vAlign w:val="center"/>
            <w:hideMark/>
          </w:tcPr>
          <w:p w14:paraId="57F4DC6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A</w:t>
            </w:r>
          </w:p>
        </w:tc>
        <w:tc>
          <w:tcPr>
            <w:tcW w:w="1376" w:type="pct"/>
            <w:gridSpan w:val="3"/>
            <w:tcBorders>
              <w:top w:val="single" w:sz="4" w:space="0" w:color="000000"/>
              <w:left w:val="single" w:sz="4" w:space="0" w:color="000000"/>
              <w:bottom w:val="single" w:sz="4" w:space="0" w:color="000000"/>
              <w:right w:val="single" w:sz="4" w:space="0" w:color="000000"/>
            </w:tcBorders>
            <w:noWrap/>
            <w:vAlign w:val="center"/>
            <w:hideMark/>
          </w:tcPr>
          <w:p w14:paraId="67B8641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B</w:t>
            </w:r>
          </w:p>
        </w:tc>
        <w:tc>
          <w:tcPr>
            <w:tcW w:w="1411" w:type="pct"/>
            <w:gridSpan w:val="3"/>
            <w:tcBorders>
              <w:top w:val="single" w:sz="4" w:space="0" w:color="000000"/>
              <w:left w:val="single" w:sz="4" w:space="0" w:color="000000"/>
              <w:bottom w:val="single" w:sz="4" w:space="0" w:color="000000"/>
              <w:right w:val="single" w:sz="4" w:space="0" w:color="000000"/>
            </w:tcBorders>
            <w:noWrap/>
            <w:vAlign w:val="center"/>
            <w:hideMark/>
          </w:tcPr>
          <w:p w14:paraId="27E485D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w:t>
            </w:r>
          </w:p>
        </w:tc>
      </w:tr>
      <w:tr w:rsidR="001F1D25" w:rsidRPr="001F1D25" w14:paraId="262F14B1"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5117A49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Year</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13132535"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 (£M)</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608713A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Less: Depreciation</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3908FC3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Profit</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28C116C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 (£M)</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1292FA9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Less: Depreciation</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2BA3BB0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Profit</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434B15BF"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 (£M)</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328E132F"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Less: Depreciation</w:t>
            </w:r>
          </w:p>
        </w:tc>
        <w:tc>
          <w:tcPr>
            <w:tcW w:w="273" w:type="pct"/>
            <w:tcBorders>
              <w:top w:val="single" w:sz="4" w:space="0" w:color="000000"/>
              <w:left w:val="single" w:sz="4" w:space="0" w:color="000000"/>
              <w:bottom w:val="single" w:sz="4" w:space="0" w:color="000000"/>
              <w:right w:val="single" w:sz="4" w:space="0" w:color="000000"/>
            </w:tcBorders>
            <w:noWrap/>
            <w:vAlign w:val="center"/>
            <w:hideMark/>
          </w:tcPr>
          <w:p w14:paraId="0F82C0E7"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Profit</w:t>
            </w:r>
          </w:p>
        </w:tc>
      </w:tr>
      <w:tr w:rsidR="001F1D25" w:rsidRPr="001F1D25" w14:paraId="3C4FB2A8"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77399BAB"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7815F95C" w14:textId="77777777" w:rsidR="001F1D25" w:rsidRPr="001F1D25" w:rsidRDefault="001F1D25" w:rsidP="001F1D25">
            <w:pPr>
              <w:jc w:val="center"/>
              <w:rPr>
                <w:rFonts w:ascii="Arial" w:hAnsi="Arial" w:cs="Arial"/>
                <w:bCs/>
                <w:lang w:val="en-US"/>
              </w:rPr>
            </w:pPr>
            <w:r w:rsidRPr="001F1D25">
              <w:rPr>
                <w:rFonts w:ascii="Arial" w:hAnsi="Arial" w:cs="Arial"/>
                <w:bCs/>
                <w:lang w:val="en-US"/>
              </w:rPr>
              <w:t>-40</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7E0C4391"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238" w:type="pct"/>
            <w:tcBorders>
              <w:top w:val="single" w:sz="4" w:space="0" w:color="000000"/>
              <w:left w:val="single" w:sz="4" w:space="0" w:color="000000"/>
              <w:bottom w:val="single" w:sz="4" w:space="0" w:color="000000"/>
              <w:right w:val="single" w:sz="4" w:space="0" w:color="000000"/>
            </w:tcBorders>
            <w:noWrap/>
            <w:vAlign w:val="center"/>
          </w:tcPr>
          <w:p w14:paraId="37890956" w14:textId="77777777" w:rsidR="001F1D25" w:rsidRPr="001F1D25" w:rsidRDefault="001F1D25" w:rsidP="001F1D25">
            <w:pPr>
              <w:jc w:val="center"/>
              <w:rPr>
                <w:rFonts w:ascii="Arial" w:hAnsi="Arial" w:cs="Arial"/>
                <w:bCs/>
                <w:lang w:val="en-US"/>
              </w:rPr>
            </w:pP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1F38053B" w14:textId="77777777" w:rsidR="001F1D25" w:rsidRPr="001F1D25" w:rsidRDefault="001F1D25" w:rsidP="001F1D25">
            <w:pPr>
              <w:jc w:val="center"/>
              <w:rPr>
                <w:rFonts w:ascii="Arial" w:hAnsi="Arial" w:cs="Arial"/>
                <w:bCs/>
                <w:lang w:val="en-US"/>
              </w:rPr>
            </w:pPr>
            <w:r w:rsidRPr="001F1D25">
              <w:rPr>
                <w:rFonts w:ascii="Arial" w:hAnsi="Arial" w:cs="Arial"/>
                <w:bCs/>
                <w:lang w:val="en-US"/>
              </w:rPr>
              <w:t>-30</w:t>
            </w: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432D6BDF" w14:textId="77777777" w:rsidR="001F1D25" w:rsidRPr="001F1D25" w:rsidRDefault="001F1D25" w:rsidP="001F1D25">
            <w:pPr>
              <w:jc w:val="center"/>
              <w:rPr>
                <w:rFonts w:ascii="Arial" w:hAnsi="Arial" w:cs="Arial"/>
                <w:bCs/>
                <w:lang w:val="en-US"/>
              </w:rPr>
            </w:pPr>
          </w:p>
        </w:tc>
        <w:tc>
          <w:tcPr>
            <w:tcW w:w="238" w:type="pct"/>
            <w:tcBorders>
              <w:top w:val="single" w:sz="4" w:space="0" w:color="000000"/>
              <w:left w:val="single" w:sz="4" w:space="0" w:color="000000"/>
              <w:bottom w:val="single" w:sz="4" w:space="0" w:color="000000"/>
              <w:right w:val="single" w:sz="4" w:space="0" w:color="000000"/>
            </w:tcBorders>
            <w:noWrap/>
            <w:vAlign w:val="center"/>
          </w:tcPr>
          <w:p w14:paraId="40900FC5" w14:textId="77777777" w:rsidR="001F1D25" w:rsidRPr="001F1D25" w:rsidRDefault="001F1D25" w:rsidP="001F1D25">
            <w:pPr>
              <w:jc w:val="center"/>
              <w:rPr>
                <w:rFonts w:ascii="Arial" w:hAnsi="Arial" w:cs="Arial"/>
                <w:bCs/>
                <w:lang w:val="en-US"/>
              </w:rPr>
            </w:pP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71B9D686" w14:textId="77777777" w:rsidR="001F1D25" w:rsidRPr="001F1D25" w:rsidRDefault="001F1D25" w:rsidP="001F1D25">
            <w:pPr>
              <w:jc w:val="center"/>
              <w:rPr>
                <w:rFonts w:ascii="Arial" w:hAnsi="Arial" w:cs="Arial"/>
                <w:bCs/>
                <w:lang w:val="en-US"/>
              </w:rPr>
            </w:pPr>
            <w:r w:rsidRPr="001F1D25">
              <w:rPr>
                <w:rFonts w:ascii="Arial" w:hAnsi="Arial" w:cs="Arial"/>
                <w:bCs/>
                <w:lang w:val="en-US"/>
              </w:rPr>
              <w:t>-50</w:t>
            </w: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0167CA58" w14:textId="77777777" w:rsidR="001F1D25" w:rsidRPr="001F1D25" w:rsidRDefault="001F1D25" w:rsidP="001F1D25">
            <w:pPr>
              <w:jc w:val="center"/>
              <w:rPr>
                <w:rFonts w:ascii="Arial" w:hAnsi="Arial" w:cs="Arial"/>
                <w:bCs/>
                <w:lang w:val="en-US"/>
              </w:rPr>
            </w:pPr>
          </w:p>
        </w:tc>
        <w:tc>
          <w:tcPr>
            <w:tcW w:w="273" w:type="pct"/>
            <w:tcBorders>
              <w:top w:val="single" w:sz="4" w:space="0" w:color="000000"/>
              <w:left w:val="single" w:sz="4" w:space="0" w:color="000000"/>
              <w:bottom w:val="single" w:sz="4" w:space="0" w:color="000000"/>
              <w:right w:val="single" w:sz="4" w:space="0" w:color="000000"/>
            </w:tcBorders>
            <w:noWrap/>
            <w:vAlign w:val="center"/>
          </w:tcPr>
          <w:p w14:paraId="05CA4898" w14:textId="77777777" w:rsidR="001F1D25" w:rsidRPr="001F1D25" w:rsidRDefault="001F1D25" w:rsidP="001F1D25">
            <w:pPr>
              <w:jc w:val="center"/>
              <w:rPr>
                <w:rFonts w:ascii="Arial" w:hAnsi="Arial" w:cs="Arial"/>
                <w:bCs/>
                <w:lang w:val="en-US"/>
              </w:rPr>
            </w:pPr>
          </w:p>
        </w:tc>
      </w:tr>
      <w:tr w:rsidR="001F1D25" w:rsidRPr="001F1D25" w14:paraId="08FA347A"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5885A849" w14:textId="77777777" w:rsidR="001F1D25" w:rsidRPr="001F1D25" w:rsidRDefault="001F1D25" w:rsidP="001F1D25">
            <w:pPr>
              <w:jc w:val="center"/>
              <w:rPr>
                <w:rFonts w:ascii="Arial" w:hAnsi="Arial" w:cs="Arial"/>
                <w:bCs/>
                <w:lang w:val="en-US"/>
              </w:rPr>
            </w:pPr>
            <w:r w:rsidRPr="001F1D25">
              <w:rPr>
                <w:rFonts w:ascii="Arial" w:hAnsi="Arial" w:cs="Arial"/>
                <w:bCs/>
                <w:lang w:val="en-US"/>
              </w:rPr>
              <w:t>1</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1A95DD87"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026031D4" w14:textId="77777777" w:rsidR="001F1D25" w:rsidRPr="001F1D25" w:rsidRDefault="001F1D25" w:rsidP="001F1D25">
            <w:pPr>
              <w:jc w:val="center"/>
              <w:rPr>
                <w:rFonts w:ascii="Arial" w:hAnsi="Arial" w:cs="Arial"/>
                <w:bCs/>
                <w:lang w:val="en-US"/>
              </w:rPr>
            </w:pPr>
            <w:r w:rsidRPr="001F1D25">
              <w:rPr>
                <w:rFonts w:ascii="Arial" w:hAnsi="Arial" w:cs="Arial"/>
                <w:bCs/>
                <w:lang w:val="en-US"/>
              </w:rPr>
              <w:t>8</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3F6444D1" w14:textId="77777777" w:rsidR="001F1D25" w:rsidRPr="001F1D25" w:rsidRDefault="001F1D25" w:rsidP="001F1D25">
            <w:pPr>
              <w:jc w:val="center"/>
              <w:rPr>
                <w:rFonts w:ascii="Arial" w:hAnsi="Arial" w:cs="Arial"/>
                <w:bCs/>
                <w:lang w:val="en-US"/>
              </w:rPr>
            </w:pPr>
            <w:r w:rsidRPr="001F1D25">
              <w:rPr>
                <w:rFonts w:ascii="Arial" w:hAnsi="Arial" w:cs="Arial"/>
                <w:bCs/>
                <w:lang w:val="en-US"/>
              </w:rPr>
              <w:t>2</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04B0E59E"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116580CB"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7E0AAD88"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7AB026AD" w14:textId="77777777" w:rsidR="001F1D25" w:rsidRPr="001F1D25" w:rsidRDefault="001F1D25" w:rsidP="001F1D25">
            <w:pPr>
              <w:jc w:val="center"/>
              <w:rPr>
                <w:rFonts w:ascii="Arial" w:hAnsi="Arial" w:cs="Arial"/>
                <w:bCs/>
                <w:lang w:val="en-US"/>
              </w:rPr>
            </w:pPr>
            <w:r w:rsidRPr="001F1D25">
              <w:rPr>
                <w:rFonts w:ascii="Arial" w:hAnsi="Arial" w:cs="Arial"/>
                <w:bCs/>
                <w:lang w:val="en-US"/>
              </w:rPr>
              <w:t>5</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52C8A6D2"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273" w:type="pct"/>
            <w:tcBorders>
              <w:top w:val="single" w:sz="4" w:space="0" w:color="000000"/>
              <w:left w:val="single" w:sz="4" w:space="0" w:color="000000"/>
              <w:bottom w:val="single" w:sz="4" w:space="0" w:color="000000"/>
              <w:right w:val="single" w:sz="4" w:space="0" w:color="000000"/>
            </w:tcBorders>
            <w:noWrap/>
            <w:vAlign w:val="center"/>
            <w:hideMark/>
          </w:tcPr>
          <w:p w14:paraId="76B49662" w14:textId="77777777" w:rsidR="001F1D25" w:rsidRPr="001F1D25" w:rsidRDefault="001F1D25" w:rsidP="001F1D25">
            <w:pPr>
              <w:jc w:val="center"/>
              <w:rPr>
                <w:rFonts w:ascii="Arial" w:hAnsi="Arial" w:cs="Arial"/>
                <w:bCs/>
                <w:lang w:val="en-US"/>
              </w:rPr>
            </w:pPr>
            <w:r w:rsidRPr="001F1D25">
              <w:rPr>
                <w:rFonts w:ascii="Arial" w:hAnsi="Arial" w:cs="Arial"/>
                <w:bCs/>
                <w:lang w:val="en-US"/>
              </w:rPr>
              <w:t>-5</w:t>
            </w:r>
          </w:p>
        </w:tc>
      </w:tr>
      <w:tr w:rsidR="001F1D25" w:rsidRPr="001F1D25" w14:paraId="7442807E"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01BBDE00" w14:textId="77777777" w:rsidR="001F1D25" w:rsidRPr="001F1D25" w:rsidRDefault="001F1D25" w:rsidP="001F1D25">
            <w:pPr>
              <w:jc w:val="center"/>
              <w:rPr>
                <w:rFonts w:ascii="Arial" w:hAnsi="Arial" w:cs="Arial"/>
                <w:bCs/>
                <w:lang w:val="en-US"/>
              </w:rPr>
            </w:pPr>
            <w:r w:rsidRPr="001F1D25">
              <w:rPr>
                <w:rFonts w:ascii="Arial" w:hAnsi="Arial" w:cs="Arial"/>
                <w:bCs/>
                <w:lang w:val="en-US"/>
              </w:rPr>
              <w:t>2</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1F4069E3" w14:textId="77777777" w:rsidR="001F1D25" w:rsidRPr="001F1D25" w:rsidRDefault="001F1D25" w:rsidP="001F1D25">
            <w:pPr>
              <w:jc w:val="center"/>
              <w:rPr>
                <w:rFonts w:ascii="Arial" w:hAnsi="Arial" w:cs="Arial"/>
                <w:bCs/>
                <w:lang w:val="en-US"/>
              </w:rPr>
            </w:pPr>
            <w:r w:rsidRPr="001F1D25">
              <w:rPr>
                <w:rFonts w:ascii="Arial" w:hAnsi="Arial" w:cs="Arial"/>
                <w:bCs/>
                <w:lang w:val="en-US"/>
              </w:rPr>
              <w:t>12</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052AF2AD" w14:textId="77777777" w:rsidR="001F1D25" w:rsidRPr="001F1D25" w:rsidRDefault="001F1D25" w:rsidP="001F1D25">
            <w:pPr>
              <w:jc w:val="center"/>
              <w:rPr>
                <w:rFonts w:ascii="Arial" w:hAnsi="Arial" w:cs="Arial"/>
                <w:bCs/>
                <w:lang w:val="en-US"/>
              </w:rPr>
            </w:pPr>
            <w:r w:rsidRPr="001F1D25">
              <w:rPr>
                <w:rFonts w:ascii="Arial" w:hAnsi="Arial" w:cs="Arial"/>
                <w:bCs/>
                <w:lang w:val="en-US"/>
              </w:rPr>
              <w:t>8</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5BAC8CB8" w14:textId="77777777" w:rsidR="001F1D25" w:rsidRPr="001F1D25" w:rsidRDefault="001F1D25" w:rsidP="001F1D25">
            <w:pPr>
              <w:jc w:val="center"/>
              <w:rPr>
                <w:rFonts w:ascii="Arial" w:hAnsi="Arial" w:cs="Arial"/>
                <w:bCs/>
                <w:lang w:val="en-US"/>
              </w:rPr>
            </w:pPr>
            <w:r w:rsidRPr="001F1D25">
              <w:rPr>
                <w:rFonts w:ascii="Arial" w:hAnsi="Arial" w:cs="Arial"/>
                <w:bCs/>
                <w:lang w:val="en-US"/>
              </w:rPr>
              <w:t>4</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059F5FB1"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4E26AB8B"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3C8FCDB6"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73D38D44"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15DF54DA"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273" w:type="pct"/>
            <w:tcBorders>
              <w:top w:val="single" w:sz="4" w:space="0" w:color="000000"/>
              <w:left w:val="single" w:sz="4" w:space="0" w:color="000000"/>
              <w:bottom w:val="single" w:sz="4" w:space="0" w:color="000000"/>
              <w:right w:val="single" w:sz="4" w:space="0" w:color="000000"/>
            </w:tcBorders>
            <w:noWrap/>
            <w:vAlign w:val="center"/>
            <w:hideMark/>
          </w:tcPr>
          <w:p w14:paraId="33C6FF72"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r>
      <w:tr w:rsidR="001F1D25" w:rsidRPr="001F1D25" w14:paraId="56BEFE07"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364857F0" w14:textId="77777777" w:rsidR="001F1D25" w:rsidRPr="001F1D25" w:rsidRDefault="001F1D25" w:rsidP="001F1D25">
            <w:pPr>
              <w:jc w:val="center"/>
              <w:rPr>
                <w:rFonts w:ascii="Arial" w:hAnsi="Arial" w:cs="Arial"/>
                <w:bCs/>
                <w:lang w:val="en-US"/>
              </w:rPr>
            </w:pPr>
            <w:r w:rsidRPr="001F1D25">
              <w:rPr>
                <w:rFonts w:ascii="Arial" w:hAnsi="Arial" w:cs="Arial"/>
                <w:bCs/>
                <w:lang w:val="en-US"/>
              </w:rPr>
              <w:t>3</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106256E6" w14:textId="77777777" w:rsidR="001F1D25" w:rsidRPr="001F1D25" w:rsidRDefault="001F1D25" w:rsidP="001F1D25">
            <w:pPr>
              <w:jc w:val="center"/>
              <w:rPr>
                <w:rFonts w:ascii="Arial" w:hAnsi="Arial" w:cs="Arial"/>
                <w:bCs/>
                <w:lang w:val="en-US"/>
              </w:rPr>
            </w:pPr>
            <w:r w:rsidRPr="001F1D25">
              <w:rPr>
                <w:rFonts w:ascii="Arial" w:hAnsi="Arial" w:cs="Arial"/>
                <w:bCs/>
                <w:lang w:val="en-US"/>
              </w:rPr>
              <w:t>14</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27AC7EB0" w14:textId="77777777" w:rsidR="001F1D25" w:rsidRPr="001F1D25" w:rsidRDefault="001F1D25" w:rsidP="001F1D25">
            <w:pPr>
              <w:jc w:val="center"/>
              <w:rPr>
                <w:rFonts w:ascii="Arial" w:hAnsi="Arial" w:cs="Arial"/>
                <w:bCs/>
                <w:lang w:val="en-US"/>
              </w:rPr>
            </w:pPr>
            <w:r w:rsidRPr="001F1D25">
              <w:rPr>
                <w:rFonts w:ascii="Arial" w:hAnsi="Arial" w:cs="Arial"/>
                <w:bCs/>
                <w:lang w:val="en-US"/>
              </w:rPr>
              <w:t>8</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1F84E435"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4833768E"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7958135A"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42EB67DE"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5BFC995F" w14:textId="77777777" w:rsidR="001F1D25" w:rsidRPr="001F1D25" w:rsidRDefault="001F1D25" w:rsidP="001F1D25">
            <w:pPr>
              <w:jc w:val="center"/>
              <w:rPr>
                <w:rFonts w:ascii="Arial" w:hAnsi="Arial" w:cs="Arial"/>
                <w:bCs/>
                <w:lang w:val="en-US"/>
              </w:rPr>
            </w:pPr>
            <w:r w:rsidRPr="001F1D25">
              <w:rPr>
                <w:rFonts w:ascii="Arial" w:hAnsi="Arial" w:cs="Arial"/>
                <w:bCs/>
                <w:lang w:val="en-US"/>
              </w:rPr>
              <w:t>20</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0494B6AB"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273" w:type="pct"/>
            <w:tcBorders>
              <w:top w:val="single" w:sz="4" w:space="0" w:color="000000"/>
              <w:left w:val="single" w:sz="4" w:space="0" w:color="000000"/>
              <w:bottom w:val="single" w:sz="4" w:space="0" w:color="000000"/>
              <w:right w:val="single" w:sz="4" w:space="0" w:color="000000"/>
            </w:tcBorders>
            <w:noWrap/>
            <w:vAlign w:val="center"/>
            <w:hideMark/>
          </w:tcPr>
          <w:p w14:paraId="583079D6"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r>
      <w:tr w:rsidR="001F1D25" w:rsidRPr="001F1D25" w14:paraId="0C2AE92C"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782432F9" w14:textId="77777777" w:rsidR="001F1D25" w:rsidRPr="001F1D25" w:rsidRDefault="001F1D25" w:rsidP="001F1D25">
            <w:pPr>
              <w:jc w:val="center"/>
              <w:rPr>
                <w:rFonts w:ascii="Arial" w:hAnsi="Arial" w:cs="Arial"/>
                <w:bCs/>
                <w:lang w:val="en-US"/>
              </w:rPr>
            </w:pPr>
            <w:r w:rsidRPr="001F1D25">
              <w:rPr>
                <w:rFonts w:ascii="Arial" w:hAnsi="Arial" w:cs="Arial"/>
                <w:bCs/>
                <w:lang w:val="en-US"/>
              </w:rPr>
              <w:t>4</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1FC471E5"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4E522659" w14:textId="77777777" w:rsidR="001F1D25" w:rsidRPr="001F1D25" w:rsidRDefault="001F1D25" w:rsidP="001F1D25">
            <w:pPr>
              <w:jc w:val="center"/>
              <w:rPr>
                <w:rFonts w:ascii="Arial" w:hAnsi="Arial" w:cs="Arial"/>
                <w:bCs/>
                <w:lang w:val="en-US"/>
              </w:rPr>
            </w:pPr>
            <w:r w:rsidRPr="001F1D25">
              <w:rPr>
                <w:rFonts w:ascii="Arial" w:hAnsi="Arial" w:cs="Arial"/>
                <w:bCs/>
                <w:lang w:val="en-US"/>
              </w:rPr>
              <w:t>8</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4095FB19" w14:textId="77777777" w:rsidR="001F1D25" w:rsidRPr="001F1D25" w:rsidRDefault="001F1D25" w:rsidP="001F1D25">
            <w:pPr>
              <w:jc w:val="center"/>
              <w:rPr>
                <w:rFonts w:ascii="Arial" w:hAnsi="Arial" w:cs="Arial"/>
                <w:bCs/>
                <w:lang w:val="en-US"/>
              </w:rPr>
            </w:pPr>
            <w:r w:rsidRPr="001F1D25">
              <w:rPr>
                <w:rFonts w:ascii="Arial" w:hAnsi="Arial" w:cs="Arial"/>
                <w:bCs/>
                <w:lang w:val="en-US"/>
              </w:rPr>
              <w:t>2</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54CED4F5"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1DCCA3E8"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4EB8BA25"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1FCA067E" w14:textId="77777777" w:rsidR="001F1D25" w:rsidRPr="001F1D25" w:rsidRDefault="001F1D25" w:rsidP="001F1D25">
            <w:pPr>
              <w:jc w:val="center"/>
              <w:rPr>
                <w:rFonts w:ascii="Arial" w:hAnsi="Arial" w:cs="Arial"/>
                <w:bCs/>
                <w:lang w:val="en-US"/>
              </w:rPr>
            </w:pPr>
            <w:r w:rsidRPr="001F1D25">
              <w:rPr>
                <w:rFonts w:ascii="Arial" w:hAnsi="Arial" w:cs="Arial"/>
                <w:bCs/>
                <w:lang w:val="en-US"/>
              </w:rPr>
              <w:t>25</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2467DC94"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273" w:type="pct"/>
            <w:tcBorders>
              <w:top w:val="single" w:sz="4" w:space="0" w:color="000000"/>
              <w:left w:val="single" w:sz="4" w:space="0" w:color="000000"/>
              <w:bottom w:val="single" w:sz="4" w:space="0" w:color="000000"/>
              <w:right w:val="single" w:sz="4" w:space="0" w:color="000000"/>
            </w:tcBorders>
            <w:noWrap/>
            <w:vAlign w:val="center"/>
            <w:hideMark/>
          </w:tcPr>
          <w:p w14:paraId="3F85D436" w14:textId="77777777" w:rsidR="001F1D25" w:rsidRPr="001F1D25" w:rsidRDefault="001F1D25" w:rsidP="001F1D25">
            <w:pPr>
              <w:jc w:val="center"/>
              <w:rPr>
                <w:rFonts w:ascii="Arial" w:hAnsi="Arial" w:cs="Arial"/>
                <w:bCs/>
                <w:lang w:val="en-US"/>
              </w:rPr>
            </w:pPr>
            <w:r w:rsidRPr="001F1D25">
              <w:rPr>
                <w:rFonts w:ascii="Arial" w:hAnsi="Arial" w:cs="Arial"/>
                <w:bCs/>
                <w:lang w:val="en-US"/>
              </w:rPr>
              <w:t>15</w:t>
            </w:r>
          </w:p>
        </w:tc>
      </w:tr>
      <w:tr w:rsidR="001F1D25" w:rsidRPr="001F1D25" w14:paraId="0D0C83F0"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653FF062" w14:textId="77777777" w:rsidR="001F1D25" w:rsidRPr="001F1D25" w:rsidRDefault="001F1D25" w:rsidP="001F1D25">
            <w:pPr>
              <w:jc w:val="center"/>
              <w:rPr>
                <w:rFonts w:ascii="Arial" w:hAnsi="Arial" w:cs="Arial"/>
                <w:bCs/>
                <w:lang w:val="en-US"/>
              </w:rPr>
            </w:pPr>
            <w:r w:rsidRPr="001F1D25">
              <w:rPr>
                <w:rFonts w:ascii="Arial" w:hAnsi="Arial" w:cs="Arial"/>
                <w:bCs/>
                <w:lang w:val="en-US"/>
              </w:rPr>
              <w:t>5</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60F5D0AB" w14:textId="77777777" w:rsidR="001F1D25" w:rsidRPr="001F1D25" w:rsidRDefault="001F1D25" w:rsidP="001F1D25">
            <w:pPr>
              <w:jc w:val="center"/>
              <w:rPr>
                <w:rFonts w:ascii="Arial" w:hAnsi="Arial" w:cs="Arial"/>
                <w:bCs/>
                <w:lang w:val="en-US"/>
              </w:rPr>
            </w:pPr>
            <w:r w:rsidRPr="001F1D25">
              <w:rPr>
                <w:rFonts w:ascii="Arial" w:hAnsi="Arial" w:cs="Arial"/>
                <w:bCs/>
                <w:lang w:val="en-US"/>
              </w:rPr>
              <w:t>8</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51530DA2" w14:textId="77777777" w:rsidR="001F1D25" w:rsidRPr="001F1D25" w:rsidRDefault="001F1D25" w:rsidP="001F1D25">
            <w:pPr>
              <w:jc w:val="center"/>
              <w:rPr>
                <w:rFonts w:ascii="Arial" w:hAnsi="Arial" w:cs="Arial"/>
                <w:bCs/>
                <w:lang w:val="en-US"/>
              </w:rPr>
            </w:pPr>
            <w:r w:rsidRPr="001F1D25">
              <w:rPr>
                <w:rFonts w:ascii="Arial" w:hAnsi="Arial" w:cs="Arial"/>
                <w:bCs/>
                <w:lang w:val="en-US"/>
              </w:rPr>
              <w:t>8</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7A3ECDB3"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566641AA"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2BF1F77E"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7CB0635A"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537" w:type="pct"/>
            <w:tcBorders>
              <w:top w:val="single" w:sz="4" w:space="0" w:color="000000"/>
              <w:left w:val="single" w:sz="4" w:space="0" w:color="000000"/>
              <w:bottom w:val="single" w:sz="4" w:space="0" w:color="000000"/>
              <w:right w:val="single" w:sz="4" w:space="0" w:color="000000"/>
            </w:tcBorders>
            <w:noWrap/>
            <w:vAlign w:val="center"/>
            <w:hideMark/>
          </w:tcPr>
          <w:p w14:paraId="15E077F2" w14:textId="77777777" w:rsidR="001F1D25" w:rsidRPr="001F1D25" w:rsidRDefault="001F1D25" w:rsidP="001F1D25">
            <w:pPr>
              <w:jc w:val="center"/>
              <w:rPr>
                <w:rFonts w:ascii="Arial" w:hAnsi="Arial" w:cs="Arial"/>
                <w:bCs/>
                <w:lang w:val="en-US"/>
              </w:rPr>
            </w:pPr>
            <w:r w:rsidRPr="001F1D25">
              <w:rPr>
                <w:rFonts w:ascii="Arial" w:hAnsi="Arial" w:cs="Arial"/>
                <w:bCs/>
                <w:lang w:val="en-US"/>
              </w:rPr>
              <w:t>15</w:t>
            </w:r>
          </w:p>
        </w:tc>
        <w:tc>
          <w:tcPr>
            <w:tcW w:w="600" w:type="pct"/>
            <w:tcBorders>
              <w:top w:val="single" w:sz="4" w:space="0" w:color="000000"/>
              <w:left w:val="single" w:sz="4" w:space="0" w:color="000000"/>
              <w:bottom w:val="single" w:sz="4" w:space="0" w:color="000000"/>
              <w:right w:val="single" w:sz="4" w:space="0" w:color="000000"/>
            </w:tcBorders>
            <w:noWrap/>
            <w:vAlign w:val="center"/>
            <w:hideMark/>
          </w:tcPr>
          <w:p w14:paraId="5F664951"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273" w:type="pct"/>
            <w:tcBorders>
              <w:top w:val="single" w:sz="4" w:space="0" w:color="000000"/>
              <w:left w:val="single" w:sz="4" w:space="0" w:color="000000"/>
              <w:bottom w:val="single" w:sz="4" w:space="0" w:color="000000"/>
              <w:right w:val="single" w:sz="4" w:space="0" w:color="000000"/>
            </w:tcBorders>
            <w:noWrap/>
            <w:vAlign w:val="center"/>
            <w:hideMark/>
          </w:tcPr>
          <w:p w14:paraId="7217906C" w14:textId="77777777" w:rsidR="001F1D25" w:rsidRPr="001F1D25" w:rsidRDefault="001F1D25" w:rsidP="001F1D25">
            <w:pPr>
              <w:jc w:val="center"/>
              <w:rPr>
                <w:rFonts w:ascii="Arial" w:hAnsi="Arial" w:cs="Arial"/>
                <w:bCs/>
                <w:lang w:val="en-US"/>
              </w:rPr>
            </w:pPr>
            <w:r w:rsidRPr="001F1D25">
              <w:rPr>
                <w:rFonts w:ascii="Arial" w:hAnsi="Arial" w:cs="Arial"/>
                <w:bCs/>
                <w:lang w:val="en-US"/>
              </w:rPr>
              <w:t>5</w:t>
            </w:r>
          </w:p>
        </w:tc>
      </w:tr>
      <w:tr w:rsidR="001F1D25" w:rsidRPr="001F1D25" w14:paraId="79D8A380"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342E35AD" w14:textId="77777777" w:rsidR="001F1D25" w:rsidRPr="001F1D25" w:rsidRDefault="001F1D25" w:rsidP="001F1D25">
            <w:pPr>
              <w:jc w:val="center"/>
              <w:rPr>
                <w:rFonts w:ascii="Arial" w:hAnsi="Arial" w:cs="Arial"/>
                <w:bCs/>
                <w:lang w:val="en-US"/>
              </w:rPr>
            </w:pPr>
            <w:r w:rsidRPr="001F1D25">
              <w:rPr>
                <w:rFonts w:ascii="Arial" w:hAnsi="Arial" w:cs="Arial"/>
                <w:bCs/>
                <w:lang w:val="en-US"/>
              </w:rPr>
              <w:t>Average profit</w:t>
            </w: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6BCDFD1F" w14:textId="77777777" w:rsidR="001F1D25" w:rsidRPr="001F1D25" w:rsidRDefault="001F1D25" w:rsidP="001F1D25">
            <w:pPr>
              <w:jc w:val="center"/>
              <w:rPr>
                <w:rFonts w:ascii="Arial" w:hAnsi="Arial" w:cs="Arial"/>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58746ED8" w14:textId="77777777" w:rsidR="001F1D25" w:rsidRPr="001F1D25" w:rsidRDefault="001F1D25" w:rsidP="001F1D25">
            <w:pPr>
              <w:jc w:val="center"/>
              <w:rPr>
                <w:rFonts w:ascii="Arial" w:hAnsi="Arial" w:cs="Arial"/>
                <w:bCs/>
                <w:lang w:val="en-US"/>
              </w:rPr>
            </w:pP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05CD338E" w14:textId="77777777" w:rsidR="001F1D25" w:rsidRPr="001F1D25" w:rsidRDefault="001F1D25" w:rsidP="001F1D25">
            <w:pPr>
              <w:jc w:val="center"/>
              <w:rPr>
                <w:rFonts w:ascii="Arial" w:hAnsi="Arial" w:cs="Arial"/>
                <w:bCs/>
                <w:lang w:val="en-US"/>
              </w:rPr>
            </w:pPr>
            <w:r w:rsidRPr="001F1D25">
              <w:rPr>
                <w:rFonts w:ascii="Arial" w:hAnsi="Arial" w:cs="Arial"/>
                <w:bCs/>
                <w:lang w:val="en-US"/>
              </w:rPr>
              <w:t>2.8</w:t>
            </w: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2C3F9552" w14:textId="77777777" w:rsidR="001F1D25" w:rsidRPr="001F1D25" w:rsidRDefault="001F1D25" w:rsidP="001F1D25">
            <w:pPr>
              <w:jc w:val="center"/>
              <w:rPr>
                <w:rFonts w:ascii="Arial" w:hAnsi="Arial" w:cs="Arial"/>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1E503040" w14:textId="77777777" w:rsidR="001F1D25" w:rsidRPr="001F1D25" w:rsidRDefault="001F1D25" w:rsidP="001F1D25">
            <w:pPr>
              <w:jc w:val="center"/>
              <w:rPr>
                <w:rFonts w:ascii="Arial" w:hAnsi="Arial" w:cs="Arial"/>
                <w:bCs/>
                <w:lang w:val="en-US"/>
              </w:rPr>
            </w:pP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0557C957"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13D3CA07" w14:textId="77777777" w:rsidR="001F1D25" w:rsidRPr="001F1D25" w:rsidRDefault="001F1D25" w:rsidP="001F1D25">
            <w:pPr>
              <w:jc w:val="center"/>
              <w:rPr>
                <w:rFonts w:ascii="Arial" w:hAnsi="Arial" w:cs="Arial"/>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3EFA2398" w14:textId="77777777" w:rsidR="001F1D25" w:rsidRPr="001F1D25" w:rsidRDefault="001F1D25" w:rsidP="001F1D25">
            <w:pPr>
              <w:jc w:val="center"/>
              <w:rPr>
                <w:rFonts w:ascii="Arial" w:hAnsi="Arial" w:cs="Arial"/>
                <w:bCs/>
                <w:lang w:val="en-US"/>
              </w:rPr>
            </w:pPr>
          </w:p>
        </w:tc>
        <w:tc>
          <w:tcPr>
            <w:tcW w:w="273" w:type="pct"/>
            <w:tcBorders>
              <w:top w:val="single" w:sz="4" w:space="0" w:color="000000"/>
              <w:left w:val="single" w:sz="4" w:space="0" w:color="000000"/>
              <w:bottom w:val="single" w:sz="4" w:space="0" w:color="000000"/>
              <w:right w:val="single" w:sz="4" w:space="0" w:color="000000"/>
            </w:tcBorders>
            <w:noWrap/>
            <w:vAlign w:val="center"/>
            <w:hideMark/>
          </w:tcPr>
          <w:p w14:paraId="1D3448C6" w14:textId="77777777" w:rsidR="001F1D25" w:rsidRPr="001F1D25" w:rsidRDefault="001F1D25" w:rsidP="001F1D25">
            <w:pPr>
              <w:jc w:val="center"/>
              <w:rPr>
                <w:rFonts w:ascii="Arial" w:hAnsi="Arial" w:cs="Arial"/>
                <w:bCs/>
                <w:lang w:val="en-US"/>
              </w:rPr>
            </w:pPr>
            <w:r w:rsidRPr="001F1D25">
              <w:rPr>
                <w:rFonts w:ascii="Arial" w:hAnsi="Arial" w:cs="Arial"/>
                <w:bCs/>
                <w:lang w:val="en-US"/>
              </w:rPr>
              <w:t>5</w:t>
            </w:r>
          </w:p>
        </w:tc>
      </w:tr>
      <w:tr w:rsidR="001F1D25" w:rsidRPr="001F1D25" w14:paraId="681847D5"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070561F6" w14:textId="77777777" w:rsidR="001F1D25" w:rsidRPr="001F1D25" w:rsidRDefault="001F1D25" w:rsidP="001F1D25">
            <w:pPr>
              <w:jc w:val="center"/>
              <w:rPr>
                <w:rFonts w:ascii="Arial" w:hAnsi="Arial" w:cs="Arial"/>
                <w:bCs/>
                <w:lang w:val="en-US"/>
              </w:rPr>
            </w:pPr>
            <w:r w:rsidRPr="001F1D25">
              <w:rPr>
                <w:rFonts w:ascii="Arial" w:hAnsi="Arial" w:cs="Arial"/>
                <w:bCs/>
                <w:lang w:val="en-US"/>
              </w:rPr>
              <w:t>Investment</w:t>
            </w: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748BC29A" w14:textId="77777777" w:rsidR="001F1D25" w:rsidRPr="001F1D25" w:rsidRDefault="001F1D25" w:rsidP="001F1D25">
            <w:pPr>
              <w:jc w:val="center"/>
              <w:rPr>
                <w:rFonts w:ascii="Arial" w:hAnsi="Arial" w:cs="Arial"/>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30B57C8A" w14:textId="77777777" w:rsidR="001F1D25" w:rsidRPr="001F1D25" w:rsidRDefault="001F1D25" w:rsidP="001F1D25">
            <w:pPr>
              <w:jc w:val="center"/>
              <w:rPr>
                <w:rFonts w:ascii="Arial" w:hAnsi="Arial" w:cs="Arial"/>
                <w:bCs/>
                <w:lang w:val="en-US"/>
              </w:rPr>
            </w:pP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3D7797DE" w14:textId="77777777" w:rsidR="001F1D25" w:rsidRPr="001F1D25" w:rsidRDefault="001F1D25" w:rsidP="001F1D25">
            <w:pPr>
              <w:jc w:val="center"/>
              <w:rPr>
                <w:rFonts w:ascii="Arial" w:hAnsi="Arial" w:cs="Arial"/>
                <w:bCs/>
                <w:lang w:val="en-US"/>
              </w:rPr>
            </w:pPr>
            <w:r w:rsidRPr="001F1D25">
              <w:rPr>
                <w:rFonts w:ascii="Arial" w:hAnsi="Arial" w:cs="Arial"/>
                <w:bCs/>
                <w:lang w:val="en-US"/>
              </w:rPr>
              <w:t>40</w:t>
            </w: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300A0268" w14:textId="77777777" w:rsidR="001F1D25" w:rsidRPr="001F1D25" w:rsidRDefault="001F1D25" w:rsidP="001F1D25">
            <w:pPr>
              <w:jc w:val="center"/>
              <w:rPr>
                <w:rFonts w:ascii="Arial" w:hAnsi="Arial" w:cs="Arial"/>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0B0B12B2" w14:textId="77777777" w:rsidR="001F1D25" w:rsidRPr="001F1D25" w:rsidRDefault="001F1D25" w:rsidP="001F1D25">
            <w:pPr>
              <w:jc w:val="center"/>
              <w:rPr>
                <w:rFonts w:ascii="Arial" w:hAnsi="Arial" w:cs="Arial"/>
                <w:bCs/>
                <w:lang w:val="en-US"/>
              </w:rPr>
            </w:pP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42D8F202" w14:textId="77777777" w:rsidR="001F1D25" w:rsidRPr="001F1D25" w:rsidRDefault="001F1D25" w:rsidP="001F1D25">
            <w:pPr>
              <w:jc w:val="center"/>
              <w:rPr>
                <w:rFonts w:ascii="Arial" w:hAnsi="Arial" w:cs="Arial"/>
                <w:bCs/>
                <w:lang w:val="en-US"/>
              </w:rPr>
            </w:pPr>
            <w:r w:rsidRPr="001F1D25">
              <w:rPr>
                <w:rFonts w:ascii="Arial" w:hAnsi="Arial" w:cs="Arial"/>
                <w:bCs/>
                <w:lang w:val="en-US"/>
              </w:rPr>
              <w:t>30</w:t>
            </w: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17C90B2C" w14:textId="77777777" w:rsidR="001F1D25" w:rsidRPr="001F1D25" w:rsidRDefault="001F1D25" w:rsidP="001F1D25">
            <w:pPr>
              <w:jc w:val="center"/>
              <w:rPr>
                <w:rFonts w:ascii="Arial" w:hAnsi="Arial" w:cs="Arial"/>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16BE65A9" w14:textId="77777777" w:rsidR="001F1D25" w:rsidRPr="001F1D25" w:rsidRDefault="001F1D25" w:rsidP="001F1D25">
            <w:pPr>
              <w:jc w:val="center"/>
              <w:rPr>
                <w:rFonts w:ascii="Arial" w:hAnsi="Arial" w:cs="Arial"/>
                <w:bCs/>
                <w:lang w:val="en-US"/>
              </w:rPr>
            </w:pPr>
          </w:p>
        </w:tc>
        <w:tc>
          <w:tcPr>
            <w:tcW w:w="273" w:type="pct"/>
            <w:tcBorders>
              <w:top w:val="single" w:sz="4" w:space="0" w:color="000000"/>
              <w:left w:val="single" w:sz="4" w:space="0" w:color="000000"/>
              <w:bottom w:val="single" w:sz="4" w:space="0" w:color="000000"/>
              <w:right w:val="single" w:sz="4" w:space="0" w:color="000000"/>
            </w:tcBorders>
            <w:noWrap/>
            <w:vAlign w:val="center"/>
            <w:hideMark/>
          </w:tcPr>
          <w:p w14:paraId="214ED399" w14:textId="77777777" w:rsidR="001F1D25" w:rsidRPr="001F1D25" w:rsidRDefault="001F1D25" w:rsidP="001F1D25">
            <w:pPr>
              <w:jc w:val="center"/>
              <w:rPr>
                <w:rFonts w:ascii="Arial" w:hAnsi="Arial" w:cs="Arial"/>
                <w:bCs/>
                <w:lang w:val="en-US"/>
              </w:rPr>
            </w:pPr>
            <w:r w:rsidRPr="001F1D25">
              <w:rPr>
                <w:rFonts w:ascii="Arial" w:hAnsi="Arial" w:cs="Arial"/>
                <w:bCs/>
                <w:lang w:val="en-US"/>
              </w:rPr>
              <w:t>50</w:t>
            </w:r>
          </w:p>
        </w:tc>
      </w:tr>
      <w:tr w:rsidR="001F1D25" w:rsidRPr="001F1D25" w14:paraId="72E85009"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0688998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ARR</w:t>
            </w: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4175F5FB" w14:textId="77777777" w:rsidR="001F1D25" w:rsidRPr="001F1D25" w:rsidRDefault="001F1D25" w:rsidP="001F1D25">
            <w:pPr>
              <w:jc w:val="center"/>
              <w:rPr>
                <w:rFonts w:ascii="Arial" w:hAnsi="Arial" w:cs="Arial"/>
                <w:b/>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656A6B48" w14:textId="77777777" w:rsidR="001F1D25" w:rsidRPr="001F1D25" w:rsidRDefault="001F1D25" w:rsidP="001F1D25">
            <w:pPr>
              <w:jc w:val="center"/>
              <w:rPr>
                <w:rFonts w:ascii="Arial" w:hAnsi="Arial" w:cs="Arial"/>
                <w:b/>
                <w:bCs/>
                <w:lang w:val="en-US"/>
              </w:rPr>
            </w:pP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3EA2A5D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7.00%</w:t>
            </w: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00C0E62D" w14:textId="77777777" w:rsidR="001F1D25" w:rsidRPr="001F1D25" w:rsidRDefault="001F1D25" w:rsidP="001F1D25">
            <w:pPr>
              <w:jc w:val="center"/>
              <w:rPr>
                <w:rFonts w:ascii="Arial" w:hAnsi="Arial" w:cs="Arial"/>
                <w:b/>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034B0140" w14:textId="77777777" w:rsidR="001F1D25" w:rsidRPr="001F1D25" w:rsidRDefault="001F1D25" w:rsidP="001F1D25">
            <w:pPr>
              <w:jc w:val="center"/>
              <w:rPr>
                <w:rFonts w:ascii="Arial" w:hAnsi="Arial" w:cs="Arial"/>
                <w:b/>
                <w:bCs/>
                <w:lang w:val="en-US"/>
              </w:rPr>
            </w:pPr>
          </w:p>
        </w:tc>
        <w:tc>
          <w:tcPr>
            <w:tcW w:w="238" w:type="pct"/>
            <w:tcBorders>
              <w:top w:val="single" w:sz="4" w:space="0" w:color="000000"/>
              <w:left w:val="single" w:sz="4" w:space="0" w:color="000000"/>
              <w:bottom w:val="single" w:sz="4" w:space="0" w:color="000000"/>
              <w:right w:val="single" w:sz="4" w:space="0" w:color="000000"/>
            </w:tcBorders>
            <w:noWrap/>
            <w:vAlign w:val="center"/>
            <w:hideMark/>
          </w:tcPr>
          <w:p w14:paraId="6F7BB0D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0.00%</w:t>
            </w: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773D17F6" w14:textId="77777777" w:rsidR="001F1D25" w:rsidRPr="001F1D25" w:rsidRDefault="001F1D25" w:rsidP="001F1D25">
            <w:pPr>
              <w:jc w:val="center"/>
              <w:rPr>
                <w:rFonts w:ascii="Arial" w:hAnsi="Arial" w:cs="Arial"/>
                <w:b/>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7DCD2BD4" w14:textId="77777777" w:rsidR="001F1D25" w:rsidRPr="001F1D25" w:rsidRDefault="001F1D25" w:rsidP="001F1D25">
            <w:pPr>
              <w:jc w:val="center"/>
              <w:rPr>
                <w:rFonts w:ascii="Arial" w:hAnsi="Arial" w:cs="Arial"/>
                <w:b/>
                <w:bCs/>
                <w:lang w:val="en-US"/>
              </w:rPr>
            </w:pPr>
          </w:p>
        </w:tc>
        <w:tc>
          <w:tcPr>
            <w:tcW w:w="273" w:type="pct"/>
            <w:tcBorders>
              <w:top w:val="single" w:sz="4" w:space="0" w:color="000000"/>
              <w:left w:val="single" w:sz="4" w:space="0" w:color="000000"/>
              <w:bottom w:val="single" w:sz="4" w:space="0" w:color="000000"/>
              <w:right w:val="single" w:sz="4" w:space="0" w:color="000000"/>
            </w:tcBorders>
            <w:noWrap/>
            <w:vAlign w:val="center"/>
            <w:hideMark/>
          </w:tcPr>
          <w:p w14:paraId="431760C5"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10.00%</w:t>
            </w:r>
          </w:p>
        </w:tc>
      </w:tr>
      <w:tr w:rsidR="001F1D25" w:rsidRPr="001F1D25" w14:paraId="419E6CFA" w14:textId="77777777">
        <w:trPr>
          <w:trHeight w:val="336"/>
        </w:trPr>
        <w:tc>
          <w:tcPr>
            <w:tcW w:w="836" w:type="pct"/>
            <w:tcBorders>
              <w:top w:val="single" w:sz="4" w:space="0" w:color="000000"/>
              <w:left w:val="single" w:sz="4" w:space="0" w:color="000000"/>
              <w:bottom w:val="single" w:sz="4" w:space="0" w:color="000000"/>
              <w:right w:val="single" w:sz="4" w:space="0" w:color="000000"/>
            </w:tcBorders>
            <w:noWrap/>
            <w:vAlign w:val="center"/>
            <w:hideMark/>
          </w:tcPr>
          <w:p w14:paraId="55536DBE" w14:textId="77777777" w:rsidR="001F1D25" w:rsidRPr="001F1D25" w:rsidRDefault="001F1D25" w:rsidP="001F1D25">
            <w:pPr>
              <w:jc w:val="center"/>
              <w:rPr>
                <w:rFonts w:ascii="Arial" w:hAnsi="Arial" w:cs="Arial"/>
                <w:bCs/>
                <w:lang w:val="en-US"/>
              </w:rPr>
            </w:pPr>
            <w:r w:rsidRPr="001F1D25">
              <w:rPr>
                <w:rFonts w:ascii="Arial" w:hAnsi="Arial" w:cs="Arial"/>
                <w:bCs/>
                <w:lang w:val="en-US"/>
              </w:rPr>
              <w:t>(Average profits/ investment)</w:t>
            </w: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7CA5F141" w14:textId="77777777" w:rsidR="001F1D25" w:rsidRPr="001F1D25" w:rsidRDefault="001F1D25" w:rsidP="001F1D25">
            <w:pPr>
              <w:jc w:val="center"/>
              <w:rPr>
                <w:rFonts w:ascii="Arial" w:hAnsi="Arial" w:cs="Arial"/>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052545A6" w14:textId="77777777" w:rsidR="001F1D25" w:rsidRPr="001F1D25" w:rsidRDefault="001F1D25" w:rsidP="001F1D25">
            <w:pPr>
              <w:jc w:val="center"/>
              <w:rPr>
                <w:rFonts w:ascii="Arial" w:hAnsi="Arial" w:cs="Arial"/>
                <w:bCs/>
                <w:lang w:val="en-US"/>
              </w:rPr>
            </w:pPr>
          </w:p>
        </w:tc>
        <w:tc>
          <w:tcPr>
            <w:tcW w:w="238" w:type="pct"/>
            <w:tcBorders>
              <w:top w:val="single" w:sz="4" w:space="0" w:color="000000"/>
              <w:left w:val="single" w:sz="4" w:space="0" w:color="000000"/>
              <w:bottom w:val="single" w:sz="4" w:space="0" w:color="000000"/>
              <w:right w:val="single" w:sz="4" w:space="0" w:color="000000"/>
            </w:tcBorders>
            <w:noWrap/>
            <w:vAlign w:val="center"/>
          </w:tcPr>
          <w:p w14:paraId="01EDAEAD" w14:textId="77777777" w:rsidR="001F1D25" w:rsidRPr="001F1D25" w:rsidRDefault="001F1D25" w:rsidP="001F1D25">
            <w:pPr>
              <w:jc w:val="center"/>
              <w:rPr>
                <w:rFonts w:ascii="Arial" w:hAnsi="Arial" w:cs="Arial"/>
                <w:bCs/>
                <w:lang w:val="en-US"/>
              </w:rPr>
            </w:pP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1652CD43" w14:textId="77777777" w:rsidR="001F1D25" w:rsidRPr="001F1D25" w:rsidRDefault="001F1D25" w:rsidP="001F1D25">
            <w:pPr>
              <w:jc w:val="center"/>
              <w:rPr>
                <w:rFonts w:ascii="Arial" w:hAnsi="Arial" w:cs="Arial"/>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01992F7B" w14:textId="77777777" w:rsidR="001F1D25" w:rsidRPr="001F1D25" w:rsidRDefault="001F1D25" w:rsidP="001F1D25">
            <w:pPr>
              <w:jc w:val="center"/>
              <w:rPr>
                <w:rFonts w:ascii="Arial" w:hAnsi="Arial" w:cs="Arial"/>
                <w:bCs/>
                <w:lang w:val="en-US"/>
              </w:rPr>
            </w:pPr>
          </w:p>
        </w:tc>
        <w:tc>
          <w:tcPr>
            <w:tcW w:w="238" w:type="pct"/>
            <w:tcBorders>
              <w:top w:val="single" w:sz="4" w:space="0" w:color="000000"/>
              <w:left w:val="single" w:sz="4" w:space="0" w:color="000000"/>
              <w:bottom w:val="single" w:sz="4" w:space="0" w:color="000000"/>
              <w:right w:val="single" w:sz="4" w:space="0" w:color="000000"/>
            </w:tcBorders>
            <w:noWrap/>
            <w:vAlign w:val="center"/>
          </w:tcPr>
          <w:p w14:paraId="6CBF2546" w14:textId="77777777" w:rsidR="001F1D25" w:rsidRPr="001F1D25" w:rsidRDefault="001F1D25" w:rsidP="001F1D25">
            <w:pPr>
              <w:jc w:val="center"/>
              <w:rPr>
                <w:rFonts w:ascii="Arial" w:hAnsi="Arial" w:cs="Arial"/>
                <w:bCs/>
                <w:lang w:val="en-US"/>
              </w:rPr>
            </w:pPr>
          </w:p>
        </w:tc>
        <w:tc>
          <w:tcPr>
            <w:tcW w:w="537" w:type="pct"/>
            <w:tcBorders>
              <w:top w:val="single" w:sz="4" w:space="0" w:color="000000"/>
              <w:left w:val="single" w:sz="4" w:space="0" w:color="000000"/>
              <w:bottom w:val="single" w:sz="4" w:space="0" w:color="000000"/>
              <w:right w:val="single" w:sz="4" w:space="0" w:color="000000"/>
            </w:tcBorders>
            <w:noWrap/>
            <w:vAlign w:val="center"/>
          </w:tcPr>
          <w:p w14:paraId="7C05D2FB" w14:textId="77777777" w:rsidR="001F1D25" w:rsidRPr="001F1D25" w:rsidRDefault="001F1D25" w:rsidP="001F1D25">
            <w:pPr>
              <w:jc w:val="center"/>
              <w:rPr>
                <w:rFonts w:ascii="Arial" w:hAnsi="Arial" w:cs="Arial"/>
                <w:bCs/>
                <w:lang w:val="en-US"/>
              </w:rPr>
            </w:pPr>
          </w:p>
        </w:tc>
        <w:tc>
          <w:tcPr>
            <w:tcW w:w="600" w:type="pct"/>
            <w:tcBorders>
              <w:top w:val="single" w:sz="4" w:space="0" w:color="000000"/>
              <w:left w:val="single" w:sz="4" w:space="0" w:color="000000"/>
              <w:bottom w:val="single" w:sz="4" w:space="0" w:color="000000"/>
              <w:right w:val="single" w:sz="4" w:space="0" w:color="000000"/>
            </w:tcBorders>
            <w:noWrap/>
            <w:vAlign w:val="center"/>
          </w:tcPr>
          <w:p w14:paraId="067BE9CA" w14:textId="77777777" w:rsidR="001F1D25" w:rsidRPr="001F1D25" w:rsidRDefault="001F1D25" w:rsidP="001F1D25">
            <w:pPr>
              <w:jc w:val="center"/>
              <w:rPr>
                <w:rFonts w:ascii="Arial" w:hAnsi="Arial" w:cs="Arial"/>
                <w:bCs/>
                <w:lang w:val="en-US"/>
              </w:rPr>
            </w:pPr>
          </w:p>
        </w:tc>
        <w:tc>
          <w:tcPr>
            <w:tcW w:w="273" w:type="pct"/>
            <w:tcBorders>
              <w:top w:val="single" w:sz="4" w:space="0" w:color="000000"/>
              <w:left w:val="single" w:sz="4" w:space="0" w:color="000000"/>
              <w:bottom w:val="single" w:sz="4" w:space="0" w:color="000000"/>
              <w:right w:val="single" w:sz="4" w:space="0" w:color="000000"/>
            </w:tcBorders>
            <w:noWrap/>
            <w:vAlign w:val="center"/>
          </w:tcPr>
          <w:p w14:paraId="5AC48E92" w14:textId="77777777" w:rsidR="001F1D25" w:rsidRPr="001F1D25" w:rsidRDefault="001F1D25" w:rsidP="001F1D25">
            <w:pPr>
              <w:jc w:val="center"/>
              <w:rPr>
                <w:rFonts w:ascii="Arial" w:hAnsi="Arial" w:cs="Arial"/>
                <w:bCs/>
                <w:lang w:val="en-US"/>
              </w:rPr>
            </w:pPr>
          </w:p>
        </w:tc>
      </w:tr>
    </w:tbl>
    <w:p w14:paraId="75C788E9" w14:textId="77777777" w:rsidR="001F1D25" w:rsidRPr="001F1D25" w:rsidRDefault="001F1D25" w:rsidP="001F1D25">
      <w:pPr>
        <w:jc w:val="center"/>
        <w:rPr>
          <w:rFonts w:ascii="Arial" w:hAnsi="Arial" w:cs="Arial"/>
          <w:bCs/>
          <w:lang w:val="en-US"/>
        </w:rPr>
      </w:pPr>
    </w:p>
    <w:tbl>
      <w:tblPr>
        <w:tblW w:w="5000" w:type="pct"/>
        <w:tblLook w:val="04A0" w:firstRow="1" w:lastRow="0" w:firstColumn="1" w:lastColumn="0" w:noHBand="0" w:noVBand="1"/>
      </w:tblPr>
      <w:tblGrid>
        <w:gridCol w:w="858"/>
        <w:gridCol w:w="1982"/>
        <w:gridCol w:w="1499"/>
        <w:gridCol w:w="813"/>
        <w:gridCol w:w="1119"/>
        <w:gridCol w:w="813"/>
        <w:gridCol w:w="1119"/>
        <w:gridCol w:w="813"/>
      </w:tblGrid>
      <w:tr w:rsidR="001F1D25" w:rsidRPr="001F1D25" w14:paraId="57B11408" w14:textId="77777777">
        <w:trPr>
          <w:trHeight w:val="336"/>
        </w:trPr>
        <w:tc>
          <w:tcPr>
            <w:tcW w:w="5000" w:type="pct"/>
            <w:gridSpan w:val="8"/>
            <w:tcBorders>
              <w:top w:val="single" w:sz="4" w:space="0" w:color="000000"/>
              <w:left w:val="single" w:sz="4" w:space="0" w:color="000000"/>
              <w:bottom w:val="single" w:sz="4" w:space="0" w:color="000000"/>
              <w:right w:val="single" w:sz="4" w:space="0" w:color="000000"/>
            </w:tcBorders>
            <w:noWrap/>
            <w:vAlign w:val="center"/>
            <w:hideMark/>
          </w:tcPr>
          <w:p w14:paraId="02DC478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lastRenderedPageBreak/>
              <w:t>Calculation of Net Present Value</w:t>
            </w:r>
          </w:p>
        </w:tc>
      </w:tr>
      <w:tr w:rsidR="001F1D25" w:rsidRPr="001F1D25" w14:paraId="6DB73719"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hideMark/>
          </w:tcPr>
          <w:p w14:paraId="3F5A58C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Projects</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080C2A3A" w14:textId="77777777" w:rsidR="001F1D25" w:rsidRPr="001F1D25" w:rsidRDefault="001F1D25" w:rsidP="001F1D25">
            <w:pPr>
              <w:jc w:val="center"/>
              <w:rPr>
                <w:rFonts w:ascii="Arial" w:hAnsi="Arial" w:cs="Arial"/>
                <w:b/>
                <w:bCs/>
                <w:lang w:val="en-US"/>
              </w:rPr>
            </w:pPr>
          </w:p>
        </w:tc>
        <w:tc>
          <w:tcPr>
            <w:tcW w:w="1281" w:type="pct"/>
            <w:gridSpan w:val="2"/>
            <w:tcBorders>
              <w:top w:val="single" w:sz="4" w:space="0" w:color="000000"/>
              <w:left w:val="single" w:sz="4" w:space="0" w:color="000000"/>
              <w:bottom w:val="single" w:sz="4" w:space="0" w:color="000000"/>
              <w:right w:val="single" w:sz="4" w:space="0" w:color="000000"/>
            </w:tcBorders>
            <w:noWrap/>
            <w:vAlign w:val="center"/>
            <w:hideMark/>
          </w:tcPr>
          <w:p w14:paraId="55BCB07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A</w:t>
            </w:r>
          </w:p>
        </w:tc>
        <w:tc>
          <w:tcPr>
            <w:tcW w:w="1059" w:type="pct"/>
            <w:gridSpan w:val="2"/>
            <w:tcBorders>
              <w:top w:val="single" w:sz="4" w:space="0" w:color="000000"/>
              <w:left w:val="single" w:sz="4" w:space="0" w:color="000000"/>
              <w:bottom w:val="single" w:sz="4" w:space="0" w:color="000000"/>
              <w:right w:val="single" w:sz="4" w:space="0" w:color="000000"/>
            </w:tcBorders>
            <w:noWrap/>
            <w:vAlign w:val="center"/>
            <w:hideMark/>
          </w:tcPr>
          <w:p w14:paraId="42C9897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B</w:t>
            </w:r>
          </w:p>
        </w:tc>
        <w:tc>
          <w:tcPr>
            <w:tcW w:w="1060" w:type="pct"/>
            <w:gridSpan w:val="2"/>
            <w:tcBorders>
              <w:top w:val="single" w:sz="4" w:space="0" w:color="000000"/>
              <w:left w:val="single" w:sz="4" w:space="0" w:color="000000"/>
              <w:bottom w:val="single" w:sz="4" w:space="0" w:color="000000"/>
              <w:right w:val="single" w:sz="4" w:space="0" w:color="000000"/>
            </w:tcBorders>
            <w:noWrap/>
            <w:vAlign w:val="center"/>
            <w:hideMark/>
          </w:tcPr>
          <w:p w14:paraId="48AB465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w:t>
            </w:r>
          </w:p>
        </w:tc>
      </w:tr>
      <w:tr w:rsidR="001F1D25" w:rsidRPr="001F1D25" w14:paraId="03CEFD4A"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hideMark/>
          </w:tcPr>
          <w:p w14:paraId="28C9A7B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Year</w:t>
            </w:r>
          </w:p>
        </w:tc>
        <w:tc>
          <w:tcPr>
            <w:tcW w:w="1125" w:type="pct"/>
            <w:tcBorders>
              <w:top w:val="single" w:sz="4" w:space="0" w:color="000000"/>
              <w:left w:val="single" w:sz="4" w:space="0" w:color="000000"/>
              <w:bottom w:val="single" w:sz="4" w:space="0" w:color="000000"/>
              <w:right w:val="single" w:sz="4" w:space="0" w:color="000000"/>
            </w:tcBorders>
            <w:noWrap/>
            <w:vAlign w:val="center"/>
            <w:hideMark/>
          </w:tcPr>
          <w:p w14:paraId="5B33745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Discount factor @ 10%</w:t>
            </w:r>
          </w:p>
        </w:tc>
        <w:tc>
          <w:tcPr>
            <w:tcW w:w="842" w:type="pct"/>
            <w:tcBorders>
              <w:top w:val="single" w:sz="4" w:space="0" w:color="000000"/>
              <w:left w:val="single" w:sz="4" w:space="0" w:color="000000"/>
              <w:bottom w:val="single" w:sz="4" w:space="0" w:color="000000"/>
              <w:right w:val="single" w:sz="4" w:space="0" w:color="000000"/>
            </w:tcBorders>
            <w:noWrap/>
            <w:vAlign w:val="center"/>
            <w:hideMark/>
          </w:tcPr>
          <w:p w14:paraId="6003002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 (£M)</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6E2A9EA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PV (£M)</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74146FF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4F190D2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PV (£M)</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0F1AA60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w:t>
            </w:r>
          </w:p>
        </w:tc>
        <w:tc>
          <w:tcPr>
            <w:tcW w:w="440" w:type="pct"/>
            <w:tcBorders>
              <w:top w:val="single" w:sz="4" w:space="0" w:color="000000"/>
              <w:left w:val="single" w:sz="4" w:space="0" w:color="000000"/>
              <w:bottom w:val="single" w:sz="4" w:space="0" w:color="000000"/>
              <w:right w:val="single" w:sz="4" w:space="0" w:color="000000"/>
            </w:tcBorders>
            <w:noWrap/>
            <w:vAlign w:val="center"/>
            <w:hideMark/>
          </w:tcPr>
          <w:p w14:paraId="0C61177E"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PV (£M)</w:t>
            </w:r>
          </w:p>
        </w:tc>
      </w:tr>
      <w:tr w:rsidR="001F1D25" w:rsidRPr="001F1D25" w14:paraId="0AF49EA7"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hideMark/>
          </w:tcPr>
          <w:p w14:paraId="36D7C26C"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1125" w:type="pct"/>
            <w:tcBorders>
              <w:top w:val="single" w:sz="4" w:space="0" w:color="000000"/>
              <w:left w:val="single" w:sz="4" w:space="0" w:color="000000"/>
              <w:bottom w:val="single" w:sz="4" w:space="0" w:color="000000"/>
              <w:right w:val="single" w:sz="4" w:space="0" w:color="000000"/>
            </w:tcBorders>
            <w:noWrap/>
            <w:vAlign w:val="center"/>
            <w:hideMark/>
          </w:tcPr>
          <w:p w14:paraId="0E4A681A" w14:textId="77777777" w:rsidR="001F1D25" w:rsidRPr="001F1D25" w:rsidRDefault="001F1D25" w:rsidP="001F1D25">
            <w:pPr>
              <w:jc w:val="center"/>
              <w:rPr>
                <w:rFonts w:ascii="Arial" w:hAnsi="Arial" w:cs="Arial"/>
                <w:bCs/>
                <w:lang w:val="en-US"/>
              </w:rPr>
            </w:pPr>
            <w:r w:rsidRPr="001F1D25">
              <w:rPr>
                <w:rFonts w:ascii="Arial" w:hAnsi="Arial" w:cs="Arial"/>
                <w:bCs/>
                <w:lang w:val="en-US"/>
              </w:rPr>
              <w:t>1</w:t>
            </w:r>
          </w:p>
        </w:tc>
        <w:tc>
          <w:tcPr>
            <w:tcW w:w="842" w:type="pct"/>
            <w:tcBorders>
              <w:top w:val="single" w:sz="4" w:space="0" w:color="000000"/>
              <w:left w:val="single" w:sz="4" w:space="0" w:color="000000"/>
              <w:bottom w:val="single" w:sz="4" w:space="0" w:color="000000"/>
              <w:right w:val="single" w:sz="4" w:space="0" w:color="000000"/>
            </w:tcBorders>
            <w:noWrap/>
            <w:vAlign w:val="center"/>
            <w:hideMark/>
          </w:tcPr>
          <w:p w14:paraId="57887021" w14:textId="77777777" w:rsidR="001F1D25" w:rsidRPr="001F1D25" w:rsidRDefault="001F1D25" w:rsidP="001F1D25">
            <w:pPr>
              <w:jc w:val="center"/>
              <w:rPr>
                <w:rFonts w:ascii="Arial" w:hAnsi="Arial" w:cs="Arial"/>
                <w:bCs/>
                <w:lang w:val="en-US"/>
              </w:rPr>
            </w:pPr>
            <w:r w:rsidRPr="001F1D25">
              <w:rPr>
                <w:rFonts w:ascii="Arial" w:hAnsi="Arial" w:cs="Arial"/>
                <w:bCs/>
                <w:lang w:val="en-US"/>
              </w:rPr>
              <w:t>-40</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28429528" w14:textId="77777777" w:rsidR="001F1D25" w:rsidRPr="001F1D25" w:rsidRDefault="001F1D25" w:rsidP="001F1D25">
            <w:pPr>
              <w:jc w:val="center"/>
              <w:rPr>
                <w:rFonts w:ascii="Arial" w:hAnsi="Arial" w:cs="Arial"/>
                <w:bCs/>
                <w:lang w:val="en-US"/>
              </w:rPr>
            </w:pPr>
            <w:r w:rsidRPr="001F1D25">
              <w:rPr>
                <w:rFonts w:ascii="Arial" w:hAnsi="Arial" w:cs="Arial"/>
                <w:bCs/>
                <w:lang w:val="en-US"/>
              </w:rPr>
              <w:t>-40</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1D60D9FA" w14:textId="77777777" w:rsidR="001F1D25" w:rsidRPr="001F1D25" w:rsidRDefault="001F1D25" w:rsidP="001F1D25">
            <w:pPr>
              <w:jc w:val="center"/>
              <w:rPr>
                <w:rFonts w:ascii="Arial" w:hAnsi="Arial" w:cs="Arial"/>
                <w:bCs/>
                <w:lang w:val="en-US"/>
              </w:rPr>
            </w:pPr>
            <w:r w:rsidRPr="001F1D25">
              <w:rPr>
                <w:rFonts w:ascii="Arial" w:hAnsi="Arial" w:cs="Arial"/>
                <w:bCs/>
                <w:lang w:val="en-US"/>
              </w:rPr>
              <w:t>-30</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2797195F" w14:textId="77777777" w:rsidR="001F1D25" w:rsidRPr="001F1D25" w:rsidRDefault="001F1D25" w:rsidP="001F1D25">
            <w:pPr>
              <w:jc w:val="center"/>
              <w:rPr>
                <w:rFonts w:ascii="Arial" w:hAnsi="Arial" w:cs="Arial"/>
                <w:bCs/>
                <w:lang w:val="en-US"/>
              </w:rPr>
            </w:pPr>
            <w:r w:rsidRPr="001F1D25">
              <w:rPr>
                <w:rFonts w:ascii="Arial" w:hAnsi="Arial" w:cs="Arial"/>
                <w:bCs/>
                <w:lang w:val="en-US"/>
              </w:rPr>
              <w:t>-30</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6AB52B46" w14:textId="77777777" w:rsidR="001F1D25" w:rsidRPr="001F1D25" w:rsidRDefault="001F1D25" w:rsidP="001F1D25">
            <w:pPr>
              <w:jc w:val="center"/>
              <w:rPr>
                <w:rFonts w:ascii="Arial" w:hAnsi="Arial" w:cs="Arial"/>
                <w:bCs/>
                <w:lang w:val="en-US"/>
              </w:rPr>
            </w:pPr>
            <w:r w:rsidRPr="001F1D25">
              <w:rPr>
                <w:rFonts w:ascii="Arial" w:hAnsi="Arial" w:cs="Arial"/>
                <w:bCs/>
                <w:lang w:val="en-US"/>
              </w:rPr>
              <w:t>-50</w:t>
            </w:r>
          </w:p>
        </w:tc>
        <w:tc>
          <w:tcPr>
            <w:tcW w:w="440" w:type="pct"/>
            <w:tcBorders>
              <w:top w:val="single" w:sz="4" w:space="0" w:color="000000"/>
              <w:left w:val="single" w:sz="4" w:space="0" w:color="000000"/>
              <w:bottom w:val="single" w:sz="4" w:space="0" w:color="000000"/>
              <w:right w:val="single" w:sz="4" w:space="0" w:color="000000"/>
            </w:tcBorders>
            <w:noWrap/>
            <w:vAlign w:val="center"/>
            <w:hideMark/>
          </w:tcPr>
          <w:p w14:paraId="434A0D7F" w14:textId="77777777" w:rsidR="001F1D25" w:rsidRPr="001F1D25" w:rsidRDefault="001F1D25" w:rsidP="001F1D25">
            <w:pPr>
              <w:jc w:val="center"/>
              <w:rPr>
                <w:rFonts w:ascii="Arial" w:hAnsi="Arial" w:cs="Arial"/>
                <w:bCs/>
                <w:lang w:val="en-US"/>
              </w:rPr>
            </w:pPr>
            <w:r w:rsidRPr="001F1D25">
              <w:rPr>
                <w:rFonts w:ascii="Arial" w:hAnsi="Arial" w:cs="Arial"/>
                <w:bCs/>
                <w:lang w:val="en-US"/>
              </w:rPr>
              <w:t>-50</w:t>
            </w:r>
          </w:p>
        </w:tc>
      </w:tr>
      <w:tr w:rsidR="001F1D25" w:rsidRPr="001F1D25" w14:paraId="2EE2940B"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hideMark/>
          </w:tcPr>
          <w:p w14:paraId="65771427" w14:textId="77777777" w:rsidR="001F1D25" w:rsidRPr="001F1D25" w:rsidRDefault="001F1D25" w:rsidP="001F1D25">
            <w:pPr>
              <w:jc w:val="center"/>
              <w:rPr>
                <w:rFonts w:ascii="Arial" w:hAnsi="Arial" w:cs="Arial"/>
                <w:bCs/>
                <w:lang w:val="en-US"/>
              </w:rPr>
            </w:pPr>
            <w:r w:rsidRPr="001F1D25">
              <w:rPr>
                <w:rFonts w:ascii="Arial" w:hAnsi="Arial" w:cs="Arial"/>
                <w:bCs/>
                <w:lang w:val="en-US"/>
              </w:rPr>
              <w:t>1</w:t>
            </w:r>
          </w:p>
        </w:tc>
        <w:tc>
          <w:tcPr>
            <w:tcW w:w="1125" w:type="pct"/>
            <w:tcBorders>
              <w:top w:val="single" w:sz="4" w:space="0" w:color="000000"/>
              <w:left w:val="single" w:sz="4" w:space="0" w:color="000000"/>
              <w:bottom w:val="single" w:sz="4" w:space="0" w:color="000000"/>
              <w:right w:val="single" w:sz="4" w:space="0" w:color="000000"/>
            </w:tcBorders>
            <w:noWrap/>
            <w:vAlign w:val="center"/>
            <w:hideMark/>
          </w:tcPr>
          <w:p w14:paraId="244D11CF" w14:textId="77777777" w:rsidR="001F1D25" w:rsidRPr="001F1D25" w:rsidRDefault="001F1D25" w:rsidP="001F1D25">
            <w:pPr>
              <w:jc w:val="center"/>
              <w:rPr>
                <w:rFonts w:ascii="Arial" w:hAnsi="Arial" w:cs="Arial"/>
                <w:bCs/>
                <w:lang w:val="en-US"/>
              </w:rPr>
            </w:pPr>
            <w:r w:rsidRPr="001F1D25">
              <w:rPr>
                <w:rFonts w:ascii="Arial" w:hAnsi="Arial" w:cs="Arial"/>
                <w:bCs/>
                <w:lang w:val="en-US"/>
              </w:rPr>
              <w:t>0.9091</w:t>
            </w:r>
          </w:p>
        </w:tc>
        <w:tc>
          <w:tcPr>
            <w:tcW w:w="842" w:type="pct"/>
            <w:tcBorders>
              <w:top w:val="single" w:sz="4" w:space="0" w:color="000000"/>
              <w:left w:val="single" w:sz="4" w:space="0" w:color="000000"/>
              <w:bottom w:val="single" w:sz="4" w:space="0" w:color="000000"/>
              <w:right w:val="single" w:sz="4" w:space="0" w:color="000000"/>
            </w:tcBorders>
            <w:noWrap/>
            <w:vAlign w:val="center"/>
            <w:hideMark/>
          </w:tcPr>
          <w:p w14:paraId="3BB0EC6B"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0D6AA3E2"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9.09 </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4F1DD4DD"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467C123A"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5.45 </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20D42326" w14:textId="77777777" w:rsidR="001F1D25" w:rsidRPr="001F1D25" w:rsidRDefault="001F1D25" w:rsidP="001F1D25">
            <w:pPr>
              <w:jc w:val="center"/>
              <w:rPr>
                <w:rFonts w:ascii="Arial" w:hAnsi="Arial" w:cs="Arial"/>
                <w:bCs/>
                <w:lang w:val="en-US"/>
              </w:rPr>
            </w:pPr>
            <w:r w:rsidRPr="001F1D25">
              <w:rPr>
                <w:rFonts w:ascii="Arial" w:hAnsi="Arial" w:cs="Arial"/>
                <w:bCs/>
                <w:lang w:val="en-US"/>
              </w:rPr>
              <w:t>5</w:t>
            </w:r>
          </w:p>
        </w:tc>
        <w:tc>
          <w:tcPr>
            <w:tcW w:w="440" w:type="pct"/>
            <w:tcBorders>
              <w:top w:val="single" w:sz="4" w:space="0" w:color="000000"/>
              <w:left w:val="single" w:sz="4" w:space="0" w:color="000000"/>
              <w:bottom w:val="single" w:sz="4" w:space="0" w:color="000000"/>
              <w:right w:val="single" w:sz="4" w:space="0" w:color="000000"/>
            </w:tcBorders>
            <w:noWrap/>
            <w:vAlign w:val="center"/>
            <w:hideMark/>
          </w:tcPr>
          <w:p w14:paraId="055527C0"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4.55 </w:t>
            </w:r>
          </w:p>
        </w:tc>
      </w:tr>
      <w:tr w:rsidR="001F1D25" w:rsidRPr="001F1D25" w14:paraId="751AD832"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hideMark/>
          </w:tcPr>
          <w:p w14:paraId="455632AD" w14:textId="77777777" w:rsidR="001F1D25" w:rsidRPr="001F1D25" w:rsidRDefault="001F1D25" w:rsidP="001F1D25">
            <w:pPr>
              <w:jc w:val="center"/>
              <w:rPr>
                <w:rFonts w:ascii="Arial" w:hAnsi="Arial" w:cs="Arial"/>
                <w:bCs/>
                <w:lang w:val="en-US"/>
              </w:rPr>
            </w:pPr>
            <w:r w:rsidRPr="001F1D25">
              <w:rPr>
                <w:rFonts w:ascii="Arial" w:hAnsi="Arial" w:cs="Arial"/>
                <w:bCs/>
                <w:lang w:val="en-US"/>
              </w:rPr>
              <w:t>2</w:t>
            </w:r>
          </w:p>
        </w:tc>
        <w:tc>
          <w:tcPr>
            <w:tcW w:w="1125" w:type="pct"/>
            <w:tcBorders>
              <w:top w:val="single" w:sz="4" w:space="0" w:color="000000"/>
              <w:left w:val="single" w:sz="4" w:space="0" w:color="000000"/>
              <w:bottom w:val="single" w:sz="4" w:space="0" w:color="000000"/>
              <w:right w:val="single" w:sz="4" w:space="0" w:color="000000"/>
            </w:tcBorders>
            <w:noWrap/>
            <w:vAlign w:val="center"/>
            <w:hideMark/>
          </w:tcPr>
          <w:p w14:paraId="16E2F808" w14:textId="77777777" w:rsidR="001F1D25" w:rsidRPr="001F1D25" w:rsidRDefault="001F1D25" w:rsidP="001F1D25">
            <w:pPr>
              <w:jc w:val="center"/>
              <w:rPr>
                <w:rFonts w:ascii="Arial" w:hAnsi="Arial" w:cs="Arial"/>
                <w:bCs/>
                <w:lang w:val="en-US"/>
              </w:rPr>
            </w:pPr>
            <w:r w:rsidRPr="001F1D25">
              <w:rPr>
                <w:rFonts w:ascii="Arial" w:hAnsi="Arial" w:cs="Arial"/>
                <w:bCs/>
                <w:lang w:val="en-US"/>
              </w:rPr>
              <w:t>0.8264</w:t>
            </w:r>
          </w:p>
        </w:tc>
        <w:tc>
          <w:tcPr>
            <w:tcW w:w="842" w:type="pct"/>
            <w:tcBorders>
              <w:top w:val="single" w:sz="4" w:space="0" w:color="000000"/>
              <w:left w:val="single" w:sz="4" w:space="0" w:color="000000"/>
              <w:bottom w:val="single" w:sz="4" w:space="0" w:color="000000"/>
              <w:right w:val="single" w:sz="4" w:space="0" w:color="000000"/>
            </w:tcBorders>
            <w:noWrap/>
            <w:vAlign w:val="center"/>
            <w:hideMark/>
          </w:tcPr>
          <w:p w14:paraId="1C5214F0" w14:textId="77777777" w:rsidR="001F1D25" w:rsidRPr="001F1D25" w:rsidRDefault="001F1D25" w:rsidP="001F1D25">
            <w:pPr>
              <w:jc w:val="center"/>
              <w:rPr>
                <w:rFonts w:ascii="Arial" w:hAnsi="Arial" w:cs="Arial"/>
                <w:bCs/>
                <w:lang w:val="en-US"/>
              </w:rPr>
            </w:pPr>
            <w:r w:rsidRPr="001F1D25">
              <w:rPr>
                <w:rFonts w:ascii="Arial" w:hAnsi="Arial" w:cs="Arial"/>
                <w:bCs/>
                <w:lang w:val="en-US"/>
              </w:rPr>
              <w:t>12</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13FA0059"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9.92 </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78EC22E8"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1604108D"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4.96 </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34FBA4D9"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440" w:type="pct"/>
            <w:tcBorders>
              <w:top w:val="single" w:sz="4" w:space="0" w:color="000000"/>
              <w:left w:val="single" w:sz="4" w:space="0" w:color="000000"/>
              <w:bottom w:val="single" w:sz="4" w:space="0" w:color="000000"/>
              <w:right w:val="single" w:sz="4" w:space="0" w:color="000000"/>
            </w:tcBorders>
            <w:noWrap/>
            <w:vAlign w:val="center"/>
            <w:hideMark/>
          </w:tcPr>
          <w:p w14:paraId="34EFF871"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8.26 </w:t>
            </w:r>
          </w:p>
        </w:tc>
      </w:tr>
      <w:tr w:rsidR="001F1D25" w:rsidRPr="001F1D25" w14:paraId="2F5EA098"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hideMark/>
          </w:tcPr>
          <w:p w14:paraId="21E4EB81" w14:textId="77777777" w:rsidR="001F1D25" w:rsidRPr="001F1D25" w:rsidRDefault="001F1D25" w:rsidP="001F1D25">
            <w:pPr>
              <w:jc w:val="center"/>
              <w:rPr>
                <w:rFonts w:ascii="Arial" w:hAnsi="Arial" w:cs="Arial"/>
                <w:bCs/>
                <w:lang w:val="en-US"/>
              </w:rPr>
            </w:pPr>
            <w:r w:rsidRPr="001F1D25">
              <w:rPr>
                <w:rFonts w:ascii="Arial" w:hAnsi="Arial" w:cs="Arial"/>
                <w:bCs/>
                <w:lang w:val="en-US"/>
              </w:rPr>
              <w:t>3</w:t>
            </w:r>
          </w:p>
        </w:tc>
        <w:tc>
          <w:tcPr>
            <w:tcW w:w="1125" w:type="pct"/>
            <w:tcBorders>
              <w:top w:val="single" w:sz="4" w:space="0" w:color="000000"/>
              <w:left w:val="single" w:sz="4" w:space="0" w:color="000000"/>
              <w:bottom w:val="single" w:sz="4" w:space="0" w:color="000000"/>
              <w:right w:val="single" w:sz="4" w:space="0" w:color="000000"/>
            </w:tcBorders>
            <w:noWrap/>
            <w:vAlign w:val="center"/>
            <w:hideMark/>
          </w:tcPr>
          <w:p w14:paraId="662B78B8" w14:textId="77777777" w:rsidR="001F1D25" w:rsidRPr="001F1D25" w:rsidRDefault="001F1D25" w:rsidP="001F1D25">
            <w:pPr>
              <w:jc w:val="center"/>
              <w:rPr>
                <w:rFonts w:ascii="Arial" w:hAnsi="Arial" w:cs="Arial"/>
                <w:bCs/>
                <w:lang w:val="en-US"/>
              </w:rPr>
            </w:pPr>
            <w:r w:rsidRPr="001F1D25">
              <w:rPr>
                <w:rFonts w:ascii="Arial" w:hAnsi="Arial" w:cs="Arial"/>
                <w:bCs/>
                <w:lang w:val="en-US"/>
              </w:rPr>
              <w:t>0.7513</w:t>
            </w:r>
          </w:p>
        </w:tc>
        <w:tc>
          <w:tcPr>
            <w:tcW w:w="842" w:type="pct"/>
            <w:tcBorders>
              <w:top w:val="single" w:sz="4" w:space="0" w:color="000000"/>
              <w:left w:val="single" w:sz="4" w:space="0" w:color="000000"/>
              <w:bottom w:val="single" w:sz="4" w:space="0" w:color="000000"/>
              <w:right w:val="single" w:sz="4" w:space="0" w:color="000000"/>
            </w:tcBorders>
            <w:noWrap/>
            <w:vAlign w:val="center"/>
            <w:hideMark/>
          </w:tcPr>
          <w:p w14:paraId="2CC32846" w14:textId="77777777" w:rsidR="001F1D25" w:rsidRPr="001F1D25" w:rsidRDefault="001F1D25" w:rsidP="001F1D25">
            <w:pPr>
              <w:jc w:val="center"/>
              <w:rPr>
                <w:rFonts w:ascii="Arial" w:hAnsi="Arial" w:cs="Arial"/>
                <w:bCs/>
                <w:lang w:val="en-US"/>
              </w:rPr>
            </w:pPr>
            <w:r w:rsidRPr="001F1D25">
              <w:rPr>
                <w:rFonts w:ascii="Arial" w:hAnsi="Arial" w:cs="Arial"/>
                <w:bCs/>
                <w:lang w:val="en-US"/>
              </w:rPr>
              <w:t>14</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55ECE1D1"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10.52 </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7B9FE756"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407ADB55"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4.51 </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443D26EB" w14:textId="77777777" w:rsidR="001F1D25" w:rsidRPr="001F1D25" w:rsidRDefault="001F1D25" w:rsidP="001F1D25">
            <w:pPr>
              <w:jc w:val="center"/>
              <w:rPr>
                <w:rFonts w:ascii="Arial" w:hAnsi="Arial" w:cs="Arial"/>
                <w:bCs/>
                <w:lang w:val="en-US"/>
              </w:rPr>
            </w:pPr>
            <w:r w:rsidRPr="001F1D25">
              <w:rPr>
                <w:rFonts w:ascii="Arial" w:hAnsi="Arial" w:cs="Arial"/>
                <w:bCs/>
                <w:lang w:val="en-US"/>
              </w:rPr>
              <w:t>20</w:t>
            </w:r>
          </w:p>
        </w:tc>
        <w:tc>
          <w:tcPr>
            <w:tcW w:w="440" w:type="pct"/>
            <w:tcBorders>
              <w:top w:val="single" w:sz="4" w:space="0" w:color="000000"/>
              <w:left w:val="single" w:sz="4" w:space="0" w:color="000000"/>
              <w:bottom w:val="single" w:sz="4" w:space="0" w:color="000000"/>
              <w:right w:val="single" w:sz="4" w:space="0" w:color="000000"/>
            </w:tcBorders>
            <w:noWrap/>
            <w:vAlign w:val="center"/>
            <w:hideMark/>
          </w:tcPr>
          <w:p w14:paraId="790AD371"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15.03 </w:t>
            </w:r>
          </w:p>
        </w:tc>
      </w:tr>
      <w:tr w:rsidR="001F1D25" w:rsidRPr="001F1D25" w14:paraId="0734BA06"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hideMark/>
          </w:tcPr>
          <w:p w14:paraId="5C43BB83" w14:textId="77777777" w:rsidR="001F1D25" w:rsidRPr="001F1D25" w:rsidRDefault="001F1D25" w:rsidP="001F1D25">
            <w:pPr>
              <w:jc w:val="center"/>
              <w:rPr>
                <w:rFonts w:ascii="Arial" w:hAnsi="Arial" w:cs="Arial"/>
                <w:bCs/>
                <w:lang w:val="en-US"/>
              </w:rPr>
            </w:pPr>
            <w:r w:rsidRPr="001F1D25">
              <w:rPr>
                <w:rFonts w:ascii="Arial" w:hAnsi="Arial" w:cs="Arial"/>
                <w:bCs/>
                <w:lang w:val="en-US"/>
              </w:rPr>
              <w:t>4</w:t>
            </w:r>
          </w:p>
        </w:tc>
        <w:tc>
          <w:tcPr>
            <w:tcW w:w="1125" w:type="pct"/>
            <w:tcBorders>
              <w:top w:val="single" w:sz="4" w:space="0" w:color="000000"/>
              <w:left w:val="single" w:sz="4" w:space="0" w:color="000000"/>
              <w:bottom w:val="single" w:sz="4" w:space="0" w:color="000000"/>
              <w:right w:val="single" w:sz="4" w:space="0" w:color="000000"/>
            </w:tcBorders>
            <w:noWrap/>
            <w:vAlign w:val="center"/>
            <w:hideMark/>
          </w:tcPr>
          <w:p w14:paraId="2D7D77B1" w14:textId="77777777" w:rsidR="001F1D25" w:rsidRPr="001F1D25" w:rsidRDefault="001F1D25" w:rsidP="001F1D25">
            <w:pPr>
              <w:jc w:val="center"/>
              <w:rPr>
                <w:rFonts w:ascii="Arial" w:hAnsi="Arial" w:cs="Arial"/>
                <w:bCs/>
                <w:lang w:val="en-US"/>
              </w:rPr>
            </w:pPr>
            <w:r w:rsidRPr="001F1D25">
              <w:rPr>
                <w:rFonts w:ascii="Arial" w:hAnsi="Arial" w:cs="Arial"/>
                <w:bCs/>
                <w:lang w:val="en-US"/>
              </w:rPr>
              <w:t>0.6830</w:t>
            </w:r>
          </w:p>
        </w:tc>
        <w:tc>
          <w:tcPr>
            <w:tcW w:w="842" w:type="pct"/>
            <w:tcBorders>
              <w:top w:val="single" w:sz="4" w:space="0" w:color="000000"/>
              <w:left w:val="single" w:sz="4" w:space="0" w:color="000000"/>
              <w:bottom w:val="single" w:sz="4" w:space="0" w:color="000000"/>
              <w:right w:val="single" w:sz="4" w:space="0" w:color="000000"/>
            </w:tcBorders>
            <w:noWrap/>
            <w:vAlign w:val="center"/>
            <w:hideMark/>
          </w:tcPr>
          <w:p w14:paraId="416598BE"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71A189E3"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6.83 </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5D33B3A3"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237F5CE4"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4.10 </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681B6726" w14:textId="77777777" w:rsidR="001F1D25" w:rsidRPr="001F1D25" w:rsidRDefault="001F1D25" w:rsidP="001F1D25">
            <w:pPr>
              <w:jc w:val="center"/>
              <w:rPr>
                <w:rFonts w:ascii="Arial" w:hAnsi="Arial" w:cs="Arial"/>
                <w:bCs/>
                <w:lang w:val="en-US"/>
              </w:rPr>
            </w:pPr>
            <w:r w:rsidRPr="001F1D25">
              <w:rPr>
                <w:rFonts w:ascii="Arial" w:hAnsi="Arial" w:cs="Arial"/>
                <w:bCs/>
                <w:lang w:val="en-US"/>
              </w:rPr>
              <w:t>25</w:t>
            </w:r>
          </w:p>
        </w:tc>
        <w:tc>
          <w:tcPr>
            <w:tcW w:w="440" w:type="pct"/>
            <w:tcBorders>
              <w:top w:val="single" w:sz="4" w:space="0" w:color="000000"/>
              <w:left w:val="single" w:sz="4" w:space="0" w:color="000000"/>
              <w:bottom w:val="single" w:sz="4" w:space="0" w:color="000000"/>
              <w:right w:val="single" w:sz="4" w:space="0" w:color="000000"/>
            </w:tcBorders>
            <w:noWrap/>
            <w:vAlign w:val="center"/>
            <w:hideMark/>
          </w:tcPr>
          <w:p w14:paraId="7E511237"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17.08 </w:t>
            </w:r>
          </w:p>
        </w:tc>
      </w:tr>
      <w:tr w:rsidR="001F1D25" w:rsidRPr="001F1D25" w14:paraId="7578D15D"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hideMark/>
          </w:tcPr>
          <w:p w14:paraId="0CD13D58" w14:textId="77777777" w:rsidR="001F1D25" w:rsidRPr="001F1D25" w:rsidRDefault="001F1D25" w:rsidP="001F1D25">
            <w:pPr>
              <w:jc w:val="center"/>
              <w:rPr>
                <w:rFonts w:ascii="Arial" w:hAnsi="Arial" w:cs="Arial"/>
                <w:bCs/>
                <w:lang w:val="en-US"/>
              </w:rPr>
            </w:pPr>
            <w:r w:rsidRPr="001F1D25">
              <w:rPr>
                <w:rFonts w:ascii="Arial" w:hAnsi="Arial" w:cs="Arial"/>
                <w:bCs/>
                <w:lang w:val="en-US"/>
              </w:rPr>
              <w:t>5</w:t>
            </w:r>
          </w:p>
        </w:tc>
        <w:tc>
          <w:tcPr>
            <w:tcW w:w="1125" w:type="pct"/>
            <w:tcBorders>
              <w:top w:val="single" w:sz="4" w:space="0" w:color="000000"/>
              <w:left w:val="single" w:sz="4" w:space="0" w:color="000000"/>
              <w:bottom w:val="single" w:sz="4" w:space="0" w:color="000000"/>
              <w:right w:val="single" w:sz="4" w:space="0" w:color="000000"/>
            </w:tcBorders>
            <w:noWrap/>
            <w:vAlign w:val="center"/>
            <w:hideMark/>
          </w:tcPr>
          <w:p w14:paraId="522AFF2E" w14:textId="77777777" w:rsidR="001F1D25" w:rsidRPr="001F1D25" w:rsidRDefault="001F1D25" w:rsidP="001F1D25">
            <w:pPr>
              <w:jc w:val="center"/>
              <w:rPr>
                <w:rFonts w:ascii="Arial" w:hAnsi="Arial" w:cs="Arial"/>
                <w:bCs/>
                <w:lang w:val="en-US"/>
              </w:rPr>
            </w:pPr>
            <w:r w:rsidRPr="001F1D25">
              <w:rPr>
                <w:rFonts w:ascii="Arial" w:hAnsi="Arial" w:cs="Arial"/>
                <w:bCs/>
                <w:lang w:val="en-US"/>
              </w:rPr>
              <w:t>0.6209</w:t>
            </w:r>
          </w:p>
        </w:tc>
        <w:tc>
          <w:tcPr>
            <w:tcW w:w="842" w:type="pct"/>
            <w:tcBorders>
              <w:top w:val="single" w:sz="4" w:space="0" w:color="000000"/>
              <w:left w:val="single" w:sz="4" w:space="0" w:color="000000"/>
              <w:bottom w:val="single" w:sz="4" w:space="0" w:color="000000"/>
              <w:right w:val="single" w:sz="4" w:space="0" w:color="000000"/>
            </w:tcBorders>
            <w:noWrap/>
            <w:vAlign w:val="center"/>
            <w:hideMark/>
          </w:tcPr>
          <w:p w14:paraId="568C79FA" w14:textId="77777777" w:rsidR="001F1D25" w:rsidRPr="001F1D25" w:rsidRDefault="001F1D25" w:rsidP="001F1D25">
            <w:pPr>
              <w:jc w:val="center"/>
              <w:rPr>
                <w:rFonts w:ascii="Arial" w:hAnsi="Arial" w:cs="Arial"/>
                <w:bCs/>
                <w:lang w:val="en-US"/>
              </w:rPr>
            </w:pPr>
            <w:r w:rsidRPr="001F1D25">
              <w:rPr>
                <w:rFonts w:ascii="Arial" w:hAnsi="Arial" w:cs="Arial"/>
                <w:bCs/>
                <w:lang w:val="en-US"/>
              </w:rPr>
              <w:t>8</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663045BB"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4.97 </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64F015EF"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69866D74"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3.73 </w:t>
            </w:r>
          </w:p>
        </w:tc>
        <w:tc>
          <w:tcPr>
            <w:tcW w:w="620" w:type="pct"/>
            <w:tcBorders>
              <w:top w:val="single" w:sz="4" w:space="0" w:color="000000"/>
              <w:left w:val="single" w:sz="4" w:space="0" w:color="000000"/>
              <w:bottom w:val="single" w:sz="4" w:space="0" w:color="000000"/>
              <w:right w:val="single" w:sz="4" w:space="0" w:color="000000"/>
            </w:tcBorders>
            <w:noWrap/>
            <w:vAlign w:val="center"/>
            <w:hideMark/>
          </w:tcPr>
          <w:p w14:paraId="6521F01A" w14:textId="77777777" w:rsidR="001F1D25" w:rsidRPr="001F1D25" w:rsidRDefault="001F1D25" w:rsidP="001F1D25">
            <w:pPr>
              <w:jc w:val="center"/>
              <w:rPr>
                <w:rFonts w:ascii="Arial" w:hAnsi="Arial" w:cs="Arial"/>
                <w:bCs/>
                <w:lang w:val="en-US"/>
              </w:rPr>
            </w:pPr>
            <w:r w:rsidRPr="001F1D25">
              <w:rPr>
                <w:rFonts w:ascii="Arial" w:hAnsi="Arial" w:cs="Arial"/>
                <w:bCs/>
                <w:lang w:val="en-US"/>
              </w:rPr>
              <w:t>15</w:t>
            </w:r>
          </w:p>
        </w:tc>
        <w:tc>
          <w:tcPr>
            <w:tcW w:w="440" w:type="pct"/>
            <w:tcBorders>
              <w:top w:val="single" w:sz="4" w:space="0" w:color="000000"/>
              <w:left w:val="single" w:sz="4" w:space="0" w:color="000000"/>
              <w:bottom w:val="single" w:sz="4" w:space="0" w:color="000000"/>
              <w:right w:val="single" w:sz="4" w:space="0" w:color="000000"/>
            </w:tcBorders>
            <w:noWrap/>
            <w:vAlign w:val="center"/>
            <w:hideMark/>
          </w:tcPr>
          <w:p w14:paraId="6205040A" w14:textId="77777777" w:rsidR="001F1D25" w:rsidRPr="001F1D25" w:rsidRDefault="001F1D25" w:rsidP="001F1D25">
            <w:pPr>
              <w:jc w:val="center"/>
              <w:rPr>
                <w:rFonts w:ascii="Arial" w:hAnsi="Arial" w:cs="Arial"/>
                <w:bCs/>
                <w:lang w:val="en-US"/>
              </w:rPr>
            </w:pPr>
            <w:r w:rsidRPr="001F1D25">
              <w:rPr>
                <w:rFonts w:ascii="Arial" w:hAnsi="Arial" w:cs="Arial"/>
                <w:bCs/>
                <w:lang w:val="en-US"/>
              </w:rPr>
              <w:t xml:space="preserve">9.31 </w:t>
            </w:r>
          </w:p>
        </w:tc>
      </w:tr>
      <w:tr w:rsidR="001F1D25" w:rsidRPr="001F1D25" w14:paraId="7118CD37" w14:textId="77777777">
        <w:trPr>
          <w:trHeight w:val="336"/>
        </w:trPr>
        <w:tc>
          <w:tcPr>
            <w:tcW w:w="472" w:type="pct"/>
            <w:tcBorders>
              <w:top w:val="single" w:sz="4" w:space="0" w:color="000000"/>
              <w:left w:val="single" w:sz="4" w:space="0" w:color="000000"/>
              <w:bottom w:val="single" w:sz="4" w:space="0" w:color="000000"/>
              <w:right w:val="single" w:sz="4" w:space="0" w:color="000000"/>
            </w:tcBorders>
            <w:noWrap/>
            <w:vAlign w:val="center"/>
            <w:hideMark/>
          </w:tcPr>
          <w:p w14:paraId="3704E5E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NPV</w:t>
            </w:r>
          </w:p>
        </w:tc>
        <w:tc>
          <w:tcPr>
            <w:tcW w:w="1125" w:type="pct"/>
            <w:tcBorders>
              <w:top w:val="single" w:sz="4" w:space="0" w:color="000000"/>
              <w:left w:val="single" w:sz="4" w:space="0" w:color="000000"/>
              <w:bottom w:val="single" w:sz="4" w:space="0" w:color="000000"/>
              <w:right w:val="single" w:sz="4" w:space="0" w:color="000000"/>
            </w:tcBorders>
            <w:noWrap/>
            <w:vAlign w:val="center"/>
          </w:tcPr>
          <w:p w14:paraId="51F4B857" w14:textId="77777777" w:rsidR="001F1D25" w:rsidRPr="001F1D25" w:rsidRDefault="001F1D25" w:rsidP="001F1D25">
            <w:pPr>
              <w:jc w:val="center"/>
              <w:rPr>
                <w:rFonts w:ascii="Arial" w:hAnsi="Arial" w:cs="Arial"/>
                <w:b/>
                <w:bCs/>
                <w:lang w:val="en-US"/>
              </w:rPr>
            </w:pPr>
          </w:p>
        </w:tc>
        <w:tc>
          <w:tcPr>
            <w:tcW w:w="842" w:type="pct"/>
            <w:tcBorders>
              <w:top w:val="single" w:sz="4" w:space="0" w:color="000000"/>
              <w:left w:val="single" w:sz="4" w:space="0" w:color="000000"/>
              <w:bottom w:val="single" w:sz="4" w:space="0" w:color="000000"/>
              <w:right w:val="single" w:sz="4" w:space="0" w:color="000000"/>
            </w:tcBorders>
            <w:noWrap/>
            <w:vAlign w:val="center"/>
          </w:tcPr>
          <w:p w14:paraId="3450D140" w14:textId="77777777" w:rsidR="001F1D25" w:rsidRPr="001F1D25" w:rsidRDefault="001F1D25" w:rsidP="001F1D25">
            <w:pPr>
              <w:jc w:val="center"/>
              <w:rPr>
                <w:rFonts w:ascii="Arial" w:hAnsi="Arial" w:cs="Arial"/>
                <w:b/>
                <w:bCs/>
                <w:lang w:val="en-US"/>
              </w:rPr>
            </w:pP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1B78507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1.32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71B34190" w14:textId="77777777" w:rsidR="001F1D25" w:rsidRPr="001F1D25" w:rsidRDefault="001F1D25" w:rsidP="001F1D25">
            <w:pPr>
              <w:jc w:val="center"/>
              <w:rPr>
                <w:rFonts w:ascii="Arial" w:hAnsi="Arial" w:cs="Arial"/>
                <w:b/>
                <w:bCs/>
                <w:lang w:val="en-US"/>
              </w:rPr>
            </w:pPr>
          </w:p>
        </w:tc>
        <w:tc>
          <w:tcPr>
            <w:tcW w:w="439" w:type="pct"/>
            <w:tcBorders>
              <w:top w:val="single" w:sz="4" w:space="0" w:color="000000"/>
              <w:left w:val="single" w:sz="4" w:space="0" w:color="000000"/>
              <w:bottom w:val="single" w:sz="4" w:space="0" w:color="000000"/>
              <w:right w:val="single" w:sz="4" w:space="0" w:color="000000"/>
            </w:tcBorders>
            <w:noWrap/>
            <w:vAlign w:val="center"/>
            <w:hideMark/>
          </w:tcPr>
          <w:p w14:paraId="04E71FD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-7.26 </w:t>
            </w:r>
          </w:p>
        </w:tc>
        <w:tc>
          <w:tcPr>
            <w:tcW w:w="620" w:type="pct"/>
            <w:tcBorders>
              <w:top w:val="single" w:sz="4" w:space="0" w:color="000000"/>
              <w:left w:val="single" w:sz="4" w:space="0" w:color="000000"/>
              <w:bottom w:val="single" w:sz="4" w:space="0" w:color="000000"/>
              <w:right w:val="single" w:sz="4" w:space="0" w:color="000000"/>
            </w:tcBorders>
            <w:noWrap/>
            <w:vAlign w:val="center"/>
          </w:tcPr>
          <w:p w14:paraId="31BD0539" w14:textId="77777777" w:rsidR="001F1D25" w:rsidRPr="001F1D25" w:rsidRDefault="001F1D25" w:rsidP="001F1D25">
            <w:pPr>
              <w:jc w:val="center"/>
              <w:rPr>
                <w:rFonts w:ascii="Arial" w:hAnsi="Arial" w:cs="Arial"/>
                <w:b/>
                <w:bCs/>
                <w:lang w:val="en-US"/>
              </w:rPr>
            </w:pPr>
          </w:p>
        </w:tc>
        <w:tc>
          <w:tcPr>
            <w:tcW w:w="440" w:type="pct"/>
            <w:tcBorders>
              <w:top w:val="single" w:sz="4" w:space="0" w:color="000000"/>
              <w:left w:val="single" w:sz="4" w:space="0" w:color="000000"/>
              <w:bottom w:val="single" w:sz="4" w:space="0" w:color="000000"/>
              <w:right w:val="single" w:sz="4" w:space="0" w:color="000000"/>
            </w:tcBorders>
            <w:noWrap/>
            <w:vAlign w:val="center"/>
            <w:hideMark/>
          </w:tcPr>
          <w:p w14:paraId="3B7E2330"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4.23 </w:t>
            </w:r>
          </w:p>
        </w:tc>
      </w:tr>
    </w:tbl>
    <w:p w14:paraId="5F859C95" w14:textId="77777777" w:rsidR="001F1D25" w:rsidRPr="001F1D25" w:rsidRDefault="001F1D25" w:rsidP="001F1D25">
      <w:pPr>
        <w:jc w:val="center"/>
        <w:rPr>
          <w:rFonts w:ascii="Arial" w:hAnsi="Arial" w:cs="Arial"/>
          <w:bCs/>
          <w:lang w:val="en-US"/>
        </w:rPr>
      </w:pPr>
    </w:p>
    <w:tbl>
      <w:tblPr>
        <w:tblW w:w="5000" w:type="pct"/>
        <w:tblLook w:val="04A0" w:firstRow="1" w:lastRow="0" w:firstColumn="1" w:lastColumn="0" w:noHBand="0" w:noVBand="1"/>
      </w:tblPr>
      <w:tblGrid>
        <w:gridCol w:w="4020"/>
        <w:gridCol w:w="1663"/>
        <w:gridCol w:w="1663"/>
        <w:gridCol w:w="1670"/>
      </w:tblGrid>
      <w:tr w:rsidR="001F1D25" w:rsidRPr="001F1D25" w14:paraId="397B3C97" w14:textId="77777777">
        <w:trPr>
          <w:trHeight w:val="336"/>
        </w:trPr>
        <w:tc>
          <w:tcPr>
            <w:tcW w:w="5000" w:type="pct"/>
            <w:gridSpan w:val="4"/>
            <w:tcBorders>
              <w:top w:val="single" w:sz="4" w:space="0" w:color="000000"/>
              <w:left w:val="single" w:sz="4" w:space="0" w:color="000000"/>
              <w:bottom w:val="single" w:sz="4" w:space="0" w:color="000000"/>
              <w:right w:val="single" w:sz="4" w:space="0" w:color="000000"/>
            </w:tcBorders>
            <w:noWrap/>
            <w:vAlign w:val="center"/>
            <w:hideMark/>
          </w:tcPr>
          <w:p w14:paraId="23D4E5A9"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Profitability Index</w:t>
            </w:r>
          </w:p>
        </w:tc>
      </w:tr>
      <w:tr w:rsidR="001F1D25" w:rsidRPr="001F1D25" w14:paraId="7B32E98E" w14:textId="77777777">
        <w:trPr>
          <w:trHeight w:val="336"/>
        </w:trPr>
        <w:tc>
          <w:tcPr>
            <w:tcW w:w="2230" w:type="pct"/>
            <w:tcBorders>
              <w:top w:val="single" w:sz="4" w:space="0" w:color="000000"/>
              <w:left w:val="single" w:sz="4" w:space="0" w:color="000000"/>
              <w:bottom w:val="single" w:sz="4" w:space="0" w:color="000000"/>
              <w:right w:val="single" w:sz="4" w:space="0" w:color="000000"/>
            </w:tcBorders>
            <w:noWrap/>
            <w:vAlign w:val="center"/>
          </w:tcPr>
          <w:p w14:paraId="47D04F89" w14:textId="77777777" w:rsidR="001F1D25" w:rsidRPr="001F1D25" w:rsidRDefault="001F1D25" w:rsidP="001F1D25">
            <w:pPr>
              <w:jc w:val="center"/>
              <w:rPr>
                <w:rFonts w:ascii="Arial" w:hAnsi="Arial" w:cs="Arial"/>
                <w:b/>
                <w:bCs/>
                <w:lang w:val="en-US"/>
              </w:rPr>
            </w:pPr>
          </w:p>
        </w:tc>
        <w:tc>
          <w:tcPr>
            <w:tcW w:w="922" w:type="pct"/>
            <w:tcBorders>
              <w:top w:val="single" w:sz="4" w:space="0" w:color="000000"/>
              <w:left w:val="single" w:sz="4" w:space="0" w:color="000000"/>
              <w:bottom w:val="single" w:sz="4" w:space="0" w:color="000000"/>
              <w:right w:val="single" w:sz="4" w:space="0" w:color="000000"/>
            </w:tcBorders>
            <w:noWrap/>
            <w:vAlign w:val="center"/>
            <w:hideMark/>
          </w:tcPr>
          <w:p w14:paraId="1D881D1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A</w:t>
            </w:r>
          </w:p>
        </w:tc>
        <w:tc>
          <w:tcPr>
            <w:tcW w:w="922" w:type="pct"/>
            <w:tcBorders>
              <w:top w:val="single" w:sz="4" w:space="0" w:color="000000"/>
              <w:left w:val="single" w:sz="4" w:space="0" w:color="000000"/>
              <w:bottom w:val="single" w:sz="4" w:space="0" w:color="000000"/>
              <w:right w:val="single" w:sz="4" w:space="0" w:color="000000"/>
            </w:tcBorders>
            <w:noWrap/>
            <w:vAlign w:val="center"/>
            <w:hideMark/>
          </w:tcPr>
          <w:p w14:paraId="09D047B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B</w:t>
            </w:r>
          </w:p>
        </w:tc>
        <w:tc>
          <w:tcPr>
            <w:tcW w:w="923" w:type="pct"/>
            <w:tcBorders>
              <w:top w:val="single" w:sz="4" w:space="0" w:color="000000"/>
              <w:left w:val="single" w:sz="4" w:space="0" w:color="000000"/>
              <w:bottom w:val="single" w:sz="4" w:space="0" w:color="000000"/>
              <w:right w:val="single" w:sz="4" w:space="0" w:color="000000"/>
            </w:tcBorders>
            <w:noWrap/>
            <w:vAlign w:val="center"/>
            <w:hideMark/>
          </w:tcPr>
          <w:p w14:paraId="165CA50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w:t>
            </w:r>
          </w:p>
        </w:tc>
      </w:tr>
      <w:tr w:rsidR="001F1D25" w:rsidRPr="001F1D25" w14:paraId="0F8733BB" w14:textId="77777777">
        <w:trPr>
          <w:trHeight w:val="336"/>
        </w:trPr>
        <w:tc>
          <w:tcPr>
            <w:tcW w:w="2230" w:type="pct"/>
            <w:tcBorders>
              <w:top w:val="single" w:sz="4" w:space="0" w:color="000000"/>
              <w:left w:val="single" w:sz="4" w:space="0" w:color="000000"/>
              <w:bottom w:val="single" w:sz="4" w:space="0" w:color="000000"/>
              <w:right w:val="single" w:sz="4" w:space="0" w:color="000000"/>
            </w:tcBorders>
            <w:noWrap/>
            <w:vAlign w:val="center"/>
            <w:hideMark/>
          </w:tcPr>
          <w:p w14:paraId="6B36F6C0" w14:textId="77777777" w:rsidR="001F1D25" w:rsidRPr="001F1D25" w:rsidRDefault="001F1D25" w:rsidP="001F1D25">
            <w:pPr>
              <w:jc w:val="center"/>
              <w:rPr>
                <w:rFonts w:ascii="Arial" w:hAnsi="Arial" w:cs="Arial"/>
                <w:bCs/>
                <w:lang w:val="en-US"/>
              </w:rPr>
            </w:pPr>
            <w:r w:rsidRPr="001F1D25">
              <w:rPr>
                <w:rFonts w:ascii="Arial" w:hAnsi="Arial" w:cs="Arial"/>
                <w:bCs/>
                <w:lang w:val="en-US"/>
              </w:rPr>
              <w:t>PV of cash flows</w:t>
            </w:r>
          </w:p>
        </w:tc>
        <w:tc>
          <w:tcPr>
            <w:tcW w:w="922" w:type="pct"/>
            <w:tcBorders>
              <w:top w:val="single" w:sz="4" w:space="0" w:color="000000"/>
              <w:left w:val="single" w:sz="4" w:space="0" w:color="000000"/>
              <w:bottom w:val="single" w:sz="4" w:space="0" w:color="000000"/>
              <w:right w:val="single" w:sz="4" w:space="0" w:color="000000"/>
            </w:tcBorders>
            <w:noWrap/>
            <w:vAlign w:val="center"/>
            <w:hideMark/>
          </w:tcPr>
          <w:p w14:paraId="36A521DB" w14:textId="77777777" w:rsidR="001F1D25" w:rsidRPr="001F1D25" w:rsidRDefault="001F1D25" w:rsidP="001F1D25">
            <w:pPr>
              <w:jc w:val="center"/>
              <w:rPr>
                <w:rFonts w:ascii="Arial" w:hAnsi="Arial" w:cs="Arial"/>
                <w:bCs/>
                <w:lang w:val="en-US"/>
              </w:rPr>
            </w:pPr>
            <w:r w:rsidRPr="001F1D25">
              <w:rPr>
                <w:rFonts w:ascii="Arial" w:hAnsi="Arial" w:cs="Arial"/>
                <w:bCs/>
                <w:lang w:val="en-US"/>
              </w:rPr>
              <w:t>41.32</w:t>
            </w:r>
          </w:p>
        </w:tc>
        <w:tc>
          <w:tcPr>
            <w:tcW w:w="922" w:type="pct"/>
            <w:tcBorders>
              <w:top w:val="single" w:sz="4" w:space="0" w:color="000000"/>
              <w:left w:val="single" w:sz="4" w:space="0" w:color="000000"/>
              <w:bottom w:val="single" w:sz="4" w:space="0" w:color="000000"/>
              <w:right w:val="single" w:sz="4" w:space="0" w:color="000000"/>
            </w:tcBorders>
            <w:noWrap/>
            <w:vAlign w:val="center"/>
            <w:hideMark/>
          </w:tcPr>
          <w:p w14:paraId="78109D01" w14:textId="77777777" w:rsidR="001F1D25" w:rsidRPr="001F1D25" w:rsidRDefault="001F1D25" w:rsidP="001F1D25">
            <w:pPr>
              <w:jc w:val="center"/>
              <w:rPr>
                <w:rFonts w:ascii="Arial" w:hAnsi="Arial" w:cs="Arial"/>
                <w:bCs/>
                <w:lang w:val="en-US"/>
              </w:rPr>
            </w:pPr>
            <w:r w:rsidRPr="001F1D25">
              <w:rPr>
                <w:rFonts w:ascii="Arial" w:hAnsi="Arial" w:cs="Arial"/>
                <w:bCs/>
                <w:lang w:val="en-US"/>
              </w:rPr>
              <w:t>22.74</w:t>
            </w:r>
          </w:p>
        </w:tc>
        <w:tc>
          <w:tcPr>
            <w:tcW w:w="923" w:type="pct"/>
            <w:tcBorders>
              <w:top w:val="single" w:sz="4" w:space="0" w:color="000000"/>
              <w:left w:val="single" w:sz="4" w:space="0" w:color="000000"/>
              <w:bottom w:val="single" w:sz="4" w:space="0" w:color="000000"/>
              <w:right w:val="single" w:sz="4" w:space="0" w:color="000000"/>
            </w:tcBorders>
            <w:noWrap/>
            <w:vAlign w:val="center"/>
            <w:hideMark/>
          </w:tcPr>
          <w:p w14:paraId="30643663" w14:textId="77777777" w:rsidR="001F1D25" w:rsidRPr="001F1D25" w:rsidRDefault="001F1D25" w:rsidP="001F1D25">
            <w:pPr>
              <w:jc w:val="center"/>
              <w:rPr>
                <w:rFonts w:ascii="Arial" w:hAnsi="Arial" w:cs="Arial"/>
                <w:bCs/>
                <w:lang w:val="en-US"/>
              </w:rPr>
            </w:pPr>
            <w:r w:rsidRPr="001F1D25">
              <w:rPr>
                <w:rFonts w:ascii="Arial" w:hAnsi="Arial" w:cs="Arial"/>
                <w:bCs/>
                <w:lang w:val="en-US"/>
              </w:rPr>
              <w:t>54.23</w:t>
            </w:r>
          </w:p>
        </w:tc>
      </w:tr>
      <w:tr w:rsidR="001F1D25" w:rsidRPr="001F1D25" w14:paraId="5FC35146" w14:textId="77777777">
        <w:trPr>
          <w:trHeight w:val="336"/>
        </w:trPr>
        <w:tc>
          <w:tcPr>
            <w:tcW w:w="2230" w:type="pct"/>
            <w:tcBorders>
              <w:top w:val="single" w:sz="4" w:space="0" w:color="000000"/>
              <w:left w:val="single" w:sz="4" w:space="0" w:color="000000"/>
              <w:bottom w:val="single" w:sz="4" w:space="0" w:color="000000"/>
              <w:right w:val="single" w:sz="4" w:space="0" w:color="000000"/>
            </w:tcBorders>
            <w:noWrap/>
            <w:vAlign w:val="center"/>
            <w:hideMark/>
          </w:tcPr>
          <w:p w14:paraId="50D85683" w14:textId="77777777" w:rsidR="001F1D25" w:rsidRPr="001F1D25" w:rsidRDefault="001F1D25" w:rsidP="001F1D25">
            <w:pPr>
              <w:jc w:val="center"/>
              <w:rPr>
                <w:rFonts w:ascii="Arial" w:hAnsi="Arial" w:cs="Arial"/>
                <w:bCs/>
                <w:lang w:val="en-US"/>
              </w:rPr>
            </w:pPr>
            <w:r w:rsidRPr="001F1D25">
              <w:rPr>
                <w:rFonts w:ascii="Arial" w:hAnsi="Arial" w:cs="Arial"/>
                <w:bCs/>
                <w:lang w:val="en-US"/>
              </w:rPr>
              <w:t>Investment</w:t>
            </w:r>
          </w:p>
        </w:tc>
        <w:tc>
          <w:tcPr>
            <w:tcW w:w="922" w:type="pct"/>
            <w:tcBorders>
              <w:top w:val="single" w:sz="4" w:space="0" w:color="000000"/>
              <w:left w:val="single" w:sz="4" w:space="0" w:color="000000"/>
              <w:bottom w:val="single" w:sz="4" w:space="0" w:color="000000"/>
              <w:right w:val="single" w:sz="4" w:space="0" w:color="000000"/>
            </w:tcBorders>
            <w:noWrap/>
            <w:vAlign w:val="center"/>
            <w:hideMark/>
          </w:tcPr>
          <w:p w14:paraId="167BC7AB" w14:textId="77777777" w:rsidR="001F1D25" w:rsidRPr="001F1D25" w:rsidRDefault="001F1D25" w:rsidP="001F1D25">
            <w:pPr>
              <w:jc w:val="center"/>
              <w:rPr>
                <w:rFonts w:ascii="Arial" w:hAnsi="Arial" w:cs="Arial"/>
                <w:bCs/>
                <w:lang w:val="en-US"/>
              </w:rPr>
            </w:pPr>
            <w:r w:rsidRPr="001F1D25">
              <w:rPr>
                <w:rFonts w:ascii="Arial" w:hAnsi="Arial" w:cs="Arial"/>
                <w:bCs/>
                <w:lang w:val="en-US"/>
              </w:rPr>
              <w:t>40</w:t>
            </w:r>
          </w:p>
        </w:tc>
        <w:tc>
          <w:tcPr>
            <w:tcW w:w="922" w:type="pct"/>
            <w:tcBorders>
              <w:top w:val="single" w:sz="4" w:space="0" w:color="000000"/>
              <w:left w:val="single" w:sz="4" w:space="0" w:color="000000"/>
              <w:bottom w:val="single" w:sz="4" w:space="0" w:color="000000"/>
              <w:right w:val="single" w:sz="4" w:space="0" w:color="000000"/>
            </w:tcBorders>
            <w:noWrap/>
            <w:vAlign w:val="center"/>
            <w:hideMark/>
          </w:tcPr>
          <w:p w14:paraId="25A7AA10" w14:textId="77777777" w:rsidR="001F1D25" w:rsidRPr="001F1D25" w:rsidRDefault="001F1D25" w:rsidP="001F1D25">
            <w:pPr>
              <w:jc w:val="center"/>
              <w:rPr>
                <w:rFonts w:ascii="Arial" w:hAnsi="Arial" w:cs="Arial"/>
                <w:bCs/>
                <w:lang w:val="en-US"/>
              </w:rPr>
            </w:pPr>
            <w:r w:rsidRPr="001F1D25">
              <w:rPr>
                <w:rFonts w:ascii="Arial" w:hAnsi="Arial" w:cs="Arial"/>
                <w:bCs/>
                <w:lang w:val="en-US"/>
              </w:rPr>
              <w:t>30</w:t>
            </w:r>
          </w:p>
        </w:tc>
        <w:tc>
          <w:tcPr>
            <w:tcW w:w="923" w:type="pct"/>
            <w:tcBorders>
              <w:top w:val="single" w:sz="4" w:space="0" w:color="000000"/>
              <w:left w:val="single" w:sz="4" w:space="0" w:color="000000"/>
              <w:bottom w:val="single" w:sz="4" w:space="0" w:color="000000"/>
              <w:right w:val="single" w:sz="4" w:space="0" w:color="000000"/>
            </w:tcBorders>
            <w:noWrap/>
            <w:vAlign w:val="center"/>
            <w:hideMark/>
          </w:tcPr>
          <w:p w14:paraId="2C33F178" w14:textId="77777777" w:rsidR="001F1D25" w:rsidRPr="001F1D25" w:rsidRDefault="001F1D25" w:rsidP="001F1D25">
            <w:pPr>
              <w:jc w:val="center"/>
              <w:rPr>
                <w:rFonts w:ascii="Arial" w:hAnsi="Arial" w:cs="Arial"/>
                <w:bCs/>
                <w:lang w:val="en-US"/>
              </w:rPr>
            </w:pPr>
            <w:r w:rsidRPr="001F1D25">
              <w:rPr>
                <w:rFonts w:ascii="Arial" w:hAnsi="Arial" w:cs="Arial"/>
                <w:bCs/>
                <w:lang w:val="en-US"/>
              </w:rPr>
              <w:t>50</w:t>
            </w:r>
          </w:p>
        </w:tc>
      </w:tr>
      <w:tr w:rsidR="001F1D25" w:rsidRPr="001F1D25" w14:paraId="547FC031" w14:textId="77777777">
        <w:trPr>
          <w:trHeight w:val="336"/>
        </w:trPr>
        <w:tc>
          <w:tcPr>
            <w:tcW w:w="2230" w:type="pct"/>
            <w:tcBorders>
              <w:top w:val="single" w:sz="4" w:space="0" w:color="000000"/>
              <w:left w:val="single" w:sz="4" w:space="0" w:color="000000"/>
              <w:bottom w:val="single" w:sz="4" w:space="0" w:color="000000"/>
              <w:right w:val="single" w:sz="4" w:space="0" w:color="000000"/>
            </w:tcBorders>
            <w:noWrap/>
            <w:vAlign w:val="center"/>
            <w:hideMark/>
          </w:tcPr>
          <w:p w14:paraId="6311CB9C"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PI</w:t>
            </w:r>
          </w:p>
        </w:tc>
        <w:tc>
          <w:tcPr>
            <w:tcW w:w="922" w:type="pct"/>
            <w:tcBorders>
              <w:top w:val="single" w:sz="4" w:space="0" w:color="000000"/>
              <w:left w:val="single" w:sz="4" w:space="0" w:color="000000"/>
              <w:bottom w:val="single" w:sz="4" w:space="0" w:color="000000"/>
              <w:right w:val="single" w:sz="4" w:space="0" w:color="000000"/>
            </w:tcBorders>
            <w:noWrap/>
            <w:vAlign w:val="center"/>
            <w:hideMark/>
          </w:tcPr>
          <w:p w14:paraId="3CBD101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1.03 </w:t>
            </w:r>
          </w:p>
        </w:tc>
        <w:tc>
          <w:tcPr>
            <w:tcW w:w="922" w:type="pct"/>
            <w:tcBorders>
              <w:top w:val="single" w:sz="4" w:space="0" w:color="000000"/>
              <w:left w:val="single" w:sz="4" w:space="0" w:color="000000"/>
              <w:bottom w:val="single" w:sz="4" w:space="0" w:color="000000"/>
              <w:right w:val="single" w:sz="4" w:space="0" w:color="000000"/>
            </w:tcBorders>
            <w:noWrap/>
            <w:vAlign w:val="center"/>
            <w:hideMark/>
          </w:tcPr>
          <w:p w14:paraId="3C1E215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0.76 </w:t>
            </w:r>
          </w:p>
        </w:tc>
        <w:tc>
          <w:tcPr>
            <w:tcW w:w="923" w:type="pct"/>
            <w:tcBorders>
              <w:top w:val="single" w:sz="4" w:space="0" w:color="000000"/>
              <w:left w:val="single" w:sz="4" w:space="0" w:color="000000"/>
              <w:bottom w:val="single" w:sz="4" w:space="0" w:color="000000"/>
              <w:right w:val="single" w:sz="4" w:space="0" w:color="000000"/>
            </w:tcBorders>
            <w:noWrap/>
            <w:vAlign w:val="center"/>
            <w:hideMark/>
          </w:tcPr>
          <w:p w14:paraId="6AF1ACD1"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 xml:space="preserve">1.08 </w:t>
            </w:r>
          </w:p>
        </w:tc>
      </w:tr>
    </w:tbl>
    <w:p w14:paraId="43FCF1CA" w14:textId="77777777" w:rsidR="001F1D25" w:rsidRPr="001F1D25" w:rsidRDefault="001F1D25" w:rsidP="001F1D25">
      <w:pPr>
        <w:jc w:val="center"/>
        <w:rPr>
          <w:rFonts w:ascii="Arial" w:hAnsi="Arial" w:cs="Arial"/>
          <w:bCs/>
          <w:lang w:val="en-US"/>
        </w:rPr>
      </w:pPr>
    </w:p>
    <w:tbl>
      <w:tblPr>
        <w:tblW w:w="5000" w:type="pct"/>
        <w:tblLook w:val="04A0" w:firstRow="1" w:lastRow="0" w:firstColumn="1" w:lastColumn="0" w:noHBand="0" w:noVBand="1"/>
      </w:tblPr>
      <w:tblGrid>
        <w:gridCol w:w="1419"/>
        <w:gridCol w:w="2530"/>
        <w:gridCol w:w="2530"/>
        <w:gridCol w:w="2537"/>
      </w:tblGrid>
      <w:tr w:rsidR="001F1D25" w:rsidRPr="001F1D25" w14:paraId="4FBD2E6C" w14:textId="77777777">
        <w:trPr>
          <w:trHeight w:val="336"/>
        </w:trPr>
        <w:tc>
          <w:tcPr>
            <w:tcW w:w="5000" w:type="pct"/>
            <w:gridSpan w:val="4"/>
            <w:tcBorders>
              <w:top w:val="single" w:sz="4" w:space="0" w:color="000000"/>
              <w:left w:val="single" w:sz="4" w:space="0" w:color="000000"/>
              <w:bottom w:val="single" w:sz="4" w:space="0" w:color="000000"/>
              <w:right w:val="single" w:sz="4" w:space="0" w:color="000000"/>
            </w:tcBorders>
            <w:noWrap/>
            <w:vAlign w:val="center"/>
            <w:hideMark/>
          </w:tcPr>
          <w:p w14:paraId="59D4B1F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Calculation of Internal rate of return</w:t>
            </w:r>
          </w:p>
        </w:tc>
      </w:tr>
      <w:tr w:rsidR="001F1D25" w:rsidRPr="001F1D25" w14:paraId="2860F5B6"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hideMark/>
          </w:tcPr>
          <w:p w14:paraId="27AAB43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Projects</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5AD0405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A</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02409FA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B</w:t>
            </w:r>
          </w:p>
        </w:tc>
        <w:tc>
          <w:tcPr>
            <w:tcW w:w="1405" w:type="pct"/>
            <w:tcBorders>
              <w:top w:val="single" w:sz="4" w:space="0" w:color="000000"/>
              <w:left w:val="single" w:sz="4" w:space="0" w:color="000000"/>
              <w:bottom w:val="single" w:sz="4" w:space="0" w:color="000000"/>
              <w:right w:val="single" w:sz="4" w:space="0" w:color="000000"/>
            </w:tcBorders>
            <w:noWrap/>
            <w:vAlign w:val="center"/>
            <w:hideMark/>
          </w:tcPr>
          <w:p w14:paraId="04396193"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w:t>
            </w:r>
          </w:p>
        </w:tc>
      </w:tr>
      <w:tr w:rsidR="001F1D25" w:rsidRPr="001F1D25" w14:paraId="3FFF1D36"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hideMark/>
          </w:tcPr>
          <w:p w14:paraId="2ABEFF28"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Year</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7C4F6706"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 (£M)</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0D30504D"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 (£M)</w:t>
            </w:r>
          </w:p>
        </w:tc>
        <w:tc>
          <w:tcPr>
            <w:tcW w:w="1405" w:type="pct"/>
            <w:tcBorders>
              <w:top w:val="single" w:sz="4" w:space="0" w:color="000000"/>
              <w:left w:val="single" w:sz="4" w:space="0" w:color="000000"/>
              <w:bottom w:val="single" w:sz="4" w:space="0" w:color="000000"/>
              <w:right w:val="single" w:sz="4" w:space="0" w:color="000000"/>
            </w:tcBorders>
            <w:noWrap/>
            <w:vAlign w:val="center"/>
            <w:hideMark/>
          </w:tcPr>
          <w:p w14:paraId="1185404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Cash Flows (£M)</w:t>
            </w:r>
          </w:p>
        </w:tc>
      </w:tr>
      <w:tr w:rsidR="001F1D25" w:rsidRPr="001F1D25" w14:paraId="733FED4A"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hideMark/>
          </w:tcPr>
          <w:p w14:paraId="39107669" w14:textId="77777777" w:rsidR="001F1D25" w:rsidRPr="001F1D25" w:rsidRDefault="001F1D25" w:rsidP="001F1D25">
            <w:pPr>
              <w:jc w:val="center"/>
              <w:rPr>
                <w:rFonts w:ascii="Arial" w:hAnsi="Arial" w:cs="Arial"/>
                <w:bCs/>
                <w:lang w:val="en-US"/>
              </w:rPr>
            </w:pPr>
            <w:r w:rsidRPr="001F1D25">
              <w:rPr>
                <w:rFonts w:ascii="Arial" w:hAnsi="Arial" w:cs="Arial"/>
                <w:bCs/>
                <w:lang w:val="en-US"/>
              </w:rPr>
              <w:t>0</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479B7329" w14:textId="77777777" w:rsidR="001F1D25" w:rsidRPr="001F1D25" w:rsidRDefault="001F1D25" w:rsidP="001F1D25">
            <w:pPr>
              <w:jc w:val="center"/>
              <w:rPr>
                <w:rFonts w:ascii="Arial" w:hAnsi="Arial" w:cs="Arial"/>
                <w:bCs/>
                <w:lang w:val="en-US"/>
              </w:rPr>
            </w:pPr>
            <w:r w:rsidRPr="001F1D25">
              <w:rPr>
                <w:rFonts w:ascii="Arial" w:hAnsi="Arial" w:cs="Arial"/>
                <w:bCs/>
                <w:lang w:val="en-US"/>
              </w:rPr>
              <w:t>-40</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319DBDA4" w14:textId="77777777" w:rsidR="001F1D25" w:rsidRPr="001F1D25" w:rsidRDefault="001F1D25" w:rsidP="001F1D25">
            <w:pPr>
              <w:jc w:val="center"/>
              <w:rPr>
                <w:rFonts w:ascii="Arial" w:hAnsi="Arial" w:cs="Arial"/>
                <w:bCs/>
                <w:lang w:val="en-US"/>
              </w:rPr>
            </w:pPr>
            <w:r w:rsidRPr="001F1D25">
              <w:rPr>
                <w:rFonts w:ascii="Arial" w:hAnsi="Arial" w:cs="Arial"/>
                <w:bCs/>
                <w:lang w:val="en-US"/>
              </w:rPr>
              <w:t>-30</w:t>
            </w:r>
          </w:p>
        </w:tc>
        <w:tc>
          <w:tcPr>
            <w:tcW w:w="1405" w:type="pct"/>
            <w:tcBorders>
              <w:top w:val="single" w:sz="4" w:space="0" w:color="000000"/>
              <w:left w:val="single" w:sz="4" w:space="0" w:color="000000"/>
              <w:bottom w:val="single" w:sz="4" w:space="0" w:color="000000"/>
              <w:right w:val="single" w:sz="4" w:space="0" w:color="000000"/>
            </w:tcBorders>
            <w:noWrap/>
            <w:vAlign w:val="center"/>
            <w:hideMark/>
          </w:tcPr>
          <w:p w14:paraId="0B811CF0" w14:textId="77777777" w:rsidR="001F1D25" w:rsidRPr="001F1D25" w:rsidRDefault="001F1D25" w:rsidP="001F1D25">
            <w:pPr>
              <w:jc w:val="center"/>
              <w:rPr>
                <w:rFonts w:ascii="Arial" w:hAnsi="Arial" w:cs="Arial"/>
                <w:bCs/>
                <w:lang w:val="en-US"/>
              </w:rPr>
            </w:pPr>
            <w:r w:rsidRPr="001F1D25">
              <w:rPr>
                <w:rFonts w:ascii="Arial" w:hAnsi="Arial" w:cs="Arial"/>
                <w:bCs/>
                <w:lang w:val="en-US"/>
              </w:rPr>
              <w:t>-50</w:t>
            </w:r>
          </w:p>
        </w:tc>
      </w:tr>
      <w:tr w:rsidR="001F1D25" w:rsidRPr="001F1D25" w14:paraId="598FE006"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hideMark/>
          </w:tcPr>
          <w:p w14:paraId="767F225F" w14:textId="77777777" w:rsidR="001F1D25" w:rsidRPr="001F1D25" w:rsidRDefault="001F1D25" w:rsidP="001F1D25">
            <w:pPr>
              <w:jc w:val="center"/>
              <w:rPr>
                <w:rFonts w:ascii="Arial" w:hAnsi="Arial" w:cs="Arial"/>
                <w:bCs/>
                <w:lang w:val="en-US"/>
              </w:rPr>
            </w:pPr>
            <w:r w:rsidRPr="001F1D25">
              <w:rPr>
                <w:rFonts w:ascii="Arial" w:hAnsi="Arial" w:cs="Arial"/>
                <w:bCs/>
                <w:lang w:val="en-US"/>
              </w:rPr>
              <w:t>1</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06568556"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4045DA3B"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1405" w:type="pct"/>
            <w:tcBorders>
              <w:top w:val="single" w:sz="4" w:space="0" w:color="000000"/>
              <w:left w:val="single" w:sz="4" w:space="0" w:color="000000"/>
              <w:bottom w:val="single" w:sz="4" w:space="0" w:color="000000"/>
              <w:right w:val="single" w:sz="4" w:space="0" w:color="000000"/>
            </w:tcBorders>
            <w:noWrap/>
            <w:vAlign w:val="center"/>
            <w:hideMark/>
          </w:tcPr>
          <w:p w14:paraId="52D1E6CB" w14:textId="77777777" w:rsidR="001F1D25" w:rsidRPr="001F1D25" w:rsidRDefault="001F1D25" w:rsidP="001F1D25">
            <w:pPr>
              <w:jc w:val="center"/>
              <w:rPr>
                <w:rFonts w:ascii="Arial" w:hAnsi="Arial" w:cs="Arial"/>
                <w:bCs/>
                <w:lang w:val="en-US"/>
              </w:rPr>
            </w:pPr>
            <w:r w:rsidRPr="001F1D25">
              <w:rPr>
                <w:rFonts w:ascii="Arial" w:hAnsi="Arial" w:cs="Arial"/>
                <w:bCs/>
                <w:lang w:val="en-US"/>
              </w:rPr>
              <w:t>5</w:t>
            </w:r>
          </w:p>
        </w:tc>
      </w:tr>
      <w:tr w:rsidR="001F1D25" w:rsidRPr="001F1D25" w14:paraId="2D6ECB3C"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hideMark/>
          </w:tcPr>
          <w:p w14:paraId="7F921DB1" w14:textId="77777777" w:rsidR="001F1D25" w:rsidRPr="001F1D25" w:rsidRDefault="001F1D25" w:rsidP="001F1D25">
            <w:pPr>
              <w:jc w:val="center"/>
              <w:rPr>
                <w:rFonts w:ascii="Arial" w:hAnsi="Arial" w:cs="Arial"/>
                <w:bCs/>
                <w:lang w:val="en-US"/>
              </w:rPr>
            </w:pPr>
            <w:r w:rsidRPr="001F1D25">
              <w:rPr>
                <w:rFonts w:ascii="Arial" w:hAnsi="Arial" w:cs="Arial"/>
                <w:bCs/>
                <w:lang w:val="en-US"/>
              </w:rPr>
              <w:t>2</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238A1580" w14:textId="77777777" w:rsidR="001F1D25" w:rsidRPr="001F1D25" w:rsidRDefault="001F1D25" w:rsidP="001F1D25">
            <w:pPr>
              <w:jc w:val="center"/>
              <w:rPr>
                <w:rFonts w:ascii="Arial" w:hAnsi="Arial" w:cs="Arial"/>
                <w:bCs/>
                <w:lang w:val="en-US"/>
              </w:rPr>
            </w:pPr>
            <w:r w:rsidRPr="001F1D25">
              <w:rPr>
                <w:rFonts w:ascii="Arial" w:hAnsi="Arial" w:cs="Arial"/>
                <w:bCs/>
                <w:lang w:val="en-US"/>
              </w:rPr>
              <w:t>12</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03678F45"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1405" w:type="pct"/>
            <w:tcBorders>
              <w:top w:val="single" w:sz="4" w:space="0" w:color="000000"/>
              <w:left w:val="single" w:sz="4" w:space="0" w:color="000000"/>
              <w:bottom w:val="single" w:sz="4" w:space="0" w:color="000000"/>
              <w:right w:val="single" w:sz="4" w:space="0" w:color="000000"/>
            </w:tcBorders>
            <w:noWrap/>
            <w:vAlign w:val="center"/>
            <w:hideMark/>
          </w:tcPr>
          <w:p w14:paraId="36EFED49"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r>
      <w:tr w:rsidR="001F1D25" w:rsidRPr="001F1D25" w14:paraId="2FE3D94E"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hideMark/>
          </w:tcPr>
          <w:p w14:paraId="0E777BBD" w14:textId="77777777" w:rsidR="001F1D25" w:rsidRPr="001F1D25" w:rsidRDefault="001F1D25" w:rsidP="001F1D25">
            <w:pPr>
              <w:jc w:val="center"/>
              <w:rPr>
                <w:rFonts w:ascii="Arial" w:hAnsi="Arial" w:cs="Arial"/>
                <w:bCs/>
                <w:lang w:val="en-US"/>
              </w:rPr>
            </w:pPr>
            <w:r w:rsidRPr="001F1D25">
              <w:rPr>
                <w:rFonts w:ascii="Arial" w:hAnsi="Arial" w:cs="Arial"/>
                <w:bCs/>
                <w:lang w:val="en-US"/>
              </w:rPr>
              <w:t>3</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18D2CB51" w14:textId="77777777" w:rsidR="001F1D25" w:rsidRPr="001F1D25" w:rsidRDefault="001F1D25" w:rsidP="001F1D25">
            <w:pPr>
              <w:jc w:val="center"/>
              <w:rPr>
                <w:rFonts w:ascii="Arial" w:hAnsi="Arial" w:cs="Arial"/>
                <w:bCs/>
                <w:lang w:val="en-US"/>
              </w:rPr>
            </w:pPr>
            <w:r w:rsidRPr="001F1D25">
              <w:rPr>
                <w:rFonts w:ascii="Arial" w:hAnsi="Arial" w:cs="Arial"/>
                <w:bCs/>
                <w:lang w:val="en-US"/>
              </w:rPr>
              <w:t>14</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69CEAB1B"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1405" w:type="pct"/>
            <w:tcBorders>
              <w:top w:val="single" w:sz="4" w:space="0" w:color="000000"/>
              <w:left w:val="single" w:sz="4" w:space="0" w:color="000000"/>
              <w:bottom w:val="single" w:sz="4" w:space="0" w:color="000000"/>
              <w:right w:val="single" w:sz="4" w:space="0" w:color="000000"/>
            </w:tcBorders>
            <w:noWrap/>
            <w:vAlign w:val="center"/>
            <w:hideMark/>
          </w:tcPr>
          <w:p w14:paraId="38870BFE" w14:textId="77777777" w:rsidR="001F1D25" w:rsidRPr="001F1D25" w:rsidRDefault="001F1D25" w:rsidP="001F1D25">
            <w:pPr>
              <w:jc w:val="center"/>
              <w:rPr>
                <w:rFonts w:ascii="Arial" w:hAnsi="Arial" w:cs="Arial"/>
                <w:bCs/>
                <w:lang w:val="en-US"/>
              </w:rPr>
            </w:pPr>
            <w:r w:rsidRPr="001F1D25">
              <w:rPr>
                <w:rFonts w:ascii="Arial" w:hAnsi="Arial" w:cs="Arial"/>
                <w:bCs/>
                <w:lang w:val="en-US"/>
              </w:rPr>
              <w:t>20</w:t>
            </w:r>
          </w:p>
        </w:tc>
      </w:tr>
      <w:tr w:rsidR="001F1D25" w:rsidRPr="001F1D25" w14:paraId="34F8EB98"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hideMark/>
          </w:tcPr>
          <w:p w14:paraId="53144A7E" w14:textId="77777777" w:rsidR="001F1D25" w:rsidRPr="001F1D25" w:rsidRDefault="001F1D25" w:rsidP="001F1D25">
            <w:pPr>
              <w:jc w:val="center"/>
              <w:rPr>
                <w:rFonts w:ascii="Arial" w:hAnsi="Arial" w:cs="Arial"/>
                <w:bCs/>
                <w:lang w:val="en-US"/>
              </w:rPr>
            </w:pPr>
            <w:r w:rsidRPr="001F1D25">
              <w:rPr>
                <w:rFonts w:ascii="Arial" w:hAnsi="Arial" w:cs="Arial"/>
                <w:bCs/>
                <w:lang w:val="en-US"/>
              </w:rPr>
              <w:t>4</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4C7AB6B7" w14:textId="77777777" w:rsidR="001F1D25" w:rsidRPr="001F1D25" w:rsidRDefault="001F1D25" w:rsidP="001F1D25">
            <w:pPr>
              <w:jc w:val="center"/>
              <w:rPr>
                <w:rFonts w:ascii="Arial" w:hAnsi="Arial" w:cs="Arial"/>
                <w:bCs/>
                <w:lang w:val="en-US"/>
              </w:rPr>
            </w:pPr>
            <w:r w:rsidRPr="001F1D25">
              <w:rPr>
                <w:rFonts w:ascii="Arial" w:hAnsi="Arial" w:cs="Arial"/>
                <w:bCs/>
                <w:lang w:val="en-US"/>
              </w:rPr>
              <w:t>10</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1AC05663"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1405" w:type="pct"/>
            <w:tcBorders>
              <w:top w:val="single" w:sz="4" w:space="0" w:color="000000"/>
              <w:left w:val="single" w:sz="4" w:space="0" w:color="000000"/>
              <w:bottom w:val="single" w:sz="4" w:space="0" w:color="000000"/>
              <w:right w:val="single" w:sz="4" w:space="0" w:color="000000"/>
            </w:tcBorders>
            <w:noWrap/>
            <w:vAlign w:val="center"/>
            <w:hideMark/>
          </w:tcPr>
          <w:p w14:paraId="5FBEC784" w14:textId="77777777" w:rsidR="001F1D25" w:rsidRPr="001F1D25" w:rsidRDefault="001F1D25" w:rsidP="001F1D25">
            <w:pPr>
              <w:jc w:val="center"/>
              <w:rPr>
                <w:rFonts w:ascii="Arial" w:hAnsi="Arial" w:cs="Arial"/>
                <w:bCs/>
                <w:lang w:val="en-US"/>
              </w:rPr>
            </w:pPr>
            <w:r w:rsidRPr="001F1D25">
              <w:rPr>
                <w:rFonts w:ascii="Arial" w:hAnsi="Arial" w:cs="Arial"/>
                <w:bCs/>
                <w:lang w:val="en-US"/>
              </w:rPr>
              <w:t>25</w:t>
            </w:r>
          </w:p>
        </w:tc>
      </w:tr>
      <w:tr w:rsidR="001F1D25" w:rsidRPr="001F1D25" w14:paraId="2C4A1270"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hideMark/>
          </w:tcPr>
          <w:p w14:paraId="4C72FB7D" w14:textId="77777777" w:rsidR="001F1D25" w:rsidRPr="001F1D25" w:rsidRDefault="001F1D25" w:rsidP="001F1D25">
            <w:pPr>
              <w:jc w:val="center"/>
              <w:rPr>
                <w:rFonts w:ascii="Arial" w:hAnsi="Arial" w:cs="Arial"/>
                <w:bCs/>
                <w:lang w:val="en-US"/>
              </w:rPr>
            </w:pPr>
            <w:r w:rsidRPr="001F1D25">
              <w:rPr>
                <w:rFonts w:ascii="Arial" w:hAnsi="Arial" w:cs="Arial"/>
                <w:bCs/>
                <w:lang w:val="en-US"/>
              </w:rPr>
              <w:lastRenderedPageBreak/>
              <w:t>5</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7226B902" w14:textId="77777777" w:rsidR="001F1D25" w:rsidRPr="001F1D25" w:rsidRDefault="001F1D25" w:rsidP="001F1D25">
            <w:pPr>
              <w:jc w:val="center"/>
              <w:rPr>
                <w:rFonts w:ascii="Arial" w:hAnsi="Arial" w:cs="Arial"/>
                <w:bCs/>
                <w:lang w:val="en-US"/>
              </w:rPr>
            </w:pPr>
            <w:r w:rsidRPr="001F1D25">
              <w:rPr>
                <w:rFonts w:ascii="Arial" w:hAnsi="Arial" w:cs="Arial"/>
                <w:bCs/>
                <w:lang w:val="en-US"/>
              </w:rPr>
              <w:t>8</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52947052" w14:textId="77777777" w:rsidR="001F1D25" w:rsidRPr="001F1D25" w:rsidRDefault="001F1D25" w:rsidP="001F1D25">
            <w:pPr>
              <w:jc w:val="center"/>
              <w:rPr>
                <w:rFonts w:ascii="Arial" w:hAnsi="Arial" w:cs="Arial"/>
                <w:bCs/>
                <w:lang w:val="en-US"/>
              </w:rPr>
            </w:pPr>
            <w:r w:rsidRPr="001F1D25">
              <w:rPr>
                <w:rFonts w:ascii="Arial" w:hAnsi="Arial" w:cs="Arial"/>
                <w:bCs/>
                <w:lang w:val="en-US"/>
              </w:rPr>
              <w:t>6</w:t>
            </w:r>
          </w:p>
        </w:tc>
        <w:tc>
          <w:tcPr>
            <w:tcW w:w="1405" w:type="pct"/>
            <w:tcBorders>
              <w:top w:val="single" w:sz="4" w:space="0" w:color="000000"/>
              <w:left w:val="single" w:sz="4" w:space="0" w:color="000000"/>
              <w:bottom w:val="single" w:sz="4" w:space="0" w:color="000000"/>
              <w:right w:val="single" w:sz="4" w:space="0" w:color="000000"/>
            </w:tcBorders>
            <w:noWrap/>
            <w:vAlign w:val="center"/>
            <w:hideMark/>
          </w:tcPr>
          <w:p w14:paraId="23A5D787" w14:textId="77777777" w:rsidR="001F1D25" w:rsidRPr="001F1D25" w:rsidRDefault="001F1D25" w:rsidP="001F1D25">
            <w:pPr>
              <w:jc w:val="center"/>
              <w:rPr>
                <w:rFonts w:ascii="Arial" w:hAnsi="Arial" w:cs="Arial"/>
                <w:bCs/>
                <w:lang w:val="en-US"/>
              </w:rPr>
            </w:pPr>
            <w:r w:rsidRPr="001F1D25">
              <w:rPr>
                <w:rFonts w:ascii="Arial" w:hAnsi="Arial" w:cs="Arial"/>
                <w:bCs/>
                <w:lang w:val="en-US"/>
              </w:rPr>
              <w:t>15</w:t>
            </w:r>
          </w:p>
        </w:tc>
      </w:tr>
      <w:tr w:rsidR="001F1D25" w:rsidRPr="001F1D25" w14:paraId="21D38B01" w14:textId="77777777">
        <w:trPr>
          <w:trHeight w:val="336"/>
        </w:trPr>
        <w:tc>
          <w:tcPr>
            <w:tcW w:w="787" w:type="pct"/>
            <w:tcBorders>
              <w:top w:val="single" w:sz="4" w:space="0" w:color="000000"/>
              <w:left w:val="single" w:sz="4" w:space="0" w:color="000000"/>
              <w:bottom w:val="single" w:sz="4" w:space="0" w:color="000000"/>
              <w:right w:val="single" w:sz="4" w:space="0" w:color="000000"/>
            </w:tcBorders>
            <w:noWrap/>
            <w:vAlign w:val="center"/>
            <w:hideMark/>
          </w:tcPr>
          <w:p w14:paraId="30B2159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IRR</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3AF3704A"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11.33%</w:t>
            </w:r>
          </w:p>
        </w:tc>
        <w:tc>
          <w:tcPr>
            <w:tcW w:w="1403" w:type="pct"/>
            <w:tcBorders>
              <w:top w:val="single" w:sz="4" w:space="0" w:color="000000"/>
              <w:left w:val="single" w:sz="4" w:space="0" w:color="000000"/>
              <w:bottom w:val="single" w:sz="4" w:space="0" w:color="000000"/>
              <w:right w:val="single" w:sz="4" w:space="0" w:color="000000"/>
            </w:tcBorders>
            <w:noWrap/>
            <w:vAlign w:val="center"/>
            <w:hideMark/>
          </w:tcPr>
          <w:p w14:paraId="28279B54"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0.00%</w:t>
            </w:r>
          </w:p>
        </w:tc>
        <w:tc>
          <w:tcPr>
            <w:tcW w:w="1405" w:type="pct"/>
            <w:tcBorders>
              <w:top w:val="single" w:sz="4" w:space="0" w:color="000000"/>
              <w:left w:val="single" w:sz="4" w:space="0" w:color="000000"/>
              <w:bottom w:val="single" w:sz="4" w:space="0" w:color="000000"/>
              <w:right w:val="single" w:sz="4" w:space="0" w:color="000000"/>
            </w:tcBorders>
            <w:noWrap/>
            <w:vAlign w:val="center"/>
            <w:hideMark/>
          </w:tcPr>
          <w:p w14:paraId="127EB432" w14:textId="77777777" w:rsidR="001F1D25" w:rsidRPr="001F1D25" w:rsidRDefault="001F1D25" w:rsidP="001F1D25">
            <w:pPr>
              <w:jc w:val="center"/>
              <w:rPr>
                <w:rFonts w:ascii="Arial" w:hAnsi="Arial" w:cs="Arial"/>
                <w:b/>
                <w:bCs/>
                <w:lang w:val="en-US"/>
              </w:rPr>
            </w:pPr>
            <w:r w:rsidRPr="001F1D25">
              <w:rPr>
                <w:rFonts w:ascii="Arial" w:hAnsi="Arial" w:cs="Arial"/>
                <w:b/>
                <w:bCs/>
                <w:lang w:val="en-US"/>
              </w:rPr>
              <w:t>12.72%</w:t>
            </w:r>
          </w:p>
        </w:tc>
      </w:tr>
    </w:tbl>
    <w:p w14:paraId="4B88589D" w14:textId="77777777" w:rsidR="001F1D25" w:rsidRPr="001F1D25" w:rsidRDefault="001F1D25" w:rsidP="001F1D25">
      <w:pPr>
        <w:jc w:val="center"/>
        <w:rPr>
          <w:rFonts w:ascii="Arial" w:hAnsi="Arial" w:cs="Arial"/>
          <w:bCs/>
          <w:lang w:val="en-US"/>
        </w:rPr>
      </w:pPr>
    </w:p>
    <w:p w14:paraId="4A289CA5" w14:textId="77777777" w:rsidR="001F1D25" w:rsidRPr="00C96AA4" w:rsidRDefault="001F1D25" w:rsidP="00C96AA4">
      <w:pPr>
        <w:rPr>
          <w:rFonts w:ascii="Arial" w:hAnsi="Arial" w:cs="Arial"/>
          <w:lang w:val=""/>
        </w:rPr>
      </w:pPr>
    </w:p>
    <w:p w14:paraId="4E5AFE14" w14:textId="77777777" w:rsidR="00100CFA" w:rsidRPr="00C96AA4" w:rsidRDefault="00100CFA">
      <w:pPr>
        <w:rPr>
          <w:rFonts w:ascii="Arial" w:hAnsi="Arial" w:cs="Arial"/>
        </w:rPr>
      </w:pPr>
    </w:p>
    <w:sectPr w:rsidR="00100CFA" w:rsidRPr="00C96AA4" w:rsidSect="00C96AA4">
      <w:headerReference w:type="even" r:id="rId45"/>
      <w:headerReference w:type="default" r:id="rId46"/>
      <w:footerReference w:type="even" r:id="rId47"/>
      <w:footerReference w:type="default" r:id="rId48"/>
      <w:headerReference w:type="first" r:id="rId49"/>
      <w:footerReference w:type="first" r:id="rId5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48035" w14:textId="77777777" w:rsidR="00EA28CB" w:rsidRDefault="00EA28CB" w:rsidP="00C96AA4">
      <w:pPr>
        <w:spacing w:after="0" w:line="240" w:lineRule="auto"/>
      </w:pPr>
      <w:r>
        <w:separator/>
      </w:r>
    </w:p>
  </w:endnote>
  <w:endnote w:type="continuationSeparator" w:id="0">
    <w:p w14:paraId="58EE4806" w14:textId="77777777" w:rsidR="00EA28CB" w:rsidRDefault="00EA28CB" w:rsidP="00C96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9A509" w14:textId="77777777" w:rsidR="00C96AA4" w:rsidRDefault="00C96A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824209"/>
      <w:docPartObj>
        <w:docPartGallery w:val="Page Numbers (Bottom of Page)"/>
        <w:docPartUnique/>
      </w:docPartObj>
    </w:sdtPr>
    <w:sdtEndPr>
      <w:rPr>
        <w:noProof/>
      </w:rPr>
    </w:sdtEndPr>
    <w:sdtContent>
      <w:p w14:paraId="5D8E1E94" w14:textId="42697714" w:rsidR="00C96AA4" w:rsidRDefault="00C96A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316AC8" w14:textId="77777777" w:rsidR="00C96AA4" w:rsidRDefault="00C96A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B587A" w14:textId="77777777" w:rsidR="00C96AA4" w:rsidRDefault="00C96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9FAA2" w14:textId="77777777" w:rsidR="00EA28CB" w:rsidRDefault="00EA28CB" w:rsidP="00C96AA4">
      <w:pPr>
        <w:spacing w:after="0" w:line="240" w:lineRule="auto"/>
      </w:pPr>
      <w:r>
        <w:separator/>
      </w:r>
    </w:p>
  </w:footnote>
  <w:footnote w:type="continuationSeparator" w:id="0">
    <w:p w14:paraId="0B7996ED" w14:textId="77777777" w:rsidR="00EA28CB" w:rsidRDefault="00EA28CB" w:rsidP="00C96A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996D0" w14:textId="77777777" w:rsidR="00C96AA4" w:rsidRDefault="00C96A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5AD9D" w14:textId="77777777" w:rsidR="00C96AA4" w:rsidRDefault="00C96A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474A0" w14:textId="77777777" w:rsidR="00C96AA4" w:rsidRDefault="00C96A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AFEA20D"/>
    <w:multiLevelType w:val="singleLevel"/>
    <w:tmpl w:val="DAFEA20D"/>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5FC43EE0"/>
    <w:multiLevelType w:val="singleLevel"/>
    <w:tmpl w:val="5FC43EE0"/>
    <w:lvl w:ilvl="0">
      <w:start w:val="1"/>
      <w:numFmt w:val="decimal"/>
      <w:suff w:val="space"/>
      <w:lvlText w:val="%1."/>
      <w:lvlJc w:val="left"/>
      <w:pPr>
        <w:ind w:left="0" w:firstLine="0"/>
      </w:pPr>
    </w:lvl>
  </w:abstractNum>
  <w:num w:numId="1" w16cid:durableId="314800162">
    <w:abstractNumId w:val="1"/>
  </w:num>
  <w:num w:numId="2" w16cid:durableId="1886525556">
    <w:abstractNumId w:val="1"/>
    <w:lvlOverride w:ilvl="0">
      <w:startOverride w:val="1"/>
    </w:lvlOverride>
  </w:num>
  <w:num w:numId="3" w16cid:durableId="1074429468">
    <w:abstractNumId w:val="0"/>
  </w:num>
  <w:num w:numId="4" w16cid:durableId="1133671699">
    <w:abstractNumId w:val="0"/>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D25"/>
    <w:rsid w:val="00100CFA"/>
    <w:rsid w:val="001F1D25"/>
    <w:rsid w:val="00610566"/>
    <w:rsid w:val="00C96AA4"/>
    <w:rsid w:val="00EA28C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92B1D"/>
  <w15:chartTrackingRefBased/>
  <w15:docId w15:val="{5C2F76A2-A82C-49F3-848B-9D8E24317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D25"/>
  </w:style>
  <w:style w:type="paragraph" w:styleId="Heading1">
    <w:name w:val="heading 1"/>
    <w:basedOn w:val="Normal"/>
    <w:next w:val="Normal"/>
    <w:link w:val="Heading1Char"/>
    <w:uiPriority w:val="1"/>
    <w:qFormat/>
    <w:rsid w:val="001F1D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1D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D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D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D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D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D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D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D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F1D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1D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D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D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D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D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D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D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D25"/>
    <w:rPr>
      <w:rFonts w:eastAsiaTheme="majorEastAsia" w:cstheme="majorBidi"/>
      <w:color w:val="272727" w:themeColor="text1" w:themeTint="D8"/>
    </w:rPr>
  </w:style>
  <w:style w:type="paragraph" w:styleId="Title">
    <w:name w:val="Title"/>
    <w:basedOn w:val="Normal"/>
    <w:next w:val="Normal"/>
    <w:link w:val="TitleChar"/>
    <w:uiPriority w:val="10"/>
    <w:qFormat/>
    <w:rsid w:val="001F1D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D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D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D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D25"/>
    <w:pPr>
      <w:spacing w:before="160"/>
      <w:jc w:val="center"/>
    </w:pPr>
    <w:rPr>
      <w:i/>
      <w:iCs/>
      <w:color w:val="404040" w:themeColor="text1" w:themeTint="BF"/>
    </w:rPr>
  </w:style>
  <w:style w:type="character" w:customStyle="1" w:styleId="QuoteChar">
    <w:name w:val="Quote Char"/>
    <w:basedOn w:val="DefaultParagraphFont"/>
    <w:link w:val="Quote"/>
    <w:uiPriority w:val="29"/>
    <w:rsid w:val="001F1D25"/>
    <w:rPr>
      <w:i/>
      <w:iCs/>
      <w:color w:val="404040" w:themeColor="text1" w:themeTint="BF"/>
    </w:rPr>
  </w:style>
  <w:style w:type="paragraph" w:styleId="ListParagraph">
    <w:name w:val="List Paragraph"/>
    <w:basedOn w:val="Normal"/>
    <w:uiPriority w:val="34"/>
    <w:qFormat/>
    <w:rsid w:val="001F1D25"/>
    <w:pPr>
      <w:ind w:left="720"/>
      <w:contextualSpacing/>
    </w:pPr>
  </w:style>
  <w:style w:type="character" w:styleId="IntenseEmphasis">
    <w:name w:val="Intense Emphasis"/>
    <w:basedOn w:val="DefaultParagraphFont"/>
    <w:uiPriority w:val="21"/>
    <w:qFormat/>
    <w:rsid w:val="001F1D25"/>
    <w:rPr>
      <w:i/>
      <w:iCs/>
      <w:color w:val="0F4761" w:themeColor="accent1" w:themeShade="BF"/>
    </w:rPr>
  </w:style>
  <w:style w:type="paragraph" w:styleId="IntenseQuote">
    <w:name w:val="Intense Quote"/>
    <w:basedOn w:val="Normal"/>
    <w:next w:val="Normal"/>
    <w:link w:val="IntenseQuoteChar"/>
    <w:uiPriority w:val="30"/>
    <w:qFormat/>
    <w:rsid w:val="001F1D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D25"/>
    <w:rPr>
      <w:i/>
      <w:iCs/>
      <w:color w:val="0F4761" w:themeColor="accent1" w:themeShade="BF"/>
    </w:rPr>
  </w:style>
  <w:style w:type="character" w:styleId="IntenseReference">
    <w:name w:val="Intense Reference"/>
    <w:basedOn w:val="DefaultParagraphFont"/>
    <w:uiPriority w:val="32"/>
    <w:qFormat/>
    <w:rsid w:val="001F1D25"/>
    <w:rPr>
      <w:b/>
      <w:bCs/>
      <w:smallCaps/>
      <w:color w:val="0F4761" w:themeColor="accent1" w:themeShade="BF"/>
      <w:spacing w:val="5"/>
    </w:rPr>
  </w:style>
  <w:style w:type="character" w:styleId="Hyperlink">
    <w:name w:val="Hyperlink"/>
    <w:basedOn w:val="DefaultParagraphFont"/>
    <w:unhideWhenUsed/>
    <w:rsid w:val="001F1D25"/>
    <w:rPr>
      <w:color w:val="0000FF"/>
      <w:u w:val="single"/>
    </w:rPr>
  </w:style>
  <w:style w:type="character" w:styleId="FollowedHyperlink">
    <w:name w:val="FollowedHyperlink"/>
    <w:basedOn w:val="DefaultParagraphFont"/>
    <w:uiPriority w:val="99"/>
    <w:semiHidden/>
    <w:unhideWhenUsed/>
    <w:rsid w:val="001F1D25"/>
    <w:rPr>
      <w:color w:val="96607D" w:themeColor="followedHyperlink"/>
      <w:u w:val="single"/>
    </w:rPr>
  </w:style>
  <w:style w:type="paragraph" w:customStyle="1" w:styleId="msonormal0">
    <w:name w:val="msonormal"/>
    <w:basedOn w:val="Normal"/>
    <w:rsid w:val="001F1D25"/>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paragraph" w:styleId="CommentText">
    <w:name w:val="annotation text"/>
    <w:basedOn w:val="Normal"/>
    <w:link w:val="CommentTextChar"/>
    <w:semiHidden/>
    <w:unhideWhenUsed/>
    <w:rsid w:val="001F1D25"/>
    <w:pPr>
      <w:spacing w:after="0" w:line="240" w:lineRule="auto"/>
    </w:pPr>
    <w:rPr>
      <w:rFonts w:eastAsiaTheme="minorEastAsia"/>
      <w:kern w:val="0"/>
      <w:sz w:val="20"/>
      <w:szCs w:val="20"/>
      <w:lang w:val="en-US" w:eastAsia="zh-CN" w:bidi="ar-SA"/>
      <w14:ligatures w14:val="none"/>
    </w:rPr>
  </w:style>
  <w:style w:type="character" w:customStyle="1" w:styleId="CommentTextChar">
    <w:name w:val="Comment Text Char"/>
    <w:basedOn w:val="DefaultParagraphFont"/>
    <w:link w:val="CommentText"/>
    <w:semiHidden/>
    <w:rsid w:val="001F1D25"/>
    <w:rPr>
      <w:rFonts w:eastAsiaTheme="minorEastAsia"/>
      <w:kern w:val="0"/>
      <w:sz w:val="20"/>
      <w:szCs w:val="20"/>
      <w:lang w:val="en-US" w:eastAsia="zh-CN" w:bidi="ar-SA"/>
      <w14:ligatures w14:val="none"/>
    </w:rPr>
  </w:style>
  <w:style w:type="paragraph" w:styleId="Header">
    <w:name w:val="header"/>
    <w:basedOn w:val="Normal"/>
    <w:link w:val="HeaderChar"/>
    <w:unhideWhenUsed/>
    <w:rsid w:val="001F1D25"/>
    <w:pPr>
      <w:tabs>
        <w:tab w:val="center" w:pos="4153"/>
        <w:tab w:val="right" w:pos="8306"/>
      </w:tabs>
      <w:snapToGrid w:val="0"/>
      <w:spacing w:after="0" w:line="240" w:lineRule="auto"/>
    </w:pPr>
    <w:rPr>
      <w:rFonts w:eastAsiaTheme="minorEastAsia"/>
      <w:kern w:val="0"/>
      <w:sz w:val="18"/>
      <w:szCs w:val="18"/>
      <w:lang w:val="en-US" w:eastAsia="zh-CN" w:bidi="ar-SA"/>
      <w14:ligatures w14:val="none"/>
    </w:rPr>
  </w:style>
  <w:style w:type="character" w:customStyle="1" w:styleId="HeaderChar">
    <w:name w:val="Header Char"/>
    <w:basedOn w:val="DefaultParagraphFont"/>
    <w:link w:val="Header"/>
    <w:rsid w:val="001F1D25"/>
    <w:rPr>
      <w:rFonts w:eastAsiaTheme="minorEastAsia"/>
      <w:kern w:val="0"/>
      <w:sz w:val="18"/>
      <w:szCs w:val="18"/>
      <w:lang w:val="en-US" w:eastAsia="zh-CN" w:bidi="ar-SA"/>
      <w14:ligatures w14:val="none"/>
    </w:rPr>
  </w:style>
  <w:style w:type="paragraph" w:styleId="Footer">
    <w:name w:val="footer"/>
    <w:basedOn w:val="Normal"/>
    <w:link w:val="FooterChar"/>
    <w:uiPriority w:val="99"/>
    <w:unhideWhenUsed/>
    <w:rsid w:val="001F1D25"/>
    <w:pPr>
      <w:tabs>
        <w:tab w:val="center" w:pos="4153"/>
        <w:tab w:val="right" w:pos="8306"/>
      </w:tabs>
      <w:snapToGrid w:val="0"/>
      <w:spacing w:after="0" w:line="240" w:lineRule="auto"/>
    </w:pPr>
    <w:rPr>
      <w:rFonts w:eastAsiaTheme="minorEastAsia"/>
      <w:kern w:val="0"/>
      <w:sz w:val="18"/>
      <w:szCs w:val="18"/>
      <w:lang w:val="en-US" w:eastAsia="zh-CN" w:bidi="ar-SA"/>
      <w14:ligatures w14:val="none"/>
    </w:rPr>
  </w:style>
  <w:style w:type="character" w:customStyle="1" w:styleId="FooterChar">
    <w:name w:val="Footer Char"/>
    <w:basedOn w:val="DefaultParagraphFont"/>
    <w:link w:val="Footer"/>
    <w:uiPriority w:val="99"/>
    <w:rsid w:val="001F1D25"/>
    <w:rPr>
      <w:rFonts w:eastAsiaTheme="minorEastAsia"/>
      <w:kern w:val="0"/>
      <w:sz w:val="18"/>
      <w:szCs w:val="18"/>
      <w:lang w:val="en-US" w:eastAsia="zh-CN" w:bidi="ar-SA"/>
      <w14:ligatures w14:val="none"/>
    </w:rPr>
  </w:style>
  <w:style w:type="paragraph" w:styleId="Caption">
    <w:name w:val="caption"/>
    <w:basedOn w:val="Normal"/>
    <w:next w:val="Normal"/>
    <w:semiHidden/>
    <w:unhideWhenUsed/>
    <w:qFormat/>
    <w:rsid w:val="001F1D25"/>
    <w:pPr>
      <w:spacing w:after="0" w:line="240" w:lineRule="auto"/>
    </w:pPr>
    <w:rPr>
      <w:rFonts w:ascii="Arial" w:eastAsia="SimHei" w:hAnsi="Arial" w:cs="Arial"/>
      <w:kern w:val="0"/>
      <w:sz w:val="20"/>
      <w:szCs w:val="20"/>
      <w:lang w:val="en-US" w:eastAsia="zh-CN" w:bidi="ar-SA"/>
      <w14:ligatures w14:val="none"/>
    </w:rPr>
  </w:style>
  <w:style w:type="paragraph" w:styleId="TableofFigures">
    <w:name w:val="table of figures"/>
    <w:basedOn w:val="Normal"/>
    <w:next w:val="Normal"/>
    <w:semiHidden/>
    <w:unhideWhenUsed/>
    <w:rsid w:val="001F1D25"/>
    <w:pPr>
      <w:spacing w:after="0" w:line="240" w:lineRule="auto"/>
      <w:ind w:leftChars="200" w:left="200" w:hangingChars="200" w:hanging="200"/>
    </w:pPr>
    <w:rPr>
      <w:rFonts w:eastAsiaTheme="minorEastAsia"/>
      <w:kern w:val="0"/>
      <w:sz w:val="20"/>
      <w:szCs w:val="20"/>
      <w:lang w:val="en-US" w:eastAsia="zh-CN" w:bidi="ar-SA"/>
      <w14:ligatures w14:val="none"/>
    </w:rPr>
  </w:style>
  <w:style w:type="paragraph" w:styleId="BodyText">
    <w:name w:val="Body Text"/>
    <w:basedOn w:val="Normal"/>
    <w:link w:val="BodyTextChar"/>
    <w:uiPriority w:val="1"/>
    <w:semiHidden/>
    <w:unhideWhenUsed/>
    <w:qFormat/>
    <w:rsid w:val="001F1D25"/>
    <w:pPr>
      <w:spacing w:after="0" w:line="240" w:lineRule="auto"/>
    </w:pPr>
    <w:rPr>
      <w:rFonts w:ascii="Arial MT" w:eastAsia="Arial MT" w:hAnsi="Arial MT" w:cs="Arial MT"/>
      <w:kern w:val="0"/>
      <w:sz w:val="22"/>
      <w:szCs w:val="22"/>
      <w:lang w:val="en-US" w:bidi="ar-SA"/>
      <w14:ligatures w14:val="none"/>
    </w:rPr>
  </w:style>
  <w:style w:type="character" w:customStyle="1" w:styleId="BodyTextChar">
    <w:name w:val="Body Text Char"/>
    <w:basedOn w:val="DefaultParagraphFont"/>
    <w:link w:val="BodyText"/>
    <w:uiPriority w:val="1"/>
    <w:semiHidden/>
    <w:rsid w:val="001F1D25"/>
    <w:rPr>
      <w:rFonts w:ascii="Arial MT" w:eastAsia="Arial MT" w:hAnsi="Arial MT" w:cs="Arial MT"/>
      <w:kern w:val="0"/>
      <w:sz w:val="22"/>
      <w:szCs w:val="22"/>
      <w:lang w:val="en-US" w:bidi="ar-SA"/>
      <w14:ligatures w14:val="none"/>
    </w:rPr>
  </w:style>
  <w:style w:type="paragraph" w:styleId="CommentSubject">
    <w:name w:val="annotation subject"/>
    <w:basedOn w:val="CommentText"/>
    <w:next w:val="CommentText"/>
    <w:link w:val="CommentSubjectChar"/>
    <w:semiHidden/>
    <w:unhideWhenUsed/>
    <w:rsid w:val="001F1D25"/>
    <w:rPr>
      <w:b/>
      <w:bCs/>
    </w:rPr>
  </w:style>
  <w:style w:type="character" w:customStyle="1" w:styleId="CommentSubjectChar">
    <w:name w:val="Comment Subject Char"/>
    <w:basedOn w:val="CommentTextChar"/>
    <w:link w:val="CommentSubject"/>
    <w:semiHidden/>
    <w:rsid w:val="001F1D25"/>
    <w:rPr>
      <w:rFonts w:eastAsiaTheme="minorEastAsia"/>
      <w:b/>
      <w:bCs/>
      <w:kern w:val="0"/>
      <w:sz w:val="20"/>
      <w:szCs w:val="20"/>
      <w:lang w:val="en-US" w:eastAsia="zh-CN" w:bidi="ar-SA"/>
      <w14:ligatures w14:val="none"/>
    </w:rPr>
  </w:style>
  <w:style w:type="paragraph" w:customStyle="1" w:styleId="TableParagraph">
    <w:name w:val="Table Paragraph"/>
    <w:basedOn w:val="Normal"/>
    <w:uiPriority w:val="1"/>
    <w:qFormat/>
    <w:rsid w:val="001F1D25"/>
    <w:pPr>
      <w:spacing w:after="0" w:line="240" w:lineRule="auto"/>
    </w:pPr>
    <w:rPr>
      <w:rFonts w:ascii="Arial MT" w:eastAsia="Arial MT" w:hAnsi="Arial MT" w:cs="Arial MT"/>
      <w:kern w:val="0"/>
      <w:sz w:val="20"/>
      <w:szCs w:val="20"/>
      <w:lang w:val="en-US" w:bidi="ar-SA"/>
      <w14:ligatures w14:val="none"/>
    </w:rPr>
  </w:style>
  <w:style w:type="paragraph" w:customStyle="1" w:styleId="WPSOffice1">
    <w:name w:val="WPSOffice手动目录 1"/>
    <w:rsid w:val="001F1D25"/>
    <w:pPr>
      <w:spacing w:after="0" w:line="240" w:lineRule="auto"/>
    </w:pPr>
    <w:rPr>
      <w:rFonts w:ascii="Times New Roman" w:eastAsia="SimSun" w:hAnsi="Times New Roman" w:cs="Times New Roman"/>
      <w:kern w:val="0"/>
      <w:sz w:val="20"/>
      <w:szCs w:val="20"/>
      <w:lang w:eastAsia="en-IN" w:bidi="ar-SA"/>
      <w14:ligatures w14:val="none"/>
    </w:rPr>
  </w:style>
  <w:style w:type="paragraph" w:customStyle="1" w:styleId="WPSOffice2">
    <w:name w:val="WPSOffice手动目录 2"/>
    <w:rsid w:val="001F1D25"/>
    <w:pPr>
      <w:spacing w:after="0" w:line="240" w:lineRule="auto"/>
      <w:ind w:leftChars="200" w:left="200"/>
    </w:pPr>
    <w:rPr>
      <w:rFonts w:ascii="Times New Roman" w:eastAsia="SimSun" w:hAnsi="Times New Roman" w:cs="Times New Roman"/>
      <w:kern w:val="0"/>
      <w:sz w:val="20"/>
      <w:szCs w:val="20"/>
      <w:lang w:eastAsia="en-IN" w:bidi="ar-SA"/>
      <w14:ligatures w14:val="none"/>
    </w:rPr>
  </w:style>
  <w:style w:type="character" w:styleId="CommentReference">
    <w:name w:val="annotation reference"/>
    <w:basedOn w:val="DefaultParagraphFont"/>
    <w:semiHidden/>
    <w:unhideWhenUsed/>
    <w:rsid w:val="001F1D25"/>
    <w:rPr>
      <w:sz w:val="16"/>
      <w:szCs w:val="16"/>
    </w:rPr>
  </w:style>
  <w:style w:type="character" w:styleId="UnresolvedMention">
    <w:name w:val="Unresolved Mention"/>
    <w:basedOn w:val="DefaultParagraphFont"/>
    <w:uiPriority w:val="99"/>
    <w:semiHidden/>
    <w:unhideWhenUsed/>
    <w:rsid w:val="001F1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sus\Downloads\G140921V1+Final.docx" TargetMode="External"/><Relationship Id="rId18" Type="http://schemas.openxmlformats.org/officeDocument/2006/relationships/hyperlink" Target="file:///C:\Users\asus\Downloads\G140921V1+Final.docx" TargetMode="External"/><Relationship Id="rId26" Type="http://schemas.openxmlformats.org/officeDocument/2006/relationships/chart" Target="charts/chart2.xml"/><Relationship Id="rId39" Type="http://schemas.openxmlformats.org/officeDocument/2006/relationships/hyperlink" Target="https://www.novapublishers.com/wp-content/uploads/2018/09/1-45-pages.pdf" TargetMode="External"/><Relationship Id="rId21" Type="http://schemas.openxmlformats.org/officeDocument/2006/relationships/hyperlink" Target="file:///C:\Users\asus\Downloads\G140921V1+Final.docx" TargetMode="External"/><Relationship Id="rId34" Type="http://schemas.openxmlformats.org/officeDocument/2006/relationships/hyperlink" Target="https://www.mondu.ai/blog/trade-credit-advantages-and-disadvantages/" TargetMode="External"/><Relationship Id="rId42" Type="http://schemas.openxmlformats.org/officeDocument/2006/relationships/hyperlink" Target="https://www.wallstreetprep.com/knowledge/altman-z-score/"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asus\Downloads\G140921V1+Final.docx" TargetMode="External"/><Relationship Id="rId29" Type="http://schemas.openxmlformats.org/officeDocument/2006/relationships/chart" Target="charts/chart5.xml"/><Relationship Id="rId11" Type="http://schemas.openxmlformats.org/officeDocument/2006/relationships/hyperlink" Target="file:///C:\Users\asus\Downloads\G140921V1+Final.docx" TargetMode="External"/><Relationship Id="rId24" Type="http://schemas.openxmlformats.org/officeDocument/2006/relationships/hyperlink" Target="file:///C:\Users\asus\Downloads\G140921V1+Final.docx" TargetMode="External"/><Relationship Id="rId32" Type="http://schemas.openxmlformats.org/officeDocument/2006/relationships/chart" Target="charts/chart8.xml"/><Relationship Id="rId37" Type="http://schemas.openxmlformats.org/officeDocument/2006/relationships/hyperlink" Target="https://tuprints.ulb.tu-darmstadt.de/bitstreams/04dd9308-4078-47d4-b070-344e3e88f700/download" TargetMode="External"/><Relationship Id="rId40" Type="http://schemas.openxmlformats.org/officeDocument/2006/relationships/hyperlink" Target="https://ijetrm.com/issues/files/May-2024-19-1747674533-JAN202416.pdf"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file:///C:\Users\asus\Downloads\G140921V1+Final.docx" TargetMode="External"/><Relationship Id="rId23" Type="http://schemas.openxmlformats.org/officeDocument/2006/relationships/hyperlink" Target="file:///C:\Users\asus\Downloads\G140921V1+Final.docx" TargetMode="External"/><Relationship Id="rId28" Type="http://schemas.openxmlformats.org/officeDocument/2006/relationships/chart" Target="charts/chart4.xml"/><Relationship Id="rId36" Type="http://schemas.openxmlformats.org/officeDocument/2006/relationships/hyperlink" Target="http://sia-backend-files.s3.amazonaws.com/userpdf/75fdc85e-48de-5482-a0c9-7e51fab5d2e8=20250417103808=Cross-Border_Mergers_and_Acqui.pdf" TargetMode="External"/><Relationship Id="rId49" Type="http://schemas.openxmlformats.org/officeDocument/2006/relationships/header" Target="header3.xml"/><Relationship Id="rId10" Type="http://schemas.openxmlformats.org/officeDocument/2006/relationships/hyperlink" Target="file:///C:\Users\asus\Downloads\G140921V1+Final.docx" TargetMode="External"/><Relationship Id="rId19" Type="http://schemas.openxmlformats.org/officeDocument/2006/relationships/hyperlink" Target="file:///C:\Users\asus\Downloads\G140921V1+Final.docx" TargetMode="External"/><Relationship Id="rId31" Type="http://schemas.openxmlformats.org/officeDocument/2006/relationships/chart" Target="charts/chart7.xml"/><Relationship Id="rId44" Type="http://schemas.openxmlformats.org/officeDocument/2006/relationships/hyperlink" Target="https://www.researchgate.net/profile/Zhuyun-Liu-3/publication/348575954_Analysis_of_the_Implementation_Effect_of_the_New_Round_of_Market-based_Debt-to-Equity_Swaps_-Case_Study_Based_on_CREC/links/6005a8a945851553a053a233/Analysis-of-the-Implementation-Effect-of-the-New-Round-of-Market-based-Debt-to-Equity-Swaps-Case-Study-Based-on-CREC.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asus\Downloads\G140921V1+Final.docx" TargetMode="External"/><Relationship Id="rId14" Type="http://schemas.openxmlformats.org/officeDocument/2006/relationships/hyperlink" Target="file:///C:\Users\asus\Downloads\G140921V1+Final.docx" TargetMode="External"/><Relationship Id="rId22" Type="http://schemas.openxmlformats.org/officeDocument/2006/relationships/hyperlink" Target="file:///C:\Users\asus\Downloads\G140921V1+Final.docx" TargetMode="External"/><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hyperlink" Target="https://papers.ssrn.com/sol3/Delivery.cfm?abstractid=2362480" TargetMode="External"/><Relationship Id="rId43" Type="http://schemas.openxmlformats.org/officeDocument/2006/relationships/hyperlink" Target="https://ageconsearch.umn.edu/record/313135/files/Final%20AAEA%20Conference%20Meeting%20Cal%20Maine%20Debt.pdf" TargetMode="External"/><Relationship Id="rId48"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Users\asus\Downloads\G140921V1+Final.docx" TargetMode="External"/><Relationship Id="rId17" Type="http://schemas.openxmlformats.org/officeDocument/2006/relationships/hyperlink" Target="file:///C:\Users\asus\Downloads\G140921V1+Final.docx" TargetMode="External"/><Relationship Id="rId25" Type="http://schemas.openxmlformats.org/officeDocument/2006/relationships/chart" Target="charts/chart1.xml"/><Relationship Id="rId33" Type="http://schemas.openxmlformats.org/officeDocument/2006/relationships/hyperlink" Target="https://www.accaglobal.com/in/en/student/exam-support-resources/prodipsust-study-resources/technical-articles/investment-appraisal.html" TargetMode="External"/><Relationship Id="rId38" Type="http://schemas.openxmlformats.org/officeDocument/2006/relationships/hyperlink" Target="https://www.geeksforgeeks.org/business-studies/advantages-and-disadvantages-of-factoring/" TargetMode="External"/><Relationship Id="rId46" Type="http://schemas.openxmlformats.org/officeDocument/2006/relationships/header" Target="header2.xml"/><Relationship Id="rId20" Type="http://schemas.openxmlformats.org/officeDocument/2006/relationships/hyperlink" Target="file:///C:\Users\asus\Downloads\G140921V1+Final.docx" TargetMode="External"/><Relationship Id="rId41" Type="http://schemas.openxmlformats.org/officeDocument/2006/relationships/hyperlink" Target="https://aseestant.ceon.rs/index.php/sjm/article/download/11916/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vineet\Documents\CB\December\G140921V1\18122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vineet\Documents\CB\December\G140921V1\18122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vineet\Documents\CB\December\G140921V1\18122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vineet\Documents\CB\December\G140921V1\181225.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vineet\Documents\CB\December\G140921V1\181225.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vineet\Documents\CB\December\G140921V1\181225.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vineet\Documents\CB\December\G140921V1\181225.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vineet\Documents\CB\December\G140921V1\181225.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en-US"/>
              <a:t>Profitability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[181225.xlsx]Charts!$B$3</c:f>
              <c:strCache>
                <c:ptCount val="1"/>
                <c:pt idx="0">
                  <c:v>Gross profit ratio </c:v>
                </c:pt>
              </c:strCache>
            </c:strRef>
          </c:tx>
          <c:spPr>
            <a:solidFill>
              <a:srgbClr val="637CEF"/>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[181225.xlsx]Charts!$C$2:$G$2</c:f>
              <c:numCache>
                <c:formatCode>General</c:formatCode>
                <c:ptCount val="5"/>
                <c:pt idx="0">
                  <c:v>2020</c:v>
                </c:pt>
                <c:pt idx="1">
                  <c:v>2021</c:v>
                </c:pt>
                <c:pt idx="2">
                  <c:v>2022</c:v>
                </c:pt>
                <c:pt idx="3">
                  <c:v>2023</c:v>
                </c:pt>
                <c:pt idx="4">
                  <c:v>2024</c:v>
                </c:pt>
              </c:numCache>
            </c:numRef>
          </c:cat>
          <c:val>
            <c:numRef>
              <c:f>[181225.xlsx]Charts!$C$3:$G$3</c:f>
              <c:numCache>
                <c:formatCode>0.00%</c:formatCode>
                <c:ptCount val="5"/>
                <c:pt idx="0">
                  <c:v>0.286744322248975</c:v>
                </c:pt>
                <c:pt idx="1">
                  <c:v>0.287592129015529</c:v>
                </c:pt>
                <c:pt idx="2">
                  <c:v>0.28059275800505201</c:v>
                </c:pt>
                <c:pt idx="3">
                  <c:v>0.23203324002216599</c:v>
                </c:pt>
                <c:pt idx="4">
                  <c:v>0.28868083640811498</c:v>
                </c:pt>
              </c:numCache>
            </c:numRef>
          </c:val>
          <c:extLst>
            <c:ext xmlns:c16="http://schemas.microsoft.com/office/drawing/2014/chart" uri="{C3380CC4-5D6E-409C-BE32-E72D297353CC}">
              <c16:uniqueId val="{00000000-966D-4492-90A4-D07627EF9C9F}"/>
            </c:ext>
          </c:extLst>
        </c:ser>
        <c:ser>
          <c:idx val="1"/>
          <c:order val="1"/>
          <c:tx>
            <c:strRef>
              <c:f>[181225.xlsx]Charts!$B$4</c:f>
              <c:strCache>
                <c:ptCount val="1"/>
                <c:pt idx="0">
                  <c:v>Net profit ratio</c:v>
                </c:pt>
              </c:strCache>
            </c:strRef>
          </c:tx>
          <c:spPr>
            <a:solidFill>
              <a:srgbClr val="E3008C"/>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[181225.xlsx]Charts!$C$2:$G$2</c:f>
              <c:numCache>
                <c:formatCode>General</c:formatCode>
                <c:ptCount val="5"/>
                <c:pt idx="0">
                  <c:v>2020</c:v>
                </c:pt>
                <c:pt idx="1">
                  <c:v>2021</c:v>
                </c:pt>
                <c:pt idx="2">
                  <c:v>2022</c:v>
                </c:pt>
                <c:pt idx="3">
                  <c:v>2023</c:v>
                </c:pt>
                <c:pt idx="4">
                  <c:v>2024</c:v>
                </c:pt>
              </c:numCache>
            </c:numRef>
          </c:cat>
          <c:val>
            <c:numRef>
              <c:f>[181225.xlsx]Charts!$C$4:$G$4</c:f>
              <c:numCache>
                <c:formatCode>0.00%</c:formatCode>
                <c:ptCount val="5"/>
                <c:pt idx="0">
                  <c:v>6.2751350296088998E-2</c:v>
                </c:pt>
                <c:pt idx="1">
                  <c:v>8.8114733661124808E-3</c:v>
                </c:pt>
                <c:pt idx="2">
                  <c:v>7.4988346405626197E-4</c:v>
                </c:pt>
                <c:pt idx="3">
                  <c:v>-0.233645771149012</c:v>
                </c:pt>
                <c:pt idx="4">
                  <c:v>-6.08515519944084E-2</c:v>
                </c:pt>
              </c:numCache>
            </c:numRef>
          </c:val>
          <c:extLst>
            <c:ext xmlns:c16="http://schemas.microsoft.com/office/drawing/2014/chart" uri="{C3380CC4-5D6E-409C-BE32-E72D297353CC}">
              <c16:uniqueId val="{00000001-966D-4492-90A4-D07627EF9C9F}"/>
            </c:ext>
          </c:extLst>
        </c:ser>
        <c:dLbls>
          <c:showLegendKey val="0"/>
          <c:showVal val="1"/>
          <c:showCatName val="0"/>
          <c:showSerName val="0"/>
          <c:showPercent val="0"/>
          <c:showBubbleSize val="0"/>
        </c:dLbls>
        <c:gapWidth val="260"/>
        <c:axId val="44862268"/>
        <c:axId val="338596808"/>
        <c:extLst>
          <c:ext xmlns:c15="http://schemas.microsoft.com/office/drawing/2012/chart" uri="{02D57815-91ED-43cb-92C2-25804820EDAC}">
            <c15:filteredBarSeries>
              <c15:ser>
                <c:idx val="2"/>
                <c:order val="2"/>
                <c:tx>
                  <c:strRef>
                    <c:extLst>
                      <c:ext uri="{02D57815-91ED-43cb-92C2-25804820EDAC}">
                        <c15:formulaRef>
                          <c15:sqref>[181225.xlsx]Charts!$B$21</c15:sqref>
                        </c15:formulaRef>
                      </c:ext>
                    </c:extLst>
                    <c:strCache>
                      <c:ptCount val="1"/>
                      <c:pt idx="0">
                        <c:v>Return on Equity</c:v>
                      </c:pt>
                    </c:strCache>
                  </c:strRef>
                </c:tx>
                <c:spPr>
                  <a:solidFill>
                    <a:srgbClr val="2AA0A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[181225.xlsx]Charts!$C$2:$G$2</c15:sqref>
                        </c15:formulaRef>
                      </c:ext>
                    </c:extLst>
                    <c:numCache>
                      <c:formatCode>General</c:formatCode>
                      <c:ptCount val="5"/>
                      <c:pt idx="0">
                        <c:v>2020</c:v>
                      </c:pt>
                      <c:pt idx="1">
                        <c:v>2021</c:v>
                      </c:pt>
                      <c:pt idx="2">
                        <c:v>2022</c:v>
                      </c:pt>
                      <c:pt idx="3">
                        <c:v>2023</c:v>
                      </c:pt>
                      <c:pt idx="4">
                        <c:v>2024</c:v>
                      </c:pt>
                    </c:numCache>
                  </c:numRef>
                </c:cat>
                <c:val>
                  <c:numRef>
                    <c:extLst>
                      <c:ext uri="{02D57815-91ED-43cb-92C2-25804820EDAC}">
                        <c15:formulaRef>
                          <c15:sqref>{0.123114832062458,0.0192100714262418,0.00151635954486859,-0.54906103286385,-0.156944580516639}</c15:sqref>
                        </c15:formulaRef>
                      </c:ext>
                    </c:extLst>
                    <c:numCache>
                      <c:formatCode>0.00%</c:formatCode>
                      <c:ptCount val="5"/>
                      <c:pt idx="0">
                        <c:v>0.123114832062458</c:v>
                      </c:pt>
                      <c:pt idx="1">
                        <c:v>1.9210071426241801E-2</c:v>
                      </c:pt>
                      <c:pt idx="2">
                        <c:v>1.51635954486859E-3</c:v>
                      </c:pt>
                      <c:pt idx="3">
                        <c:v>-0.54906103286385</c:v>
                      </c:pt>
                      <c:pt idx="4">
                        <c:v>-0.15694458051663901</c:v>
                      </c:pt>
                    </c:numCache>
                  </c:numRef>
                </c:val>
                <c:extLst>
                  <c:ext xmlns:c16="http://schemas.microsoft.com/office/drawing/2014/chart" uri="{C3380CC4-5D6E-409C-BE32-E72D297353CC}">
                    <c16:uniqueId val="{00000002-966D-4492-90A4-D07627EF9C9F}"/>
                  </c:ext>
                </c:extLst>
              </c15:ser>
            </c15:filteredBarSeries>
          </c:ext>
        </c:extLst>
      </c:barChart>
      <c:catAx>
        <c:axId val="44862268"/>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38596808"/>
        <c:crosses val="autoZero"/>
        <c:auto val="1"/>
        <c:lblAlgn val="ctr"/>
        <c:lblOffset val="100"/>
        <c:noMultiLvlLbl val="0"/>
      </c:catAx>
      <c:valAx>
        <c:axId val="338596808"/>
        <c:scaling>
          <c:orientation val="minMax"/>
        </c:scaling>
        <c:delete val="1"/>
        <c:axPos val="b"/>
        <c:numFmt formatCode="0.00%" sourceLinked="1"/>
        <c:majorTickMark val="none"/>
        <c:minorTickMark val="none"/>
        <c:tickLblPos val="nextTo"/>
        <c:crossAx val="44862268"/>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960f64f9-64f5-470a-a1b7-c360342066ba}"/>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en-US"/>
              <a:t>Liquidity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[181225.xlsx]Charts!$B$8</c:f>
              <c:strCache>
                <c:ptCount val="1"/>
                <c:pt idx="0">
                  <c:v>Current ratio</c:v>
                </c:pt>
              </c:strCache>
            </c:strRef>
          </c:tx>
          <c:spPr>
            <a:solidFill>
              <a:srgbClr val="637CEF"/>
            </a:solidFill>
            <a:ln>
              <a:solidFill>
                <a:schemeClr val="bg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[181225.xlsx]Charts!$C$7:$G$7</c:f>
              <c:numCache>
                <c:formatCode>General</c:formatCode>
                <c:ptCount val="5"/>
                <c:pt idx="0">
                  <c:v>2020</c:v>
                </c:pt>
                <c:pt idx="1">
                  <c:v>2021</c:v>
                </c:pt>
                <c:pt idx="2">
                  <c:v>2022</c:v>
                </c:pt>
                <c:pt idx="3">
                  <c:v>2023</c:v>
                </c:pt>
                <c:pt idx="4">
                  <c:v>2024</c:v>
                </c:pt>
              </c:numCache>
            </c:numRef>
          </c:cat>
          <c:val>
            <c:numRef>
              <c:f>[181225.xlsx]Charts!$C$8:$G$8</c:f>
              <c:numCache>
                <c:formatCode>0.00_ </c:formatCode>
                <c:ptCount val="5"/>
                <c:pt idx="0">
                  <c:v>1.8207509330956499</c:v>
                </c:pt>
                <c:pt idx="1">
                  <c:v>1.5551947303113201</c:v>
                </c:pt>
                <c:pt idx="2">
                  <c:v>1.5615804280441401</c:v>
                </c:pt>
                <c:pt idx="3">
                  <c:v>1.6062935934668801</c:v>
                </c:pt>
                <c:pt idx="4">
                  <c:v>1.5319506478574301</c:v>
                </c:pt>
              </c:numCache>
            </c:numRef>
          </c:val>
          <c:extLst>
            <c:ext xmlns:c16="http://schemas.microsoft.com/office/drawing/2014/chart" uri="{C3380CC4-5D6E-409C-BE32-E72D297353CC}">
              <c16:uniqueId val="{00000000-4A74-473E-867B-202A77546463}"/>
            </c:ext>
          </c:extLst>
        </c:ser>
        <c:ser>
          <c:idx val="1"/>
          <c:order val="1"/>
          <c:tx>
            <c:strRef>
              <c:f>[181225.xlsx]Charts!$B$9</c:f>
              <c:strCache>
                <c:ptCount val="1"/>
                <c:pt idx="0">
                  <c:v>Quick ratio</c:v>
                </c:pt>
              </c:strCache>
            </c:strRef>
          </c:tx>
          <c:spPr>
            <a:solidFill>
              <a:srgbClr val="E3008C"/>
            </a:solidFill>
            <a:ln>
              <a:solidFill>
                <a:schemeClr val="bg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[181225.xlsx]Charts!$C$7:$G$7</c:f>
              <c:numCache>
                <c:formatCode>General</c:formatCode>
                <c:ptCount val="5"/>
                <c:pt idx="0">
                  <c:v>2020</c:v>
                </c:pt>
                <c:pt idx="1">
                  <c:v>2021</c:v>
                </c:pt>
                <c:pt idx="2">
                  <c:v>2022</c:v>
                </c:pt>
                <c:pt idx="3">
                  <c:v>2023</c:v>
                </c:pt>
                <c:pt idx="4">
                  <c:v>2024</c:v>
                </c:pt>
              </c:numCache>
            </c:numRef>
          </c:cat>
          <c:val>
            <c:numRef>
              <c:f>[181225.xlsx]Charts!$C$9:$G$9</c:f>
              <c:numCache>
                <c:formatCode>0.00_ </c:formatCode>
                <c:ptCount val="5"/>
                <c:pt idx="0">
                  <c:v>1.14986908807309</c:v>
                </c:pt>
                <c:pt idx="1">
                  <c:v>0.93491307135575497</c:v>
                </c:pt>
                <c:pt idx="2">
                  <c:v>0.91401237105782196</c:v>
                </c:pt>
                <c:pt idx="3">
                  <c:v>1.0585176359619699</c:v>
                </c:pt>
                <c:pt idx="4">
                  <c:v>1.0306271360974399</c:v>
                </c:pt>
              </c:numCache>
            </c:numRef>
          </c:val>
          <c:extLst>
            <c:ext xmlns:c16="http://schemas.microsoft.com/office/drawing/2014/chart" uri="{C3380CC4-5D6E-409C-BE32-E72D297353CC}">
              <c16:uniqueId val="{00000001-4A74-473E-867B-202A77546463}"/>
            </c:ext>
          </c:extLst>
        </c:ser>
        <c:dLbls>
          <c:showLegendKey val="0"/>
          <c:showVal val="1"/>
          <c:showCatName val="0"/>
          <c:showSerName val="0"/>
          <c:showPercent val="0"/>
          <c:showBubbleSize val="0"/>
        </c:dLbls>
        <c:gapWidth val="216"/>
        <c:axId val="364412653"/>
        <c:axId val="909446647"/>
      </c:barChart>
      <c:catAx>
        <c:axId val="36441265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09446647"/>
        <c:crosses val="autoZero"/>
        <c:auto val="1"/>
        <c:lblAlgn val="ctr"/>
        <c:lblOffset val="100"/>
        <c:noMultiLvlLbl val="0"/>
      </c:catAx>
      <c:valAx>
        <c:axId val="909446647"/>
        <c:scaling>
          <c:orientation val="minMax"/>
        </c:scaling>
        <c:delete val="0"/>
        <c:axPos val="l"/>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64412653"/>
        <c:crosses val="autoZero"/>
        <c:crossBetween val="between"/>
      </c:valAx>
      <c:spPr>
        <a:noFill/>
        <a:ln>
          <a:noFill/>
        </a:ln>
        <a:effectLst/>
      </c:spPr>
    </c:plotArea>
    <c:plotVisOnly val="1"/>
    <c:dispBlanksAs val="gap"/>
    <c:showDLblsOverMax val="0"/>
    <c:extLst>
      <c:ext uri="{0b15fc19-7d7d-44ad-8c2d-2c3a37ce22c3}">
        <chartProps xmlns="https://web.wps.cn/et/2018/main" chartId="{8a4d3696-8faf-4d1e-95e2-bcb88229d9b3}"/>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en-US"/>
              <a:t>Efficiency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endParaRPr lang="en-US"/>
        </a:p>
      </c:txPr>
    </c:title>
    <c:autoTitleDeleted val="0"/>
    <c:plotArea>
      <c:layout/>
      <c:lineChart>
        <c:grouping val="stacked"/>
        <c:varyColors val="0"/>
        <c:ser>
          <c:idx val="0"/>
          <c:order val="0"/>
          <c:tx>
            <c:strRef>
              <c:f>[181225.xlsx]Charts!$B$12</c:f>
              <c:strCache>
                <c:ptCount val="1"/>
                <c:pt idx="0">
                  <c:v>Asset turnover ratio</c:v>
                </c:pt>
              </c:strCache>
            </c:strRef>
          </c:tx>
          <c:spPr>
            <a:ln w="28575" cap="rnd">
              <a:solidFill>
                <a:srgbClr val="637CEF"/>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[181225.xlsx]Charts!$C$11:$G$11</c:f>
              <c:numCache>
                <c:formatCode>General</c:formatCode>
                <c:ptCount val="5"/>
                <c:pt idx="0">
                  <c:v>2020</c:v>
                </c:pt>
                <c:pt idx="1">
                  <c:v>2021</c:v>
                </c:pt>
                <c:pt idx="2">
                  <c:v>2022</c:v>
                </c:pt>
                <c:pt idx="3">
                  <c:v>2023</c:v>
                </c:pt>
                <c:pt idx="4">
                  <c:v>2024</c:v>
                </c:pt>
              </c:numCache>
            </c:numRef>
          </c:cat>
          <c:val>
            <c:numRef>
              <c:f>[181225.xlsx]Charts!$C$12:$G$12</c:f>
              <c:numCache>
                <c:formatCode>0.00_ </c:formatCode>
                <c:ptCount val="5"/>
                <c:pt idx="0">
                  <c:v>1.20456995042035</c:v>
                </c:pt>
                <c:pt idx="1">
                  <c:v>1.1788074020080399</c:v>
                </c:pt>
                <c:pt idx="2">
                  <c:v>1.0765387384635501</c:v>
                </c:pt>
                <c:pt idx="3">
                  <c:v>1.1814837919251899</c:v>
                </c:pt>
                <c:pt idx="4">
                  <c:v>1.2211972018283399</c:v>
                </c:pt>
              </c:numCache>
            </c:numRef>
          </c:val>
          <c:smooth val="0"/>
          <c:extLst>
            <c:ext xmlns:c16="http://schemas.microsoft.com/office/drawing/2014/chart" uri="{C3380CC4-5D6E-409C-BE32-E72D297353CC}">
              <c16:uniqueId val="{00000000-F9BF-45CC-99D8-DFF4BBC0074F}"/>
            </c:ext>
          </c:extLst>
        </c:ser>
        <c:ser>
          <c:idx val="1"/>
          <c:order val="1"/>
          <c:tx>
            <c:strRef>
              <c:f>[181225.xlsx]Charts!$B$13</c:f>
              <c:strCache>
                <c:ptCount val="1"/>
                <c:pt idx="0">
                  <c:v>Inventory turnover ratio</c:v>
                </c:pt>
              </c:strCache>
            </c:strRef>
          </c:tx>
          <c:spPr>
            <a:ln w="28575" cap="rnd">
              <a:solidFill>
                <a:srgbClr val="E3008C"/>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[181225.xlsx]Charts!$C$11:$G$11</c:f>
              <c:numCache>
                <c:formatCode>General</c:formatCode>
                <c:ptCount val="5"/>
                <c:pt idx="0">
                  <c:v>2020</c:v>
                </c:pt>
                <c:pt idx="1">
                  <c:v>2021</c:v>
                </c:pt>
                <c:pt idx="2">
                  <c:v>2022</c:v>
                </c:pt>
                <c:pt idx="3">
                  <c:v>2023</c:v>
                </c:pt>
                <c:pt idx="4">
                  <c:v>2024</c:v>
                </c:pt>
              </c:numCache>
            </c:numRef>
          </c:cat>
          <c:val>
            <c:numRef>
              <c:f>[181225.xlsx]Charts!$C$13:$G$13</c:f>
              <c:numCache>
                <c:formatCode>0.00_ </c:formatCode>
                <c:ptCount val="5"/>
                <c:pt idx="0">
                  <c:v>3.44</c:v>
                </c:pt>
                <c:pt idx="1">
                  <c:v>3.3627907524156599</c:v>
                </c:pt>
                <c:pt idx="2">
                  <c:v>2.8433205898416198</c:v>
                </c:pt>
                <c:pt idx="3">
                  <c:v>2.8268010190235202</c:v>
                </c:pt>
                <c:pt idx="4">
                  <c:v>3.3512897606605101</c:v>
                </c:pt>
              </c:numCache>
            </c:numRef>
          </c:val>
          <c:smooth val="0"/>
          <c:extLst>
            <c:ext xmlns:c16="http://schemas.microsoft.com/office/drawing/2014/chart" uri="{C3380CC4-5D6E-409C-BE32-E72D297353CC}">
              <c16:uniqueId val="{00000001-F9BF-45CC-99D8-DFF4BBC0074F}"/>
            </c:ext>
          </c:extLst>
        </c:ser>
        <c:dLbls>
          <c:showLegendKey val="0"/>
          <c:showVal val="1"/>
          <c:showCatName val="0"/>
          <c:showSerName val="0"/>
          <c:showPercent val="0"/>
          <c:showBubbleSize val="0"/>
        </c:dLbls>
        <c:smooth val="0"/>
        <c:axId val="404311014"/>
        <c:axId val="157173667"/>
      </c:lineChart>
      <c:catAx>
        <c:axId val="40431101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57173667"/>
        <c:crosses val="autoZero"/>
        <c:auto val="1"/>
        <c:lblAlgn val="ctr"/>
        <c:lblOffset val="100"/>
        <c:noMultiLvlLbl val="0"/>
      </c:catAx>
      <c:valAx>
        <c:axId val="157173667"/>
        <c:scaling>
          <c:orientation val="minMax"/>
        </c:scaling>
        <c:delete val="1"/>
        <c:axPos val="l"/>
        <c:numFmt formatCode="0.00_ " sourceLinked="1"/>
        <c:majorTickMark val="none"/>
        <c:minorTickMark val="none"/>
        <c:tickLblPos val="nextTo"/>
        <c:crossAx val="404311014"/>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uri="{0b15fc19-7d7d-44ad-8c2d-2c3a37ce22c3}">
        <chartProps xmlns="https://web.wps.cn/et/2018/main" chartId="{596f088e-d9de-4240-bcf6-51b94733749b}"/>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en-US"/>
              <a:t>Gearing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[181225.xlsx]Charts!$B$16</c:f>
              <c:strCache>
                <c:ptCount val="1"/>
                <c:pt idx="0">
                  <c:v>Debt-equity ratio</c:v>
                </c:pt>
              </c:strCache>
            </c:strRef>
          </c:tx>
          <c:spPr>
            <a:solidFill>
              <a:srgbClr val="637CEF"/>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[181225.xlsx]Charts!$C$15:$G$15</c:f>
              <c:numCache>
                <c:formatCode>General</c:formatCode>
                <c:ptCount val="5"/>
                <c:pt idx="0">
                  <c:v>2020</c:v>
                </c:pt>
                <c:pt idx="1">
                  <c:v>2021</c:v>
                </c:pt>
                <c:pt idx="2">
                  <c:v>2022</c:v>
                </c:pt>
                <c:pt idx="3">
                  <c:v>2023</c:v>
                </c:pt>
                <c:pt idx="4">
                  <c:v>2024</c:v>
                </c:pt>
              </c:numCache>
            </c:numRef>
          </c:cat>
          <c:val>
            <c:numRef>
              <c:f>[181225.xlsx]Charts!$C$16:$G$16</c:f>
              <c:numCache>
                <c:formatCode>0.00_ </c:formatCode>
                <c:ptCount val="5"/>
                <c:pt idx="0">
                  <c:v>0.62875317984941004</c:v>
                </c:pt>
                <c:pt idx="1">
                  <c:v>0.84942869878129701</c:v>
                </c:pt>
                <c:pt idx="2">
                  <c:v>0.87835964918817</c:v>
                </c:pt>
                <c:pt idx="3">
                  <c:v>0.98900067069081199</c:v>
                </c:pt>
                <c:pt idx="4">
                  <c:v>1.11197544169034</c:v>
                </c:pt>
              </c:numCache>
            </c:numRef>
          </c:val>
          <c:extLst>
            <c:ext xmlns:c16="http://schemas.microsoft.com/office/drawing/2014/chart" uri="{C3380CC4-5D6E-409C-BE32-E72D297353CC}">
              <c16:uniqueId val="{00000000-4E29-42B7-8864-20DE625DE039}"/>
            </c:ext>
          </c:extLst>
        </c:ser>
        <c:ser>
          <c:idx val="1"/>
          <c:order val="1"/>
          <c:tx>
            <c:strRef>
              <c:f>[181225.xlsx]Charts!$B$17</c:f>
              <c:strCache>
                <c:ptCount val="1"/>
                <c:pt idx="0">
                  <c:v>Interest coverage ratio</c:v>
                </c:pt>
              </c:strCache>
            </c:strRef>
          </c:tx>
          <c:spPr>
            <a:solidFill>
              <a:srgbClr val="E3008C"/>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[181225.xlsx]Charts!$C$15:$G$15</c:f>
              <c:numCache>
                <c:formatCode>General</c:formatCode>
                <c:ptCount val="5"/>
                <c:pt idx="0">
                  <c:v>2020</c:v>
                </c:pt>
                <c:pt idx="1">
                  <c:v>2021</c:v>
                </c:pt>
                <c:pt idx="2">
                  <c:v>2022</c:v>
                </c:pt>
                <c:pt idx="3">
                  <c:v>2023</c:v>
                </c:pt>
                <c:pt idx="4">
                  <c:v>2024</c:v>
                </c:pt>
              </c:numCache>
            </c:numRef>
          </c:cat>
          <c:val>
            <c:numRef>
              <c:f>[181225.xlsx]Charts!$C$17:$G$17</c:f>
              <c:numCache>
                <c:formatCode>0.00_ </c:formatCode>
                <c:ptCount val="5"/>
                <c:pt idx="0">
                  <c:v>26.207454289732802</c:v>
                </c:pt>
                <c:pt idx="1">
                  <c:v>41.083038869257898</c:v>
                </c:pt>
                <c:pt idx="2">
                  <c:v>6.6127272727272697</c:v>
                </c:pt>
                <c:pt idx="3">
                  <c:v>-19.690904893813499</c:v>
                </c:pt>
                <c:pt idx="4">
                  <c:v>-4.5513240107110997</c:v>
                </c:pt>
              </c:numCache>
            </c:numRef>
          </c:val>
          <c:extLst>
            <c:ext xmlns:c16="http://schemas.microsoft.com/office/drawing/2014/chart" uri="{C3380CC4-5D6E-409C-BE32-E72D297353CC}">
              <c16:uniqueId val="{00000001-4E29-42B7-8864-20DE625DE039}"/>
            </c:ext>
          </c:extLst>
        </c:ser>
        <c:dLbls>
          <c:showLegendKey val="0"/>
          <c:showVal val="1"/>
          <c:showCatName val="0"/>
          <c:showSerName val="0"/>
          <c:showPercent val="0"/>
          <c:showBubbleSize val="0"/>
        </c:dLbls>
        <c:gapWidth val="216"/>
        <c:axId val="496298627"/>
        <c:axId val="769976008"/>
      </c:barChart>
      <c:catAx>
        <c:axId val="496298627"/>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769976008"/>
        <c:crosses val="autoZero"/>
        <c:auto val="1"/>
        <c:lblAlgn val="ctr"/>
        <c:lblOffset val="100"/>
        <c:noMultiLvlLbl val="0"/>
      </c:catAx>
      <c:valAx>
        <c:axId val="769976008"/>
        <c:scaling>
          <c:orientation val="minMax"/>
        </c:scaling>
        <c:delete val="0"/>
        <c:axPos val="b"/>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496298627"/>
        <c:crosses val="autoZero"/>
        <c:crossBetween val="between"/>
      </c:valAx>
      <c:spPr>
        <a:noFill/>
        <a:ln>
          <a:noFill/>
        </a:ln>
        <a:effectLst/>
      </c:spPr>
    </c:plotArea>
    <c:plotVisOnly val="1"/>
    <c:dispBlanksAs val="gap"/>
    <c:showDLblsOverMax val="0"/>
    <c:extLst>
      <c:ext uri="{0b15fc19-7d7d-44ad-8c2d-2c3a37ce22c3}">
        <chartProps xmlns="https://web.wps.cn/et/2018/main" chartId="{d0574b8c-e5e1-4790-af66-4562e2409699}"/>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en-US"/>
              <a:t>Investment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tx>
            <c:strRef>
              <c:f>[181225.xlsx]Charts!$B$20</c:f>
              <c:strCache>
                <c:ptCount val="1"/>
                <c:pt idx="0">
                  <c:v>EPS</c:v>
                </c:pt>
              </c:strCache>
            </c:strRef>
          </c:tx>
          <c:spPr>
            <a:ln w="28575" cap="rnd">
              <a:solidFill>
                <a:srgbClr val="637CEF"/>
              </a:solidFill>
              <a:round/>
            </a:ln>
            <a:effectLst>
              <a:outerShdw blurRad="76200" dist="25400" dir="2700000" algn="tl" rotWithShape="0">
                <a:schemeClr val="accent1">
                  <a:lumMod val="50000"/>
                  <a:alpha val="30000"/>
                </a:scheme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[181225.xlsx]Charts!$C$19:$G$19</c:f>
              <c:numCache>
                <c:formatCode>General</c:formatCode>
                <c:ptCount val="5"/>
                <c:pt idx="0">
                  <c:v>2020</c:v>
                </c:pt>
                <c:pt idx="1">
                  <c:v>2021</c:v>
                </c:pt>
                <c:pt idx="2">
                  <c:v>2022</c:v>
                </c:pt>
                <c:pt idx="3">
                  <c:v>2023</c:v>
                </c:pt>
                <c:pt idx="4">
                  <c:v>2024</c:v>
                </c:pt>
              </c:numCache>
            </c:numRef>
          </c:cat>
          <c:val>
            <c:numRef>
              <c:f>[181225.xlsx]Charts!$C$20:$G$20</c:f>
              <c:numCache>
                <c:formatCode>0.00_ </c:formatCode>
                <c:ptCount val="5"/>
                <c:pt idx="0">
                  <c:v>2.77636219678975</c:v>
                </c:pt>
                <c:pt idx="1">
                  <c:v>0.39368733754177498</c:v>
                </c:pt>
                <c:pt idx="2">
                  <c:v>3.2039675667165202E-2</c:v>
                </c:pt>
                <c:pt idx="3">
                  <c:v>-7.6420070011668599</c:v>
                </c:pt>
                <c:pt idx="4">
                  <c:v>-1.8542325796743599</c:v>
                </c:pt>
              </c:numCache>
            </c:numRef>
          </c:val>
          <c:smooth val="0"/>
          <c:extLst>
            <c:ext xmlns:c16="http://schemas.microsoft.com/office/drawing/2014/chart" uri="{C3380CC4-5D6E-409C-BE32-E72D297353CC}">
              <c16:uniqueId val="{00000000-A9FA-4477-B97D-121069D80F86}"/>
            </c:ext>
          </c:extLst>
        </c:ser>
        <c:ser>
          <c:idx val="1"/>
          <c:order val="1"/>
          <c:tx>
            <c:strRef>
              <c:f>[181225.xlsx]Charts!$B$21</c:f>
              <c:strCache>
                <c:ptCount val="1"/>
                <c:pt idx="0">
                  <c:v>Return on Equity</c:v>
                </c:pt>
              </c:strCache>
            </c:strRef>
          </c:tx>
          <c:spPr>
            <a:ln w="28575" cap="rnd">
              <a:solidFill>
                <a:srgbClr val="E3008C"/>
              </a:solidFill>
              <a:round/>
            </a:ln>
            <a:effectLst>
              <a:outerShdw blurRad="76200" dist="25400" dir="2700000" algn="tl" rotWithShape="0">
                <a:schemeClr val="accent2">
                  <a:lumMod val="50000"/>
                  <a:alpha val="30000"/>
                </a:scheme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[181225.xlsx]Charts!$C$19:$G$19</c:f>
              <c:numCache>
                <c:formatCode>General</c:formatCode>
                <c:ptCount val="5"/>
                <c:pt idx="0">
                  <c:v>2020</c:v>
                </c:pt>
                <c:pt idx="1">
                  <c:v>2021</c:v>
                </c:pt>
                <c:pt idx="2">
                  <c:v>2022</c:v>
                </c:pt>
                <c:pt idx="3">
                  <c:v>2023</c:v>
                </c:pt>
                <c:pt idx="4">
                  <c:v>2024</c:v>
                </c:pt>
              </c:numCache>
            </c:numRef>
          </c:cat>
          <c:val>
            <c:numRef>
              <c:f>[181225.xlsx]Charts!$C$21:$G$21</c:f>
              <c:numCache>
                <c:formatCode>0.00%</c:formatCode>
                <c:ptCount val="5"/>
                <c:pt idx="0">
                  <c:v>0.123114832062458</c:v>
                </c:pt>
                <c:pt idx="1">
                  <c:v>1.9210071426241801E-2</c:v>
                </c:pt>
                <c:pt idx="2">
                  <c:v>1.51635954486859E-3</c:v>
                </c:pt>
                <c:pt idx="3">
                  <c:v>-0.54906103286385</c:v>
                </c:pt>
                <c:pt idx="4">
                  <c:v>-0.15694458051663901</c:v>
                </c:pt>
              </c:numCache>
            </c:numRef>
          </c:val>
          <c:smooth val="0"/>
          <c:extLst>
            <c:ext xmlns:c16="http://schemas.microsoft.com/office/drawing/2014/chart" uri="{C3380CC4-5D6E-409C-BE32-E72D297353CC}">
              <c16:uniqueId val="{00000001-A9FA-4477-B97D-121069D80F86}"/>
            </c:ext>
          </c:extLst>
        </c:ser>
        <c:dLbls>
          <c:showLegendKey val="0"/>
          <c:showVal val="1"/>
          <c:showCatName val="0"/>
          <c:showSerName val="0"/>
          <c:showPercent val="0"/>
          <c:showBubbleSize val="0"/>
        </c:dLbls>
        <c:smooth val="0"/>
        <c:axId val="935788234"/>
        <c:axId val="830649360"/>
      </c:lineChart>
      <c:catAx>
        <c:axId val="93578823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30649360"/>
        <c:crosses val="autoZero"/>
        <c:auto val="1"/>
        <c:lblAlgn val="ctr"/>
        <c:lblOffset val="100"/>
        <c:noMultiLvlLbl val="0"/>
      </c:catAx>
      <c:valAx>
        <c:axId val="830649360"/>
        <c:scaling>
          <c:orientation val="minMax"/>
        </c:scaling>
        <c:delete val="1"/>
        <c:axPos val="l"/>
        <c:numFmt formatCode="0.00_ " sourceLinked="1"/>
        <c:majorTickMark val="none"/>
        <c:minorTickMark val="none"/>
        <c:tickLblPos val="nextTo"/>
        <c:crossAx val="935788234"/>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1c2c68b5-6982-4f68-b579-9473ebf21ac8}"/>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rPr lang="en-US"/>
              <a:t>Cash Flow Ratios</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endParaRPr lang="en-US"/>
        </a:p>
      </c:txPr>
    </c:title>
    <c:autoTitleDeleted val="0"/>
    <c:plotArea>
      <c:layout/>
      <c:lineChart>
        <c:grouping val="stacked"/>
        <c:varyColors val="0"/>
        <c:ser>
          <c:idx val="0"/>
          <c:order val="0"/>
          <c:tx>
            <c:strRef>
              <c:f>[181225.xlsx]Charts!$B$24</c:f>
              <c:strCache>
                <c:ptCount val="1"/>
                <c:pt idx="0">
                  <c:v>Operating cash flow ratio</c:v>
                </c:pt>
              </c:strCache>
            </c:strRef>
          </c:tx>
          <c:spPr>
            <a:ln w="28575" cap="rnd">
              <a:solidFill>
                <a:srgbClr val="637CEF"/>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[181225.xlsx]Charts!$C$23:$G$23</c:f>
              <c:numCache>
                <c:formatCode>General</c:formatCode>
                <c:ptCount val="5"/>
                <c:pt idx="0">
                  <c:v>2020</c:v>
                </c:pt>
                <c:pt idx="1">
                  <c:v>2021</c:v>
                </c:pt>
                <c:pt idx="2">
                  <c:v>2022</c:v>
                </c:pt>
                <c:pt idx="3">
                  <c:v>2023</c:v>
                </c:pt>
                <c:pt idx="4">
                  <c:v>2024</c:v>
                </c:pt>
              </c:numCache>
            </c:numRef>
          </c:cat>
          <c:val>
            <c:numRef>
              <c:f>[181225.xlsx]Charts!$C$24:$G$24</c:f>
              <c:numCache>
                <c:formatCode>0.00_ </c:formatCode>
                <c:ptCount val="5"/>
                <c:pt idx="0">
                  <c:v>0.40884630382708498</c:v>
                </c:pt>
                <c:pt idx="1">
                  <c:v>0.18581833781545901</c:v>
                </c:pt>
                <c:pt idx="2">
                  <c:v>5.04728072323107E-2</c:v>
                </c:pt>
                <c:pt idx="3">
                  <c:v>0.15631593317943801</c:v>
                </c:pt>
                <c:pt idx="4">
                  <c:v>9.3637667334213595E-2</c:v>
                </c:pt>
              </c:numCache>
            </c:numRef>
          </c:val>
          <c:smooth val="0"/>
          <c:extLst>
            <c:ext xmlns:c16="http://schemas.microsoft.com/office/drawing/2014/chart" uri="{C3380CC4-5D6E-409C-BE32-E72D297353CC}">
              <c16:uniqueId val="{00000000-283E-4E3B-8BA5-F08D85B6657C}"/>
            </c:ext>
          </c:extLst>
        </c:ser>
        <c:ser>
          <c:idx val="1"/>
          <c:order val="1"/>
          <c:tx>
            <c:strRef>
              <c:f>[181225.xlsx]Charts!$B$25</c:f>
              <c:strCache>
                <c:ptCount val="1"/>
                <c:pt idx="0">
                  <c:v>Cash ratio</c:v>
                </c:pt>
              </c:strCache>
            </c:strRef>
          </c:tx>
          <c:spPr>
            <a:ln w="28575" cap="rnd">
              <a:solidFill>
                <a:srgbClr val="E3008C"/>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[181225.xlsx]Charts!$C$23:$G$23</c:f>
              <c:numCache>
                <c:formatCode>General</c:formatCode>
                <c:ptCount val="5"/>
                <c:pt idx="0">
                  <c:v>2020</c:v>
                </c:pt>
                <c:pt idx="1">
                  <c:v>2021</c:v>
                </c:pt>
                <c:pt idx="2">
                  <c:v>2022</c:v>
                </c:pt>
                <c:pt idx="3">
                  <c:v>2023</c:v>
                </c:pt>
                <c:pt idx="4">
                  <c:v>2024</c:v>
                </c:pt>
              </c:numCache>
            </c:numRef>
          </c:cat>
          <c:val>
            <c:numRef>
              <c:f>[181225.xlsx]Charts!$C$25:$G$25</c:f>
              <c:numCache>
                <c:formatCode>0.00_ </c:formatCode>
                <c:ptCount val="5"/>
                <c:pt idx="0">
                  <c:v>0.31838337697064201</c:v>
                </c:pt>
                <c:pt idx="1">
                  <c:v>0.28051958835169999</c:v>
                </c:pt>
                <c:pt idx="2">
                  <c:v>0.30830634767384402</c:v>
                </c:pt>
                <c:pt idx="3">
                  <c:v>0.26529029215379701</c:v>
                </c:pt>
                <c:pt idx="4">
                  <c:v>0.169201028485511</c:v>
                </c:pt>
              </c:numCache>
            </c:numRef>
          </c:val>
          <c:smooth val="0"/>
          <c:extLst>
            <c:ext xmlns:c16="http://schemas.microsoft.com/office/drawing/2014/chart" uri="{C3380CC4-5D6E-409C-BE32-E72D297353CC}">
              <c16:uniqueId val="{00000001-283E-4E3B-8BA5-F08D85B6657C}"/>
            </c:ext>
          </c:extLst>
        </c:ser>
        <c:dLbls>
          <c:showLegendKey val="0"/>
          <c:showVal val="1"/>
          <c:showCatName val="0"/>
          <c:showSerName val="0"/>
          <c:showPercent val="0"/>
          <c:showBubbleSize val="0"/>
        </c:dLbls>
        <c:smooth val="0"/>
        <c:axId val="747977570"/>
        <c:axId val="63502542"/>
      </c:lineChart>
      <c:catAx>
        <c:axId val="74797757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3502542"/>
        <c:crosses val="autoZero"/>
        <c:auto val="1"/>
        <c:lblAlgn val="ctr"/>
        <c:lblOffset val="100"/>
        <c:noMultiLvlLbl val="0"/>
      </c:catAx>
      <c:valAx>
        <c:axId val="63502542"/>
        <c:scaling>
          <c:orientation val="minMax"/>
        </c:scaling>
        <c:delete val="0"/>
        <c:axPos val="l"/>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747977570"/>
        <c:crosses val="autoZero"/>
        <c:crossBetween val="between"/>
      </c:valAx>
      <c:spPr>
        <a:noFill/>
        <a:ln>
          <a:noFill/>
        </a:ln>
        <a:effectLst/>
      </c:spPr>
    </c:plotArea>
    <c:legend>
      <c:legendPos val="r"/>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uri="{0b15fc19-7d7d-44ad-8c2d-2c3a37ce22c3}">
        <chartProps xmlns="https://web.wps.cn/et/2018/main" chartId="{557fc6c2-fe3e-4204-8bb0-349a661595e6}"/>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r>
              <a:rPr lang="en-US"/>
              <a:t>Cash Operating Cycle</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cked"/>
        <c:varyColors val="0"/>
        <c:ser>
          <c:idx val="0"/>
          <c:order val="0"/>
          <c:tx>
            <c:strRef>
              <c:f>[181225.xlsx]Charts!$B$28</c:f>
              <c:strCache>
                <c:ptCount val="1"/>
                <c:pt idx="0">
                  <c:v>Inventory days</c:v>
                </c:pt>
              </c:strCache>
            </c:strRef>
          </c:tx>
          <c:spPr>
            <a:ln w="28575" cap="rnd">
              <a:solidFill>
                <a:srgbClr val="637CEF"/>
              </a:solidFill>
              <a:round/>
            </a:ln>
            <a:effectLst>
              <a:outerShdw blurRad="50800" dist="25400" dir="5400000" algn="t" rotWithShape="0">
                <a:srgbClr val="637CEF">
                  <a:lumMod val="50000"/>
                  <a:alpha val="30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[181225.xlsx]Charts!$C$27:$G$27</c:f>
              <c:numCache>
                <c:formatCode>General</c:formatCode>
                <c:ptCount val="5"/>
                <c:pt idx="0">
                  <c:v>2020</c:v>
                </c:pt>
                <c:pt idx="1">
                  <c:v>2021</c:v>
                </c:pt>
                <c:pt idx="2">
                  <c:v>2022</c:v>
                </c:pt>
                <c:pt idx="3">
                  <c:v>2023</c:v>
                </c:pt>
                <c:pt idx="4">
                  <c:v>2024</c:v>
                </c:pt>
              </c:numCache>
            </c:numRef>
          </c:cat>
          <c:val>
            <c:numRef>
              <c:f>[181225.xlsx]Charts!$C$28:$G$28</c:f>
              <c:numCache>
                <c:formatCode>0_ </c:formatCode>
                <c:ptCount val="5"/>
                <c:pt idx="0">
                  <c:v>106.105202954218</c:v>
                </c:pt>
                <c:pt idx="1">
                  <c:v>108.540800446118</c:v>
                </c:pt>
                <c:pt idx="2">
                  <c:v>128.37103255399401</c:v>
                </c:pt>
                <c:pt idx="3">
                  <c:v>129.12122131825299</c:v>
                </c:pt>
                <c:pt idx="4">
                  <c:v>108.91329191662101</c:v>
                </c:pt>
              </c:numCache>
            </c:numRef>
          </c:val>
          <c:smooth val="0"/>
          <c:extLst>
            <c:ext xmlns:c16="http://schemas.microsoft.com/office/drawing/2014/chart" uri="{C3380CC4-5D6E-409C-BE32-E72D297353CC}">
              <c16:uniqueId val="{00000000-6324-4867-80F0-DF32EE3C1D15}"/>
            </c:ext>
          </c:extLst>
        </c:ser>
        <c:ser>
          <c:idx val="1"/>
          <c:order val="1"/>
          <c:tx>
            <c:strRef>
              <c:f>[181225.xlsx]Charts!$B$29</c:f>
              <c:strCache>
                <c:ptCount val="1"/>
                <c:pt idx="0">
                  <c:v>Receivable days</c:v>
                </c:pt>
              </c:strCache>
            </c:strRef>
          </c:tx>
          <c:spPr>
            <a:ln w="28575" cap="rnd">
              <a:solidFill>
                <a:srgbClr val="E3008C"/>
              </a:solidFill>
              <a:round/>
            </a:ln>
            <a:effectLst>
              <a:outerShdw blurRad="50800" dist="25400" dir="5400000" algn="t" rotWithShape="0">
                <a:srgbClr val="E3008C">
                  <a:lumMod val="50000"/>
                  <a:alpha val="30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[181225.xlsx]Charts!$C$27:$G$27</c:f>
              <c:numCache>
                <c:formatCode>General</c:formatCode>
                <c:ptCount val="5"/>
                <c:pt idx="0">
                  <c:v>2020</c:v>
                </c:pt>
                <c:pt idx="1">
                  <c:v>2021</c:v>
                </c:pt>
                <c:pt idx="2">
                  <c:v>2022</c:v>
                </c:pt>
                <c:pt idx="3">
                  <c:v>2023</c:v>
                </c:pt>
                <c:pt idx="4">
                  <c:v>2024</c:v>
                </c:pt>
              </c:numCache>
            </c:numRef>
          </c:cat>
          <c:val>
            <c:numRef>
              <c:f>[181225.xlsx]Charts!$C$29:$G$29</c:f>
              <c:numCache>
                <c:formatCode>0_ </c:formatCode>
                <c:ptCount val="5"/>
                <c:pt idx="0">
                  <c:v>76.857950478297695</c:v>
                </c:pt>
                <c:pt idx="1">
                  <c:v>78.396473083533607</c:v>
                </c:pt>
                <c:pt idx="2">
                  <c:v>75.552675167802505</c:v>
                </c:pt>
                <c:pt idx="3">
                  <c:v>97.744929921490197</c:v>
                </c:pt>
                <c:pt idx="4">
                  <c:v>105.542280040215</c:v>
                </c:pt>
              </c:numCache>
            </c:numRef>
          </c:val>
          <c:smooth val="0"/>
          <c:extLst>
            <c:ext xmlns:c16="http://schemas.microsoft.com/office/drawing/2014/chart" uri="{C3380CC4-5D6E-409C-BE32-E72D297353CC}">
              <c16:uniqueId val="{00000001-6324-4867-80F0-DF32EE3C1D15}"/>
            </c:ext>
          </c:extLst>
        </c:ser>
        <c:ser>
          <c:idx val="2"/>
          <c:order val="2"/>
          <c:tx>
            <c:strRef>
              <c:f>[181225.xlsx]Charts!$B$30</c:f>
              <c:strCache>
                <c:ptCount val="1"/>
                <c:pt idx="0">
                  <c:v>Payable days</c:v>
                </c:pt>
              </c:strCache>
            </c:strRef>
          </c:tx>
          <c:spPr>
            <a:ln w="28575" cap="rnd">
              <a:solidFill>
                <a:srgbClr val="2AA0A4"/>
              </a:solidFill>
              <a:round/>
            </a:ln>
            <a:effectLst>
              <a:outerShdw blurRad="50800" dist="25400" dir="5400000" algn="t" rotWithShape="0">
                <a:srgbClr val="2AA0A4">
                  <a:lumMod val="50000"/>
                  <a:alpha val="30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[181225.xlsx]Charts!$C$27:$G$27</c:f>
              <c:numCache>
                <c:formatCode>General</c:formatCode>
                <c:ptCount val="5"/>
                <c:pt idx="0">
                  <c:v>2020</c:v>
                </c:pt>
                <c:pt idx="1">
                  <c:v>2021</c:v>
                </c:pt>
                <c:pt idx="2">
                  <c:v>2022</c:v>
                </c:pt>
                <c:pt idx="3">
                  <c:v>2023</c:v>
                </c:pt>
                <c:pt idx="4">
                  <c:v>2024</c:v>
                </c:pt>
              </c:numCache>
            </c:numRef>
          </c:cat>
          <c:val>
            <c:numRef>
              <c:f>[181225.xlsx]Charts!$C$30:$G$30</c:f>
              <c:numCache>
                <c:formatCode>0_ </c:formatCode>
                <c:ptCount val="5"/>
                <c:pt idx="0">
                  <c:v>69.290424338083696</c:v>
                </c:pt>
                <c:pt idx="1">
                  <c:v>78.952777272239402</c:v>
                </c:pt>
                <c:pt idx="2">
                  <c:v>66.719284227025099</c:v>
                </c:pt>
                <c:pt idx="3">
                  <c:v>64.469614149403697</c:v>
                </c:pt>
                <c:pt idx="4">
                  <c:v>93.601705324242999</c:v>
                </c:pt>
              </c:numCache>
            </c:numRef>
          </c:val>
          <c:smooth val="0"/>
          <c:extLst>
            <c:ext xmlns:c16="http://schemas.microsoft.com/office/drawing/2014/chart" uri="{C3380CC4-5D6E-409C-BE32-E72D297353CC}">
              <c16:uniqueId val="{00000002-6324-4867-80F0-DF32EE3C1D15}"/>
            </c:ext>
          </c:extLst>
        </c:ser>
        <c:ser>
          <c:idx val="3"/>
          <c:order val="3"/>
          <c:tx>
            <c:strRef>
              <c:f>[181225.xlsx]Charts!$B$31</c:f>
              <c:strCache>
                <c:ptCount val="1"/>
                <c:pt idx="0">
                  <c:v>Cash Operating Cycle</c:v>
                </c:pt>
              </c:strCache>
            </c:strRef>
          </c:tx>
          <c:spPr>
            <a:ln w="28575" cap="rnd">
              <a:solidFill>
                <a:srgbClr val="9373C0"/>
              </a:solidFill>
              <a:round/>
            </a:ln>
            <a:effectLst>
              <a:outerShdw blurRad="50800" dist="25400" dir="5400000" algn="t" rotWithShape="0">
                <a:srgbClr val="9373C0">
                  <a:lumMod val="50000"/>
                  <a:alpha val="30000"/>
                </a:srgbClr>
              </a:outerShdw>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dk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[181225.xlsx]Charts!$C$27:$G$27</c:f>
              <c:numCache>
                <c:formatCode>General</c:formatCode>
                <c:ptCount val="5"/>
                <c:pt idx="0">
                  <c:v>2020</c:v>
                </c:pt>
                <c:pt idx="1">
                  <c:v>2021</c:v>
                </c:pt>
                <c:pt idx="2">
                  <c:v>2022</c:v>
                </c:pt>
                <c:pt idx="3">
                  <c:v>2023</c:v>
                </c:pt>
                <c:pt idx="4">
                  <c:v>2024</c:v>
                </c:pt>
              </c:numCache>
            </c:numRef>
          </c:cat>
          <c:val>
            <c:numRef>
              <c:f>[181225.xlsx]Charts!$C$31:$G$31</c:f>
              <c:numCache>
                <c:formatCode>0_ </c:formatCode>
                <c:ptCount val="5"/>
                <c:pt idx="0">
                  <c:v>113.672729094432</c:v>
                </c:pt>
                <c:pt idx="1">
                  <c:v>107.984496257412</c:v>
                </c:pt>
                <c:pt idx="2">
                  <c:v>137.20442349477199</c:v>
                </c:pt>
                <c:pt idx="3">
                  <c:v>162.39653709033999</c:v>
                </c:pt>
                <c:pt idx="4">
                  <c:v>120.853866632593</c:v>
                </c:pt>
              </c:numCache>
            </c:numRef>
          </c:val>
          <c:smooth val="0"/>
          <c:extLst>
            <c:ext xmlns:c16="http://schemas.microsoft.com/office/drawing/2014/chart" uri="{C3380CC4-5D6E-409C-BE32-E72D297353CC}">
              <c16:uniqueId val="{00000003-6324-4867-80F0-DF32EE3C1D15}"/>
            </c:ext>
          </c:extLst>
        </c:ser>
        <c:dLbls>
          <c:showLegendKey val="0"/>
          <c:showVal val="1"/>
          <c:showCatName val="0"/>
          <c:showSerName val="0"/>
          <c:showPercent val="0"/>
          <c:showBubbleSize val="0"/>
        </c:dLbls>
        <c:smooth val="0"/>
        <c:axId val="86225359"/>
        <c:axId val="615025436"/>
      </c:lineChart>
      <c:catAx>
        <c:axId val="86225359"/>
        <c:scaling>
          <c:orientation val="minMax"/>
        </c:scaling>
        <c:delete val="0"/>
        <c:axPos val="b"/>
        <c:numFmt formatCode="General"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crossAx val="615025436"/>
        <c:crosses val="autoZero"/>
        <c:auto val="1"/>
        <c:lblAlgn val="ctr"/>
        <c:lblOffset val="100"/>
        <c:noMultiLvlLbl val="0"/>
      </c:catAx>
      <c:valAx>
        <c:axId val="615025436"/>
        <c:scaling>
          <c:orientation val="minMax"/>
        </c:scaling>
        <c:delete val="1"/>
        <c:axPos val="l"/>
        <c:numFmt formatCode="0_ " sourceLinked="1"/>
        <c:majorTickMark val="none"/>
        <c:minorTickMark val="none"/>
        <c:tickLblPos val="nextTo"/>
        <c:crossAx val="86225359"/>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extLst>
      <c:ext uri="{0b15fc19-7d7d-44ad-8c2d-2c3a37ce22c3}">
        <chartProps xmlns="https://web.wps.cn/et/2018/main" chartId="{a1949f08-392e-427f-8038-6aac3cba92bf}"/>
      </c:ext>
    </c:extLst>
  </c:chart>
  <c:spPr>
    <a:solidFill>
      <a:schemeClr val="lt1">
        <a:lumMod val="96000"/>
      </a:schemeClr>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r>
              <a:rPr lang="en-IN"/>
              <a:t>IAT</a:t>
            </a:r>
          </a:p>
        </c:rich>
      </c:tx>
      <c:overlay val="0"/>
      <c:spPr>
        <a:noFill/>
        <a:ln>
          <a:noFill/>
        </a:ln>
        <a:effectLst/>
      </c:spPr>
      <c:txPr>
        <a:bodyPr rot="0" spcFirstLastPara="0" vertOverflow="ellipsis" vert="horz" wrap="square" anchor="ctr" anchorCtr="1"/>
        <a:lstStyle/>
        <a:p>
          <a:pPr defTabSz="914400">
            <a:defRPr lang="en-US" sz="1400" b="1" i="0" u="none" strike="noStrike" kern="1200" baseline="0">
              <a:solidFill>
                <a:schemeClr val="dk1">
                  <a:lumMod val="75000"/>
                  <a:lumOff val="25000"/>
                </a:schemeClr>
              </a:solidFill>
              <a:latin typeface="+mn-lt"/>
              <a:ea typeface="+mn-ea"/>
              <a:cs typeface="+mn-cs"/>
            </a:defRPr>
          </a:pPr>
          <a:endParaRPr lang="en-IN"/>
        </a:p>
      </c:txPr>
    </c:title>
    <c:autoTitleDeleted val="0"/>
    <c:plotArea>
      <c:layout/>
      <c:barChart>
        <c:barDir val="col"/>
        <c:grouping val="clustered"/>
        <c:varyColors val="0"/>
        <c:ser>
          <c:idx val="0"/>
          <c:order val="0"/>
          <c:tx>
            <c:strRef>
              <c:f>[181225.xlsx]Charts!$C$34</c:f>
              <c:strCache>
                <c:ptCount val="1"/>
                <c:pt idx="0">
                  <c:v>A</c:v>
                </c:pt>
              </c:strCache>
            </c:strRef>
          </c:tx>
          <c:spPr>
            <a:gradFill>
              <a:gsLst>
                <a:gs pos="100000">
                  <a:schemeClr val="accent1"/>
                </a:gs>
                <a:gs pos="0">
                  <a:schemeClr val="accent1">
                    <a:hueOff val="-1670000"/>
                  </a:schemeClr>
                </a:gs>
              </a:gsLst>
              <a:lin ang="5400000" scaled="0"/>
            </a:gradFill>
            <a:ln>
              <a:gradFill>
                <a:gsLst>
                  <a:gs pos="100000">
                    <a:schemeClr val="accent1">
                      <a:lumMod val="75000"/>
                    </a:schemeClr>
                  </a:gs>
                  <a:gs pos="0">
                    <a:schemeClr val="accent1">
                      <a:lumMod val="75000"/>
                      <a:hueOff val="-1670000"/>
                    </a:schemeClr>
                  </a:gs>
                </a:gsLst>
                <a:lin ang="5280000" scaled="0"/>
              </a:gradFill>
            </a:ln>
            <a:effectLst/>
          </c:spPr>
          <c:invertIfNegative val="0"/>
          <c:cat>
            <c:strRef>
              <c:f>[181225.xlsx]Charts!$B$35:$B$39</c:f>
              <c:strCache>
                <c:ptCount val="5"/>
                <c:pt idx="0">
                  <c:v>Payback Period</c:v>
                </c:pt>
                <c:pt idx="1">
                  <c:v>ARR</c:v>
                </c:pt>
                <c:pt idx="2">
                  <c:v>NPV (£ million)</c:v>
                </c:pt>
                <c:pt idx="3">
                  <c:v>PI</c:v>
                </c:pt>
                <c:pt idx="4">
                  <c:v>IRR</c:v>
                </c:pt>
              </c:strCache>
            </c:strRef>
          </c:cat>
          <c:val>
            <c:numRef>
              <c:f>[181225.xlsx]Charts!$C$35:$C$39</c:f>
              <c:numCache>
                <c:formatCode>0%</c:formatCode>
                <c:ptCount val="5"/>
                <c:pt idx="0" formatCode="General">
                  <c:v>3.4</c:v>
                </c:pt>
                <c:pt idx="1">
                  <c:v>7.0000000000000007E-2</c:v>
                </c:pt>
                <c:pt idx="2" formatCode="General">
                  <c:v>1.32</c:v>
                </c:pt>
                <c:pt idx="3" formatCode="General">
                  <c:v>1.03</c:v>
                </c:pt>
                <c:pt idx="4" formatCode="0.00%">
                  <c:v>0.1133</c:v>
                </c:pt>
              </c:numCache>
            </c:numRef>
          </c:val>
          <c:extLst>
            <c:ext xmlns:c16="http://schemas.microsoft.com/office/drawing/2014/chart" uri="{C3380CC4-5D6E-409C-BE32-E72D297353CC}">
              <c16:uniqueId val="{00000000-22A2-4526-A3E7-181C51812C56}"/>
            </c:ext>
          </c:extLst>
        </c:ser>
        <c:ser>
          <c:idx val="1"/>
          <c:order val="1"/>
          <c:tx>
            <c:strRef>
              <c:f>[181225.xlsx]Charts!$D$34</c:f>
              <c:strCache>
                <c:ptCount val="1"/>
                <c:pt idx="0">
                  <c:v>B</c:v>
                </c:pt>
              </c:strCache>
            </c:strRef>
          </c:tx>
          <c:spPr>
            <a:gradFill>
              <a:gsLst>
                <a:gs pos="100000">
                  <a:schemeClr val="accent2"/>
                </a:gs>
                <a:gs pos="0">
                  <a:schemeClr val="accent2">
                    <a:hueOff val="-1670000"/>
                  </a:schemeClr>
                </a:gs>
              </a:gsLst>
              <a:lin ang="5400000" scaled="0"/>
            </a:gradFill>
            <a:ln>
              <a:gradFill>
                <a:gsLst>
                  <a:gs pos="100000">
                    <a:schemeClr val="accent2">
                      <a:lumMod val="75000"/>
                    </a:schemeClr>
                  </a:gs>
                  <a:gs pos="0">
                    <a:schemeClr val="accent2">
                      <a:lumMod val="75000"/>
                      <a:hueOff val="-1670000"/>
                    </a:schemeClr>
                  </a:gs>
                </a:gsLst>
                <a:lin ang="5280000" scaled="0"/>
              </a:gradFill>
            </a:ln>
            <a:effectLst/>
          </c:spPr>
          <c:invertIfNegative val="0"/>
          <c:cat>
            <c:strRef>
              <c:f>[181225.xlsx]Charts!$B$35:$B$39</c:f>
              <c:strCache>
                <c:ptCount val="5"/>
                <c:pt idx="0">
                  <c:v>Payback Period</c:v>
                </c:pt>
                <c:pt idx="1">
                  <c:v>ARR</c:v>
                </c:pt>
                <c:pt idx="2">
                  <c:v>NPV (£ million)</c:v>
                </c:pt>
                <c:pt idx="3">
                  <c:v>PI</c:v>
                </c:pt>
                <c:pt idx="4">
                  <c:v>IRR</c:v>
                </c:pt>
              </c:strCache>
            </c:strRef>
          </c:cat>
          <c:val>
            <c:numRef>
              <c:f>[181225.xlsx]Charts!$D$35:$D$39</c:f>
              <c:numCache>
                <c:formatCode>0%</c:formatCode>
                <c:ptCount val="5"/>
                <c:pt idx="0" formatCode="General">
                  <c:v>5</c:v>
                </c:pt>
                <c:pt idx="1">
                  <c:v>0</c:v>
                </c:pt>
                <c:pt idx="2" formatCode="General">
                  <c:v>-7.26</c:v>
                </c:pt>
                <c:pt idx="3" formatCode="General">
                  <c:v>0.76</c:v>
                </c:pt>
                <c:pt idx="4">
                  <c:v>0</c:v>
                </c:pt>
              </c:numCache>
            </c:numRef>
          </c:val>
          <c:extLst>
            <c:ext xmlns:c16="http://schemas.microsoft.com/office/drawing/2014/chart" uri="{C3380CC4-5D6E-409C-BE32-E72D297353CC}">
              <c16:uniqueId val="{00000001-22A2-4526-A3E7-181C51812C56}"/>
            </c:ext>
          </c:extLst>
        </c:ser>
        <c:ser>
          <c:idx val="2"/>
          <c:order val="2"/>
          <c:tx>
            <c:strRef>
              <c:f>[181225.xlsx]Charts!$E$34</c:f>
              <c:strCache>
                <c:ptCount val="1"/>
                <c:pt idx="0">
                  <c:v>C</c:v>
                </c:pt>
              </c:strCache>
            </c:strRef>
          </c:tx>
          <c:spPr>
            <a:gradFill>
              <a:gsLst>
                <a:gs pos="100000">
                  <a:schemeClr val="accent3"/>
                </a:gs>
                <a:gs pos="0">
                  <a:schemeClr val="accent3">
                    <a:hueOff val="-1670000"/>
                  </a:schemeClr>
                </a:gs>
              </a:gsLst>
              <a:lin ang="5400000" scaled="0"/>
            </a:gradFill>
            <a:ln>
              <a:gradFill>
                <a:gsLst>
                  <a:gs pos="100000">
                    <a:schemeClr val="accent3">
                      <a:lumMod val="75000"/>
                    </a:schemeClr>
                  </a:gs>
                  <a:gs pos="0">
                    <a:schemeClr val="accent3">
                      <a:lumMod val="75000"/>
                      <a:hueOff val="-1670000"/>
                    </a:schemeClr>
                  </a:gs>
                </a:gsLst>
                <a:lin ang="5280000" scaled="0"/>
              </a:gradFill>
            </a:ln>
            <a:effectLst/>
          </c:spPr>
          <c:invertIfNegative val="0"/>
          <c:cat>
            <c:strRef>
              <c:f>[181225.xlsx]Charts!$B$35:$B$39</c:f>
              <c:strCache>
                <c:ptCount val="5"/>
                <c:pt idx="0">
                  <c:v>Payback Period</c:v>
                </c:pt>
                <c:pt idx="1">
                  <c:v>ARR</c:v>
                </c:pt>
                <c:pt idx="2">
                  <c:v>NPV (£ million)</c:v>
                </c:pt>
                <c:pt idx="3">
                  <c:v>PI</c:v>
                </c:pt>
                <c:pt idx="4">
                  <c:v>IRR</c:v>
                </c:pt>
              </c:strCache>
            </c:strRef>
          </c:cat>
          <c:val>
            <c:numRef>
              <c:f>[181225.xlsx]Charts!$E$35:$E$39</c:f>
              <c:numCache>
                <c:formatCode>0%</c:formatCode>
                <c:ptCount val="5"/>
                <c:pt idx="0" formatCode="General">
                  <c:v>3.6</c:v>
                </c:pt>
                <c:pt idx="1">
                  <c:v>0.1</c:v>
                </c:pt>
                <c:pt idx="2" formatCode="General">
                  <c:v>4.2300000000000004</c:v>
                </c:pt>
                <c:pt idx="3" formatCode="General">
                  <c:v>1.08</c:v>
                </c:pt>
                <c:pt idx="4" formatCode="0.00%">
                  <c:v>0.12720000000000001</c:v>
                </c:pt>
              </c:numCache>
            </c:numRef>
          </c:val>
          <c:extLst>
            <c:ext xmlns:c16="http://schemas.microsoft.com/office/drawing/2014/chart" uri="{C3380CC4-5D6E-409C-BE32-E72D297353CC}">
              <c16:uniqueId val="{00000002-22A2-4526-A3E7-181C51812C56}"/>
            </c:ext>
          </c:extLst>
        </c:ser>
        <c:dLbls>
          <c:showLegendKey val="0"/>
          <c:showVal val="0"/>
          <c:showCatName val="0"/>
          <c:showSerName val="0"/>
          <c:showPercent val="0"/>
          <c:showBubbleSize val="0"/>
        </c:dLbls>
        <c:gapWidth val="500"/>
        <c:overlap val="-50"/>
        <c:axId val="755608548"/>
        <c:axId val="163067897"/>
      </c:barChart>
      <c:catAx>
        <c:axId val="755608548"/>
        <c:scaling>
          <c:orientation val="minMax"/>
        </c:scaling>
        <c:delete val="0"/>
        <c:axPos val="b"/>
        <c:numFmt formatCode="General"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crossAx val="163067897"/>
        <c:crosses val="autoZero"/>
        <c:auto val="1"/>
        <c:lblAlgn val="ctr"/>
        <c:lblOffset val="100"/>
        <c:noMultiLvlLbl val="0"/>
      </c:catAx>
      <c:valAx>
        <c:axId val="16306789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crossAx val="755608548"/>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0" vertOverflow="ellipsis" vert="horz" wrap="square" anchor="ctr" anchorCtr="1"/>
          <a:lstStyle/>
          <a:p>
            <a:pPr rtl="0">
              <a:defRPr lang="en-US" sz="900" b="0" i="0" u="none" strike="noStrike" kern="1200" baseline="0">
                <a:solidFill>
                  <a:schemeClr val="dk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uri="{0b15fc19-7d7d-44ad-8c2d-2c3a37ce22c3}">
        <chartProps xmlns="https://web.wps.cn/et/2018/main" chartId="{86bbea92-72c7-4fe5-8d62-2dfd6bca35d3}"/>
      </c:ext>
    </c:extLst>
  </c:chart>
  <c:spPr>
    <a:solidFill>
      <a:schemeClr val="lt1">
        <a:lumMod val="96000"/>
      </a:schemeClr>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000">
  <a:srgbClr val="637CEF"/>
  <a:srgbClr val="E3008C"/>
  <a:srgbClr val="2AA0A4"/>
  <a:srgbClr val="9373C0"/>
  <a:srgbClr val="13A10E"/>
  <a:srgbClr val="3A96DD"/>
  <a:srgbClr val="CA5010"/>
  <a:srgbClr val="57811B"/>
  <a:srgbClr val="B146C2"/>
  <a:srgbClr val="AE8C00"/>
  <a:srgbClr val="AE8C00"/>
  <a:srgbClr val="637CEF"/>
  <a:srgbClr val="EE5FB7"/>
  <a:srgbClr val="008B94"/>
  <a:srgbClr val="D77440"/>
  <a:srgbClr val="BA58C9"/>
  <a:srgbClr val="3A96DD"/>
  <a:srgbClr val="E3008C"/>
  <a:srgbClr val="C36BD1"/>
  <a:srgbClr val="D06228"/>
  <a:srgbClr val="57811B"/>
</cs:colorStyle>
</file>

<file path=word/charts/colors2.xml><?xml version="1.0" encoding="utf-8"?>
<cs:colorStyle xmlns:cs="http://schemas.microsoft.com/office/drawing/2012/chartStyle" xmlns:a="http://schemas.openxmlformats.org/drawingml/2006/main" meth="cycle" id="10000">
  <a:srgbClr val="637CEF"/>
  <a:srgbClr val="E3008C"/>
  <a:srgbClr val="2AA0A4"/>
  <a:srgbClr val="9373C0"/>
  <a:srgbClr val="13A10E"/>
  <a:srgbClr val="3A96DD"/>
  <a:srgbClr val="CA5010"/>
  <a:srgbClr val="57811B"/>
  <a:srgbClr val="B146C2"/>
  <a:srgbClr val="AE8C00"/>
  <a:srgbClr val="AE8C00"/>
  <a:srgbClr val="637CEF"/>
  <a:srgbClr val="EE5FB7"/>
  <a:srgbClr val="008B94"/>
  <a:srgbClr val="D77440"/>
  <a:srgbClr val="BA58C9"/>
  <a:srgbClr val="3A96DD"/>
  <a:srgbClr val="E3008C"/>
  <a:srgbClr val="C36BD1"/>
  <a:srgbClr val="D06228"/>
  <a:srgbClr val="57811B"/>
</cs:colorStyle>
</file>

<file path=word/charts/colors3.xml><?xml version="1.0" encoding="utf-8"?>
<cs:colorStyle xmlns:cs="http://schemas.microsoft.com/office/drawing/2012/chartStyle" xmlns:a="http://schemas.openxmlformats.org/drawingml/2006/main" meth="cycle" id="10000">
  <a:srgbClr val="637CEF"/>
  <a:srgbClr val="E3008C"/>
  <a:srgbClr val="2AA0A4"/>
  <a:srgbClr val="9373C0"/>
  <a:srgbClr val="13A10E"/>
  <a:srgbClr val="3A96DD"/>
  <a:srgbClr val="CA5010"/>
  <a:srgbClr val="57811B"/>
  <a:srgbClr val="B146C2"/>
  <a:srgbClr val="AE8C00"/>
  <a:srgbClr val="AE8C00"/>
  <a:srgbClr val="637CEF"/>
  <a:srgbClr val="EE5FB7"/>
  <a:srgbClr val="008B94"/>
  <a:srgbClr val="D77440"/>
  <a:srgbClr val="BA58C9"/>
  <a:srgbClr val="3A96DD"/>
  <a:srgbClr val="E3008C"/>
  <a:srgbClr val="C36BD1"/>
  <a:srgbClr val="D06228"/>
  <a:srgbClr val="57811B"/>
</cs:colorStyle>
</file>

<file path=word/charts/colors4.xml><?xml version="1.0" encoding="utf-8"?>
<cs:colorStyle xmlns:cs="http://schemas.microsoft.com/office/drawing/2012/chartStyle" xmlns:a="http://schemas.openxmlformats.org/drawingml/2006/main" meth="cycle" id="10000">
  <a:srgbClr val="637CEF"/>
  <a:srgbClr val="E3008C"/>
  <a:srgbClr val="2AA0A4"/>
  <a:srgbClr val="9373C0"/>
  <a:srgbClr val="13A10E"/>
  <a:srgbClr val="3A96DD"/>
  <a:srgbClr val="CA5010"/>
  <a:srgbClr val="57811B"/>
  <a:srgbClr val="B146C2"/>
  <a:srgbClr val="AE8C00"/>
  <a:srgbClr val="AE8C00"/>
  <a:srgbClr val="637CEF"/>
  <a:srgbClr val="EE5FB7"/>
  <a:srgbClr val="008B94"/>
  <a:srgbClr val="D77440"/>
  <a:srgbClr val="BA58C9"/>
  <a:srgbClr val="3A96DD"/>
  <a:srgbClr val="E3008C"/>
  <a:srgbClr val="C36BD1"/>
  <a:srgbClr val="D06228"/>
  <a:srgbClr val="57811B"/>
</cs:colorStyle>
</file>

<file path=word/charts/colors5.xml><?xml version="1.0" encoding="utf-8"?>
<cs:colorStyle xmlns:cs="http://schemas.microsoft.com/office/drawing/2012/chartStyle" xmlns:a="http://schemas.openxmlformats.org/drawingml/2006/main" meth="cycle" id="10000">
  <a:srgbClr val="637CEF"/>
  <a:srgbClr val="E3008C"/>
  <a:srgbClr val="2AA0A4"/>
  <a:srgbClr val="9373C0"/>
  <a:srgbClr val="13A10E"/>
  <a:srgbClr val="3A96DD"/>
  <a:srgbClr val="CA5010"/>
  <a:srgbClr val="57811B"/>
  <a:srgbClr val="B146C2"/>
  <a:srgbClr val="AE8C00"/>
  <a:srgbClr val="AE8C00"/>
  <a:srgbClr val="637CEF"/>
  <a:srgbClr val="EE5FB7"/>
  <a:srgbClr val="008B94"/>
  <a:srgbClr val="D77440"/>
  <a:srgbClr val="BA58C9"/>
  <a:srgbClr val="3A96DD"/>
  <a:srgbClr val="E3008C"/>
  <a:srgbClr val="C36BD1"/>
  <a:srgbClr val="D06228"/>
  <a:srgbClr val="57811B"/>
</cs:colorStyle>
</file>

<file path=word/charts/colors6.xml><?xml version="1.0" encoding="utf-8"?>
<cs:colorStyle xmlns:cs="http://schemas.microsoft.com/office/drawing/2012/chartStyle" xmlns:a="http://schemas.openxmlformats.org/drawingml/2006/main" meth="cycle" id="10000">
  <a:srgbClr val="637CEF"/>
  <a:srgbClr val="E3008C"/>
  <a:srgbClr val="2AA0A4"/>
  <a:srgbClr val="9373C0"/>
  <a:srgbClr val="13A10E"/>
  <a:srgbClr val="3A96DD"/>
  <a:srgbClr val="CA5010"/>
  <a:srgbClr val="57811B"/>
  <a:srgbClr val="B146C2"/>
  <a:srgbClr val="AE8C00"/>
  <a:srgbClr val="AE8C00"/>
  <a:srgbClr val="637CEF"/>
  <a:srgbClr val="EE5FB7"/>
  <a:srgbClr val="008B94"/>
  <a:srgbClr val="D77440"/>
  <a:srgbClr val="BA58C9"/>
  <a:srgbClr val="3A96DD"/>
  <a:srgbClr val="E3008C"/>
  <a:srgbClr val="C36BD1"/>
  <a:srgbClr val="D06228"/>
  <a:srgbClr val="57811B"/>
</cs:colorStyle>
</file>

<file path=word/charts/colors7.xml><?xml version="1.0" encoding="utf-8"?>
<cs:colorStyle xmlns:cs="http://schemas.microsoft.com/office/drawing/2012/chartStyle" xmlns:a="http://schemas.openxmlformats.org/drawingml/2006/main" meth="cycle" id="10000">
  <a:srgbClr val="637CEF"/>
  <a:srgbClr val="E3008C"/>
  <a:srgbClr val="2AA0A4"/>
  <a:srgbClr val="9373C0"/>
  <a:srgbClr val="13A10E"/>
  <a:srgbClr val="3A96DD"/>
  <a:srgbClr val="CA5010"/>
  <a:srgbClr val="57811B"/>
  <a:srgbClr val="B146C2"/>
  <a:srgbClr val="AE8C00"/>
  <a:srgbClr val="AE8C00"/>
  <a:srgbClr val="637CEF"/>
  <a:srgbClr val="EE5FB7"/>
  <a:srgbClr val="008B94"/>
  <a:srgbClr val="D77440"/>
  <a:srgbClr val="BA58C9"/>
  <a:srgbClr val="3A96DD"/>
  <a:srgbClr val="E3008C"/>
  <a:srgbClr val="C36BD1"/>
  <a:srgbClr val="D06228"/>
  <a:srgbClr val="57811B"/>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1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3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5">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39">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44">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a:schemeClr val="dk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styleClr val="auto"/>
    </cs:effectRef>
    <cs:fontRef idx="minor">
      <a:schemeClr val="dk1"/>
    </cs:fontRef>
    <cs:spPr>
      <a:ln w="28575" cap="rnd">
        <a:solidFill>
          <a:schemeClr val="phClr"/>
        </a:solidFill>
        <a:round/>
      </a:ln>
      <a:effectLst>
        <a:outerShdw blurRad="50800" dist="25400" dir="5400000" algn="t" rotWithShape="0">
          <a:schemeClr val="phClr">
            <a:lumMod val="50000"/>
            <a:alpha val="30000"/>
          </a:schemeClr>
        </a:outerShdw>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10009">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a:schemeClr val="dk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100000">
            <a:schemeClr val="phClr"/>
          </a:gs>
          <a:gs pos="0">
            <a:schemeClr val="phClr">
              <a:hueOff val="-1670000"/>
            </a:schemeClr>
          </a:gs>
        </a:gsLst>
        <a:lin ang="5400000" scaled="0"/>
      </a:gradFill>
      <a:ln>
        <a:gradFill>
          <a:gsLst>
            <a:gs pos="100000">
              <a:schemeClr val="phClr">
                <a:lumMod val="75000"/>
              </a:schemeClr>
            </a:gs>
            <a:gs pos="0">
              <a:schemeClr val="phClr">
                <a:lumMod val="75000"/>
                <a:hueOff val="-1670000"/>
              </a:schemeClr>
            </a:gs>
          </a:gsLst>
          <a:lin ang="5280000" scaled="0"/>
        </a:gra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DE99A-DD11-45A4-80EA-07797E7C3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30</Pages>
  <Words>7752</Words>
  <Characters>44192</Characters>
  <Application>Microsoft Office Word</Application>
  <DocSecurity>0</DocSecurity>
  <Lines>368</Lines>
  <Paragraphs>103</Paragraphs>
  <ScaleCrop>false</ScaleCrop>
  <Company/>
  <LinksUpToDate>false</LinksUpToDate>
  <CharactersWithSpaces>51841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 Jignesh Jani (2504341)</dc:creator>
  <cp:keywords/>
  <dc:description/>
  <cp:lastModifiedBy>Kush Jignesh Jani (2504341)</cp:lastModifiedBy>
  <cp:revision>2</cp:revision>
  <dcterms:created xsi:type="dcterms:W3CDTF">2025-12-20T09:16:00Z</dcterms:created>
  <dcterms:modified xsi:type="dcterms:W3CDTF">2025-12-20T09:28:00Z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7afb2076-8524-47c6-bffa-a1d88fdb1051</vt:lpwstr>
  </property>
</Properties>
</file>