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Exploring the La Tène Epoch: The Geography and Expansion of the La Tène Culture</w:t>
      </w:r>
    </w:p>
    <w:p w:rsidR="00000000" w:rsidDel="00000000" w:rsidP="00000000" w:rsidRDefault="00000000" w:rsidRPr="00000000" w14:paraId="0000000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0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La Tène culture, originating from the archaeological site at Lake Neuchâtel in Switzerland, represents a pivotal era in European prehistory. Flourishing between the 5th century BCE and the 1st century CE, this period marked a profound transformation in the socio-political and artistic tapestry of ancient Europe, particularly during the Iron Age. This exploration delves into the expansive geography of the La Tène culture, providing insights into pivotal locations that significantly shaped our understanding of this captivating historical epoch.</w:t>
      </w:r>
    </w:p>
    <w:p w:rsidR="00000000" w:rsidDel="00000000" w:rsidP="00000000" w:rsidRDefault="00000000" w:rsidRPr="00000000" w14:paraId="0000000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05">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Geographic Reach:</w:t>
      </w:r>
    </w:p>
    <w:p w:rsidR="00000000" w:rsidDel="00000000" w:rsidP="00000000" w:rsidRDefault="00000000" w:rsidRPr="00000000" w14:paraId="00000006">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p>
    <w:p w:rsidR="00000000" w:rsidDel="00000000" w:rsidP="00000000" w:rsidRDefault="00000000" w:rsidRPr="00000000" w14:paraId="00000007">
      <w:pPr>
        <w:rPr>
          <w:rFonts w:ascii="Calibri" w:cs="Calibri" w:eastAsia="Calibri" w:hAnsi="Calibri"/>
          <w:sz w:val="24"/>
          <w:szCs w:val="24"/>
          <w:highlight w:val="yellow"/>
        </w:rPr>
      </w:pPr>
      <w:r w:rsidDel="00000000" w:rsidR="00000000" w:rsidRPr="00000000">
        <w:rPr>
          <w:rFonts w:ascii="Calibri" w:cs="Calibri" w:eastAsia="Calibri" w:hAnsi="Calibri"/>
          <w:sz w:val="24"/>
          <w:szCs w:val="24"/>
          <w:rtl w:val="0"/>
        </w:rPr>
        <w:t xml:space="preserve">The heartland of the La Tène culture stretched extensively, spanning from the British Isles in the west to the Hungarian Plain in the east and from the North Sea in the north to the Alps in the south</w:t>
      </w:r>
      <w:r w:rsidDel="00000000" w:rsidR="00000000" w:rsidRPr="00000000">
        <w:rPr>
          <w:rFonts w:ascii="Calibri" w:cs="Calibri" w:eastAsia="Calibri" w:hAnsi="Calibri"/>
          <w:sz w:val="40"/>
          <w:szCs w:val="40"/>
          <w:vertAlign w:val="superscript"/>
          <w:rtl w:val="0"/>
        </w:rPr>
        <w:t xml:space="preserve">[1]</w:t>
      </w:r>
      <w:r w:rsidDel="00000000" w:rsidR="00000000" w:rsidRPr="00000000">
        <w:rPr>
          <w:rFonts w:ascii="Calibri" w:cs="Calibri" w:eastAsia="Calibri" w:hAnsi="Calibri"/>
          <w:sz w:val="24"/>
          <w:szCs w:val="24"/>
          <w:rtl w:val="0"/>
        </w:rPr>
        <w:t xml:space="preserve">. This vast expanse nurtured diverse developments and distinctive variations across various La Tène sites. In Central Europe, including present-day Switzerland, Austria, and the Czech Republic, the La Tène site emerged as a beacon, revealing a trove of artifacts such as weapons, jewellery, and pottery dating back to the mid-19th century</w:t>
      </w:r>
      <w:r w:rsidDel="00000000" w:rsidR="00000000" w:rsidRPr="00000000">
        <w:rPr>
          <w:rFonts w:ascii="Calibri" w:cs="Calibri" w:eastAsia="Calibri" w:hAnsi="Calibri"/>
          <w:sz w:val="40"/>
          <w:szCs w:val="40"/>
          <w:vertAlign w:val="superscript"/>
          <w:rtl w:val="0"/>
        </w:rPr>
        <w:t xml:space="preserve">[2]</w:t>
      </w:r>
      <w:r w:rsidDel="00000000" w:rsidR="00000000" w:rsidRPr="00000000">
        <w:rPr>
          <w:rFonts w:ascii="Calibri" w:cs="Calibri" w:eastAsia="Calibri" w:hAnsi="Calibri"/>
          <w:sz w:val="24"/>
          <w:szCs w:val="24"/>
          <w:rtl w:val="0"/>
        </w:rPr>
        <w:t xml:space="preserve">.</w:t>
      </w:r>
      <w:r w:rsidDel="00000000" w:rsidR="00000000" w:rsidRPr="00000000">
        <w:rPr>
          <w:rtl w:val="0"/>
        </w:rPr>
      </w:r>
    </w:p>
    <w:p w:rsidR="00000000" w:rsidDel="00000000" w:rsidP="00000000" w:rsidRDefault="00000000" w:rsidRPr="00000000" w14:paraId="00000008">
      <w:pPr>
        <w:rPr>
          <w:rFonts w:ascii="Calibri" w:cs="Calibri" w:eastAsia="Calibri" w:hAnsi="Calibri"/>
          <w:sz w:val="24"/>
          <w:szCs w:val="24"/>
          <w:highlight w:val="yellow"/>
        </w:rPr>
      </w:pPr>
      <w:r w:rsidDel="00000000" w:rsidR="00000000" w:rsidRPr="00000000">
        <w:rPr>
          <w:rtl w:val="0"/>
        </w:rPr>
      </w:r>
    </w:p>
    <w:p w:rsidR="00000000" w:rsidDel="00000000" w:rsidP="00000000" w:rsidRDefault="00000000" w:rsidRPr="00000000" w14:paraId="00000009">
      <w:pPr>
        <w:rPr>
          <w:rFonts w:ascii="Calibri" w:cs="Calibri" w:eastAsia="Calibri" w:hAnsi="Calibri"/>
          <w:color w:val="0f0f0f"/>
          <w:sz w:val="24"/>
          <w:szCs w:val="24"/>
        </w:rPr>
      </w:pPr>
      <w:r w:rsidDel="00000000" w:rsidR="00000000" w:rsidRPr="00000000">
        <w:rPr>
          <w:rFonts w:ascii="Calibri" w:cs="Calibri" w:eastAsia="Calibri" w:hAnsi="Calibri"/>
          <w:color w:val="0f0f0f"/>
          <w:sz w:val="24"/>
          <w:szCs w:val="24"/>
          <w:rtl w:val="0"/>
        </w:rPr>
        <w:t xml:space="preserve">Quotations:</w:t>
      </w:r>
    </w:p>
    <w:p w:rsidR="00000000" w:rsidDel="00000000" w:rsidP="00000000" w:rsidRDefault="00000000" w:rsidRPr="00000000" w14:paraId="0000000A">
      <w:pPr>
        <w:rPr>
          <w:rFonts w:ascii="Calibri" w:cs="Calibri" w:eastAsia="Calibri" w:hAnsi="Calibri"/>
          <w:sz w:val="24"/>
          <w:szCs w:val="24"/>
        </w:rPr>
      </w:pPr>
      <w:r w:rsidDel="00000000" w:rsidR="00000000" w:rsidRPr="00000000">
        <w:rPr>
          <w:rFonts w:ascii="Calibri" w:cs="Calibri" w:eastAsia="Calibri" w:hAnsi="Calibri"/>
          <w:color w:val="0f0f0f"/>
          <w:sz w:val="24"/>
          <w:szCs w:val="24"/>
          <w:rtl w:val="0"/>
        </w:rPr>
        <w:t xml:space="preserve">As Sir Barry Cunliffe notes, "The La Tène culture was not a monolithic entity but a complex tapestry of interconnected communities with distinctive regional characteristics"</w:t>
      </w:r>
      <w:r w:rsidDel="00000000" w:rsidR="00000000" w:rsidRPr="00000000">
        <w:rPr>
          <w:rFonts w:ascii="Calibri" w:cs="Calibri" w:eastAsia="Calibri" w:hAnsi="Calibri"/>
          <w:sz w:val="40"/>
          <w:szCs w:val="40"/>
          <w:vertAlign w:val="superscript"/>
          <w:rtl w:val="0"/>
        </w:rPr>
        <w:t xml:space="preserve">[1]</w:t>
      </w:r>
      <w:r w:rsidDel="00000000" w:rsidR="00000000" w:rsidRPr="00000000">
        <w:rPr>
          <w:rFonts w:ascii="Calibri" w:cs="Calibri" w:eastAsia="Calibri" w:hAnsi="Calibri"/>
          <w:color w:val="0f0f0f"/>
          <w:sz w:val="24"/>
          <w:szCs w:val="24"/>
          <w:rtl w:val="0"/>
        </w:rPr>
        <w:t xml:space="preserve">. This emphasizes the dynamic nature of the La Tène world, where local adaptations and interactions played a pivotal role in shaping the overall cultural landscape. Historian Dr. Miranda Green further amplifies this sentiment, stating, "From the misty shores of Ireland to the vast plains of Hungary, the La Tène people navigated diverse environments, leaving their mark on the archaeological record in a myriad of ways"</w:t>
      </w:r>
      <w:r w:rsidDel="00000000" w:rsidR="00000000" w:rsidRPr="00000000">
        <w:rPr>
          <w:rFonts w:ascii="Calibri" w:cs="Calibri" w:eastAsia="Calibri" w:hAnsi="Calibri"/>
          <w:sz w:val="40"/>
          <w:szCs w:val="40"/>
          <w:vertAlign w:val="superscript"/>
          <w:rtl w:val="0"/>
        </w:rPr>
        <w:t xml:space="preserve">[2]</w:t>
      </w:r>
      <w:r w:rsidDel="00000000" w:rsidR="00000000" w:rsidRPr="00000000">
        <w:rPr>
          <w:rFonts w:ascii="Calibri" w:cs="Calibri" w:eastAsia="Calibri" w:hAnsi="Calibri"/>
          <w:color w:val="0f0f0f"/>
          <w:sz w:val="24"/>
          <w:szCs w:val="24"/>
          <w:rtl w:val="0"/>
        </w:rPr>
        <w:t xml:space="preserve">. This underscores the significance of considering regional nuances when delving into the study of the La Tène culture.</w:t>
      </w:r>
      <w:r w:rsidDel="00000000" w:rsidR="00000000" w:rsidRPr="00000000">
        <w:rPr>
          <w:rtl w:val="0"/>
        </w:rPr>
      </w:r>
    </w:p>
    <w:p w:rsidR="00000000" w:rsidDel="00000000" w:rsidP="00000000" w:rsidRDefault="00000000" w:rsidRPr="00000000" w14:paraId="0000000B">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w:t>
      </w:r>
    </w:p>
    <w:p w:rsidR="00000000" w:rsidDel="00000000" w:rsidP="00000000" w:rsidRDefault="00000000" w:rsidRPr="00000000" w14:paraId="0000000C">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Noteworthy Locations:</w:t>
      </w:r>
    </w:p>
    <w:p w:rsidR="00000000" w:rsidDel="00000000" w:rsidP="00000000" w:rsidRDefault="00000000" w:rsidRPr="00000000" w14:paraId="0000000D">
      <w:pPr>
        <w:numPr>
          <w:ilvl w:val="0"/>
          <w:numId w:val="1"/>
        </w:numPr>
        <w:ind w:left="720" w:hanging="360"/>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Glastonbury, England:</w:t>
      </w:r>
      <w:r w:rsidDel="00000000" w:rsidR="00000000" w:rsidRPr="00000000">
        <w:rPr>
          <w:rFonts w:ascii="Calibri" w:cs="Calibri" w:eastAsia="Calibri" w:hAnsi="Calibri"/>
          <w:sz w:val="24"/>
          <w:szCs w:val="24"/>
          <w:rtl w:val="0"/>
        </w:rPr>
        <w:t xml:space="preserve"> Renowned for its rich artifacts, including metalwork and wooden structures, Glastonbury offers a glimpse into the vibrant society of Iron Age Britain</w:t>
      </w:r>
      <w:r w:rsidDel="00000000" w:rsidR="00000000" w:rsidRPr="00000000">
        <w:rPr>
          <w:rFonts w:ascii="Calibri" w:cs="Calibri" w:eastAsia="Calibri" w:hAnsi="Calibri"/>
          <w:sz w:val="40"/>
          <w:szCs w:val="40"/>
          <w:vertAlign w:val="superscript"/>
          <w:rtl w:val="0"/>
        </w:rPr>
        <w:t xml:space="preserve">[3]</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0E">
      <w:pPr>
        <w:numPr>
          <w:ilvl w:val="0"/>
          <w:numId w:val="1"/>
        </w:numPr>
        <w:ind w:left="720" w:hanging="360"/>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Manching, Germany:</w:t>
      </w:r>
      <w:r w:rsidDel="00000000" w:rsidR="00000000" w:rsidRPr="00000000">
        <w:rPr>
          <w:rFonts w:ascii="Calibri" w:cs="Calibri" w:eastAsia="Calibri" w:hAnsi="Calibri"/>
          <w:sz w:val="24"/>
          <w:szCs w:val="24"/>
          <w:rtl w:val="0"/>
        </w:rPr>
        <w:t xml:space="preserve"> Nestled in Bavaria, Manching stands as a significant La Tène settlement, with archaeological findings revealing elaborate fortifications indicative of a complex social structure and strategic considerations</w:t>
      </w:r>
      <w:r w:rsidDel="00000000" w:rsidR="00000000" w:rsidRPr="00000000">
        <w:rPr>
          <w:rFonts w:ascii="Calibri" w:cs="Calibri" w:eastAsia="Calibri" w:hAnsi="Calibri"/>
          <w:sz w:val="40"/>
          <w:szCs w:val="40"/>
          <w:vertAlign w:val="superscript"/>
          <w:rtl w:val="0"/>
        </w:rPr>
        <w:t xml:space="preserve">[4]</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0F">
      <w:pPr>
        <w:numPr>
          <w:ilvl w:val="0"/>
          <w:numId w:val="1"/>
        </w:numPr>
        <w:ind w:left="720" w:hanging="360"/>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Bibracte, France:</w:t>
      </w:r>
      <w:r w:rsidDel="00000000" w:rsidR="00000000" w:rsidRPr="00000000">
        <w:rPr>
          <w:rFonts w:ascii="Calibri" w:cs="Calibri" w:eastAsia="Calibri" w:hAnsi="Calibri"/>
          <w:sz w:val="24"/>
          <w:szCs w:val="24"/>
          <w:rtl w:val="0"/>
        </w:rPr>
        <w:t xml:space="preserve"> Serving as a political and economic hub in the Morvan region, Bibracte's fortifications and artifacts provide evidence of a thriving community engaged in trade and cultural exchange</w:t>
      </w:r>
      <w:r w:rsidDel="00000000" w:rsidR="00000000" w:rsidRPr="00000000">
        <w:rPr>
          <w:rFonts w:ascii="Calibri" w:cs="Calibri" w:eastAsia="Calibri" w:hAnsi="Calibri"/>
          <w:sz w:val="40"/>
          <w:szCs w:val="40"/>
          <w:vertAlign w:val="superscript"/>
          <w:rtl w:val="0"/>
        </w:rPr>
        <w:t xml:space="preserve">[5]</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10">
      <w:pPr>
        <w:numPr>
          <w:ilvl w:val="0"/>
          <w:numId w:val="1"/>
        </w:numPr>
        <w:ind w:left="720" w:hanging="360"/>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Magdalenska gora, Slovenia:</w:t>
      </w:r>
      <w:r w:rsidDel="00000000" w:rsidR="00000000" w:rsidRPr="00000000">
        <w:rPr>
          <w:rFonts w:ascii="Calibri" w:cs="Calibri" w:eastAsia="Calibri" w:hAnsi="Calibri"/>
          <w:sz w:val="24"/>
          <w:szCs w:val="24"/>
          <w:rtl w:val="0"/>
        </w:rPr>
        <w:t xml:space="preserve"> Offering insights into La Tène culture on the fringes of its geographical range, Magdalenska gora's discoveries, including ceramic vessels and metal objects, hint at connections between central and southeastern European communities</w:t>
      </w:r>
      <w:r w:rsidDel="00000000" w:rsidR="00000000" w:rsidRPr="00000000">
        <w:rPr>
          <w:rFonts w:ascii="Calibri" w:cs="Calibri" w:eastAsia="Calibri" w:hAnsi="Calibri"/>
          <w:sz w:val="40"/>
          <w:szCs w:val="40"/>
          <w:vertAlign w:val="superscript"/>
          <w:rtl w:val="0"/>
        </w:rPr>
        <w:t xml:space="preserve">[6]</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11">
      <w:pPr>
        <w:numPr>
          <w:ilvl w:val="0"/>
          <w:numId w:val="1"/>
        </w:numPr>
        <w:ind w:left="720" w:hanging="360"/>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Bükk Culture, Hungary:</w:t>
      </w:r>
      <w:r w:rsidDel="00000000" w:rsidR="00000000" w:rsidRPr="00000000">
        <w:rPr>
          <w:rFonts w:ascii="Calibri" w:cs="Calibri" w:eastAsia="Calibri" w:hAnsi="Calibri"/>
          <w:sz w:val="24"/>
          <w:szCs w:val="24"/>
          <w:rtl w:val="0"/>
        </w:rPr>
        <w:t xml:space="preserve"> Evident in the Hungarian Plain, the Bükk Culture, an extension of the La Tène sphere, reveals evidence of settlement patterns and burial practices, shedding light on the cultural dynamics in Eastern Europe</w:t>
      </w:r>
      <w:r w:rsidDel="00000000" w:rsidR="00000000" w:rsidRPr="00000000">
        <w:rPr>
          <w:rFonts w:ascii="Calibri" w:cs="Calibri" w:eastAsia="Calibri" w:hAnsi="Calibri"/>
          <w:sz w:val="40"/>
          <w:szCs w:val="40"/>
          <w:vertAlign w:val="superscript"/>
          <w:rtl w:val="0"/>
        </w:rPr>
        <w:t xml:space="preserve">[7]</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1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1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6">
      <w:pPr>
        <w:rPr>
          <w:rFonts w:ascii="Calibri" w:cs="Calibri" w:eastAsia="Calibri" w:hAnsi="Calibri"/>
          <w:sz w:val="20"/>
          <w:szCs w:val="20"/>
        </w:rPr>
      </w:pPr>
      <w:r w:rsidDel="00000000" w:rsidR="00000000" w:rsidRPr="00000000">
        <w:rPr>
          <w:rFonts w:ascii="Calibri" w:cs="Calibri" w:eastAsia="Calibri" w:hAnsi="Calibri"/>
          <w:sz w:val="34"/>
          <w:szCs w:val="34"/>
          <w:vertAlign w:val="superscript"/>
          <w:rtl w:val="0"/>
        </w:rPr>
        <w:t xml:space="preserve">[1]</w:t>
      </w:r>
      <w:r w:rsidDel="00000000" w:rsidR="00000000" w:rsidRPr="00000000">
        <w:rPr>
          <w:rFonts w:ascii="Calibri" w:cs="Calibri" w:eastAsia="Calibri" w:hAnsi="Calibri"/>
          <w:sz w:val="20"/>
          <w:szCs w:val="20"/>
          <w:rtl w:val="0"/>
        </w:rPr>
        <w:t xml:space="preserve"> Cunliffe, Barry. </w:t>
      </w:r>
      <w:r w:rsidDel="00000000" w:rsidR="00000000" w:rsidRPr="00000000">
        <w:rPr>
          <w:rFonts w:ascii="Calibri" w:cs="Calibri" w:eastAsia="Calibri" w:hAnsi="Calibri"/>
          <w:i w:val="1"/>
          <w:sz w:val="20"/>
          <w:szCs w:val="20"/>
          <w:rtl w:val="0"/>
        </w:rPr>
        <w:t xml:space="preserve">The Ancient Celts</w:t>
      </w:r>
      <w:r w:rsidDel="00000000" w:rsidR="00000000" w:rsidRPr="00000000">
        <w:rPr>
          <w:rFonts w:ascii="Calibri" w:cs="Calibri" w:eastAsia="Calibri" w:hAnsi="Calibri"/>
          <w:sz w:val="20"/>
          <w:szCs w:val="20"/>
          <w:rtl w:val="0"/>
        </w:rPr>
        <w:t xml:space="preserve">. London: Penguin Books, 1999, p. 166</w:t>
      </w:r>
    </w:p>
    <w:p w:rsidR="00000000" w:rsidDel="00000000" w:rsidP="00000000" w:rsidRDefault="00000000" w:rsidRPr="00000000" w14:paraId="00000017">
      <w:pPr>
        <w:rPr>
          <w:rFonts w:ascii="Calibri" w:cs="Calibri" w:eastAsia="Calibri" w:hAnsi="Calibri"/>
          <w:sz w:val="20"/>
          <w:szCs w:val="20"/>
        </w:rPr>
      </w:pPr>
      <w:r w:rsidDel="00000000" w:rsidR="00000000" w:rsidRPr="00000000">
        <w:rPr>
          <w:rFonts w:ascii="Calibri" w:cs="Calibri" w:eastAsia="Calibri" w:hAnsi="Calibri"/>
          <w:sz w:val="34"/>
          <w:szCs w:val="34"/>
          <w:vertAlign w:val="superscript"/>
          <w:rtl w:val="0"/>
        </w:rPr>
        <w:t xml:space="preserve">[2]</w:t>
      </w:r>
      <w:r w:rsidDel="00000000" w:rsidR="00000000" w:rsidRPr="00000000">
        <w:rPr>
          <w:rFonts w:ascii="Calibri" w:cs="Calibri" w:eastAsia="Calibri" w:hAnsi="Calibri"/>
          <w:sz w:val="20"/>
          <w:szCs w:val="20"/>
          <w:rtl w:val="0"/>
        </w:rPr>
        <w:t xml:space="preserve"> Green, Miranda. </w:t>
      </w:r>
      <w:r w:rsidDel="00000000" w:rsidR="00000000" w:rsidRPr="00000000">
        <w:rPr>
          <w:rFonts w:ascii="Calibri" w:cs="Calibri" w:eastAsia="Calibri" w:hAnsi="Calibri"/>
          <w:i w:val="1"/>
          <w:sz w:val="20"/>
          <w:szCs w:val="20"/>
          <w:rtl w:val="0"/>
        </w:rPr>
        <w:t xml:space="preserve">The Celtic World</w:t>
      </w:r>
      <w:r w:rsidDel="00000000" w:rsidR="00000000" w:rsidRPr="00000000">
        <w:rPr>
          <w:rFonts w:ascii="Calibri" w:cs="Calibri" w:eastAsia="Calibri" w:hAnsi="Calibri"/>
          <w:sz w:val="20"/>
          <w:szCs w:val="20"/>
          <w:rtl w:val="0"/>
        </w:rPr>
        <w:t xml:space="preserve">. London: Routledge, 1995, p. 67</w:t>
      </w:r>
    </w:p>
    <w:p w:rsidR="00000000" w:rsidDel="00000000" w:rsidP="00000000" w:rsidRDefault="00000000" w:rsidRPr="00000000" w14:paraId="00000018">
      <w:pPr>
        <w:rPr>
          <w:rFonts w:ascii="Calibri" w:cs="Calibri" w:eastAsia="Calibri" w:hAnsi="Calibri"/>
          <w:sz w:val="20"/>
          <w:szCs w:val="20"/>
        </w:rPr>
      </w:pPr>
      <w:r w:rsidDel="00000000" w:rsidR="00000000" w:rsidRPr="00000000">
        <w:rPr>
          <w:rFonts w:ascii="Calibri" w:cs="Calibri" w:eastAsia="Calibri" w:hAnsi="Calibri"/>
          <w:sz w:val="34"/>
          <w:szCs w:val="34"/>
          <w:vertAlign w:val="superscript"/>
          <w:rtl w:val="0"/>
        </w:rPr>
        <w:t xml:space="preserve">[3]</w:t>
      </w:r>
      <w:r w:rsidDel="00000000" w:rsidR="00000000" w:rsidRPr="00000000">
        <w:rPr>
          <w:rFonts w:ascii="Calibri" w:cs="Calibri" w:eastAsia="Calibri" w:hAnsi="Calibri"/>
          <w:sz w:val="20"/>
          <w:szCs w:val="20"/>
          <w:rtl w:val="0"/>
        </w:rPr>
        <w:t xml:space="preserve"> Chadwick, Amanda. ‘Glastonbury: An Iron Age Lake Village.’ </w:t>
      </w:r>
      <w:r w:rsidDel="00000000" w:rsidR="00000000" w:rsidRPr="00000000">
        <w:rPr>
          <w:rFonts w:ascii="Calibri" w:cs="Calibri" w:eastAsia="Calibri" w:hAnsi="Calibri"/>
          <w:i w:val="1"/>
          <w:sz w:val="20"/>
          <w:szCs w:val="20"/>
          <w:rtl w:val="0"/>
        </w:rPr>
        <w:t xml:space="preserve">Antiquity</w:t>
      </w:r>
      <w:r w:rsidDel="00000000" w:rsidR="00000000" w:rsidRPr="00000000">
        <w:rPr>
          <w:rFonts w:ascii="Calibri" w:cs="Calibri" w:eastAsia="Calibri" w:hAnsi="Calibri"/>
          <w:sz w:val="20"/>
          <w:szCs w:val="20"/>
          <w:rtl w:val="0"/>
        </w:rPr>
        <w:t xml:space="preserve"> 75, no. 288 (2001): 539-540</w:t>
      </w:r>
    </w:p>
    <w:p w:rsidR="00000000" w:rsidDel="00000000" w:rsidP="00000000" w:rsidRDefault="00000000" w:rsidRPr="00000000" w14:paraId="00000019">
      <w:pPr>
        <w:rPr>
          <w:rFonts w:ascii="Calibri" w:cs="Calibri" w:eastAsia="Calibri" w:hAnsi="Calibri"/>
          <w:sz w:val="20"/>
          <w:szCs w:val="20"/>
        </w:rPr>
      </w:pPr>
      <w:r w:rsidDel="00000000" w:rsidR="00000000" w:rsidRPr="00000000">
        <w:rPr>
          <w:rFonts w:ascii="Calibri" w:cs="Calibri" w:eastAsia="Calibri" w:hAnsi="Calibri"/>
          <w:sz w:val="34"/>
          <w:szCs w:val="34"/>
          <w:vertAlign w:val="superscript"/>
          <w:rtl w:val="0"/>
        </w:rPr>
        <w:t xml:space="preserve">[4]</w:t>
      </w:r>
      <w:r w:rsidDel="00000000" w:rsidR="00000000" w:rsidRPr="00000000">
        <w:rPr>
          <w:rFonts w:ascii="Calibri" w:cs="Calibri" w:eastAsia="Calibri" w:hAnsi="Calibri"/>
          <w:sz w:val="20"/>
          <w:szCs w:val="20"/>
          <w:rtl w:val="0"/>
        </w:rPr>
        <w:t xml:space="preserve"> </w:t>
      </w:r>
      <w:r w:rsidDel="00000000" w:rsidR="00000000" w:rsidRPr="00000000">
        <w:rPr>
          <w:color w:val="343541"/>
          <w:sz w:val="20"/>
          <w:szCs w:val="20"/>
          <w:rtl w:val="0"/>
        </w:rPr>
        <w:t xml:space="preserve">Kossack, Georg. ‘Manching: An Iron Age Oppidum in Bavaria.’ Archäologisches Korrespondenzblatt 30, no. 3 (2000): 351-362</w:t>
      </w:r>
      <w:r w:rsidDel="00000000" w:rsidR="00000000" w:rsidRPr="00000000">
        <w:rPr>
          <w:rFonts w:ascii="Calibri" w:cs="Calibri" w:eastAsia="Calibri" w:hAnsi="Calibri"/>
          <w:sz w:val="20"/>
          <w:szCs w:val="20"/>
          <w:rtl w:val="0"/>
        </w:rPr>
        <w:t xml:space="preserve">.</w:t>
      </w:r>
    </w:p>
    <w:p w:rsidR="00000000" w:rsidDel="00000000" w:rsidP="00000000" w:rsidRDefault="00000000" w:rsidRPr="00000000" w14:paraId="0000001A">
      <w:pPr>
        <w:rPr>
          <w:color w:val="343541"/>
          <w:sz w:val="20"/>
          <w:szCs w:val="20"/>
        </w:rPr>
      </w:pPr>
      <w:r w:rsidDel="00000000" w:rsidR="00000000" w:rsidRPr="00000000">
        <w:rPr>
          <w:rFonts w:ascii="Calibri" w:cs="Calibri" w:eastAsia="Calibri" w:hAnsi="Calibri"/>
          <w:sz w:val="34"/>
          <w:szCs w:val="34"/>
          <w:vertAlign w:val="superscript"/>
          <w:rtl w:val="0"/>
        </w:rPr>
        <w:t xml:space="preserve">[5]</w:t>
      </w:r>
      <w:r w:rsidDel="00000000" w:rsidR="00000000" w:rsidRPr="00000000">
        <w:rPr>
          <w:rFonts w:ascii="Calibri" w:cs="Calibri" w:eastAsia="Calibri" w:hAnsi="Calibri"/>
          <w:sz w:val="20"/>
          <w:szCs w:val="20"/>
          <w:rtl w:val="0"/>
        </w:rPr>
        <w:t xml:space="preserve"> </w:t>
      </w:r>
      <w:r w:rsidDel="00000000" w:rsidR="00000000" w:rsidRPr="00000000">
        <w:rPr>
          <w:color w:val="343541"/>
          <w:sz w:val="20"/>
          <w:szCs w:val="20"/>
          <w:rtl w:val="0"/>
        </w:rPr>
        <w:t xml:space="preserve">Ralston, Ian. ‘Bibracte: A Gaulish Oppidum in the Morvan.’ Oxford Journal of Archaeology 20, no. 4 (2001): 411-425.</w:t>
      </w:r>
    </w:p>
    <w:p w:rsidR="00000000" w:rsidDel="00000000" w:rsidP="00000000" w:rsidRDefault="00000000" w:rsidRPr="00000000" w14:paraId="0000001B">
      <w:pPr>
        <w:rPr>
          <w:color w:val="343541"/>
          <w:sz w:val="20"/>
          <w:szCs w:val="20"/>
        </w:rPr>
      </w:pPr>
      <w:r w:rsidDel="00000000" w:rsidR="00000000" w:rsidRPr="00000000">
        <w:rPr>
          <w:rFonts w:ascii="Calibri" w:cs="Calibri" w:eastAsia="Calibri" w:hAnsi="Calibri"/>
          <w:sz w:val="34"/>
          <w:szCs w:val="34"/>
          <w:vertAlign w:val="superscript"/>
          <w:rtl w:val="0"/>
        </w:rPr>
        <w:t xml:space="preserve">[6]</w:t>
      </w:r>
      <w:r w:rsidDel="00000000" w:rsidR="00000000" w:rsidRPr="00000000">
        <w:rPr>
          <w:rFonts w:ascii="Calibri" w:cs="Calibri" w:eastAsia="Calibri" w:hAnsi="Calibri"/>
          <w:sz w:val="20"/>
          <w:szCs w:val="20"/>
          <w:rtl w:val="0"/>
        </w:rPr>
        <w:t xml:space="preserve"> </w:t>
      </w:r>
      <w:r w:rsidDel="00000000" w:rsidR="00000000" w:rsidRPr="00000000">
        <w:rPr>
          <w:color w:val="343541"/>
          <w:sz w:val="20"/>
          <w:szCs w:val="20"/>
          <w:rtl w:val="0"/>
        </w:rPr>
        <w:t xml:space="preserve">Šmit, Žiga. ‘La Tène in the Southeast: The Case of Magdalenska gora, Slovenia.’ Documenta Praehistorica 41 (2014): 327-338.</w:t>
      </w:r>
    </w:p>
    <w:p w:rsidR="00000000" w:rsidDel="00000000" w:rsidP="00000000" w:rsidRDefault="00000000" w:rsidRPr="00000000" w14:paraId="0000001C">
      <w:pPr>
        <w:rPr>
          <w:rFonts w:ascii="Calibri" w:cs="Calibri" w:eastAsia="Calibri" w:hAnsi="Calibri"/>
          <w:sz w:val="20"/>
          <w:szCs w:val="20"/>
        </w:rPr>
      </w:pPr>
      <w:r w:rsidDel="00000000" w:rsidR="00000000" w:rsidRPr="00000000">
        <w:rPr>
          <w:rFonts w:ascii="Calibri" w:cs="Calibri" w:eastAsia="Calibri" w:hAnsi="Calibri"/>
          <w:sz w:val="34"/>
          <w:szCs w:val="34"/>
          <w:vertAlign w:val="superscript"/>
          <w:rtl w:val="0"/>
        </w:rPr>
        <w:t xml:space="preserve">[7]</w:t>
      </w:r>
      <w:r w:rsidDel="00000000" w:rsidR="00000000" w:rsidRPr="00000000">
        <w:rPr>
          <w:rFonts w:ascii="Calibri" w:cs="Calibri" w:eastAsia="Calibri" w:hAnsi="Calibri"/>
          <w:sz w:val="20"/>
          <w:szCs w:val="20"/>
          <w:rtl w:val="0"/>
        </w:rPr>
        <w:t xml:space="preserve"> </w:t>
      </w:r>
      <w:r w:rsidDel="00000000" w:rsidR="00000000" w:rsidRPr="00000000">
        <w:rPr>
          <w:color w:val="343541"/>
          <w:sz w:val="20"/>
          <w:szCs w:val="20"/>
          <w:rtl w:val="0"/>
        </w:rPr>
        <w:t xml:space="preserve">Bóna, István. ‘The Bükk Culture: A Late La Tène Iron Age Culture in Hungary.’ Acta Archaeologica Academiae Scientiarum Hungaricae 55, no. 3-4 (2004): 325-349</w:t>
      </w:r>
      <w:r w:rsidDel="00000000" w:rsidR="00000000" w:rsidRPr="00000000">
        <w:rPr>
          <w:rFonts w:ascii="Calibri" w:cs="Calibri" w:eastAsia="Calibri" w:hAnsi="Calibri"/>
          <w:sz w:val="20"/>
          <w:szCs w:val="20"/>
          <w:rtl w:val="0"/>
        </w:rPr>
        <w:t xml:space="preserve">.</w:t>
      </w:r>
    </w:p>
    <w:p w:rsidR="00000000" w:rsidDel="00000000" w:rsidP="00000000" w:rsidRDefault="00000000" w:rsidRPr="00000000" w14:paraId="0000001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