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722"/>
        <w:gridCol w:w="3647"/>
        <w:gridCol w:w="3647"/>
      </w:tblGrid>
      <w:tr w:rsidR="00D80789" w14:paraId="6B02EBD3" w14:textId="77777777" w:rsidTr="002E79AE">
        <w:tc>
          <w:tcPr>
            <w:tcW w:w="1722" w:type="dxa"/>
          </w:tcPr>
          <w:p w14:paraId="730E9725" w14:textId="77777777" w:rsidR="00D80789" w:rsidRDefault="00D80789" w:rsidP="002E79AE">
            <w:pPr>
              <w:pStyle w:val="AssignBody"/>
            </w:pPr>
          </w:p>
        </w:tc>
        <w:tc>
          <w:tcPr>
            <w:tcW w:w="3647" w:type="dxa"/>
          </w:tcPr>
          <w:p w14:paraId="11C966F2" w14:textId="77777777" w:rsidR="00D80789" w:rsidRDefault="00D80789" w:rsidP="002E79AE">
            <w:pPr>
              <w:pStyle w:val="AssignBody"/>
            </w:pPr>
            <w:proofErr w:type="spellStart"/>
            <w:r>
              <w:t>Targed</w:t>
            </w:r>
            <w:proofErr w:type="spellEnd"/>
            <w:r>
              <w:t>/target</w:t>
            </w:r>
          </w:p>
        </w:tc>
        <w:tc>
          <w:tcPr>
            <w:tcW w:w="3647" w:type="dxa"/>
          </w:tcPr>
          <w:p w14:paraId="767F192B" w14:textId="77777777" w:rsidR="00D80789" w:rsidRDefault="00D80789" w:rsidP="002E79AE">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04F57CDD" w14:textId="77777777" w:rsidR="00D80789" w:rsidRDefault="00D80789" w:rsidP="002E79AE">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58C3CFAC" w14:textId="77777777" w:rsidR="00D80789" w:rsidRDefault="00D80789" w:rsidP="002E79AE">
            <w:pPr>
              <w:pStyle w:val="AssignBody"/>
            </w:pPr>
          </w:p>
        </w:tc>
      </w:tr>
      <w:tr w:rsidR="00D80789" w14:paraId="6242BE03" w14:textId="77777777" w:rsidTr="002E79AE">
        <w:tc>
          <w:tcPr>
            <w:tcW w:w="1722" w:type="dxa"/>
          </w:tcPr>
          <w:p w14:paraId="6A1DDE88" w14:textId="77777777" w:rsidR="00D80789" w:rsidRDefault="00D80789" w:rsidP="002E79AE">
            <w:pPr>
              <w:pStyle w:val="AssignBody"/>
            </w:pPr>
            <w:proofErr w:type="spellStart"/>
            <w:r>
              <w:t>T</w:t>
            </w:r>
            <w:bookmarkStart w:id="0" w:name="cysill"/>
            <w:bookmarkEnd w:id="0"/>
            <w:r>
              <w:t>arged</w:t>
            </w:r>
            <w:proofErr w:type="spellEnd"/>
            <w:r>
              <w:t>/Target 1</w:t>
            </w:r>
          </w:p>
        </w:tc>
        <w:tc>
          <w:tcPr>
            <w:tcW w:w="3647" w:type="dxa"/>
          </w:tcPr>
          <w:p w14:paraId="16EF025E" w14:textId="68B8E284" w:rsidR="00D80789" w:rsidRDefault="00D80789" w:rsidP="00D80789">
            <w:proofErr w:type="spellStart"/>
            <w:r>
              <w:rPr>
                <w:rFonts w:ascii="Helvetica Neue" w:hAnsi="Helvetica Neue"/>
                <w:color w:val="283041"/>
                <w:sz w:val="21"/>
                <w:szCs w:val="21"/>
                <w:shd w:val="clear" w:color="auto" w:fill="FFFFFF"/>
              </w:rPr>
              <w:t>Cynyddu’r</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ystod</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ffynhonnell</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trwy</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chwilio</w:t>
            </w:r>
            <w:proofErr w:type="spellEnd"/>
            <w:r>
              <w:rPr>
                <w:rFonts w:ascii="Helvetica Neue" w:hAnsi="Helvetica Neue"/>
                <w:color w:val="283041"/>
                <w:sz w:val="21"/>
                <w:szCs w:val="21"/>
                <w:shd w:val="clear" w:color="auto" w:fill="FFFFFF"/>
              </w:rPr>
              <w:t xml:space="preserve"> am </w:t>
            </w:r>
            <w:proofErr w:type="spellStart"/>
            <w:r>
              <w:rPr>
                <w:rFonts w:ascii="Helvetica Neue" w:hAnsi="Helvetica Neue"/>
                <w:color w:val="283041"/>
                <w:sz w:val="21"/>
                <w:szCs w:val="21"/>
                <w:shd w:val="clear" w:color="auto" w:fill="FFFFFF"/>
              </w:rPr>
              <w:t>erthyglau</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academaidd</w:t>
            </w:r>
            <w:proofErr w:type="spellEnd"/>
            <w:r>
              <w:rPr>
                <w:rFonts w:ascii="Helvetica Neue" w:hAnsi="Helvetica Neue"/>
                <w:color w:val="283041"/>
                <w:sz w:val="21"/>
                <w:szCs w:val="21"/>
                <w:shd w:val="clear" w:color="auto" w:fill="FFFFFF"/>
              </w:rPr>
              <w:t xml:space="preserve"> a </w:t>
            </w:r>
            <w:proofErr w:type="spellStart"/>
            <w:r>
              <w:rPr>
                <w:rFonts w:ascii="Helvetica Neue" w:hAnsi="Helvetica Neue"/>
                <w:color w:val="283041"/>
                <w:sz w:val="21"/>
                <w:szCs w:val="21"/>
                <w:shd w:val="clear" w:color="auto" w:fill="FFFFFF"/>
              </w:rPr>
              <w:t>chyfnodolion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ychwanegol</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Ymgysylltu'n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ddyfnach</w:t>
            </w:r>
            <w:proofErr w:type="spellEnd"/>
            <w:r>
              <w:rPr>
                <w:rFonts w:ascii="Helvetica Neue" w:hAnsi="Helvetica Neue"/>
                <w:color w:val="283041"/>
                <w:sz w:val="21"/>
                <w:szCs w:val="21"/>
                <w:shd w:val="clear" w:color="auto" w:fill="FFFFFF"/>
              </w:rPr>
              <w:t xml:space="preserve"> â </w:t>
            </w:r>
            <w:proofErr w:type="spellStart"/>
            <w:r>
              <w:rPr>
                <w:rFonts w:ascii="Helvetica Neue" w:hAnsi="Helvetica Neue"/>
                <w:color w:val="283041"/>
                <w:sz w:val="21"/>
                <w:szCs w:val="21"/>
                <w:shd w:val="clear" w:color="auto" w:fill="FFFFFF"/>
              </w:rPr>
              <w:t>phob</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testun</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i</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wella</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dy</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ddealltwriaeth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a'ch</w:t>
            </w:r>
            <w:proofErr w:type="spellEnd"/>
            <w:r>
              <w:rPr>
                <w:rFonts w:ascii="Helvetica Neue" w:hAnsi="Helvetica Neue"/>
                <w:color w:val="283041"/>
                <w:sz w:val="21"/>
                <w:szCs w:val="21"/>
                <w:shd w:val="clear" w:color="auto" w:fill="FFFFFF"/>
              </w:rPr>
              <w:t xml:space="preserve"> </w:t>
            </w:r>
            <w:proofErr w:type="spellStart"/>
            <w:r>
              <w:rPr>
                <w:rFonts w:ascii="Helvetica Neue" w:hAnsi="Helvetica Neue"/>
                <w:color w:val="283041"/>
                <w:sz w:val="21"/>
                <w:szCs w:val="21"/>
                <w:shd w:val="clear" w:color="auto" w:fill="FFFFFF"/>
              </w:rPr>
              <w:t>persbectif</w:t>
            </w:r>
            <w:proofErr w:type="spellEnd"/>
            <w:r>
              <w:rPr>
                <w:rFonts w:ascii="Helvetica Neue" w:hAnsi="Helvetica Neue"/>
                <w:color w:val="283041"/>
                <w:sz w:val="21"/>
                <w:szCs w:val="21"/>
                <w:shd w:val="clear" w:color="auto" w:fill="FFFFFF"/>
              </w:rPr>
              <w:t>. </w:t>
            </w:r>
          </w:p>
        </w:tc>
        <w:tc>
          <w:tcPr>
            <w:tcW w:w="3647" w:type="dxa"/>
          </w:tcPr>
          <w:p w14:paraId="6A3A8665" w14:textId="74786398" w:rsidR="00D80789" w:rsidRDefault="004B047D" w:rsidP="002E79AE">
            <w:pPr>
              <w:pStyle w:val="AssignBody"/>
            </w:pPr>
            <w:proofErr w:type="spellStart"/>
            <w:r>
              <w:t>Dwi</w:t>
            </w:r>
            <w:proofErr w:type="spellEnd"/>
            <w:r>
              <w:t xml:space="preserve"> </w:t>
            </w:r>
            <w:proofErr w:type="spellStart"/>
            <w:r>
              <w:t>wedi</w:t>
            </w:r>
            <w:proofErr w:type="spellEnd"/>
            <w:r>
              <w:t xml:space="preserve"> </w:t>
            </w:r>
            <w:proofErr w:type="spellStart"/>
            <w:r>
              <w:t>defnyddio</w:t>
            </w:r>
            <w:proofErr w:type="spellEnd"/>
            <w:r>
              <w:t xml:space="preserve"> </w:t>
            </w:r>
            <w:proofErr w:type="spellStart"/>
            <w:r>
              <w:t>fwy</w:t>
            </w:r>
            <w:proofErr w:type="spellEnd"/>
            <w:r>
              <w:t xml:space="preserve"> o </w:t>
            </w:r>
            <w:proofErr w:type="spellStart"/>
            <w:r>
              <w:t>ffynonellau</w:t>
            </w:r>
            <w:proofErr w:type="spellEnd"/>
            <w:r>
              <w:t xml:space="preserve"> </w:t>
            </w:r>
            <w:proofErr w:type="spellStart"/>
            <w:r>
              <w:t>trwy</w:t>
            </w:r>
            <w:proofErr w:type="spellEnd"/>
            <w:r>
              <w:t xml:space="preserve"> </w:t>
            </w:r>
            <w:proofErr w:type="spellStart"/>
            <w:r>
              <w:t>gydol</w:t>
            </w:r>
            <w:proofErr w:type="spellEnd"/>
            <w:r>
              <w:t xml:space="preserve"> </w:t>
            </w:r>
            <w:proofErr w:type="spellStart"/>
            <w:r>
              <w:t>yr</w:t>
            </w:r>
            <w:proofErr w:type="spellEnd"/>
            <w:r>
              <w:t xml:space="preserve"> </w:t>
            </w:r>
            <w:proofErr w:type="spellStart"/>
            <w:r>
              <w:t>aseiniad</w:t>
            </w:r>
            <w:proofErr w:type="spellEnd"/>
            <w:r>
              <w:t xml:space="preserve">, ac </w:t>
            </w:r>
            <w:proofErr w:type="spellStart"/>
            <w:r>
              <w:t>wedi</w:t>
            </w:r>
            <w:proofErr w:type="spellEnd"/>
            <w:r>
              <w:t xml:space="preserve"> </w:t>
            </w:r>
            <w:proofErr w:type="spellStart"/>
            <w:r>
              <w:t>ceisio</w:t>
            </w:r>
            <w:proofErr w:type="spellEnd"/>
            <w:r>
              <w:t xml:space="preserve"> </w:t>
            </w:r>
            <w:proofErr w:type="spellStart"/>
            <w:r>
              <w:t>ymgysylltu</w:t>
            </w:r>
            <w:proofErr w:type="spellEnd"/>
            <w:r>
              <w:t xml:space="preserve"> â </w:t>
            </w:r>
            <w:proofErr w:type="spellStart"/>
            <w:r>
              <w:t>phob</w:t>
            </w:r>
            <w:proofErr w:type="spellEnd"/>
            <w:r>
              <w:t xml:space="preserve"> </w:t>
            </w:r>
            <w:proofErr w:type="spellStart"/>
            <w:r>
              <w:t>testun</w:t>
            </w:r>
            <w:proofErr w:type="spellEnd"/>
            <w:r>
              <w:t xml:space="preserve"> </w:t>
            </w:r>
            <w:proofErr w:type="spellStart"/>
            <w:r>
              <w:t>yn</w:t>
            </w:r>
            <w:proofErr w:type="spellEnd"/>
            <w:r>
              <w:t xml:space="preserve"> </w:t>
            </w:r>
            <w:proofErr w:type="spellStart"/>
            <w:r>
              <w:t>dyfnach</w:t>
            </w:r>
            <w:proofErr w:type="spellEnd"/>
            <w:r>
              <w:t xml:space="preserve"> </w:t>
            </w:r>
            <w:proofErr w:type="spellStart"/>
            <w:r>
              <w:t>er</w:t>
            </w:r>
            <w:proofErr w:type="spellEnd"/>
            <w:r>
              <w:t xml:space="preserve"> </w:t>
            </w:r>
            <w:proofErr w:type="spellStart"/>
            <w:r>
              <w:t>mwyn</w:t>
            </w:r>
            <w:proofErr w:type="spellEnd"/>
            <w:r>
              <w:t xml:space="preserve"> </w:t>
            </w:r>
            <w:proofErr w:type="spellStart"/>
            <w:r>
              <w:t>cysylltu</w:t>
            </w:r>
            <w:proofErr w:type="spellEnd"/>
            <w:r>
              <w:t xml:space="preserve"> </w:t>
            </w:r>
            <w:proofErr w:type="spellStart"/>
            <w:r>
              <w:t>nôl</w:t>
            </w:r>
            <w:proofErr w:type="spellEnd"/>
            <w:r>
              <w:t xml:space="preserve"> </w:t>
            </w:r>
            <w:proofErr w:type="spellStart"/>
            <w:r>
              <w:t>gyda’r</w:t>
            </w:r>
            <w:proofErr w:type="spellEnd"/>
            <w:r>
              <w:t xml:space="preserve"> </w:t>
            </w:r>
            <w:proofErr w:type="spellStart"/>
            <w:r>
              <w:t>teitl</w:t>
            </w:r>
            <w:proofErr w:type="spellEnd"/>
            <w:r>
              <w:t xml:space="preserve">. </w:t>
            </w:r>
          </w:p>
        </w:tc>
      </w:tr>
      <w:tr w:rsidR="00D80789" w14:paraId="3BB8FBAB" w14:textId="77777777" w:rsidTr="002E79AE">
        <w:tc>
          <w:tcPr>
            <w:tcW w:w="1722" w:type="dxa"/>
          </w:tcPr>
          <w:p w14:paraId="35805374" w14:textId="77777777" w:rsidR="00D80789" w:rsidRDefault="00D80789" w:rsidP="002E79AE">
            <w:pPr>
              <w:pStyle w:val="AssignBody"/>
            </w:pPr>
            <w:proofErr w:type="spellStart"/>
            <w:r>
              <w:t>Targed</w:t>
            </w:r>
            <w:proofErr w:type="spellEnd"/>
            <w:r>
              <w:t>/Target 2</w:t>
            </w:r>
          </w:p>
        </w:tc>
        <w:tc>
          <w:tcPr>
            <w:tcW w:w="3647" w:type="dxa"/>
          </w:tcPr>
          <w:p w14:paraId="75309800" w14:textId="77777777" w:rsidR="004B047D" w:rsidRDefault="004B047D" w:rsidP="004B047D">
            <w:proofErr w:type="spellStart"/>
            <w:r>
              <w:rPr>
                <w:rFonts w:ascii="Helvetica Neue" w:hAnsi="Helvetica Neue"/>
                <w:color w:val="283041"/>
                <w:sz w:val="21"/>
                <w:szCs w:val="21"/>
              </w:rPr>
              <w:t>Prawf</w:t>
            </w:r>
            <w:proofErr w:type="spellEnd"/>
            <w:r>
              <w:rPr>
                <w:rFonts w:ascii="Helvetica Neue" w:hAnsi="Helvetica Neue"/>
                <w:color w:val="283041"/>
                <w:sz w:val="21"/>
                <w:szCs w:val="21"/>
              </w:rPr>
              <w:t xml:space="preserve"> </w:t>
            </w:r>
            <w:proofErr w:type="spellStart"/>
            <w:r>
              <w:rPr>
                <w:rFonts w:ascii="Helvetica Neue" w:hAnsi="Helvetica Neue"/>
                <w:color w:val="283041"/>
                <w:sz w:val="21"/>
                <w:szCs w:val="21"/>
              </w:rPr>
              <w:t>ddarllen</w:t>
            </w:r>
            <w:proofErr w:type="spellEnd"/>
            <w:r>
              <w:rPr>
                <w:rFonts w:ascii="Helvetica Neue" w:hAnsi="Helvetica Neue"/>
                <w:color w:val="283041"/>
                <w:sz w:val="21"/>
                <w:szCs w:val="21"/>
              </w:rPr>
              <w:t xml:space="preserve"> a </w:t>
            </w:r>
            <w:proofErr w:type="spellStart"/>
            <w:r>
              <w:rPr>
                <w:rFonts w:ascii="Helvetica Neue" w:hAnsi="Helvetica Neue"/>
                <w:color w:val="283041"/>
                <w:sz w:val="21"/>
                <w:szCs w:val="21"/>
              </w:rPr>
              <w:t>mireinio</w:t>
            </w:r>
            <w:proofErr w:type="spellEnd"/>
            <w:r>
              <w:rPr>
                <w:rFonts w:ascii="Helvetica Neue" w:hAnsi="Helvetica Neue"/>
                <w:color w:val="283041"/>
                <w:sz w:val="21"/>
                <w:szCs w:val="21"/>
              </w:rPr>
              <w:t xml:space="preserve"> </w:t>
            </w:r>
            <w:proofErr w:type="spellStart"/>
            <w:r>
              <w:rPr>
                <w:rFonts w:ascii="Helvetica Neue" w:hAnsi="Helvetica Neue"/>
                <w:color w:val="283041"/>
                <w:sz w:val="21"/>
                <w:szCs w:val="21"/>
              </w:rPr>
              <w:t>sgiliau</w:t>
            </w:r>
            <w:proofErr w:type="spellEnd"/>
            <w:r>
              <w:rPr>
                <w:rFonts w:ascii="Helvetica Neue" w:hAnsi="Helvetica Neue"/>
                <w:color w:val="283041"/>
                <w:sz w:val="21"/>
                <w:szCs w:val="21"/>
              </w:rPr>
              <w:t xml:space="preserve"> </w:t>
            </w:r>
            <w:proofErr w:type="spellStart"/>
            <w:r>
              <w:rPr>
                <w:rFonts w:ascii="Helvetica Neue" w:hAnsi="Helvetica Neue"/>
                <w:color w:val="283041"/>
                <w:sz w:val="21"/>
                <w:szCs w:val="21"/>
              </w:rPr>
              <w:t>iaith</w:t>
            </w:r>
            <w:proofErr w:type="spellEnd"/>
            <w:r>
              <w:rPr>
                <w:rFonts w:ascii="Helvetica Neue" w:hAnsi="Helvetica Neue"/>
                <w:color w:val="283041"/>
                <w:sz w:val="21"/>
                <w:szCs w:val="21"/>
              </w:rPr>
              <w:t xml:space="preserve"> </w:t>
            </w:r>
            <w:proofErr w:type="spellStart"/>
            <w:r>
              <w:rPr>
                <w:rFonts w:ascii="Helvetica Neue" w:hAnsi="Helvetica Neue"/>
                <w:color w:val="283041"/>
                <w:sz w:val="21"/>
                <w:szCs w:val="21"/>
              </w:rPr>
              <w:t>gan</w:t>
            </w:r>
            <w:proofErr w:type="spellEnd"/>
            <w:r>
              <w:rPr>
                <w:rFonts w:ascii="Helvetica Neue" w:hAnsi="Helvetica Neue"/>
                <w:color w:val="283041"/>
                <w:sz w:val="21"/>
                <w:szCs w:val="21"/>
              </w:rPr>
              <w:t xml:space="preserve"> </w:t>
            </w:r>
            <w:proofErr w:type="spellStart"/>
            <w:r>
              <w:rPr>
                <w:rFonts w:ascii="Helvetica Neue" w:hAnsi="Helvetica Neue"/>
                <w:color w:val="283041"/>
                <w:sz w:val="21"/>
                <w:szCs w:val="21"/>
              </w:rPr>
              <w:t>ddefnyddio</w:t>
            </w:r>
            <w:proofErr w:type="spellEnd"/>
            <w:r>
              <w:rPr>
                <w:rFonts w:ascii="Helvetica Neue" w:hAnsi="Helvetica Neue"/>
                <w:color w:val="283041"/>
                <w:sz w:val="21"/>
                <w:szCs w:val="21"/>
              </w:rPr>
              <w:t xml:space="preserve"> </w:t>
            </w:r>
            <w:proofErr w:type="spellStart"/>
            <w:r>
              <w:rPr>
                <w:rFonts w:ascii="Helvetica Neue" w:hAnsi="Helvetica Neue"/>
                <w:color w:val="283041"/>
                <w:sz w:val="21"/>
                <w:szCs w:val="21"/>
              </w:rPr>
              <w:t>Cysill</w:t>
            </w:r>
            <w:proofErr w:type="spellEnd"/>
            <w:r>
              <w:rPr>
                <w:rStyle w:val="apple-converted-space"/>
                <w:rFonts w:ascii="Helvetica Neue" w:hAnsi="Helvetica Neue"/>
                <w:color w:val="283041"/>
                <w:sz w:val="21"/>
                <w:szCs w:val="21"/>
                <w:shd w:val="clear" w:color="auto" w:fill="FFFFFF"/>
              </w:rPr>
              <w:t> </w:t>
            </w:r>
          </w:p>
          <w:p w14:paraId="170E653B" w14:textId="77777777" w:rsidR="00D80789" w:rsidRDefault="00D80789" w:rsidP="002E79AE">
            <w:pPr>
              <w:pStyle w:val="AssignBody"/>
            </w:pPr>
          </w:p>
        </w:tc>
        <w:tc>
          <w:tcPr>
            <w:tcW w:w="3647" w:type="dxa"/>
          </w:tcPr>
          <w:p w14:paraId="1E4E44FA" w14:textId="27738F49" w:rsidR="00D80789" w:rsidRDefault="004B047D" w:rsidP="002E79AE">
            <w:pPr>
              <w:pStyle w:val="AssignBody"/>
            </w:pPr>
            <w:proofErr w:type="spellStart"/>
            <w:r>
              <w:t>Darllen</w:t>
            </w:r>
            <w:proofErr w:type="spellEnd"/>
            <w:r>
              <w:t xml:space="preserve"> </w:t>
            </w:r>
            <w:proofErr w:type="spellStart"/>
            <w:r>
              <w:t>dros</w:t>
            </w:r>
            <w:proofErr w:type="spellEnd"/>
            <w:r>
              <w:t xml:space="preserve"> y </w:t>
            </w:r>
            <w:proofErr w:type="spellStart"/>
            <w:r>
              <w:t>gwaith</w:t>
            </w:r>
            <w:proofErr w:type="spellEnd"/>
            <w:r>
              <w:t xml:space="preserve"> a </w:t>
            </w:r>
            <w:proofErr w:type="spellStart"/>
            <w:r>
              <w:t>rhoi’r</w:t>
            </w:r>
            <w:proofErr w:type="spellEnd"/>
            <w:r>
              <w:t xml:space="preserve"> </w:t>
            </w:r>
            <w:proofErr w:type="spellStart"/>
            <w:r>
              <w:t>traethawd</w:t>
            </w:r>
            <w:proofErr w:type="spellEnd"/>
            <w:r>
              <w:t xml:space="preserve"> </w:t>
            </w:r>
            <w:proofErr w:type="spellStart"/>
            <w:r>
              <w:t>trwy</w:t>
            </w:r>
            <w:proofErr w:type="spellEnd"/>
            <w:r>
              <w:t xml:space="preserve"> </w:t>
            </w:r>
            <w:proofErr w:type="spellStart"/>
            <w:r>
              <w:t>Cysill</w:t>
            </w:r>
            <w:proofErr w:type="spellEnd"/>
            <w:r>
              <w:t xml:space="preserve">. </w:t>
            </w:r>
          </w:p>
        </w:tc>
      </w:tr>
    </w:tbl>
    <w:p w14:paraId="78B5D739" w14:textId="77777777" w:rsidR="00D80789" w:rsidRDefault="00D80789" w:rsidP="00D80789">
      <w:pPr>
        <w:pStyle w:val="NormalWeb"/>
        <w:spacing w:line="360" w:lineRule="auto"/>
        <w:rPr>
          <w:rFonts w:asciiTheme="minorHAnsi" w:hAnsiTheme="minorHAnsi"/>
          <w:b/>
          <w:lang w:val="cy-GB"/>
        </w:rPr>
      </w:pPr>
    </w:p>
    <w:p w14:paraId="14377CA5" w14:textId="3C112499" w:rsidR="003A665B" w:rsidRPr="00A46E26" w:rsidRDefault="003A665B" w:rsidP="003A665B">
      <w:pPr>
        <w:pStyle w:val="NormalWeb"/>
        <w:spacing w:line="360" w:lineRule="auto"/>
        <w:jc w:val="center"/>
        <w:rPr>
          <w:rFonts w:asciiTheme="minorHAnsi" w:hAnsiTheme="minorHAnsi"/>
          <w:b/>
          <w:lang w:val="cy-GB"/>
        </w:rPr>
      </w:pPr>
      <w:r w:rsidRPr="00A46E26">
        <w:rPr>
          <w:rFonts w:asciiTheme="minorHAnsi" w:hAnsiTheme="minorHAnsi"/>
          <w:b/>
          <w:lang w:val="cy-GB"/>
        </w:rPr>
        <w:t>Teitl- Elfen Asesu 2: Gwerthusiad beirniadol o ddatblygiad targed strategol mewn Cynllun Datblygu Ysgol: Gweithredoedd, Effaith a Myfyrdodau ar sail Tystiolaeth</w:t>
      </w:r>
    </w:p>
    <w:p w14:paraId="5699B24A" w14:textId="77777777" w:rsidR="001E48F2" w:rsidRPr="00943AD5" w:rsidRDefault="001E48F2" w:rsidP="001E48F2">
      <w:pPr>
        <w:spacing w:line="360" w:lineRule="auto"/>
        <w:rPr>
          <w:rFonts w:cstheme="minorHAnsi"/>
          <w:lang w:val="cy-GB"/>
        </w:rPr>
      </w:pPr>
    </w:p>
    <w:p w14:paraId="642A3F90" w14:textId="59F328A6" w:rsidR="0007460E" w:rsidRPr="00D80789" w:rsidRDefault="001E48F2" w:rsidP="00D80789">
      <w:pPr>
        <w:spacing w:line="360" w:lineRule="auto"/>
        <w:rPr>
          <w:rFonts w:ascii="Arial" w:hAnsi="Arial" w:cs="Arial"/>
          <w:sz w:val="22"/>
          <w:szCs w:val="22"/>
          <w:lang w:val="cy-GB"/>
        </w:rPr>
      </w:pPr>
      <w:r w:rsidRPr="00D80789">
        <w:rPr>
          <w:rFonts w:ascii="Arial" w:hAnsi="Arial" w:cs="Arial"/>
          <w:sz w:val="22"/>
          <w:szCs w:val="22"/>
          <w:lang w:val="cy-GB"/>
        </w:rPr>
        <w:t xml:space="preserve">Cynllun Datblygu Ysgol (CDY) yw cynllun sy’n nodi strategaethau’r ysgol i sicrhau cynnydd, yn dilyn hunanwerthusiad. Yn dilyn canllawiau BERA (2024) mi fyddaf yn cadw enw’r ysgol yn anhysbys, ac yn cyfeirio at yr ysgol fel Ysgol A trwy gydol yr aseiniad. Mae ysgol A yn ysgol gynradd gyfrwng y Gymraeg. Yn ôl gwybodaeth gan Lywodraeth Cymru, (2022) mae 399 o ddisgyblion yn mynychu’r ysgol, ac mae 28.9% yn gymwys am brydau ysgol am ddim. Yn dilyn adroddiad Estyn, (2017) mae tua 31% o ddisgyblion yr ysgol ar y gofrestr anghenion dysgu ychwanegol. </w:t>
      </w:r>
      <w:r w:rsidR="00984B0A" w:rsidRPr="00D80789">
        <w:rPr>
          <w:rFonts w:ascii="Arial" w:hAnsi="Arial" w:cs="Arial"/>
          <w:sz w:val="22"/>
          <w:szCs w:val="22"/>
          <w:lang w:val="cy-GB"/>
        </w:rPr>
        <w:t>Cyhoeddwyd y Welsh Index of Multiple Deprivation (WIMD) gan Lywodraeth Cymru, (2019) a dangoswyd ardal ysgol A yw un o ardaloedd isaf WIMD. Yn CDY ysgol A, mae’n nodi mae tua 2% (11) o’r disgyblion sydd yn siarad Cymraeg adref. Wrth ddarllen CDY ysgol A, dwi wedi penderfynu ffocysu ar flaenoriaeth rhif dau sef “Datblygu strategaethau fydd yn meithrin annibyniaeth disgyblion ymhellach er mwyn cymryd cyfrifoldeb cynyddol dros ddysgu eu hunain” (</w:t>
      </w:r>
      <w:r w:rsidR="001B5758">
        <w:rPr>
          <w:rFonts w:ascii="Arial" w:hAnsi="Arial" w:cs="Arial"/>
          <w:sz w:val="22"/>
          <w:szCs w:val="22"/>
          <w:lang w:val="cy-GB"/>
        </w:rPr>
        <w:t xml:space="preserve">CDY, </w:t>
      </w:r>
      <w:r w:rsidR="00984B0A" w:rsidRPr="00D80789">
        <w:rPr>
          <w:rFonts w:ascii="Arial" w:hAnsi="Arial" w:cs="Arial"/>
          <w:sz w:val="22"/>
          <w:szCs w:val="22"/>
          <w:lang w:val="cy-GB"/>
        </w:rPr>
        <w:t>Ysgol A</w:t>
      </w:r>
      <w:r w:rsidR="000C7FE9" w:rsidRPr="00D80789">
        <w:rPr>
          <w:rFonts w:ascii="Arial" w:hAnsi="Arial" w:cs="Arial"/>
          <w:sz w:val="22"/>
          <w:szCs w:val="22"/>
          <w:lang w:val="cy-GB"/>
        </w:rPr>
        <w:t>)</w:t>
      </w:r>
      <w:r w:rsidR="00984B0A" w:rsidRPr="00D80789">
        <w:rPr>
          <w:rFonts w:ascii="Arial" w:hAnsi="Arial" w:cs="Arial"/>
          <w:sz w:val="22"/>
          <w:szCs w:val="22"/>
          <w:lang w:val="cy-GB"/>
        </w:rPr>
        <w:t>. Trwy gydol yr aseiniad yma byddaf yn pwyso a mesur llenyddiaeth ar effaith annibyniaeth ar lawr y dosbarth a pa effaith mae hyn yn cael ar y dysgwyr, dadansoddi strategaeth</w:t>
      </w:r>
      <w:r w:rsidR="001B5758">
        <w:rPr>
          <w:rFonts w:ascii="Arial" w:hAnsi="Arial" w:cs="Arial"/>
          <w:sz w:val="22"/>
          <w:szCs w:val="22"/>
          <w:lang w:val="cy-GB"/>
        </w:rPr>
        <w:t>au</w:t>
      </w:r>
      <w:r w:rsidR="00984B0A" w:rsidRPr="00D80789">
        <w:rPr>
          <w:rFonts w:ascii="Arial" w:hAnsi="Arial" w:cs="Arial"/>
          <w:sz w:val="22"/>
          <w:szCs w:val="22"/>
          <w:lang w:val="cy-GB"/>
        </w:rPr>
        <w:t xml:space="preserve"> ysgol A ac adfyfyrio a gwerthuso hyn.</w:t>
      </w:r>
    </w:p>
    <w:p w14:paraId="37F97EE4" w14:textId="77777777" w:rsidR="00984B0A" w:rsidRPr="00D80789" w:rsidRDefault="00984B0A" w:rsidP="00D80789">
      <w:pPr>
        <w:spacing w:line="360" w:lineRule="auto"/>
        <w:rPr>
          <w:rFonts w:ascii="Arial" w:hAnsi="Arial" w:cs="Arial"/>
          <w:sz w:val="22"/>
          <w:szCs w:val="22"/>
          <w:lang w:val="cy-GB"/>
        </w:rPr>
      </w:pPr>
    </w:p>
    <w:p w14:paraId="383D2A2A" w14:textId="3A0F66B4" w:rsidR="00984B0A" w:rsidRPr="00D80789" w:rsidRDefault="00984B0A" w:rsidP="00D80789">
      <w:pPr>
        <w:spacing w:line="360" w:lineRule="auto"/>
        <w:rPr>
          <w:rFonts w:ascii="Arial" w:eastAsia="Times New Roman" w:hAnsi="Arial" w:cs="Arial"/>
          <w:sz w:val="22"/>
          <w:szCs w:val="22"/>
          <w:lang w:val="cy-GB"/>
        </w:rPr>
      </w:pPr>
      <w:r w:rsidRPr="00D80789">
        <w:rPr>
          <w:rFonts w:ascii="Arial" w:eastAsia="Times New Roman" w:hAnsi="Arial" w:cs="Arial"/>
          <w:sz w:val="22"/>
          <w:szCs w:val="22"/>
          <w:lang w:val="cy-GB"/>
        </w:rPr>
        <w:t xml:space="preserve">Mae’r adroddiad “Canllawiau Gwella Ysgolion: Fframwaith ar gyfer Gwerthuso, Gwella ac Atebolrwydd” gan Lywodraeth Cymru (2021) yn crynhoi strategaethau i ysgolion hunanwerthuso’n rheolaidd, cynllunio gwelliannau a chynnal atebolrwydd i sicrhau cynnydd </w:t>
      </w:r>
      <w:r w:rsidRPr="00D80789">
        <w:rPr>
          <w:rFonts w:ascii="Arial" w:eastAsia="Times New Roman" w:hAnsi="Arial" w:cs="Arial"/>
          <w:sz w:val="22"/>
          <w:szCs w:val="22"/>
          <w:lang w:val="cy-GB"/>
        </w:rPr>
        <w:lastRenderedPageBreak/>
        <w:t xml:space="preserve">gan y dysgwyr ac yn darparu’r gefnogaeth iddynt. Gwelwn hyn yn CDY ysgol A (2024) wrth iddynt hunanwerthuso'r blaenoriaethau 2023-2024 eu bod yn trafod llwyddiannau ac os oes angen ailymweld ag unrhyw agweddau ymhellach. Gwelwn hefyd yn y CDY bod hunanwerthuso dulliau gwarantu ansawdd 2023-2024 yn cyfiawnhau’r flaenoriaeth annibyniaeth, ynghyd â chysylltu efo’r egwyddorion addysgeg genedlaethol “annog dysgwyr i gymryd cyfrifoldeb cynyddol am eu dysgu eu hunain” (Llywodraeth Cymru, 2023). Rhaid i ni ystyried heriau sydd yn gysylltiedig â’r flaenoriaeth </w:t>
      </w:r>
      <w:r w:rsidR="001B5758">
        <w:rPr>
          <w:rFonts w:ascii="Arial" w:eastAsia="Times New Roman" w:hAnsi="Arial" w:cs="Arial"/>
          <w:sz w:val="22"/>
          <w:szCs w:val="22"/>
          <w:lang w:val="cy-GB"/>
        </w:rPr>
        <w:t>a</w:t>
      </w:r>
      <w:r w:rsidRPr="00D80789">
        <w:rPr>
          <w:rFonts w:ascii="Arial" w:eastAsia="Times New Roman" w:hAnsi="Arial" w:cs="Arial"/>
          <w:sz w:val="22"/>
          <w:szCs w:val="22"/>
          <w:lang w:val="cy-GB"/>
        </w:rPr>
        <w:t xml:space="preserve">nnibyniaeth mewn byd addysg. Dadl Biesta, (2015) yw bod fwy i addysg na chanlyniadau safonol a pherfformiad mewn arholiadau, ond mai hwn yw realiti addysg ar hyn o bryd. Cred Biesta (2015) fod yna tri phrif flaenoriaeth i addysg sef cymhwyster, cymdeithasu a goddrychedd. Mae’r flaenoriaeth goddrychedd yn ffocysu ar annog annibyniaeth a meddwl yn feirniadol am y byd o gwmpas. Mae’r ymchwil yn pwysleisio bod y dysgwyr yn gyfrifol am eu dysgu eu hunain, ac felly mae dysgu ymarferol er enghraifft dysgu drwy drafod a chwestiynu, annog y dysgwyr i wneud penderfyniadau a dysgu trwy brofiadau er enghraifft cysylltu â’r gymdeithas allanol wrth wneud prosiectau, yn cynyddu’r sgil yma. Dengys CDY Ysgol A eu bod nhw’n ffocysu ar adalw er mwyn cyflwyno’r flaenoriaeth. Yn dilyn gwaith ymchwil Biesta (2015), mae’r CDY hefyd yn ffocysu ar ddysgu drwy drafod a chwestiynu, a phwysleisio bod y dysgwyr yn gyfrifol am eu dysgu eu hunain. Er bod Biesta (2015) yn nodi dylai addysgwyr meithrin annibyniaeth a sicrhau bod y dysgwyr yn meddwl yn feirniadol, cyfyngiad yn y gwaith yw nid yw’n dangos canllawiau ymarferol nac arweiniad pendant i addysgwyr defnyddio ar lawr y dosbarth. Pwynt canolog i’w ystyried wrth drin a thrafod annibyniaeth yw ddamcaniaeth Parth Datblygiad Procsimol gan Vygotsky, (1978). Y Parth Datblygiad Procsimol yw parth dysgu ychydig tu hwnt i allu’r disgybl, ond yn gyraeddadwy efo cymorth gan athro neu gynorthwyydd. Mae dysgwyr yn dysgu’n annibynnol yn effeithiol pan maent wedi datblygu’r sgiliau a’r wybodaeth sydd angen i ddatrys y problemau a chwblhau’r dasg wrth law. Mae Vygotsky, (1978) yn awgrymu bod angen sgaffaldiau cymorth o gwmpas y disgybl er mwyn symud o ddibynnu ar yr athro i weithio’n annibynnol i ddatrys problemau, </w:t>
      </w:r>
      <w:r w:rsidR="001B5758">
        <w:rPr>
          <w:rFonts w:ascii="Arial" w:eastAsia="Times New Roman" w:hAnsi="Arial" w:cs="Arial"/>
          <w:sz w:val="22"/>
          <w:szCs w:val="22"/>
          <w:lang w:val="cy-GB"/>
        </w:rPr>
        <w:t>gall</w:t>
      </w:r>
      <w:r w:rsidRPr="00D80789">
        <w:rPr>
          <w:rFonts w:ascii="Arial" w:eastAsia="Times New Roman" w:hAnsi="Arial" w:cs="Arial"/>
          <w:sz w:val="22"/>
          <w:szCs w:val="22"/>
          <w:lang w:val="cy-GB"/>
        </w:rPr>
        <w:t xml:space="preserve"> y sgaffaldiau yma’n cael ei thynnu bant yn raddol i alluogi’r disgybl cymryd cyfrifoldeb llawn o’i dysgu ei hun. Dangoswyd gan y ddamcaniaeth yma os bod y dysgwyr yn cael eu rhyddhau i ddysgu annibynnol yn syth, heb sgaffaldiau cymorth na wybodaeth flaenorol mae fwy o siawns bod y disgyblion yn cael trafferth ac yn ddigysylltu o’r gwaith. D</w:t>
      </w:r>
      <w:r w:rsidR="00207680">
        <w:rPr>
          <w:rFonts w:ascii="Arial" w:eastAsia="Times New Roman" w:hAnsi="Arial" w:cs="Arial"/>
          <w:sz w:val="22"/>
          <w:szCs w:val="22"/>
          <w:lang w:val="cy-GB"/>
        </w:rPr>
        <w:t>o</w:t>
      </w:r>
      <w:r w:rsidRPr="00D80789">
        <w:rPr>
          <w:rFonts w:ascii="Arial" w:eastAsia="Times New Roman" w:hAnsi="Arial" w:cs="Arial"/>
          <w:sz w:val="22"/>
          <w:szCs w:val="22"/>
          <w:lang w:val="cy-GB"/>
        </w:rPr>
        <w:t xml:space="preserve">wn i’r casgliad, wrth ryddhau disgyblion i weithio’n annibynnol mae angen sicrhau bod yr athro yn sgaffaldu’r dysgu er enghraifft trwy dangos enghreifftiau, gweithio fel grwpiau neu barau a chwestiynu’r disgyblion i adalw gwaith er mwyn sicrhau dealltwriaeth cyn rhyddhau i weithio’n annibynnol. I adeiladu ar waith Vygotsky (1978), cynhaliwyd ymchwil i asesu strategaethau addysgu annibynnol gan Dunlosky et al., (2013). </w:t>
      </w:r>
      <w:r w:rsidRPr="00E2375B">
        <w:rPr>
          <w:rFonts w:ascii="Arial" w:eastAsia="Times New Roman" w:hAnsi="Arial" w:cs="Arial"/>
          <w:sz w:val="22"/>
          <w:szCs w:val="22"/>
          <w:lang w:val="cy-GB"/>
        </w:rPr>
        <w:t xml:space="preserve">Canfu </w:t>
      </w:r>
      <w:r w:rsidR="00E2375B">
        <w:rPr>
          <w:rFonts w:ascii="Arial" w:eastAsia="Times New Roman" w:hAnsi="Arial" w:cs="Arial"/>
          <w:sz w:val="22"/>
          <w:szCs w:val="22"/>
          <w:lang w:val="cy-GB"/>
        </w:rPr>
        <w:t xml:space="preserve">gwaith gan </w:t>
      </w:r>
      <w:r w:rsidRPr="00E2375B">
        <w:rPr>
          <w:rFonts w:ascii="Arial" w:eastAsia="Times New Roman" w:hAnsi="Arial" w:cs="Arial"/>
          <w:sz w:val="22"/>
          <w:szCs w:val="22"/>
          <w:lang w:val="cy-GB"/>
        </w:rPr>
        <w:t xml:space="preserve">Dunlosky et al., (2013) bod ail ddarllen testun, </w:t>
      </w:r>
      <w:r w:rsidRPr="00E2375B">
        <w:rPr>
          <w:rFonts w:ascii="Arial" w:eastAsia="Times New Roman" w:hAnsi="Arial" w:cs="Arial"/>
          <w:sz w:val="22"/>
          <w:szCs w:val="22"/>
          <w:lang w:val="cy-GB"/>
        </w:rPr>
        <w:lastRenderedPageBreak/>
        <w:t>uwcholeuo a chrynhoi gwybodaeth yn</w:t>
      </w:r>
      <w:r w:rsidRPr="00D80789">
        <w:rPr>
          <w:rFonts w:ascii="Arial" w:eastAsia="Times New Roman" w:hAnsi="Arial" w:cs="Arial"/>
          <w:sz w:val="22"/>
          <w:szCs w:val="22"/>
          <w:lang w:val="cy-GB"/>
        </w:rPr>
        <w:t xml:space="preserve"> strategaethau anaddas o waith wrth weithio’n annibynnol oherwydd yn anaml </w:t>
      </w:r>
      <w:r w:rsidRPr="004855F6">
        <w:rPr>
          <w:rFonts w:ascii="Arial" w:eastAsia="Times New Roman" w:hAnsi="Arial" w:cs="Arial"/>
          <w:sz w:val="22"/>
          <w:szCs w:val="22"/>
          <w:lang w:val="cy-GB"/>
        </w:rPr>
        <w:t>mae’r wybodaeth yn cael eu trosglwyddo i’r cof tymor hir (Callender and McDaniel, 2009). Ar y llaw arall, darganf</w:t>
      </w:r>
      <w:r w:rsidR="00E2375B" w:rsidRPr="004855F6">
        <w:rPr>
          <w:rFonts w:ascii="Arial" w:eastAsia="Times New Roman" w:hAnsi="Arial" w:cs="Arial"/>
          <w:sz w:val="22"/>
          <w:szCs w:val="22"/>
          <w:lang w:val="cy-GB"/>
        </w:rPr>
        <w:t>yddodd</w:t>
      </w:r>
      <w:r w:rsidRPr="004855F6">
        <w:rPr>
          <w:rFonts w:ascii="Arial" w:eastAsia="Times New Roman" w:hAnsi="Arial" w:cs="Arial"/>
          <w:sz w:val="22"/>
          <w:szCs w:val="22"/>
          <w:lang w:val="cy-GB"/>
        </w:rPr>
        <w:t xml:space="preserve"> Dunlosky et al., (2013) bod ymarferion adalw gweithredol ac effaith ymarferion dros amser</w:t>
      </w:r>
      <w:r w:rsidR="004855F6" w:rsidRPr="004855F6">
        <w:rPr>
          <w:rFonts w:ascii="Arial" w:eastAsia="Times New Roman" w:hAnsi="Arial" w:cs="Arial"/>
          <w:sz w:val="22"/>
          <w:szCs w:val="22"/>
          <w:lang w:val="cy-GB"/>
        </w:rPr>
        <w:t xml:space="preserve"> yn dulliau addas</w:t>
      </w:r>
      <w:r w:rsidR="004855F6">
        <w:rPr>
          <w:rFonts w:ascii="Arial" w:eastAsia="Times New Roman" w:hAnsi="Arial" w:cs="Arial"/>
          <w:sz w:val="22"/>
          <w:szCs w:val="22"/>
          <w:lang w:val="cy-GB"/>
        </w:rPr>
        <w:t xml:space="preserve"> i addysgu gwybodaeth</w:t>
      </w:r>
      <w:r w:rsidRPr="004855F6">
        <w:rPr>
          <w:rFonts w:ascii="Arial" w:eastAsia="Times New Roman" w:hAnsi="Arial" w:cs="Arial"/>
          <w:sz w:val="22"/>
          <w:szCs w:val="22"/>
          <w:lang w:val="cy-GB"/>
        </w:rPr>
        <w:t>.</w:t>
      </w:r>
      <w:r w:rsidRPr="00E2375B">
        <w:rPr>
          <w:rFonts w:ascii="Arial" w:eastAsia="Times New Roman" w:hAnsi="Arial" w:cs="Arial"/>
          <w:sz w:val="22"/>
          <w:szCs w:val="22"/>
          <w:lang w:val="cy-GB"/>
        </w:rPr>
        <w:t xml:space="preserve"> Mae adalw gweithredol er enghraifft cwestiynu neu hunan-brofi yn sicrhau meddwl dyfnach</w:t>
      </w:r>
      <w:r w:rsidRPr="00D80789">
        <w:rPr>
          <w:rFonts w:ascii="Arial" w:eastAsia="Times New Roman" w:hAnsi="Arial" w:cs="Arial"/>
          <w:sz w:val="22"/>
          <w:szCs w:val="22"/>
          <w:lang w:val="cy-GB"/>
        </w:rPr>
        <w:t xml:space="preserve"> am y gwaith, ac yn cyfoethogi’r cof tymor hir i adalw gwybodaeth (Xu et al., 2024). Nodwyd cyfyngiadau i weithio’n gwbl annibynnol sef bod disgyblion ddim bob amser yn gwybod y dechneg gwaith sy’n gweithio orau i dasgau penodol, i gyd-fynd â gwaith Vygotsky, (1978) mae Dunlosky et al., (2013) hefyd yn pwysleisio’r pwysigrwydd o sgaffaldu disgyblion cyn gweithio’n annibynnol i ddysgu strategaethau effeithiol iddyn nhw. Ond, cyfyngiad amlwg i astudiaeth Dunlosky et al., (2013) yw bod gwahaniaethau unigol mewn addysgu, a gall un strategaeth i weithio’n annibynnol ddim gweithio i bawb er enghraifft anghenion dysgu ychwanegol, oed y dysgwyr a gwybodaeth flaenorol y dysgwyr. Felly, mae angen i addysgwyr fod yn ymwybodol o wahaniaethau unigol a chyfyngiadau dosbarth er enghraifft </w:t>
      </w:r>
      <w:r w:rsidR="001B5758">
        <w:rPr>
          <w:rFonts w:ascii="Arial" w:eastAsia="Times New Roman" w:hAnsi="Arial" w:cs="Arial"/>
          <w:sz w:val="22"/>
          <w:szCs w:val="22"/>
          <w:lang w:val="cy-GB"/>
        </w:rPr>
        <w:t xml:space="preserve">diffyg </w:t>
      </w:r>
      <w:r w:rsidRPr="00D80789">
        <w:rPr>
          <w:rFonts w:ascii="Arial" w:eastAsia="Times New Roman" w:hAnsi="Arial" w:cs="Arial"/>
          <w:sz w:val="22"/>
          <w:szCs w:val="22"/>
          <w:lang w:val="cy-GB"/>
        </w:rPr>
        <w:t xml:space="preserve">adnoddau, gall effeithio ar lefel o sgaffald sydd angen ar y dysgwyr a lefel o sgaffald gall yr addysgwr darparu i’r dysgwyr. Serch y cyfyngiadau yma i ddarparu addysg annibynnol i ddisgyblion, cafodd cwricwlwm newydd i Gymru rhyddhau yn 2021 (Llywodraeth Cymru, 2021b) efo’r pwyslais ar ddysgu drwy brofiad, sydd yn hyblyg a fwy ymarferol. Mae’r cwricwlwm newydd wedi penodi pedwar diben i sicrhau bod pob dysgwr yn datblygu i fod yn ddysgwyr uchelgeisiol a galluog, cyfranwyr mentrus a chreadigol, dinasyddion moesegol a gwybodus ac unigolion iach a hyderus. Mae annibyniaeth yn sgil sydd yn gysylltiedig ar draws y pedwar diben ac yn bwysig i ddatblygu pob ymagwedd. Yn ychwanegol, mae’r cwricwlwm wedi datblygu chwe maes dysgu a phrofiad gyda llai o gynnwys penodol sydd yn rhoi fwy o hyblygrwydd i athrawon lunio </w:t>
      </w:r>
      <w:r w:rsidRPr="00E2375B">
        <w:rPr>
          <w:rFonts w:ascii="Arial" w:eastAsia="Times New Roman" w:hAnsi="Arial" w:cs="Arial"/>
          <w:sz w:val="22"/>
          <w:szCs w:val="22"/>
          <w:lang w:val="cy-GB"/>
        </w:rPr>
        <w:t>gwersi sydd wedi’i deilwra ar gyfer eu dosbarthia</w:t>
      </w:r>
      <w:r w:rsidRPr="00D80789">
        <w:rPr>
          <w:rFonts w:ascii="Arial" w:eastAsia="Times New Roman" w:hAnsi="Arial" w:cs="Arial"/>
          <w:sz w:val="22"/>
          <w:szCs w:val="22"/>
          <w:lang w:val="cy-GB"/>
        </w:rPr>
        <w:t xml:space="preserve">dau. Yn deillio o hyn, gall athrawon cynllunio gwersi gyda lefelau addas o annibyniaeth yn dibynnu ar y dosbarth a lefelau gallu’r unigolion yn eu dosbarthiadau. Wrth i athrawon derbyn fwy o hyblygrwydd yn yr ystafell ddosbarth yn dilyn Cwricwlwm i Gymru, gallant ddefnyddio strategaethau llais y disgybl i arwain y dysgu. Awgryma Reeve and Tseng, (2011) bod dysgwyr yn cymryd fwy o berchnogaeth dros eu gwaith pe bai nhw oedd wedi dewis y pwnc am y prosiect a bod yr athrawon yn hybu dysgu hunangyfeiried. Dangoswyd y gwaith ymchwil yma bod defnyddio llais y disgybl wrth gynllunio gwersi yn allweddol i feithrin annibyniaeth y disgyblion i gadarnhau’r ymdeimlad o berchnogaeth dros y gwaith. Ond ar y llaw arall, cyfyngiad i’r gwaith ymchwil gan Reeve and Tseng, (2011) yw’r diffyg ymchwil hydredol sy’n arddangos effaith yr ymdeimlad o berchnogaeth dros amser, a sut effaith mae hyn yn cael ar eu gwaith academaidd. I grynhoi, mae ystod eang o astudiaethau yn profi bod strategaethau er enghraifft adalw, defnyddio llais y disgybl a sgaffaldu’r disgyblion cyn rhoi cyfleoedd annibynnol yn fuddiol i effeithiolrwydd annibyniaeth yn yr ystafell ddosbarth. </w:t>
      </w:r>
    </w:p>
    <w:p w14:paraId="2D54AB9F" w14:textId="2448CB54" w:rsidR="00E66FA2" w:rsidRPr="00D80789" w:rsidRDefault="00E66FA2" w:rsidP="00D80789">
      <w:pPr>
        <w:spacing w:line="360" w:lineRule="auto"/>
        <w:rPr>
          <w:rFonts w:ascii="Arial" w:eastAsia="Times New Roman" w:hAnsi="Arial" w:cs="Arial"/>
          <w:sz w:val="22"/>
          <w:szCs w:val="22"/>
          <w:lang w:val="cy-GB"/>
        </w:rPr>
      </w:pPr>
    </w:p>
    <w:p w14:paraId="1C53AC08" w14:textId="320A2F5D" w:rsidR="0034212B" w:rsidRPr="00D80789" w:rsidRDefault="00177D18" w:rsidP="00D80789">
      <w:pPr>
        <w:spacing w:line="360" w:lineRule="auto"/>
        <w:rPr>
          <w:rFonts w:ascii="Arial" w:eastAsia="Times New Roman" w:hAnsi="Arial" w:cs="Arial"/>
          <w:sz w:val="22"/>
          <w:szCs w:val="22"/>
          <w:lang w:val="cy-GB"/>
        </w:rPr>
      </w:pPr>
      <w:r w:rsidRPr="00D80789">
        <w:rPr>
          <w:rFonts w:ascii="Arial" w:eastAsia="Times New Roman" w:hAnsi="Arial" w:cs="Arial"/>
          <w:sz w:val="22"/>
          <w:szCs w:val="22"/>
          <w:lang w:val="cy-GB"/>
        </w:rPr>
        <w:t xml:space="preserve">Mae gan Ysgol A rhestr o werthoedd sydd yn sail i gynllunio’u cwricwlwm. Ynghlwm â gwerthoedd er enghraifft bod yn uchelgeisiol a ddiogel, mae bod yn annibynnol. Mae gan Ysgol A camau gweithredu er mwyn cyflawni gweledigaeth yr ysgol, gwelwn fod meithrin annibyniaeth disgyblion, i </w:t>
      </w:r>
      <w:r w:rsidR="00872322">
        <w:rPr>
          <w:rFonts w:ascii="Arial" w:eastAsia="Times New Roman" w:hAnsi="Arial" w:cs="Arial"/>
          <w:sz w:val="22"/>
          <w:szCs w:val="22"/>
          <w:lang w:val="cy-GB"/>
        </w:rPr>
        <w:t>“</w:t>
      </w:r>
      <w:r w:rsidRPr="00D80789">
        <w:rPr>
          <w:rFonts w:ascii="Arial" w:eastAsia="Times New Roman" w:hAnsi="Arial" w:cs="Arial"/>
          <w:sz w:val="22"/>
          <w:szCs w:val="22"/>
          <w:lang w:val="cy-GB"/>
        </w:rPr>
        <w:t>sicrhau eu bod nhw’n ganolog i’w dysgu a’i herio</w:t>
      </w:r>
      <w:r w:rsidR="00872322">
        <w:rPr>
          <w:rFonts w:ascii="Arial" w:eastAsia="Times New Roman" w:hAnsi="Arial" w:cs="Arial"/>
          <w:sz w:val="22"/>
          <w:szCs w:val="22"/>
          <w:lang w:val="cy-GB"/>
        </w:rPr>
        <w:t>” (CDY, Ysgol A)</w:t>
      </w:r>
      <w:r w:rsidRPr="00D80789">
        <w:rPr>
          <w:rFonts w:ascii="Arial" w:eastAsia="Times New Roman" w:hAnsi="Arial" w:cs="Arial"/>
          <w:sz w:val="22"/>
          <w:szCs w:val="22"/>
          <w:lang w:val="cy-GB"/>
        </w:rPr>
        <w:t xml:space="preserve"> yn un o’r camau weithredu. Mae’r flaenoriaeth o feithrin annibyniaeth disgyblion yn ganolog i werthoedd a gweledigaeth yr ysgol. Llinynnau euraidd sydd yn bwysig ar draws flaenoriaethau a’r CDY ysgol A yw ymgysylltu â theuluoedd ac i sicrhau eu bod yn cadw disgyblion prydau ysgol am ddim a “raising attainment of disadvantaged youngsters” (RADY) mewn cof bob amser wrth gynllunio ac addysgu.</w:t>
      </w:r>
      <w:r w:rsidR="000A1AFB" w:rsidRPr="00D80789">
        <w:rPr>
          <w:rFonts w:ascii="Arial" w:eastAsia="Times New Roman" w:hAnsi="Arial" w:cs="Arial"/>
          <w:sz w:val="22"/>
          <w:szCs w:val="22"/>
          <w:lang w:val="cy-GB"/>
        </w:rPr>
        <w:t xml:space="preserve"> </w:t>
      </w:r>
      <w:r w:rsidR="004D41E9" w:rsidRPr="00D80789">
        <w:rPr>
          <w:rFonts w:ascii="Arial" w:eastAsia="Times New Roman" w:hAnsi="Arial" w:cs="Arial"/>
          <w:sz w:val="22"/>
          <w:szCs w:val="22"/>
          <w:lang w:val="cy-GB"/>
        </w:rPr>
        <w:t>Er mwyn sicrhau bod y flaenoriaeth yn cyrraedd y llinynnau euraidd ymgysylltu â theuluoedd, bydd ysgol A yn gwahodd rhieni mewn i’r ysgol i dderbyn sesiynau datblygu dealltwriaeth am ddatblygu annibyniaeth adref, mae hefyd cydlynydd partneriaeth gymunedol efo’r ysgol sydd yn ymchwilio mewn i asiantaethau allanol gall rhoi cymorth i rieni meithrin annibyniaeth adref a nodi eu pwysigrwydd. Dengys yr ymchwil canlynol bod ymgysylltiad gweithredol rhieni yn cynyddu hunan barch a hyder disgyblion yn arwain at barodrwydd i weithio wrth dasgau yn annibynnol (Topor et al., 2010). Ymhellach, mae ysgol A wedi creu dogfen strategaethau defnyddiol ar gyfer athrawon i ddefnyddio ar lawr y dosbarth i anelu at gyrhaeddiad disgyblion RADY a phrydau ysgol am ddim. Fel dangoswyd mewn gwaith ymchwil gan Xhomara, (2022) mae cydberthynas bositif rhwng addysg sydd wedi’u teilwra ar gyfer y disgyblion yn bersonol a sgiliau meddwl yn feirniadol.</w:t>
      </w:r>
      <w:r w:rsidR="009F62F3" w:rsidRPr="00D80789">
        <w:rPr>
          <w:rFonts w:ascii="Arial" w:eastAsia="Times New Roman" w:hAnsi="Arial" w:cs="Arial"/>
          <w:sz w:val="22"/>
          <w:szCs w:val="22"/>
          <w:lang w:val="cy-GB"/>
        </w:rPr>
        <w:t xml:space="preserve"> </w:t>
      </w:r>
      <w:r w:rsidR="004D41E9" w:rsidRPr="00D80789">
        <w:rPr>
          <w:rFonts w:ascii="Arial" w:eastAsia="Times New Roman" w:hAnsi="Arial" w:cs="Arial"/>
          <w:sz w:val="22"/>
          <w:szCs w:val="22"/>
          <w:lang w:val="cy-GB"/>
        </w:rPr>
        <w:t xml:space="preserve">Ond ar y llaw arall, dydy’r ymchwil yma ddim yn dangos sut gall addysg wedi’u teilwra ar gyfer yr unigolion effeithio ar ddisgyblion RADY a phrydau ysgol am ddim yn wahanol. Mae annibyniaeth yn flaenoriaeth ysgol A yn dilyn hunanwerthusiad o ddulliau gwarantu </w:t>
      </w:r>
      <w:r w:rsidR="004D41E9" w:rsidRPr="00E2375B">
        <w:rPr>
          <w:rFonts w:ascii="Arial" w:eastAsia="Times New Roman" w:hAnsi="Arial" w:cs="Arial"/>
          <w:sz w:val="22"/>
          <w:szCs w:val="22"/>
          <w:lang w:val="cy-GB"/>
        </w:rPr>
        <w:t>ansawdd 202</w:t>
      </w:r>
      <w:r w:rsidR="00E2375B" w:rsidRPr="00E2375B">
        <w:rPr>
          <w:rFonts w:ascii="Arial" w:eastAsia="Times New Roman" w:hAnsi="Arial" w:cs="Arial"/>
          <w:sz w:val="22"/>
          <w:szCs w:val="22"/>
          <w:lang w:val="cy-GB"/>
        </w:rPr>
        <w:t>3</w:t>
      </w:r>
      <w:r w:rsidR="004D41E9" w:rsidRPr="00E2375B">
        <w:rPr>
          <w:rFonts w:ascii="Arial" w:eastAsia="Times New Roman" w:hAnsi="Arial" w:cs="Arial"/>
          <w:sz w:val="22"/>
          <w:szCs w:val="22"/>
          <w:lang w:val="cy-GB"/>
        </w:rPr>
        <w:t>-2024, er</w:t>
      </w:r>
      <w:r w:rsidR="004D41E9" w:rsidRPr="00D80789">
        <w:rPr>
          <w:rFonts w:ascii="Arial" w:eastAsia="Times New Roman" w:hAnsi="Arial" w:cs="Arial"/>
          <w:sz w:val="22"/>
          <w:szCs w:val="22"/>
          <w:lang w:val="cy-GB"/>
        </w:rPr>
        <w:t xml:space="preserve"> mwyn sicrhau bod yr ysgol yn lleihau effaith tlodi ar gyrhaeddiad addysgol a hefyd o ganlyniad i flaenoriaethau cenedlaethol (Llywodraeth Cymru, 2023b). Er mwyn cyflawni’r flaenoriaeth penderfynodd ysgol A i ffocysu ar ddulliau adalw er mwyn meithrin annibyniaeth. Gwnaeth athrawon yr ysgol derbyn hyfforddiant adalw ar ddechrau’r tymor a chyfle i gael sgwrs broffesiynol i greu poster wybodaeth ar ddisgwyliadau disgyblion annibynnol ysgol A, ac esiamplau o ddulliau adalw gall athrawon defnyddio ar lawr y dosbarth. Yn ystod fy amser yn ysgol A, bues yn defnyddio ystod eang o ddulliau adalw er enghraifft cwestiynu strategol, sesiynau cwestiwn ac ateb ar y byrddau gwyn a heriau annibynnol o bwnc oeddwn eisoes wedi dysgu amdano. Mae gwaith ymchwil gan Roediger and Butler, (2011) yn dangos sut gall gwaith adalw cynyddu cof tymor hir y disgybl a gall heriau neu waith adalw aml fod yn fuddiol ganlyniadau dysgu’r unigolion. Ar yr un modd, dydy’r llenyddiaeth yma ddim yn ymchwilio i sut gall wahaniaethau unigol er enghraifft lefelau o wybodaeth flaenorol effeithio ar dasgau adalw gwybodaeth. Er mwyn gwerthuso llwyddiant y flaenoriaeth bydd arweinwyr adrannau yn trafod unrhyw lwyddiannau neu heriau yn ystod cyfarfodydd bob hanner tymor i weld pa effaith mae’r gwaith yn cael ar ddisgyblion, wrth ffocysu ar ddisgyblion RADY a phrydau ysgol am ddim. Wrth ddefnyddio strategaethau er enghraifft teithiau dysgu a llais y disgybl, mae’r wybodaeth sy’n cael eu casglu yn penderfynu ar y ffordd ymlaen i gyflawni’r flaenoriaeth. Felly mae Ysgol A wedi cynhyrchu adnoddau cymorth i’w athrawon defnyddio er mwyn hybu annibyniaeth ymysg disgyblion RADY a phrydau ysgol am ddim, a gallwn weld y rhain ar waith yn yr ystafell ddosbarth er enghraifft meddwl am le caiff disgyblion RADY ei leoli yn y dosbarth a chwestiynau effeithiol i ofyn. Ond ar y llaw arall, dydy’r CDY ddim yn cynnwys strategaethau effeithiol i feithrin annibyniaeth gyda disgyblion anghenion dysgu ychwanegol, yn benodol eu sgiliau adalw. Er mwyn wella’r maes yma, bydd y defnydd o gymorth gweledol er enghraifft defnyddio lluniau a geiriau yn gwella sgiliau adalw disgyblion (Xue, 2023). Yn ôl y Center for Autism and Related Disabilities, (2024) bydd cynyddu’r defnydd o gymorth gweledol ar draws y dosbarthiadau yn cynyddu gallu dysgwyr anghenion dysgu ychwanegol a chynyddu eu gallu i gyfathrebu yn y dosbarth. I grynhoi, wrth i Ysgol A datblygu strategaethau cymorth weledol, gall hyn fod yn fuddiol i ddisgyblion anghenion dysgu ychwanegol i feithrin annibyniaeth.</w:t>
      </w:r>
    </w:p>
    <w:p w14:paraId="41F28F82" w14:textId="77777777" w:rsidR="004D41E9" w:rsidRPr="00D80789" w:rsidRDefault="004D41E9" w:rsidP="00D80789">
      <w:pPr>
        <w:spacing w:line="360" w:lineRule="auto"/>
        <w:rPr>
          <w:rFonts w:ascii="Arial" w:eastAsia="Times New Roman" w:hAnsi="Arial" w:cs="Arial"/>
          <w:sz w:val="22"/>
          <w:szCs w:val="22"/>
          <w:lang w:val="cy-GB"/>
        </w:rPr>
      </w:pPr>
    </w:p>
    <w:p w14:paraId="293EB897" w14:textId="2DCB5BAE" w:rsidR="00896D9B" w:rsidRPr="00D80789" w:rsidRDefault="00815443" w:rsidP="00D80789">
      <w:pPr>
        <w:spacing w:line="360" w:lineRule="auto"/>
        <w:rPr>
          <w:rFonts w:ascii="Arial" w:eastAsia="Times New Roman" w:hAnsi="Arial" w:cs="Arial"/>
          <w:sz w:val="22"/>
          <w:szCs w:val="22"/>
          <w:lang w:val="cy-GB"/>
        </w:rPr>
      </w:pPr>
      <w:r w:rsidRPr="00D80789">
        <w:rPr>
          <w:rFonts w:ascii="Arial" w:eastAsia="Times New Roman" w:hAnsi="Arial" w:cs="Arial"/>
          <w:sz w:val="22"/>
          <w:szCs w:val="22"/>
          <w:lang w:val="cy-GB"/>
        </w:rPr>
        <w:t>Yn ystod fy lleoliad yn Ysgol A, bues i yn creu heriau annibynnol i ddisgyblion y dosbarth i gwblhau’n wythnosol. Roedd un her mathemateg ac un her iaith Cymraeg bob wythnos. Roedd yr heriau yma’n cael eu gwahaniaethu, a bob wythnos roeddwn yn myfyrio ar allu’r disgybl i gwblhau’r her yn annibynnol i weld os oes angen ymestyn y dysgu ymhellach yr wythnos ganlynol. Roedd cynnwys yr heriau yma yn dibynnu ar waith y dosbarth yn yr wythnosau cynt ac yn cynnwys gwaith ar draws meysydd dysgu mathemateg a rhifedd ac ieithoedd, llythrennedd a chyfathrebu. Gwelaf wrth gwblhau’r heriau yn annibynnol roedd cymhelliant a balchder y plant tuag at eu gwaith yn cynyddu fel mae gwaith ymchwil gan Sterling, (2015) yn dangos. Roedd y disgyblion yn hapus i gyflwyno’r gwaith i mi ac yn dyfalbarhau i wella eu gwaith. Cyhoeddodd Estyn (2024) erthygl yn nodi wrth i ddisgyblion weithio’n annibynnol i atgyfnerthu sgiliau maent eisoes wedi dysgu, mae’n dangos bod y disgyblion yn cymryd balchder a pherchnogaeth dros eu gwaith. Hefyd, wrth i’r disgyblion cwblhau’r gwaith yn annibynnol, roedd hyn yn rhoi’r siawns i mi gywiro unrhyw gamgymeriadau neu gamsyniadau sydd ganddyn nhw. Ond ar y llaw arall, roedd yn her i mi roi cymorth i’r holl ddisgyblion wrth iddynt gwblhau’r her a rhoi digon o amser i bob disgybl. Felly, i ddod dros yr her yma oeddwn yn darparu mat geirfa neu ysgrifennu geiriau neu symiau ar fyrddau gwyn i helpu efo sillafu, neu i roi enghreifftiau o waith. Roeddwn hefyd yn atgyfnerthu’r rheol “Gofynnwch i dri, cyn fi” er mwyn atgoffa disgyblion i ofyn i ffrind, partner neu i ddefnyddio adnoddau addas i helpu nhw ddarganfod yr atebion. Gwelais hwn yn gweithio’n dda oherwydd roedd yn hybu trafodaethau am y dasg rhwng y disgyblion, ac yn galluogi disgyblion i ddefnyddio adnoddau addas i sicrhau eu bod nhw’n deall y testun gwaith. Er bod agweddau da i’r ymarfer hyn, mae bylchau i mi wella erbyn fy mhrofiad addysgu proffesiynol nesaf. Dwi wedi ffocysu ar ddefnyddio heriau yn seiliedig ar fathemateg a rhifedd ac ieithoedd, llythrennedd a chyfathrebu yn ystod fy lleoliad cyntaf, ond allaf ddatblygu hyn i gynnig heriau ar draws y meysydd dysgu â phrofiad er mwyn feithrin annibyniaeth. Hefyd, trwy gydol fy mhrofiad yn Ysgol A bues i yn addysgu yn flwyddyn dau yn unig, felly yn ystod fy mhrofiad addysgu proffesiynol nesaf yng nghyfnod allweddol dau allaf arsylwi ar sut mae disgyblion hŷn yn ymateb i’r heriau.</w:t>
      </w:r>
    </w:p>
    <w:p w14:paraId="6D88DD41" w14:textId="77777777" w:rsidR="00815443" w:rsidRPr="00D80789" w:rsidRDefault="00815443" w:rsidP="00D80789">
      <w:pPr>
        <w:spacing w:line="360" w:lineRule="auto"/>
        <w:rPr>
          <w:rFonts w:ascii="Arial" w:eastAsia="Times New Roman" w:hAnsi="Arial" w:cs="Arial"/>
          <w:sz w:val="22"/>
          <w:szCs w:val="22"/>
          <w:lang w:val="cy-GB"/>
        </w:rPr>
      </w:pPr>
    </w:p>
    <w:p w14:paraId="7EDC4CFF" w14:textId="76F0BF53" w:rsidR="000240D2" w:rsidRPr="00D80789" w:rsidRDefault="00815443" w:rsidP="00D80789">
      <w:pPr>
        <w:spacing w:line="360" w:lineRule="auto"/>
        <w:rPr>
          <w:rFonts w:ascii="Arial" w:eastAsia="Times New Roman" w:hAnsi="Arial" w:cs="Arial"/>
          <w:sz w:val="22"/>
          <w:szCs w:val="22"/>
          <w:lang w:val="cy-GB"/>
        </w:rPr>
      </w:pPr>
      <w:r w:rsidRPr="00D80789">
        <w:rPr>
          <w:rFonts w:ascii="Arial" w:eastAsia="Times New Roman" w:hAnsi="Arial" w:cs="Arial"/>
          <w:sz w:val="22"/>
          <w:szCs w:val="22"/>
          <w:lang w:val="cy-GB"/>
        </w:rPr>
        <w:t>Down i’r casgliad bod hunanwerthuso ac adolygu llenyddiaeth ddiweddar yn holl bwysig wrth gynllunio CDY, ynghlwm â blaenoriaethau cenedlaethol y cwricwlwm. Gwelwn yn CDY Ysgol A datblygiad o sut gaeth Annibyniaeth ei benodi fel blaenoriaeth, a sut mae’n cysylltu gyda gwerthoedd a gweledigaeth ehangach yr ysgol, ei nod a sut mae’n mynd i effeithio’r disgyblion yn y pen draw. Wrth ymchwilio i dystiolaeth addas er enghraifft Biesta (2015) a Dunlosky et al., (2013), gwelwn sut effaith mae annibyniaeth, yn benodol adalw, yn cael ar ddisgyblion a sut mae llenyddiaeth yn clymu mewn efo’r flaenoriaeth a’r strategaethau a ddefnyddiwyd i gyflawni’r flaenoriaeth. Wrth dynnu tua’r terfyn, allaf nodi bod hunanwerthuso bob amser yn sgil broffesiynol i ddefnyddio wrth ddysgu ac addysgu i fyfyrio ar beth sydd angen parhau</w:t>
      </w:r>
      <w:r w:rsidR="00D75743">
        <w:rPr>
          <w:rFonts w:ascii="Arial" w:eastAsia="Times New Roman" w:hAnsi="Arial" w:cs="Arial"/>
          <w:sz w:val="22"/>
          <w:szCs w:val="22"/>
          <w:lang w:val="cy-GB"/>
        </w:rPr>
        <w:t>,</w:t>
      </w:r>
      <w:bookmarkStart w:id="1" w:name="_GoBack"/>
      <w:bookmarkEnd w:id="1"/>
      <w:r w:rsidRPr="00D80789">
        <w:rPr>
          <w:rFonts w:ascii="Arial" w:eastAsia="Times New Roman" w:hAnsi="Arial" w:cs="Arial"/>
          <w:sz w:val="22"/>
          <w:szCs w:val="22"/>
          <w:lang w:val="cy-GB"/>
        </w:rPr>
        <w:t xml:space="preserve"> i wella, ac efallai beth sydd angen ymchwilio ymhellach i ddatblygu. I gloi, wrth werthuso datblygiad targed strategol mewn CDY, allwn weld bod angen hyfforddiant addas, myfyrio ar lenyddiaeth addas ac asesu’r disgyblion er mwyn gwreiddio a gwerthuso’r flaenoriaeth i sicrhau cynnydd yn ddatblygiad y disgyblion.</w:t>
      </w:r>
    </w:p>
    <w:p w14:paraId="793EA868" w14:textId="73CF9E48" w:rsidR="00815443" w:rsidRDefault="00815443" w:rsidP="00815443">
      <w:pPr>
        <w:spacing w:line="360" w:lineRule="auto"/>
      </w:pPr>
    </w:p>
    <w:p w14:paraId="7EF81DC6" w14:textId="0F9B2B3F" w:rsidR="00815443" w:rsidRDefault="00815443" w:rsidP="00815443">
      <w:pPr>
        <w:spacing w:line="360" w:lineRule="auto"/>
      </w:pPr>
    </w:p>
    <w:p w14:paraId="4ED6BC2B" w14:textId="089423CC" w:rsidR="00815443" w:rsidRDefault="00815443" w:rsidP="00815443">
      <w:pPr>
        <w:spacing w:line="360" w:lineRule="auto"/>
        <w:rPr>
          <w:b/>
          <w:i/>
        </w:rPr>
      </w:pPr>
      <w:proofErr w:type="spellStart"/>
      <w:r>
        <w:rPr>
          <w:b/>
          <w:i/>
        </w:rPr>
        <w:t>Cyfeiriadau</w:t>
      </w:r>
      <w:proofErr w:type="spellEnd"/>
      <w:r>
        <w:rPr>
          <w:b/>
          <w:i/>
        </w:rPr>
        <w:t>:</w:t>
      </w:r>
    </w:p>
    <w:p w14:paraId="1C278941"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Biesta</w:t>
      </w:r>
      <w:proofErr w:type="spellEnd"/>
      <w:r w:rsidRPr="00815443">
        <w:rPr>
          <w:rFonts w:ascii="Times New Roman" w:eastAsia="Times New Roman" w:hAnsi="Times New Roman" w:cs="Times New Roman"/>
        </w:rPr>
        <w:t xml:space="preserve">, G.J.J. (2015). </w:t>
      </w:r>
      <w:r w:rsidRPr="00815443">
        <w:rPr>
          <w:rFonts w:ascii="Times New Roman" w:eastAsia="Times New Roman" w:hAnsi="Times New Roman" w:cs="Times New Roman"/>
          <w:i/>
          <w:iCs/>
        </w:rPr>
        <w:t>Good Education in an Age of Measurement</w:t>
      </w:r>
      <w:r w:rsidRPr="00815443">
        <w:rPr>
          <w:rFonts w:ascii="Times New Roman" w:eastAsia="Times New Roman" w:hAnsi="Times New Roman" w:cs="Times New Roman"/>
        </w:rPr>
        <w:t xml:space="preserve">. Routledge.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://doi.org/10.4324/9781315634319</w:t>
      </w:r>
      <w:proofErr w:type="gramEnd"/>
      <w:r w:rsidRPr="00815443">
        <w:rPr>
          <w:rFonts w:ascii="Times New Roman" w:eastAsia="Times New Roman" w:hAnsi="Times New Roman" w:cs="Times New Roman"/>
        </w:rPr>
        <w:t>.</w:t>
      </w:r>
    </w:p>
    <w:p w14:paraId="33C94C0B" w14:textId="77777777" w:rsidR="00815443" w:rsidRPr="00815443" w:rsidRDefault="00815443" w:rsidP="00815443">
      <w:pPr>
        <w:spacing w:after="240" w:line="360" w:lineRule="auto"/>
        <w:rPr>
          <w:rFonts w:ascii="Times New Roman" w:eastAsia="Times New Roman" w:hAnsi="Times New Roman" w:cs="Times New Roman"/>
        </w:rPr>
      </w:pPr>
      <w:r w:rsidRPr="00815443">
        <w:rPr>
          <w:rFonts w:ascii="Times New Roman" w:eastAsia="Times New Roman" w:hAnsi="Times New Roman" w:cs="Times New Roman"/>
        </w:rPr>
        <w:t xml:space="preserve">British Educational Research Association [BERA]. (2024). Ethical Guidelines for Educational Research (5th ed.). www.bera.ac.uk/publication/ethical- guidelines-for-educational-research-2024 </w:t>
      </w:r>
    </w:p>
    <w:p w14:paraId="4C771C22"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Callender</w:t>
      </w:r>
      <w:proofErr w:type="spellEnd"/>
      <w:r w:rsidRPr="00815443">
        <w:rPr>
          <w:rFonts w:ascii="Times New Roman" w:eastAsia="Times New Roman" w:hAnsi="Times New Roman" w:cs="Times New Roman"/>
        </w:rPr>
        <w:t xml:space="preserve">, A.A. and McDaniel, M.A. (2009). The limited benefits of rereading educational texts. </w:t>
      </w:r>
      <w:r w:rsidRPr="00815443">
        <w:rPr>
          <w:rFonts w:ascii="Times New Roman" w:eastAsia="Times New Roman" w:hAnsi="Times New Roman" w:cs="Times New Roman"/>
          <w:i/>
          <w:iCs/>
        </w:rPr>
        <w:t>Contemporary Educational Psychology</w:t>
      </w:r>
      <w:r w:rsidRPr="00815443">
        <w:rPr>
          <w:rFonts w:ascii="Times New Roman" w:eastAsia="Times New Roman" w:hAnsi="Times New Roman" w:cs="Times New Roman"/>
        </w:rPr>
        <w:t xml:space="preserve">, 34(1), pp.30–41.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://doi.org/10.1016/j.cedpsych.2008.07.001</w:t>
      </w:r>
      <w:proofErr w:type="gramEnd"/>
      <w:r w:rsidRPr="00815443">
        <w:rPr>
          <w:rFonts w:ascii="Times New Roman" w:eastAsia="Times New Roman" w:hAnsi="Times New Roman" w:cs="Times New Roman"/>
        </w:rPr>
        <w:t>.</w:t>
      </w:r>
    </w:p>
    <w:p w14:paraId="107F31E6"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Center</w:t>
      </w:r>
      <w:proofErr w:type="spellEnd"/>
      <w:r w:rsidRPr="00815443">
        <w:rPr>
          <w:rFonts w:ascii="Times New Roman" w:eastAsia="Times New Roman" w:hAnsi="Times New Roman" w:cs="Times New Roman"/>
        </w:rPr>
        <w:t xml:space="preserve"> for Autism and Related Disabilities (2024). </w:t>
      </w:r>
      <w:r w:rsidRPr="00815443">
        <w:rPr>
          <w:rFonts w:ascii="Times New Roman" w:eastAsia="Times New Roman" w:hAnsi="Times New Roman" w:cs="Times New Roman"/>
          <w:i/>
          <w:iCs/>
        </w:rPr>
        <w:t xml:space="preserve">Visual Supports» </w:t>
      </w:r>
      <w:proofErr w:type="spellStart"/>
      <w:r w:rsidRPr="00815443">
        <w:rPr>
          <w:rFonts w:ascii="Times New Roman" w:eastAsia="Times New Roman" w:hAnsi="Times New Roman" w:cs="Times New Roman"/>
          <w:i/>
          <w:iCs/>
        </w:rPr>
        <w:t>Center</w:t>
      </w:r>
      <w:proofErr w:type="spellEnd"/>
      <w:r w:rsidRPr="00815443">
        <w:rPr>
          <w:rFonts w:ascii="Times New Roman" w:eastAsia="Times New Roman" w:hAnsi="Times New Roman" w:cs="Times New Roman"/>
          <w:i/>
          <w:iCs/>
        </w:rPr>
        <w:t xml:space="preserve"> for Autism and Related Disabilities» College of Medicine» University of Florida</w:t>
      </w:r>
      <w:r w:rsidRPr="00815443">
        <w:rPr>
          <w:rFonts w:ascii="Times New Roman" w:eastAsia="Times New Roman" w:hAnsi="Times New Roman" w:cs="Times New Roman"/>
        </w:rPr>
        <w:t>. [online] UF Health. Available at: https://card.ufl.edu/resources/visual-supports/.</w:t>
      </w:r>
    </w:p>
    <w:p w14:paraId="7AAA0D75"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Dunlosky</w:t>
      </w:r>
      <w:proofErr w:type="spellEnd"/>
      <w:r w:rsidRPr="00815443">
        <w:rPr>
          <w:rFonts w:ascii="Times New Roman" w:eastAsia="Times New Roman" w:hAnsi="Times New Roman" w:cs="Times New Roman"/>
        </w:rPr>
        <w:t xml:space="preserve">, J., Rawson, K.A., Marsh, E.J., Nathan, M.J. and Willingham, D.T. (2013). Improving Students’ Learning </w:t>
      </w:r>
      <w:proofErr w:type="gramStart"/>
      <w:r w:rsidRPr="00815443">
        <w:rPr>
          <w:rFonts w:ascii="Times New Roman" w:eastAsia="Times New Roman" w:hAnsi="Times New Roman" w:cs="Times New Roman"/>
        </w:rPr>
        <w:t>With</w:t>
      </w:r>
      <w:proofErr w:type="gramEnd"/>
      <w:r w:rsidRPr="00815443">
        <w:rPr>
          <w:rFonts w:ascii="Times New Roman" w:eastAsia="Times New Roman" w:hAnsi="Times New Roman" w:cs="Times New Roman"/>
        </w:rPr>
        <w:t xml:space="preserve"> Effective Learning Techniques: Promising Directions From Cognitive and Educational Psychology. </w:t>
      </w:r>
      <w:r w:rsidRPr="00815443">
        <w:rPr>
          <w:rFonts w:ascii="Times New Roman" w:eastAsia="Times New Roman" w:hAnsi="Times New Roman" w:cs="Times New Roman"/>
          <w:i/>
          <w:iCs/>
        </w:rPr>
        <w:t>Psychological Science in the Public Interest</w:t>
      </w:r>
      <w:r w:rsidRPr="00815443">
        <w:rPr>
          <w:rFonts w:ascii="Times New Roman" w:eastAsia="Times New Roman" w:hAnsi="Times New Roman" w:cs="Times New Roman"/>
        </w:rPr>
        <w:t xml:space="preserve">, 14(1), pp.4–58.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://doi.org/10.1177/1529100612453266</w:t>
      </w:r>
      <w:proofErr w:type="gramEnd"/>
      <w:r w:rsidRPr="00815443">
        <w:rPr>
          <w:rFonts w:ascii="Times New Roman" w:eastAsia="Times New Roman" w:hAnsi="Times New Roman" w:cs="Times New Roman"/>
        </w:rPr>
        <w:t>.</w:t>
      </w:r>
    </w:p>
    <w:p w14:paraId="68D33797" w14:textId="72F81796" w:rsidR="00815443" w:rsidRPr="00815443" w:rsidRDefault="00815443" w:rsidP="00815443">
      <w:pPr>
        <w:spacing w:after="240" w:line="360" w:lineRule="auto"/>
        <w:rPr>
          <w:rFonts w:ascii="Times New Roman" w:eastAsia="Times New Roman" w:hAnsi="Times New Roman" w:cs="Times New Roman"/>
        </w:rPr>
      </w:pPr>
      <w:r w:rsidRPr="00815443">
        <w:rPr>
          <w:rFonts w:ascii="Times New Roman" w:eastAsia="Times New Roman" w:hAnsi="Times New Roman" w:cs="Times New Roman"/>
        </w:rPr>
        <w:t xml:space="preserve">Estyn (2017). </w:t>
      </w:r>
      <w:proofErr w:type="spellStart"/>
      <w:r w:rsidRPr="00815443">
        <w:rPr>
          <w:rFonts w:ascii="Times New Roman" w:eastAsia="Times New Roman" w:hAnsi="Times New Roman" w:cs="Times New Roman"/>
          <w:i/>
          <w:iCs/>
        </w:rPr>
        <w:t>Adroddiad</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ar</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Ysgol</w:t>
      </w:r>
      <w:proofErr w:type="spellEnd"/>
      <w:r w:rsidRPr="00815443">
        <w:rPr>
          <w:rFonts w:ascii="Times New Roman" w:eastAsia="Times New Roman" w:hAnsi="Times New Roman" w:cs="Times New Roman"/>
          <w:i/>
          <w:iCs/>
        </w:rPr>
        <w:t xml:space="preserve"> </w:t>
      </w:r>
      <w:r>
        <w:rPr>
          <w:rFonts w:ascii="Times New Roman" w:eastAsia="Times New Roman" w:hAnsi="Times New Roman" w:cs="Times New Roman"/>
          <w:i/>
          <w:iCs/>
        </w:rPr>
        <w:t>A</w:t>
      </w:r>
      <w:r w:rsidRPr="00815443">
        <w:rPr>
          <w:rFonts w:ascii="Times New Roman" w:eastAsia="Times New Roman" w:hAnsi="Times New Roman" w:cs="Times New Roman"/>
        </w:rPr>
        <w:t xml:space="preserve">[online] Estyn. Available at: </w:t>
      </w:r>
      <w:r w:rsidR="00821956">
        <w:rPr>
          <w:rFonts w:ascii="Times New Roman" w:eastAsia="Times New Roman" w:hAnsi="Times New Roman" w:cs="Times New Roman"/>
        </w:rPr>
        <w:t>(URL removed)</w:t>
      </w:r>
    </w:p>
    <w:p w14:paraId="0A087FE3" w14:textId="77777777" w:rsidR="00815443" w:rsidRPr="00815443" w:rsidRDefault="00815443" w:rsidP="00815443">
      <w:pPr>
        <w:spacing w:after="240" w:line="360" w:lineRule="auto"/>
        <w:rPr>
          <w:rFonts w:ascii="Times New Roman" w:eastAsia="Times New Roman" w:hAnsi="Times New Roman" w:cs="Times New Roman"/>
        </w:rPr>
      </w:pPr>
      <w:r w:rsidRPr="00815443">
        <w:rPr>
          <w:rFonts w:ascii="Times New Roman" w:eastAsia="Times New Roman" w:hAnsi="Times New Roman" w:cs="Times New Roman"/>
        </w:rPr>
        <w:t xml:space="preserve">Estyn. (2024). </w:t>
      </w:r>
      <w:proofErr w:type="spellStart"/>
      <w:r w:rsidRPr="00815443">
        <w:rPr>
          <w:rFonts w:ascii="Times New Roman" w:eastAsia="Times New Roman" w:hAnsi="Times New Roman" w:cs="Times New Roman"/>
        </w:rPr>
        <w:t>Meithrin</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annibyniaeth</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ymhlith</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disgyblion</w:t>
      </w:r>
      <w:proofErr w:type="spellEnd"/>
      <w:r w:rsidRPr="00815443">
        <w:rPr>
          <w:rFonts w:ascii="Times New Roman" w:eastAsia="Times New Roman" w:hAnsi="Times New Roman" w:cs="Times New Roman"/>
        </w:rPr>
        <w:t xml:space="preserve"> - Estyn. [online] Available at: https://www.estyn.llyw.cymru/adnoddau-gwella/meithrin-annibyniaeth-ymhlith-disgyblion/. </w:t>
      </w:r>
    </w:p>
    <w:p w14:paraId="031EEDC0"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Llywodraeth</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Cymru</w:t>
      </w:r>
      <w:proofErr w:type="spellEnd"/>
      <w:r w:rsidRPr="00815443">
        <w:rPr>
          <w:rFonts w:ascii="Times New Roman" w:eastAsia="Times New Roman" w:hAnsi="Times New Roman" w:cs="Times New Roman"/>
        </w:rPr>
        <w:t xml:space="preserve"> (2019). </w:t>
      </w:r>
      <w:r w:rsidRPr="00815443">
        <w:rPr>
          <w:rFonts w:ascii="Times New Roman" w:eastAsia="Times New Roman" w:hAnsi="Times New Roman" w:cs="Times New Roman"/>
          <w:i/>
          <w:iCs/>
        </w:rPr>
        <w:t>WIMD Maps from 2019</w:t>
      </w:r>
      <w:r w:rsidRPr="00815443">
        <w:rPr>
          <w:rFonts w:ascii="Times New Roman" w:eastAsia="Times New Roman" w:hAnsi="Times New Roman" w:cs="Times New Roman"/>
        </w:rPr>
        <w:t xml:space="preserve">. [online] </w:t>
      </w:r>
      <w:proofErr w:type="spellStart"/>
      <w:proofErr w:type="gramStart"/>
      <w:r w:rsidRPr="00815443">
        <w:rPr>
          <w:rFonts w:ascii="Times New Roman" w:eastAsia="Times New Roman" w:hAnsi="Times New Roman" w:cs="Times New Roman"/>
        </w:rPr>
        <w:t>statswales.gov.wales</w:t>
      </w:r>
      <w:proofErr w:type="spellEnd"/>
      <w:proofErr w:type="gramEnd"/>
      <w:r w:rsidRPr="00815443">
        <w:rPr>
          <w:rFonts w:ascii="Times New Roman" w:eastAsia="Times New Roman" w:hAnsi="Times New Roman" w:cs="Times New Roman"/>
        </w:rPr>
        <w:t>. Available at: https://statswales.gov.wales/Catalogue/Community-Safety-and-Social-Inclusion/Welsh-Index-of-Multiple-Deprivation/WIMD-maps-2019.</w:t>
      </w:r>
    </w:p>
    <w:p w14:paraId="5493A0C3"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Llywodraeth</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Cymru</w:t>
      </w:r>
      <w:proofErr w:type="spellEnd"/>
      <w:r w:rsidRPr="00815443">
        <w:rPr>
          <w:rFonts w:ascii="Times New Roman" w:eastAsia="Times New Roman" w:hAnsi="Times New Roman" w:cs="Times New Roman"/>
        </w:rPr>
        <w:t xml:space="preserve"> (2021a). </w:t>
      </w:r>
      <w:proofErr w:type="spellStart"/>
      <w:r w:rsidRPr="00815443">
        <w:rPr>
          <w:rFonts w:ascii="Times New Roman" w:eastAsia="Times New Roman" w:hAnsi="Times New Roman" w:cs="Times New Roman"/>
          <w:i/>
          <w:iCs/>
        </w:rPr>
        <w:t>Canllawiau</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gwella</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ysgolion</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fframwaith</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ar</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gyfer</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gwerthuso</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gwella</w:t>
      </w:r>
      <w:proofErr w:type="spellEnd"/>
      <w:r w:rsidRPr="00815443">
        <w:rPr>
          <w:rFonts w:ascii="Times New Roman" w:eastAsia="Times New Roman" w:hAnsi="Times New Roman" w:cs="Times New Roman"/>
          <w:i/>
          <w:iCs/>
        </w:rPr>
        <w:t xml:space="preserve"> ac </w:t>
      </w:r>
      <w:proofErr w:type="spellStart"/>
      <w:r w:rsidRPr="00815443">
        <w:rPr>
          <w:rFonts w:ascii="Times New Roman" w:eastAsia="Times New Roman" w:hAnsi="Times New Roman" w:cs="Times New Roman"/>
          <w:i/>
          <w:iCs/>
        </w:rPr>
        <w:t>atebolrwydd</w:t>
      </w:r>
      <w:proofErr w:type="spellEnd"/>
      <w:r w:rsidRPr="00815443">
        <w:rPr>
          <w:rFonts w:ascii="Times New Roman" w:eastAsia="Times New Roman" w:hAnsi="Times New Roman" w:cs="Times New Roman"/>
          <w:i/>
          <w:iCs/>
        </w:rPr>
        <w:t xml:space="preserve"> - </w:t>
      </w:r>
      <w:proofErr w:type="spellStart"/>
      <w:r w:rsidRPr="00815443">
        <w:rPr>
          <w:rFonts w:ascii="Times New Roman" w:eastAsia="Times New Roman" w:hAnsi="Times New Roman" w:cs="Times New Roman"/>
          <w:i/>
          <w:iCs/>
        </w:rPr>
        <w:t>Hwb</w:t>
      </w:r>
      <w:proofErr w:type="spellEnd"/>
      <w:r w:rsidRPr="00815443">
        <w:rPr>
          <w:rFonts w:ascii="Times New Roman" w:eastAsia="Times New Roman" w:hAnsi="Times New Roman" w:cs="Times New Roman"/>
        </w:rPr>
        <w:t xml:space="preserve">. [online] </w:t>
      </w:r>
      <w:proofErr w:type="spellStart"/>
      <w:proofErr w:type="gramStart"/>
      <w:r w:rsidRPr="00815443">
        <w:rPr>
          <w:rFonts w:ascii="Times New Roman" w:eastAsia="Times New Roman" w:hAnsi="Times New Roman" w:cs="Times New Roman"/>
        </w:rPr>
        <w:t>hwb.gov.wales</w:t>
      </w:r>
      <w:proofErr w:type="spellEnd"/>
      <w:proofErr w:type="gramEnd"/>
      <w:r w:rsidRPr="00815443">
        <w:rPr>
          <w:rFonts w:ascii="Times New Roman" w:eastAsia="Times New Roman" w:hAnsi="Times New Roman" w:cs="Times New Roman"/>
        </w:rPr>
        <w:t>. Available at: https://hwb.gov.wales/gwerthuso-gwella-ac-atebolrwydd/canllawiau-gwella-ysgolion-fframwaith-ar-gyfer-gwerthuso-gwella-ac-atebolrwydd.</w:t>
      </w:r>
    </w:p>
    <w:p w14:paraId="3E8B33A8"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Llywodraeth</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Cymru</w:t>
      </w:r>
      <w:proofErr w:type="spellEnd"/>
      <w:r w:rsidRPr="00815443">
        <w:rPr>
          <w:rFonts w:ascii="Times New Roman" w:eastAsia="Times New Roman" w:hAnsi="Times New Roman" w:cs="Times New Roman"/>
        </w:rPr>
        <w:t xml:space="preserve"> (2021b). </w:t>
      </w:r>
      <w:proofErr w:type="spellStart"/>
      <w:r w:rsidRPr="00815443">
        <w:rPr>
          <w:rFonts w:ascii="Times New Roman" w:eastAsia="Times New Roman" w:hAnsi="Times New Roman" w:cs="Times New Roman"/>
          <w:i/>
          <w:iCs/>
        </w:rPr>
        <w:t>Cwricwlwm</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i</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Gymru</w:t>
      </w:r>
      <w:proofErr w:type="spellEnd"/>
      <w:r w:rsidRPr="00815443">
        <w:rPr>
          <w:rFonts w:ascii="Times New Roman" w:eastAsia="Times New Roman" w:hAnsi="Times New Roman" w:cs="Times New Roman"/>
          <w:i/>
          <w:iCs/>
        </w:rPr>
        <w:t xml:space="preserve"> - </w:t>
      </w:r>
      <w:proofErr w:type="spellStart"/>
      <w:r w:rsidRPr="00815443">
        <w:rPr>
          <w:rFonts w:ascii="Times New Roman" w:eastAsia="Times New Roman" w:hAnsi="Times New Roman" w:cs="Times New Roman"/>
          <w:i/>
          <w:iCs/>
        </w:rPr>
        <w:t>Hwb</w:t>
      </w:r>
      <w:proofErr w:type="spellEnd"/>
      <w:r w:rsidRPr="00815443">
        <w:rPr>
          <w:rFonts w:ascii="Times New Roman" w:eastAsia="Times New Roman" w:hAnsi="Times New Roman" w:cs="Times New Roman"/>
        </w:rPr>
        <w:t xml:space="preserve">. [online] </w:t>
      </w:r>
      <w:proofErr w:type="spellStart"/>
      <w:proofErr w:type="gramStart"/>
      <w:r w:rsidRPr="00815443">
        <w:rPr>
          <w:rFonts w:ascii="Times New Roman" w:eastAsia="Times New Roman" w:hAnsi="Times New Roman" w:cs="Times New Roman"/>
        </w:rPr>
        <w:t>hwb.gov.wales</w:t>
      </w:r>
      <w:proofErr w:type="spellEnd"/>
      <w:proofErr w:type="gramEnd"/>
      <w:r w:rsidRPr="00815443">
        <w:rPr>
          <w:rFonts w:ascii="Times New Roman" w:eastAsia="Times New Roman" w:hAnsi="Times New Roman" w:cs="Times New Roman"/>
        </w:rPr>
        <w:t>. Available at: https://hwb.gov.wales/cwricwlwm-i-gymru.</w:t>
      </w:r>
    </w:p>
    <w:p w14:paraId="7D498433" w14:textId="79DEEBAE"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Llywodraeth</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Cymru</w:t>
      </w:r>
      <w:proofErr w:type="spellEnd"/>
      <w:r w:rsidRPr="00815443">
        <w:rPr>
          <w:rFonts w:ascii="Times New Roman" w:eastAsia="Times New Roman" w:hAnsi="Times New Roman" w:cs="Times New Roman"/>
        </w:rPr>
        <w:t xml:space="preserve"> (2022). </w:t>
      </w:r>
      <w:r w:rsidRPr="00815443">
        <w:rPr>
          <w:rFonts w:ascii="Times New Roman" w:eastAsia="Times New Roman" w:hAnsi="Times New Roman" w:cs="Times New Roman"/>
          <w:i/>
          <w:iCs/>
        </w:rPr>
        <w:t xml:space="preserve">YSGOL </w:t>
      </w:r>
      <w:r>
        <w:rPr>
          <w:rFonts w:ascii="Times New Roman" w:eastAsia="Times New Roman" w:hAnsi="Times New Roman" w:cs="Times New Roman"/>
          <w:i/>
          <w:iCs/>
        </w:rPr>
        <w:t xml:space="preserve">A </w:t>
      </w:r>
      <w:r w:rsidRPr="00815443">
        <w:rPr>
          <w:rFonts w:ascii="Times New Roman" w:eastAsia="Times New Roman" w:hAnsi="Times New Roman" w:cs="Times New Roman"/>
        </w:rPr>
        <w:t xml:space="preserve">[online] </w:t>
      </w:r>
      <w:proofErr w:type="spellStart"/>
      <w:r w:rsidRPr="00815443">
        <w:rPr>
          <w:rFonts w:ascii="Times New Roman" w:eastAsia="Times New Roman" w:hAnsi="Times New Roman" w:cs="Times New Roman"/>
        </w:rPr>
        <w:t>Gov.wales</w:t>
      </w:r>
      <w:proofErr w:type="spellEnd"/>
      <w:r w:rsidRPr="00815443">
        <w:rPr>
          <w:rFonts w:ascii="Times New Roman" w:eastAsia="Times New Roman" w:hAnsi="Times New Roman" w:cs="Times New Roman"/>
        </w:rPr>
        <w:t xml:space="preserve">. Available at: </w:t>
      </w:r>
      <w:r w:rsidR="00D80789">
        <w:rPr>
          <w:rFonts w:ascii="Times New Roman" w:eastAsia="Times New Roman" w:hAnsi="Times New Roman" w:cs="Times New Roman"/>
        </w:rPr>
        <w:t>(URL removed)</w:t>
      </w:r>
    </w:p>
    <w:p w14:paraId="0861A65F"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Llywodraeth</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Cymru</w:t>
      </w:r>
      <w:proofErr w:type="spellEnd"/>
      <w:r w:rsidRPr="00815443">
        <w:rPr>
          <w:rFonts w:ascii="Times New Roman" w:eastAsia="Times New Roman" w:hAnsi="Times New Roman" w:cs="Times New Roman"/>
        </w:rPr>
        <w:t xml:space="preserve"> (2023a). </w:t>
      </w:r>
      <w:proofErr w:type="spellStart"/>
      <w:r w:rsidRPr="00815443">
        <w:rPr>
          <w:rFonts w:ascii="Times New Roman" w:eastAsia="Times New Roman" w:hAnsi="Times New Roman" w:cs="Times New Roman"/>
          <w:i/>
          <w:iCs/>
        </w:rPr>
        <w:t>Addysgeg</w:t>
      </w:r>
      <w:proofErr w:type="spellEnd"/>
      <w:r w:rsidRPr="00815443">
        <w:rPr>
          <w:rFonts w:ascii="Times New Roman" w:eastAsia="Times New Roman" w:hAnsi="Times New Roman" w:cs="Times New Roman"/>
          <w:i/>
          <w:iCs/>
        </w:rPr>
        <w:t xml:space="preserve"> - </w:t>
      </w:r>
      <w:proofErr w:type="spellStart"/>
      <w:r w:rsidRPr="00815443">
        <w:rPr>
          <w:rFonts w:ascii="Times New Roman" w:eastAsia="Times New Roman" w:hAnsi="Times New Roman" w:cs="Times New Roman"/>
          <w:i/>
          <w:iCs/>
        </w:rPr>
        <w:t>Hwb</w:t>
      </w:r>
      <w:proofErr w:type="spellEnd"/>
      <w:r w:rsidRPr="00815443">
        <w:rPr>
          <w:rFonts w:ascii="Times New Roman" w:eastAsia="Times New Roman" w:hAnsi="Times New Roman" w:cs="Times New Roman"/>
        </w:rPr>
        <w:t xml:space="preserve">. [online] </w:t>
      </w:r>
      <w:proofErr w:type="spellStart"/>
      <w:proofErr w:type="gramStart"/>
      <w:r w:rsidRPr="00815443">
        <w:rPr>
          <w:rFonts w:ascii="Times New Roman" w:eastAsia="Times New Roman" w:hAnsi="Times New Roman" w:cs="Times New Roman"/>
        </w:rPr>
        <w:t>hwb.gov.wales</w:t>
      </w:r>
      <w:proofErr w:type="spellEnd"/>
      <w:proofErr w:type="gramEnd"/>
      <w:r w:rsidRPr="00815443">
        <w:rPr>
          <w:rFonts w:ascii="Times New Roman" w:eastAsia="Times New Roman" w:hAnsi="Times New Roman" w:cs="Times New Roman"/>
        </w:rPr>
        <w:t>. Available at: https://hwb.gov.wales/cwricwlwm-i-gymru/cynllunio-eich-cwricwlwm/addysgeg.</w:t>
      </w:r>
    </w:p>
    <w:p w14:paraId="25383825"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Llywodraeth</w:t>
      </w:r>
      <w:proofErr w:type="spellEnd"/>
      <w:r w:rsidRPr="00815443">
        <w:rPr>
          <w:rFonts w:ascii="Times New Roman" w:eastAsia="Times New Roman" w:hAnsi="Times New Roman" w:cs="Times New Roman"/>
        </w:rPr>
        <w:t xml:space="preserve"> </w:t>
      </w:r>
      <w:proofErr w:type="spellStart"/>
      <w:r w:rsidRPr="00815443">
        <w:rPr>
          <w:rFonts w:ascii="Times New Roman" w:eastAsia="Times New Roman" w:hAnsi="Times New Roman" w:cs="Times New Roman"/>
        </w:rPr>
        <w:t>Cymru</w:t>
      </w:r>
      <w:proofErr w:type="spellEnd"/>
      <w:r w:rsidRPr="00815443">
        <w:rPr>
          <w:rFonts w:ascii="Times New Roman" w:eastAsia="Times New Roman" w:hAnsi="Times New Roman" w:cs="Times New Roman"/>
        </w:rPr>
        <w:t xml:space="preserve"> (2023b). </w:t>
      </w:r>
      <w:proofErr w:type="spellStart"/>
      <w:r w:rsidRPr="00815443">
        <w:rPr>
          <w:rFonts w:ascii="Times New Roman" w:eastAsia="Times New Roman" w:hAnsi="Times New Roman" w:cs="Times New Roman"/>
          <w:i/>
          <w:iCs/>
        </w:rPr>
        <w:t>Cenhadaeth</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ein</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cenedl</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safonau</w:t>
      </w:r>
      <w:proofErr w:type="spellEnd"/>
      <w:r w:rsidRPr="00815443">
        <w:rPr>
          <w:rFonts w:ascii="Times New Roman" w:eastAsia="Times New Roman" w:hAnsi="Times New Roman" w:cs="Times New Roman"/>
          <w:i/>
          <w:iCs/>
        </w:rPr>
        <w:t xml:space="preserve"> a </w:t>
      </w:r>
      <w:proofErr w:type="spellStart"/>
      <w:r w:rsidRPr="00815443">
        <w:rPr>
          <w:rFonts w:ascii="Times New Roman" w:eastAsia="Times New Roman" w:hAnsi="Times New Roman" w:cs="Times New Roman"/>
          <w:i/>
          <w:iCs/>
        </w:rPr>
        <w:t>dyheadau</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uchel</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i</w:t>
      </w:r>
      <w:proofErr w:type="spellEnd"/>
      <w:r w:rsidRPr="00815443">
        <w:rPr>
          <w:rFonts w:ascii="Times New Roman" w:eastAsia="Times New Roman" w:hAnsi="Times New Roman" w:cs="Times New Roman"/>
          <w:i/>
          <w:iCs/>
        </w:rPr>
        <w:t xml:space="preserve"> </w:t>
      </w:r>
      <w:proofErr w:type="spellStart"/>
      <w:r w:rsidRPr="00815443">
        <w:rPr>
          <w:rFonts w:ascii="Times New Roman" w:eastAsia="Times New Roman" w:hAnsi="Times New Roman" w:cs="Times New Roman"/>
          <w:i/>
          <w:iCs/>
        </w:rPr>
        <w:t>bawb</w:t>
      </w:r>
      <w:proofErr w:type="spellEnd"/>
      <w:r w:rsidRPr="00815443">
        <w:rPr>
          <w:rFonts w:ascii="Times New Roman" w:eastAsia="Times New Roman" w:hAnsi="Times New Roman" w:cs="Times New Roman"/>
          <w:i/>
          <w:iCs/>
        </w:rPr>
        <w:t xml:space="preserve"> [HTML] | LLYW.CYMRU</w:t>
      </w:r>
      <w:r w:rsidRPr="00815443">
        <w:rPr>
          <w:rFonts w:ascii="Times New Roman" w:eastAsia="Times New Roman" w:hAnsi="Times New Roman" w:cs="Times New Roman"/>
        </w:rPr>
        <w:t>. [online] LLYW.CYMRU. Available at: https://www.llyw.cymru/cenhadaeth-ein-cenedl-safonau-dyheadau-uchel-i-bawb-html.</w:t>
      </w:r>
    </w:p>
    <w:p w14:paraId="78CEAEAB" w14:textId="77777777" w:rsidR="00815443" w:rsidRPr="00815443" w:rsidRDefault="00815443" w:rsidP="00815443">
      <w:pPr>
        <w:spacing w:after="240" w:line="360" w:lineRule="auto"/>
        <w:rPr>
          <w:rFonts w:ascii="Times New Roman" w:eastAsia="Times New Roman" w:hAnsi="Times New Roman" w:cs="Times New Roman"/>
        </w:rPr>
      </w:pPr>
      <w:r w:rsidRPr="00815443">
        <w:rPr>
          <w:rFonts w:ascii="Times New Roman" w:eastAsia="Times New Roman" w:hAnsi="Times New Roman" w:cs="Times New Roman"/>
        </w:rPr>
        <w:t xml:space="preserve">Reeve, J. and Tseng, C.-M. (2011). Agency as a fourth aspect of students’ engagement during learning activities. </w:t>
      </w:r>
      <w:r w:rsidRPr="00815443">
        <w:rPr>
          <w:rFonts w:ascii="Times New Roman" w:eastAsia="Times New Roman" w:hAnsi="Times New Roman" w:cs="Times New Roman"/>
          <w:i/>
          <w:iCs/>
        </w:rPr>
        <w:t>Contemporary Educational Psychology</w:t>
      </w:r>
      <w:r w:rsidRPr="00815443">
        <w:rPr>
          <w:rFonts w:ascii="Times New Roman" w:eastAsia="Times New Roman" w:hAnsi="Times New Roman" w:cs="Times New Roman"/>
        </w:rPr>
        <w:t xml:space="preserve">, 36(4), pp.257–267.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://doi.org/10.1016/j.cedpsych.2011.05.002</w:t>
      </w:r>
      <w:proofErr w:type="gramEnd"/>
      <w:r w:rsidRPr="00815443">
        <w:rPr>
          <w:rFonts w:ascii="Times New Roman" w:eastAsia="Times New Roman" w:hAnsi="Times New Roman" w:cs="Times New Roman"/>
        </w:rPr>
        <w:t>.</w:t>
      </w:r>
    </w:p>
    <w:p w14:paraId="2C0FBE0C" w14:textId="77777777" w:rsidR="00815443" w:rsidRPr="00815443" w:rsidRDefault="00815443" w:rsidP="00815443">
      <w:pPr>
        <w:spacing w:after="240" w:line="360" w:lineRule="auto"/>
        <w:rPr>
          <w:rFonts w:ascii="Times New Roman" w:eastAsia="Times New Roman" w:hAnsi="Times New Roman" w:cs="Times New Roman"/>
        </w:rPr>
      </w:pPr>
      <w:r w:rsidRPr="00815443">
        <w:rPr>
          <w:rFonts w:ascii="Times New Roman" w:eastAsia="Times New Roman" w:hAnsi="Times New Roman" w:cs="Times New Roman"/>
        </w:rPr>
        <w:t xml:space="preserve">Roediger, H.L. and Butler, A.C. (2011). The critical role of retrieval practice in long-term retention. </w:t>
      </w:r>
      <w:r w:rsidRPr="00815443">
        <w:rPr>
          <w:rFonts w:ascii="Times New Roman" w:eastAsia="Times New Roman" w:hAnsi="Times New Roman" w:cs="Times New Roman"/>
          <w:i/>
          <w:iCs/>
        </w:rPr>
        <w:t>Trends in Cognitive Sciences</w:t>
      </w:r>
      <w:r w:rsidRPr="00815443">
        <w:rPr>
          <w:rFonts w:ascii="Times New Roman" w:eastAsia="Times New Roman" w:hAnsi="Times New Roman" w:cs="Times New Roman"/>
        </w:rPr>
        <w:t xml:space="preserve">, [online] 15(1), pp.20–27.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://doi.org/10.1016/j.tics.2010.09.003</w:t>
      </w:r>
      <w:proofErr w:type="gramEnd"/>
      <w:r w:rsidRPr="00815443">
        <w:rPr>
          <w:rFonts w:ascii="Times New Roman" w:eastAsia="Times New Roman" w:hAnsi="Times New Roman" w:cs="Times New Roman"/>
        </w:rPr>
        <w:t>.</w:t>
      </w:r>
    </w:p>
    <w:p w14:paraId="72FAA9CC" w14:textId="77777777" w:rsidR="00815443" w:rsidRPr="00815443" w:rsidRDefault="00815443" w:rsidP="00815443">
      <w:pPr>
        <w:spacing w:after="240" w:line="360" w:lineRule="auto"/>
        <w:rPr>
          <w:rFonts w:ascii="Times New Roman" w:eastAsia="Times New Roman" w:hAnsi="Times New Roman" w:cs="Times New Roman"/>
        </w:rPr>
      </w:pPr>
      <w:r w:rsidRPr="00815443">
        <w:rPr>
          <w:rFonts w:ascii="Times New Roman" w:eastAsia="Times New Roman" w:hAnsi="Times New Roman" w:cs="Times New Roman"/>
        </w:rPr>
        <w:t xml:space="preserve">Sterling. (2015). 5 key college prep advantages of independent learning vs. traditional schools. [online] </w:t>
      </w:r>
      <w:proofErr w:type="spellStart"/>
      <w:r w:rsidRPr="00815443">
        <w:rPr>
          <w:rFonts w:ascii="Times New Roman" w:eastAsia="Times New Roman" w:hAnsi="Times New Roman" w:cs="Times New Roman"/>
        </w:rPr>
        <w:t>Sterling.academy</w:t>
      </w:r>
      <w:proofErr w:type="spellEnd"/>
      <w:r w:rsidRPr="00815443">
        <w:rPr>
          <w:rFonts w:ascii="Times New Roman" w:eastAsia="Times New Roman" w:hAnsi="Times New Roman" w:cs="Times New Roman"/>
        </w:rPr>
        <w:t xml:space="preserve">. Available at: </w:t>
      </w:r>
      <w:proofErr w:type="gramStart"/>
      <w:r w:rsidRPr="00815443">
        <w:rPr>
          <w:rFonts w:ascii="Times New Roman" w:eastAsia="Times New Roman" w:hAnsi="Times New Roman" w:cs="Times New Roman"/>
        </w:rPr>
        <w:t>https://www.sterling.academy/our-blog/bid/103674/5-key-college-prep-advantages-of-independent-learning-vs-traditional-schools?.</w:t>
      </w:r>
      <w:proofErr w:type="gramEnd"/>
      <w:r w:rsidRPr="00815443">
        <w:rPr>
          <w:rFonts w:ascii="Times New Roman" w:eastAsia="Times New Roman" w:hAnsi="Times New Roman" w:cs="Times New Roman"/>
        </w:rPr>
        <w:t xml:space="preserve"> </w:t>
      </w:r>
    </w:p>
    <w:p w14:paraId="1550F657"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Topor</w:t>
      </w:r>
      <w:proofErr w:type="spellEnd"/>
      <w:r w:rsidRPr="00815443">
        <w:rPr>
          <w:rFonts w:ascii="Times New Roman" w:eastAsia="Times New Roman" w:hAnsi="Times New Roman" w:cs="Times New Roman"/>
        </w:rPr>
        <w:t xml:space="preserve">, D.R., Keane, S.P., Shelton, T.L. and Calkins, S.D. (2010). Parent Involvement and Student Academic Performance: A Multiple Mediational Analysis. </w:t>
      </w:r>
      <w:r w:rsidRPr="00815443">
        <w:rPr>
          <w:rFonts w:ascii="Times New Roman" w:eastAsia="Times New Roman" w:hAnsi="Times New Roman" w:cs="Times New Roman"/>
          <w:i/>
          <w:iCs/>
        </w:rPr>
        <w:t>Journal of Prevention &amp; Intervention in the Community</w:t>
      </w:r>
      <w:r w:rsidRPr="00815443">
        <w:rPr>
          <w:rFonts w:ascii="Times New Roman" w:eastAsia="Times New Roman" w:hAnsi="Times New Roman" w:cs="Times New Roman"/>
        </w:rPr>
        <w:t xml:space="preserve">, [online] 38(3), pp.183–197.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://doi.org/10.1080/10852352.2010.486297</w:t>
      </w:r>
      <w:proofErr w:type="gramEnd"/>
      <w:r w:rsidRPr="00815443">
        <w:rPr>
          <w:rFonts w:ascii="Times New Roman" w:eastAsia="Times New Roman" w:hAnsi="Times New Roman" w:cs="Times New Roman"/>
        </w:rPr>
        <w:t>.</w:t>
      </w:r>
    </w:p>
    <w:p w14:paraId="5E072B90" w14:textId="77777777" w:rsidR="00815443" w:rsidRPr="00815443" w:rsidRDefault="00815443" w:rsidP="00815443">
      <w:pPr>
        <w:spacing w:after="240" w:line="360" w:lineRule="auto"/>
        <w:rPr>
          <w:rFonts w:ascii="Times New Roman" w:eastAsia="Times New Roman" w:hAnsi="Times New Roman" w:cs="Times New Roman"/>
        </w:rPr>
      </w:pPr>
      <w:r w:rsidRPr="00815443">
        <w:rPr>
          <w:rFonts w:ascii="Times New Roman" w:eastAsia="Times New Roman" w:hAnsi="Times New Roman" w:cs="Times New Roman"/>
        </w:rPr>
        <w:t xml:space="preserve">Vygotsky, L. (1978). Mind in society: The development of higher psychological processes. </w:t>
      </w:r>
      <w:r w:rsidRPr="00815443">
        <w:rPr>
          <w:rFonts w:ascii="Times New Roman" w:eastAsia="Times New Roman" w:hAnsi="Times New Roman" w:cs="Times New Roman"/>
          <w:i/>
          <w:iCs/>
        </w:rPr>
        <w:t>American Anthropologist</w:t>
      </w:r>
      <w:r w:rsidRPr="00815443">
        <w:rPr>
          <w:rFonts w:ascii="Times New Roman" w:eastAsia="Times New Roman" w:hAnsi="Times New Roman" w:cs="Times New Roman"/>
        </w:rPr>
        <w:t xml:space="preserve">, 81(4).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://doi.org/10.1525/aa.1979.81.4.02a00580</w:t>
      </w:r>
      <w:proofErr w:type="gramEnd"/>
      <w:r w:rsidRPr="00815443">
        <w:rPr>
          <w:rFonts w:ascii="Times New Roman" w:eastAsia="Times New Roman" w:hAnsi="Times New Roman" w:cs="Times New Roman"/>
        </w:rPr>
        <w:t>.</w:t>
      </w:r>
    </w:p>
    <w:p w14:paraId="541F29D9"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Xhomara</w:t>
      </w:r>
      <w:proofErr w:type="spellEnd"/>
      <w:r w:rsidRPr="00815443">
        <w:rPr>
          <w:rFonts w:ascii="Times New Roman" w:eastAsia="Times New Roman" w:hAnsi="Times New Roman" w:cs="Times New Roman"/>
        </w:rPr>
        <w:t xml:space="preserve">, N. (2022). Critical thinking: student-centred teaching approach and personalised learning, as well as previous education achievements, contribute to critical thinking skills of students. </w:t>
      </w:r>
      <w:r w:rsidRPr="00815443">
        <w:rPr>
          <w:rFonts w:ascii="Times New Roman" w:eastAsia="Times New Roman" w:hAnsi="Times New Roman" w:cs="Times New Roman"/>
          <w:i/>
          <w:iCs/>
        </w:rPr>
        <w:t>International Journal of Learning and Change</w:t>
      </w:r>
      <w:r w:rsidRPr="00815443">
        <w:rPr>
          <w:rFonts w:ascii="Times New Roman" w:eastAsia="Times New Roman" w:hAnsi="Times New Roman" w:cs="Times New Roman"/>
        </w:rPr>
        <w:t xml:space="preserve">, [online] 14(1), p.101.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://doi.org/10.1504/ijlc.2022.119513</w:t>
      </w:r>
      <w:proofErr w:type="gramEnd"/>
      <w:r w:rsidRPr="00815443">
        <w:rPr>
          <w:rFonts w:ascii="Times New Roman" w:eastAsia="Times New Roman" w:hAnsi="Times New Roman" w:cs="Times New Roman"/>
        </w:rPr>
        <w:t>.</w:t>
      </w:r>
    </w:p>
    <w:p w14:paraId="4A95514F" w14:textId="77777777" w:rsidR="00815443" w:rsidRPr="00815443" w:rsidRDefault="00815443" w:rsidP="00815443">
      <w:pPr>
        <w:spacing w:after="240" w:line="360" w:lineRule="auto"/>
        <w:rPr>
          <w:rFonts w:ascii="Times New Roman" w:eastAsia="Times New Roman" w:hAnsi="Times New Roman" w:cs="Times New Roman"/>
        </w:rPr>
      </w:pPr>
      <w:r w:rsidRPr="00815443">
        <w:rPr>
          <w:rFonts w:ascii="Times New Roman" w:eastAsia="Times New Roman" w:hAnsi="Times New Roman" w:cs="Times New Roman"/>
        </w:rPr>
        <w:t xml:space="preserve">Xu, J., Wu, A., Filip, C., Patel, Z., Bernstein, S.R., Tanveer, R., Syed, H. and </w:t>
      </w:r>
      <w:proofErr w:type="spellStart"/>
      <w:r w:rsidRPr="00815443">
        <w:rPr>
          <w:rFonts w:ascii="Times New Roman" w:eastAsia="Times New Roman" w:hAnsi="Times New Roman" w:cs="Times New Roman"/>
        </w:rPr>
        <w:t>Kotroczo</w:t>
      </w:r>
      <w:proofErr w:type="spellEnd"/>
      <w:r w:rsidRPr="00815443">
        <w:rPr>
          <w:rFonts w:ascii="Times New Roman" w:eastAsia="Times New Roman" w:hAnsi="Times New Roman" w:cs="Times New Roman"/>
        </w:rPr>
        <w:t xml:space="preserve">, T. (2024). Active recall strategies associated with academic achievement in young adults: A systematic review. </w:t>
      </w:r>
      <w:r w:rsidRPr="00815443">
        <w:rPr>
          <w:rFonts w:ascii="Times New Roman" w:eastAsia="Times New Roman" w:hAnsi="Times New Roman" w:cs="Times New Roman"/>
          <w:i/>
          <w:iCs/>
        </w:rPr>
        <w:t>Journal of Affective Disorders</w:t>
      </w:r>
      <w:r w:rsidRPr="00815443">
        <w:rPr>
          <w:rFonts w:ascii="Times New Roman" w:eastAsia="Times New Roman" w:hAnsi="Times New Roman" w:cs="Times New Roman"/>
        </w:rPr>
        <w:t xml:space="preserve">, 354, pp.191–198.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://doi.org/10.1016/j.jad.2024.03.010</w:t>
      </w:r>
      <w:proofErr w:type="gramEnd"/>
      <w:r w:rsidRPr="00815443">
        <w:rPr>
          <w:rFonts w:ascii="Times New Roman" w:eastAsia="Times New Roman" w:hAnsi="Times New Roman" w:cs="Times New Roman"/>
        </w:rPr>
        <w:t>.</w:t>
      </w:r>
    </w:p>
    <w:p w14:paraId="5D5D179E" w14:textId="77777777" w:rsidR="00815443" w:rsidRPr="00815443" w:rsidRDefault="00815443" w:rsidP="00815443">
      <w:pPr>
        <w:spacing w:after="240" w:line="360" w:lineRule="auto"/>
        <w:rPr>
          <w:rFonts w:ascii="Times New Roman" w:eastAsia="Times New Roman" w:hAnsi="Times New Roman" w:cs="Times New Roman"/>
        </w:rPr>
      </w:pPr>
      <w:proofErr w:type="spellStart"/>
      <w:r w:rsidRPr="00815443">
        <w:rPr>
          <w:rFonts w:ascii="Times New Roman" w:eastAsia="Times New Roman" w:hAnsi="Times New Roman" w:cs="Times New Roman"/>
        </w:rPr>
        <w:t>Xue</w:t>
      </w:r>
      <w:proofErr w:type="spellEnd"/>
      <w:r w:rsidRPr="00815443">
        <w:rPr>
          <w:rFonts w:ascii="Times New Roman" w:eastAsia="Times New Roman" w:hAnsi="Times New Roman" w:cs="Times New Roman"/>
        </w:rPr>
        <w:t xml:space="preserve">, Y. (2023). The Effects of Different Positions of Visual Aids on Memorization. </w:t>
      </w:r>
      <w:r w:rsidRPr="00815443">
        <w:rPr>
          <w:rFonts w:ascii="Times New Roman" w:eastAsia="Times New Roman" w:hAnsi="Times New Roman" w:cs="Times New Roman"/>
          <w:i/>
          <w:iCs/>
        </w:rPr>
        <w:t>Lecture Notes in Education Psychology and Public Media</w:t>
      </w:r>
      <w:r w:rsidRPr="00815443">
        <w:rPr>
          <w:rFonts w:ascii="Times New Roman" w:eastAsia="Times New Roman" w:hAnsi="Times New Roman" w:cs="Times New Roman"/>
        </w:rPr>
        <w:t xml:space="preserve">, [online] 5(1), pp.132–139. </w:t>
      </w:r>
      <w:proofErr w:type="spellStart"/>
      <w:proofErr w:type="gramStart"/>
      <w:r w:rsidRPr="00815443">
        <w:rPr>
          <w:rFonts w:ascii="Times New Roman" w:eastAsia="Times New Roman" w:hAnsi="Times New Roman" w:cs="Times New Roman"/>
        </w:rPr>
        <w:t>doi:https</w:t>
      </w:r>
      <w:proofErr w:type="spellEnd"/>
      <w:r w:rsidRPr="00815443">
        <w:rPr>
          <w:rFonts w:ascii="Times New Roman" w:eastAsia="Times New Roman" w:hAnsi="Times New Roman" w:cs="Times New Roman"/>
        </w:rPr>
        <w:t>://doi.org/10.54254/2753-7048/5/20220433</w:t>
      </w:r>
      <w:proofErr w:type="gramEnd"/>
      <w:r w:rsidRPr="00815443">
        <w:rPr>
          <w:rFonts w:ascii="Times New Roman" w:eastAsia="Times New Roman" w:hAnsi="Times New Roman" w:cs="Times New Roman"/>
        </w:rPr>
        <w:t>.</w:t>
      </w:r>
    </w:p>
    <w:p w14:paraId="362DFA6A" w14:textId="77777777" w:rsidR="00815443" w:rsidRPr="00815443" w:rsidRDefault="00815443" w:rsidP="00815443">
      <w:pPr>
        <w:spacing w:line="360" w:lineRule="auto"/>
      </w:pPr>
    </w:p>
    <w:sectPr w:rsidR="00815443" w:rsidRPr="00815443" w:rsidSect="007560B6">
      <w:headerReference w:type="even" r:id="rId7"/>
      <w:headerReference w:type="default" r:id="rId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39549" w14:textId="77777777" w:rsidR="000A6D69" w:rsidRDefault="000A6D69" w:rsidP="003A665B">
      <w:r>
        <w:separator/>
      </w:r>
    </w:p>
  </w:endnote>
  <w:endnote w:type="continuationSeparator" w:id="0">
    <w:p w14:paraId="47244D17" w14:textId="77777777" w:rsidR="000A6D69" w:rsidRDefault="000A6D69" w:rsidP="003A6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1ECBC" w14:textId="77777777" w:rsidR="000A6D69" w:rsidRDefault="000A6D69" w:rsidP="003A665B">
      <w:r>
        <w:separator/>
      </w:r>
    </w:p>
  </w:footnote>
  <w:footnote w:type="continuationSeparator" w:id="0">
    <w:p w14:paraId="67F0B8F1" w14:textId="77777777" w:rsidR="000A6D69" w:rsidRDefault="000A6D69" w:rsidP="003A6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9618737"/>
      <w:docPartObj>
        <w:docPartGallery w:val="Page Numbers (Top of Page)"/>
        <w:docPartUnique/>
      </w:docPartObj>
    </w:sdtPr>
    <w:sdtEndPr>
      <w:rPr>
        <w:rStyle w:val="PageNumber"/>
      </w:rPr>
    </w:sdtEndPr>
    <w:sdtContent>
      <w:p w14:paraId="19DB9658" w14:textId="77777777" w:rsidR="003A665B" w:rsidRDefault="003A665B" w:rsidP="00931CA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23754E" w14:textId="77777777" w:rsidR="003A665B" w:rsidRDefault="003A665B" w:rsidP="003A665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5442524"/>
      <w:docPartObj>
        <w:docPartGallery w:val="Page Numbers (Top of Page)"/>
        <w:docPartUnique/>
      </w:docPartObj>
    </w:sdtPr>
    <w:sdtEndPr>
      <w:rPr>
        <w:rStyle w:val="PageNumber"/>
      </w:rPr>
    </w:sdtEndPr>
    <w:sdtContent>
      <w:p w14:paraId="7D7ED667" w14:textId="77777777" w:rsidR="003A665B" w:rsidRDefault="003A665B" w:rsidP="00931CA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F43890" w14:textId="70DD77E4" w:rsidR="003A665B" w:rsidRDefault="003A665B" w:rsidP="003A665B">
    <w:pPr>
      <w:pStyle w:val="NormalWeb"/>
      <w:ind w:right="360"/>
    </w:pPr>
    <w:r>
      <w:t>2405251</w:t>
    </w:r>
    <w:r>
      <w:tab/>
    </w:r>
    <w:r>
      <w:tab/>
    </w:r>
    <w:r>
      <w:tab/>
    </w:r>
    <w:r>
      <w:tab/>
    </w:r>
    <w:r>
      <w:rPr>
        <w:rFonts w:ascii="ArialMT" w:hAnsi="ArialMT"/>
        <w:sz w:val="22"/>
        <w:szCs w:val="22"/>
      </w:rPr>
      <w:t xml:space="preserve">ECAD7005C – </w:t>
    </w:r>
    <w:proofErr w:type="spellStart"/>
    <w:r>
      <w:rPr>
        <w:rFonts w:ascii="ArialMT" w:hAnsi="ArialMT"/>
        <w:sz w:val="22"/>
        <w:szCs w:val="22"/>
      </w:rPr>
      <w:t>Rhan</w:t>
    </w:r>
    <w:proofErr w:type="spellEnd"/>
    <w:r>
      <w:rPr>
        <w:rFonts w:ascii="ArialMT" w:hAnsi="ArialMT"/>
        <w:sz w:val="22"/>
        <w:szCs w:val="22"/>
      </w:rPr>
      <w:t xml:space="preserve"> </w:t>
    </w:r>
    <w:r w:rsidR="00F1023B">
      <w:rPr>
        <w:rFonts w:ascii="ArialMT" w:hAnsi="ArialMT"/>
        <w:sz w:val="22"/>
        <w:szCs w:val="22"/>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2661E1"/>
    <w:multiLevelType w:val="multilevel"/>
    <w:tmpl w:val="78246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0B6"/>
    <w:rsid w:val="00011216"/>
    <w:rsid w:val="000240D2"/>
    <w:rsid w:val="00057C39"/>
    <w:rsid w:val="0006055F"/>
    <w:rsid w:val="0007460E"/>
    <w:rsid w:val="0009194B"/>
    <w:rsid w:val="0009354D"/>
    <w:rsid w:val="000A1AFB"/>
    <w:rsid w:val="000A6D69"/>
    <w:rsid w:val="000C72E1"/>
    <w:rsid w:val="000C7FE9"/>
    <w:rsid w:val="000D6100"/>
    <w:rsid w:val="000F7B41"/>
    <w:rsid w:val="00110EE7"/>
    <w:rsid w:val="001308F3"/>
    <w:rsid w:val="00147D42"/>
    <w:rsid w:val="00155D62"/>
    <w:rsid w:val="001614CC"/>
    <w:rsid w:val="00177D18"/>
    <w:rsid w:val="001A72C6"/>
    <w:rsid w:val="001B5758"/>
    <w:rsid w:val="001E48F2"/>
    <w:rsid w:val="002049BD"/>
    <w:rsid w:val="0020552E"/>
    <w:rsid w:val="00207680"/>
    <w:rsid w:val="00212664"/>
    <w:rsid w:val="00236AE3"/>
    <w:rsid w:val="00237096"/>
    <w:rsid w:val="0025672D"/>
    <w:rsid w:val="002844C6"/>
    <w:rsid w:val="002B38DE"/>
    <w:rsid w:val="002E7762"/>
    <w:rsid w:val="003229A8"/>
    <w:rsid w:val="00327640"/>
    <w:rsid w:val="0034212B"/>
    <w:rsid w:val="00371E56"/>
    <w:rsid w:val="00376371"/>
    <w:rsid w:val="003A665B"/>
    <w:rsid w:val="003B7F34"/>
    <w:rsid w:val="003D555F"/>
    <w:rsid w:val="003E3245"/>
    <w:rsid w:val="00422530"/>
    <w:rsid w:val="00424751"/>
    <w:rsid w:val="00446F00"/>
    <w:rsid w:val="00452A78"/>
    <w:rsid w:val="004855F6"/>
    <w:rsid w:val="004A5852"/>
    <w:rsid w:val="004B047D"/>
    <w:rsid w:val="004D41E9"/>
    <w:rsid w:val="00554926"/>
    <w:rsid w:val="00554E2F"/>
    <w:rsid w:val="00565C62"/>
    <w:rsid w:val="00572D32"/>
    <w:rsid w:val="005E6510"/>
    <w:rsid w:val="005F55D2"/>
    <w:rsid w:val="00606154"/>
    <w:rsid w:val="0062042B"/>
    <w:rsid w:val="00620C41"/>
    <w:rsid w:val="00630116"/>
    <w:rsid w:val="00676151"/>
    <w:rsid w:val="006846F9"/>
    <w:rsid w:val="006949C4"/>
    <w:rsid w:val="006D1B33"/>
    <w:rsid w:val="006D54CC"/>
    <w:rsid w:val="00700E82"/>
    <w:rsid w:val="00711222"/>
    <w:rsid w:val="007236D8"/>
    <w:rsid w:val="007535FB"/>
    <w:rsid w:val="007560B6"/>
    <w:rsid w:val="007A2024"/>
    <w:rsid w:val="007E6EFD"/>
    <w:rsid w:val="00815443"/>
    <w:rsid w:val="00821956"/>
    <w:rsid w:val="00834E8E"/>
    <w:rsid w:val="00872322"/>
    <w:rsid w:val="00895D5F"/>
    <w:rsid w:val="00896D9B"/>
    <w:rsid w:val="008B0B13"/>
    <w:rsid w:val="00943AD5"/>
    <w:rsid w:val="00976ABA"/>
    <w:rsid w:val="00984B0A"/>
    <w:rsid w:val="009B1A32"/>
    <w:rsid w:val="009E17FF"/>
    <w:rsid w:val="009F62F3"/>
    <w:rsid w:val="00A032C7"/>
    <w:rsid w:val="00A055A7"/>
    <w:rsid w:val="00A44533"/>
    <w:rsid w:val="00A45290"/>
    <w:rsid w:val="00A46E26"/>
    <w:rsid w:val="00A91596"/>
    <w:rsid w:val="00AB7015"/>
    <w:rsid w:val="00B0076F"/>
    <w:rsid w:val="00B33DF4"/>
    <w:rsid w:val="00B569B3"/>
    <w:rsid w:val="00B67087"/>
    <w:rsid w:val="00BA2283"/>
    <w:rsid w:val="00BD2199"/>
    <w:rsid w:val="00C13545"/>
    <w:rsid w:val="00C3108C"/>
    <w:rsid w:val="00C36F0C"/>
    <w:rsid w:val="00C50614"/>
    <w:rsid w:val="00C551C0"/>
    <w:rsid w:val="00C92F64"/>
    <w:rsid w:val="00D2200C"/>
    <w:rsid w:val="00D4143F"/>
    <w:rsid w:val="00D452CD"/>
    <w:rsid w:val="00D75743"/>
    <w:rsid w:val="00D80789"/>
    <w:rsid w:val="00DA5211"/>
    <w:rsid w:val="00DA7628"/>
    <w:rsid w:val="00DD302A"/>
    <w:rsid w:val="00E2375B"/>
    <w:rsid w:val="00E237C1"/>
    <w:rsid w:val="00E448BC"/>
    <w:rsid w:val="00E63310"/>
    <w:rsid w:val="00E66FA2"/>
    <w:rsid w:val="00E750FC"/>
    <w:rsid w:val="00E81CBC"/>
    <w:rsid w:val="00E85CEC"/>
    <w:rsid w:val="00E86321"/>
    <w:rsid w:val="00E92DF1"/>
    <w:rsid w:val="00E94FD4"/>
    <w:rsid w:val="00EA71CA"/>
    <w:rsid w:val="00F065C4"/>
    <w:rsid w:val="00F07194"/>
    <w:rsid w:val="00F1023B"/>
    <w:rsid w:val="00F43CAB"/>
    <w:rsid w:val="00F554B9"/>
    <w:rsid w:val="00F57983"/>
    <w:rsid w:val="00F87CAB"/>
    <w:rsid w:val="00F96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FAA94"/>
  <w15:chartTrackingRefBased/>
  <w15:docId w15:val="{3CF30C4F-D204-5448-8AC5-FF15B28D6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2C7"/>
  </w:style>
  <w:style w:type="paragraph" w:styleId="Heading1">
    <w:name w:val="heading 1"/>
    <w:basedOn w:val="Normal"/>
    <w:link w:val="Heading1Char"/>
    <w:uiPriority w:val="9"/>
    <w:qFormat/>
    <w:rsid w:val="0081544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2C7"/>
    <w:pPr>
      <w:ind w:left="720"/>
      <w:contextualSpacing/>
    </w:pPr>
  </w:style>
  <w:style w:type="paragraph" w:styleId="Header">
    <w:name w:val="header"/>
    <w:basedOn w:val="Normal"/>
    <w:link w:val="HeaderChar"/>
    <w:uiPriority w:val="99"/>
    <w:unhideWhenUsed/>
    <w:rsid w:val="003A665B"/>
    <w:pPr>
      <w:tabs>
        <w:tab w:val="center" w:pos="4680"/>
        <w:tab w:val="right" w:pos="9360"/>
      </w:tabs>
    </w:pPr>
  </w:style>
  <w:style w:type="character" w:customStyle="1" w:styleId="HeaderChar">
    <w:name w:val="Header Char"/>
    <w:basedOn w:val="DefaultParagraphFont"/>
    <w:link w:val="Header"/>
    <w:uiPriority w:val="99"/>
    <w:rsid w:val="003A665B"/>
  </w:style>
  <w:style w:type="paragraph" w:styleId="Footer">
    <w:name w:val="footer"/>
    <w:basedOn w:val="Normal"/>
    <w:link w:val="FooterChar"/>
    <w:uiPriority w:val="99"/>
    <w:unhideWhenUsed/>
    <w:rsid w:val="003A665B"/>
    <w:pPr>
      <w:tabs>
        <w:tab w:val="center" w:pos="4680"/>
        <w:tab w:val="right" w:pos="9360"/>
      </w:tabs>
    </w:pPr>
  </w:style>
  <w:style w:type="character" w:customStyle="1" w:styleId="FooterChar">
    <w:name w:val="Footer Char"/>
    <w:basedOn w:val="DefaultParagraphFont"/>
    <w:link w:val="Footer"/>
    <w:uiPriority w:val="99"/>
    <w:rsid w:val="003A665B"/>
  </w:style>
  <w:style w:type="paragraph" w:styleId="NormalWeb">
    <w:name w:val="Normal (Web)"/>
    <w:basedOn w:val="Normal"/>
    <w:uiPriority w:val="99"/>
    <w:unhideWhenUsed/>
    <w:rsid w:val="003A665B"/>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3A665B"/>
    <w:rPr>
      <w:rFonts w:eastAsiaTheme="minorEastAsia"/>
      <w:sz w:val="22"/>
      <w:szCs w:val="22"/>
      <w:lang w:val="en-US" w:eastAsia="zh-CN"/>
    </w:rPr>
  </w:style>
  <w:style w:type="character" w:styleId="PageNumber">
    <w:name w:val="page number"/>
    <w:basedOn w:val="DefaultParagraphFont"/>
    <w:uiPriority w:val="99"/>
    <w:semiHidden/>
    <w:unhideWhenUsed/>
    <w:rsid w:val="003A665B"/>
  </w:style>
  <w:style w:type="character" w:styleId="Strong">
    <w:name w:val="Strong"/>
    <w:basedOn w:val="DefaultParagraphFont"/>
    <w:uiPriority w:val="22"/>
    <w:qFormat/>
    <w:rsid w:val="00896D9B"/>
    <w:rPr>
      <w:b/>
      <w:bCs/>
    </w:rPr>
  </w:style>
  <w:style w:type="character" w:customStyle="1" w:styleId="apple-converted-space">
    <w:name w:val="apple-converted-space"/>
    <w:basedOn w:val="DefaultParagraphFont"/>
    <w:rsid w:val="00896D9B"/>
  </w:style>
  <w:style w:type="character" w:customStyle="1" w:styleId="Heading1Char">
    <w:name w:val="Heading 1 Char"/>
    <w:basedOn w:val="DefaultParagraphFont"/>
    <w:link w:val="Heading1"/>
    <w:uiPriority w:val="9"/>
    <w:rsid w:val="00815443"/>
    <w:rPr>
      <w:rFonts w:ascii="Times New Roman" w:eastAsia="Times New Roman" w:hAnsi="Times New Roman" w:cs="Times New Roman"/>
      <w:b/>
      <w:bCs/>
      <w:kern w:val="36"/>
      <w:sz w:val="48"/>
      <w:szCs w:val="48"/>
    </w:rPr>
  </w:style>
  <w:style w:type="paragraph" w:customStyle="1" w:styleId="AssignBody">
    <w:name w:val="AssignBody"/>
    <w:basedOn w:val="Normal"/>
    <w:link w:val="AssignBodyChar"/>
    <w:qFormat/>
    <w:rsid w:val="00D80789"/>
    <w:pPr>
      <w:spacing w:line="360" w:lineRule="auto"/>
    </w:pPr>
    <w:rPr>
      <w:rFonts w:ascii="Arial" w:hAnsi="Arial"/>
      <w:sz w:val="22"/>
      <w:szCs w:val="22"/>
    </w:rPr>
  </w:style>
  <w:style w:type="character" w:customStyle="1" w:styleId="AssignBodyChar">
    <w:name w:val="AssignBody Char"/>
    <w:basedOn w:val="DefaultParagraphFont"/>
    <w:link w:val="AssignBody"/>
    <w:rsid w:val="00D80789"/>
    <w:rPr>
      <w:rFonts w:ascii="Arial" w:hAnsi="Arial"/>
      <w:sz w:val="22"/>
      <w:szCs w:val="22"/>
    </w:rPr>
  </w:style>
  <w:style w:type="table" w:styleId="TableGrid">
    <w:name w:val="Table Grid"/>
    <w:basedOn w:val="TableNormal"/>
    <w:uiPriority w:val="39"/>
    <w:rsid w:val="00D8078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078936">
      <w:bodyDiv w:val="1"/>
      <w:marLeft w:val="0"/>
      <w:marRight w:val="0"/>
      <w:marTop w:val="0"/>
      <w:marBottom w:val="0"/>
      <w:divBdr>
        <w:top w:val="none" w:sz="0" w:space="0" w:color="auto"/>
        <w:left w:val="none" w:sz="0" w:space="0" w:color="auto"/>
        <w:bottom w:val="none" w:sz="0" w:space="0" w:color="auto"/>
        <w:right w:val="none" w:sz="0" w:space="0" w:color="auto"/>
      </w:divBdr>
    </w:div>
    <w:div w:id="326787560">
      <w:bodyDiv w:val="1"/>
      <w:marLeft w:val="0"/>
      <w:marRight w:val="0"/>
      <w:marTop w:val="0"/>
      <w:marBottom w:val="0"/>
      <w:divBdr>
        <w:top w:val="none" w:sz="0" w:space="0" w:color="auto"/>
        <w:left w:val="none" w:sz="0" w:space="0" w:color="auto"/>
        <w:bottom w:val="none" w:sz="0" w:space="0" w:color="auto"/>
        <w:right w:val="none" w:sz="0" w:space="0" w:color="auto"/>
      </w:divBdr>
    </w:div>
    <w:div w:id="357507883">
      <w:bodyDiv w:val="1"/>
      <w:marLeft w:val="0"/>
      <w:marRight w:val="0"/>
      <w:marTop w:val="0"/>
      <w:marBottom w:val="0"/>
      <w:divBdr>
        <w:top w:val="none" w:sz="0" w:space="0" w:color="auto"/>
        <w:left w:val="none" w:sz="0" w:space="0" w:color="auto"/>
        <w:bottom w:val="none" w:sz="0" w:space="0" w:color="auto"/>
        <w:right w:val="none" w:sz="0" w:space="0" w:color="auto"/>
      </w:divBdr>
    </w:div>
    <w:div w:id="454956606">
      <w:bodyDiv w:val="1"/>
      <w:marLeft w:val="0"/>
      <w:marRight w:val="0"/>
      <w:marTop w:val="0"/>
      <w:marBottom w:val="0"/>
      <w:divBdr>
        <w:top w:val="none" w:sz="0" w:space="0" w:color="auto"/>
        <w:left w:val="none" w:sz="0" w:space="0" w:color="auto"/>
        <w:bottom w:val="none" w:sz="0" w:space="0" w:color="auto"/>
        <w:right w:val="none" w:sz="0" w:space="0" w:color="auto"/>
      </w:divBdr>
    </w:div>
    <w:div w:id="495732176">
      <w:bodyDiv w:val="1"/>
      <w:marLeft w:val="0"/>
      <w:marRight w:val="0"/>
      <w:marTop w:val="0"/>
      <w:marBottom w:val="0"/>
      <w:divBdr>
        <w:top w:val="none" w:sz="0" w:space="0" w:color="auto"/>
        <w:left w:val="none" w:sz="0" w:space="0" w:color="auto"/>
        <w:bottom w:val="none" w:sz="0" w:space="0" w:color="auto"/>
        <w:right w:val="none" w:sz="0" w:space="0" w:color="auto"/>
      </w:divBdr>
    </w:div>
    <w:div w:id="496727018">
      <w:bodyDiv w:val="1"/>
      <w:marLeft w:val="0"/>
      <w:marRight w:val="0"/>
      <w:marTop w:val="0"/>
      <w:marBottom w:val="0"/>
      <w:divBdr>
        <w:top w:val="none" w:sz="0" w:space="0" w:color="auto"/>
        <w:left w:val="none" w:sz="0" w:space="0" w:color="auto"/>
        <w:bottom w:val="none" w:sz="0" w:space="0" w:color="auto"/>
        <w:right w:val="none" w:sz="0" w:space="0" w:color="auto"/>
      </w:divBdr>
    </w:div>
    <w:div w:id="591863267">
      <w:bodyDiv w:val="1"/>
      <w:marLeft w:val="0"/>
      <w:marRight w:val="0"/>
      <w:marTop w:val="0"/>
      <w:marBottom w:val="0"/>
      <w:divBdr>
        <w:top w:val="none" w:sz="0" w:space="0" w:color="auto"/>
        <w:left w:val="none" w:sz="0" w:space="0" w:color="auto"/>
        <w:bottom w:val="none" w:sz="0" w:space="0" w:color="auto"/>
        <w:right w:val="none" w:sz="0" w:space="0" w:color="auto"/>
      </w:divBdr>
    </w:div>
    <w:div w:id="613170466">
      <w:bodyDiv w:val="1"/>
      <w:marLeft w:val="0"/>
      <w:marRight w:val="0"/>
      <w:marTop w:val="0"/>
      <w:marBottom w:val="0"/>
      <w:divBdr>
        <w:top w:val="none" w:sz="0" w:space="0" w:color="auto"/>
        <w:left w:val="none" w:sz="0" w:space="0" w:color="auto"/>
        <w:bottom w:val="none" w:sz="0" w:space="0" w:color="auto"/>
        <w:right w:val="none" w:sz="0" w:space="0" w:color="auto"/>
      </w:divBdr>
    </w:div>
    <w:div w:id="752507791">
      <w:bodyDiv w:val="1"/>
      <w:marLeft w:val="0"/>
      <w:marRight w:val="0"/>
      <w:marTop w:val="0"/>
      <w:marBottom w:val="0"/>
      <w:divBdr>
        <w:top w:val="none" w:sz="0" w:space="0" w:color="auto"/>
        <w:left w:val="none" w:sz="0" w:space="0" w:color="auto"/>
        <w:bottom w:val="none" w:sz="0" w:space="0" w:color="auto"/>
        <w:right w:val="none" w:sz="0" w:space="0" w:color="auto"/>
      </w:divBdr>
    </w:div>
    <w:div w:id="801456887">
      <w:bodyDiv w:val="1"/>
      <w:marLeft w:val="0"/>
      <w:marRight w:val="0"/>
      <w:marTop w:val="0"/>
      <w:marBottom w:val="0"/>
      <w:divBdr>
        <w:top w:val="none" w:sz="0" w:space="0" w:color="auto"/>
        <w:left w:val="none" w:sz="0" w:space="0" w:color="auto"/>
        <w:bottom w:val="none" w:sz="0" w:space="0" w:color="auto"/>
        <w:right w:val="none" w:sz="0" w:space="0" w:color="auto"/>
      </w:divBdr>
    </w:div>
    <w:div w:id="864252102">
      <w:bodyDiv w:val="1"/>
      <w:marLeft w:val="0"/>
      <w:marRight w:val="0"/>
      <w:marTop w:val="0"/>
      <w:marBottom w:val="0"/>
      <w:divBdr>
        <w:top w:val="none" w:sz="0" w:space="0" w:color="auto"/>
        <w:left w:val="none" w:sz="0" w:space="0" w:color="auto"/>
        <w:bottom w:val="none" w:sz="0" w:space="0" w:color="auto"/>
        <w:right w:val="none" w:sz="0" w:space="0" w:color="auto"/>
      </w:divBdr>
    </w:div>
    <w:div w:id="898052190">
      <w:bodyDiv w:val="1"/>
      <w:marLeft w:val="0"/>
      <w:marRight w:val="0"/>
      <w:marTop w:val="0"/>
      <w:marBottom w:val="0"/>
      <w:divBdr>
        <w:top w:val="none" w:sz="0" w:space="0" w:color="auto"/>
        <w:left w:val="none" w:sz="0" w:space="0" w:color="auto"/>
        <w:bottom w:val="none" w:sz="0" w:space="0" w:color="auto"/>
        <w:right w:val="none" w:sz="0" w:space="0" w:color="auto"/>
      </w:divBdr>
    </w:div>
    <w:div w:id="913511223">
      <w:bodyDiv w:val="1"/>
      <w:marLeft w:val="0"/>
      <w:marRight w:val="0"/>
      <w:marTop w:val="0"/>
      <w:marBottom w:val="0"/>
      <w:divBdr>
        <w:top w:val="none" w:sz="0" w:space="0" w:color="auto"/>
        <w:left w:val="none" w:sz="0" w:space="0" w:color="auto"/>
        <w:bottom w:val="none" w:sz="0" w:space="0" w:color="auto"/>
        <w:right w:val="none" w:sz="0" w:space="0" w:color="auto"/>
      </w:divBdr>
      <w:divsChild>
        <w:div w:id="1492720063">
          <w:marLeft w:val="0"/>
          <w:marRight w:val="0"/>
          <w:marTop w:val="0"/>
          <w:marBottom w:val="0"/>
          <w:divBdr>
            <w:top w:val="none" w:sz="0" w:space="0" w:color="auto"/>
            <w:left w:val="none" w:sz="0" w:space="0" w:color="auto"/>
            <w:bottom w:val="none" w:sz="0" w:space="0" w:color="auto"/>
            <w:right w:val="none" w:sz="0" w:space="0" w:color="auto"/>
          </w:divBdr>
          <w:divsChild>
            <w:div w:id="1057896664">
              <w:marLeft w:val="0"/>
              <w:marRight w:val="0"/>
              <w:marTop w:val="0"/>
              <w:marBottom w:val="0"/>
              <w:divBdr>
                <w:top w:val="none" w:sz="0" w:space="0" w:color="auto"/>
                <w:left w:val="none" w:sz="0" w:space="0" w:color="auto"/>
                <w:bottom w:val="none" w:sz="0" w:space="0" w:color="auto"/>
                <w:right w:val="none" w:sz="0" w:space="0" w:color="auto"/>
              </w:divBdr>
              <w:divsChild>
                <w:div w:id="869951113">
                  <w:marLeft w:val="0"/>
                  <w:marRight w:val="0"/>
                  <w:marTop w:val="0"/>
                  <w:marBottom w:val="0"/>
                  <w:divBdr>
                    <w:top w:val="none" w:sz="0" w:space="0" w:color="auto"/>
                    <w:left w:val="none" w:sz="0" w:space="0" w:color="auto"/>
                    <w:bottom w:val="none" w:sz="0" w:space="0" w:color="auto"/>
                    <w:right w:val="none" w:sz="0" w:space="0" w:color="auto"/>
                  </w:divBdr>
                  <w:divsChild>
                    <w:div w:id="6009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622202">
      <w:bodyDiv w:val="1"/>
      <w:marLeft w:val="0"/>
      <w:marRight w:val="0"/>
      <w:marTop w:val="0"/>
      <w:marBottom w:val="0"/>
      <w:divBdr>
        <w:top w:val="none" w:sz="0" w:space="0" w:color="auto"/>
        <w:left w:val="none" w:sz="0" w:space="0" w:color="auto"/>
        <w:bottom w:val="none" w:sz="0" w:space="0" w:color="auto"/>
        <w:right w:val="none" w:sz="0" w:space="0" w:color="auto"/>
      </w:divBdr>
    </w:div>
    <w:div w:id="1161194891">
      <w:bodyDiv w:val="1"/>
      <w:marLeft w:val="0"/>
      <w:marRight w:val="0"/>
      <w:marTop w:val="0"/>
      <w:marBottom w:val="0"/>
      <w:divBdr>
        <w:top w:val="none" w:sz="0" w:space="0" w:color="auto"/>
        <w:left w:val="none" w:sz="0" w:space="0" w:color="auto"/>
        <w:bottom w:val="none" w:sz="0" w:space="0" w:color="auto"/>
        <w:right w:val="none" w:sz="0" w:space="0" w:color="auto"/>
      </w:divBdr>
    </w:div>
    <w:div w:id="1230767113">
      <w:bodyDiv w:val="1"/>
      <w:marLeft w:val="0"/>
      <w:marRight w:val="0"/>
      <w:marTop w:val="0"/>
      <w:marBottom w:val="0"/>
      <w:divBdr>
        <w:top w:val="none" w:sz="0" w:space="0" w:color="auto"/>
        <w:left w:val="none" w:sz="0" w:space="0" w:color="auto"/>
        <w:bottom w:val="none" w:sz="0" w:space="0" w:color="auto"/>
        <w:right w:val="none" w:sz="0" w:space="0" w:color="auto"/>
      </w:divBdr>
    </w:div>
    <w:div w:id="1449229360">
      <w:bodyDiv w:val="1"/>
      <w:marLeft w:val="0"/>
      <w:marRight w:val="0"/>
      <w:marTop w:val="0"/>
      <w:marBottom w:val="0"/>
      <w:divBdr>
        <w:top w:val="none" w:sz="0" w:space="0" w:color="auto"/>
        <w:left w:val="none" w:sz="0" w:space="0" w:color="auto"/>
        <w:bottom w:val="none" w:sz="0" w:space="0" w:color="auto"/>
        <w:right w:val="none" w:sz="0" w:space="0" w:color="auto"/>
      </w:divBdr>
    </w:div>
    <w:div w:id="1453132127">
      <w:bodyDiv w:val="1"/>
      <w:marLeft w:val="0"/>
      <w:marRight w:val="0"/>
      <w:marTop w:val="0"/>
      <w:marBottom w:val="0"/>
      <w:divBdr>
        <w:top w:val="none" w:sz="0" w:space="0" w:color="auto"/>
        <w:left w:val="none" w:sz="0" w:space="0" w:color="auto"/>
        <w:bottom w:val="none" w:sz="0" w:space="0" w:color="auto"/>
        <w:right w:val="none" w:sz="0" w:space="0" w:color="auto"/>
      </w:divBdr>
    </w:div>
    <w:div w:id="1539974175">
      <w:bodyDiv w:val="1"/>
      <w:marLeft w:val="0"/>
      <w:marRight w:val="0"/>
      <w:marTop w:val="0"/>
      <w:marBottom w:val="0"/>
      <w:divBdr>
        <w:top w:val="none" w:sz="0" w:space="0" w:color="auto"/>
        <w:left w:val="none" w:sz="0" w:space="0" w:color="auto"/>
        <w:bottom w:val="none" w:sz="0" w:space="0" w:color="auto"/>
        <w:right w:val="none" w:sz="0" w:space="0" w:color="auto"/>
      </w:divBdr>
      <w:divsChild>
        <w:div w:id="711199240">
          <w:marLeft w:val="0"/>
          <w:marRight w:val="0"/>
          <w:marTop w:val="0"/>
          <w:marBottom w:val="0"/>
          <w:divBdr>
            <w:top w:val="none" w:sz="0" w:space="0" w:color="auto"/>
            <w:left w:val="none" w:sz="0" w:space="0" w:color="auto"/>
            <w:bottom w:val="none" w:sz="0" w:space="0" w:color="auto"/>
            <w:right w:val="none" w:sz="0" w:space="0" w:color="auto"/>
          </w:divBdr>
        </w:div>
      </w:divsChild>
    </w:div>
    <w:div w:id="1568764849">
      <w:bodyDiv w:val="1"/>
      <w:marLeft w:val="0"/>
      <w:marRight w:val="0"/>
      <w:marTop w:val="0"/>
      <w:marBottom w:val="0"/>
      <w:divBdr>
        <w:top w:val="none" w:sz="0" w:space="0" w:color="auto"/>
        <w:left w:val="none" w:sz="0" w:space="0" w:color="auto"/>
        <w:bottom w:val="none" w:sz="0" w:space="0" w:color="auto"/>
        <w:right w:val="none" w:sz="0" w:space="0" w:color="auto"/>
      </w:divBdr>
    </w:div>
    <w:div w:id="1585066102">
      <w:bodyDiv w:val="1"/>
      <w:marLeft w:val="0"/>
      <w:marRight w:val="0"/>
      <w:marTop w:val="0"/>
      <w:marBottom w:val="0"/>
      <w:divBdr>
        <w:top w:val="none" w:sz="0" w:space="0" w:color="auto"/>
        <w:left w:val="none" w:sz="0" w:space="0" w:color="auto"/>
        <w:bottom w:val="none" w:sz="0" w:space="0" w:color="auto"/>
        <w:right w:val="none" w:sz="0" w:space="0" w:color="auto"/>
      </w:divBdr>
    </w:div>
    <w:div w:id="1644117271">
      <w:bodyDiv w:val="1"/>
      <w:marLeft w:val="0"/>
      <w:marRight w:val="0"/>
      <w:marTop w:val="0"/>
      <w:marBottom w:val="0"/>
      <w:divBdr>
        <w:top w:val="none" w:sz="0" w:space="0" w:color="auto"/>
        <w:left w:val="none" w:sz="0" w:space="0" w:color="auto"/>
        <w:bottom w:val="none" w:sz="0" w:space="0" w:color="auto"/>
        <w:right w:val="none" w:sz="0" w:space="0" w:color="auto"/>
      </w:divBdr>
    </w:div>
    <w:div w:id="1691182948">
      <w:bodyDiv w:val="1"/>
      <w:marLeft w:val="0"/>
      <w:marRight w:val="0"/>
      <w:marTop w:val="0"/>
      <w:marBottom w:val="0"/>
      <w:divBdr>
        <w:top w:val="none" w:sz="0" w:space="0" w:color="auto"/>
        <w:left w:val="none" w:sz="0" w:space="0" w:color="auto"/>
        <w:bottom w:val="none" w:sz="0" w:space="0" w:color="auto"/>
        <w:right w:val="none" w:sz="0" w:space="0" w:color="auto"/>
      </w:divBdr>
    </w:div>
    <w:div w:id="1694380530">
      <w:bodyDiv w:val="1"/>
      <w:marLeft w:val="0"/>
      <w:marRight w:val="0"/>
      <w:marTop w:val="0"/>
      <w:marBottom w:val="0"/>
      <w:divBdr>
        <w:top w:val="none" w:sz="0" w:space="0" w:color="auto"/>
        <w:left w:val="none" w:sz="0" w:space="0" w:color="auto"/>
        <w:bottom w:val="none" w:sz="0" w:space="0" w:color="auto"/>
        <w:right w:val="none" w:sz="0" w:space="0" w:color="auto"/>
      </w:divBdr>
    </w:div>
    <w:div w:id="1780225011">
      <w:bodyDiv w:val="1"/>
      <w:marLeft w:val="0"/>
      <w:marRight w:val="0"/>
      <w:marTop w:val="0"/>
      <w:marBottom w:val="0"/>
      <w:divBdr>
        <w:top w:val="none" w:sz="0" w:space="0" w:color="auto"/>
        <w:left w:val="none" w:sz="0" w:space="0" w:color="auto"/>
        <w:bottom w:val="none" w:sz="0" w:space="0" w:color="auto"/>
        <w:right w:val="none" w:sz="0" w:space="0" w:color="auto"/>
      </w:divBdr>
    </w:div>
    <w:div w:id="1792626740">
      <w:bodyDiv w:val="1"/>
      <w:marLeft w:val="0"/>
      <w:marRight w:val="0"/>
      <w:marTop w:val="0"/>
      <w:marBottom w:val="0"/>
      <w:divBdr>
        <w:top w:val="none" w:sz="0" w:space="0" w:color="auto"/>
        <w:left w:val="none" w:sz="0" w:space="0" w:color="auto"/>
        <w:bottom w:val="none" w:sz="0" w:space="0" w:color="auto"/>
        <w:right w:val="none" w:sz="0" w:space="0" w:color="auto"/>
      </w:divBdr>
    </w:div>
    <w:div w:id="2026058884">
      <w:bodyDiv w:val="1"/>
      <w:marLeft w:val="0"/>
      <w:marRight w:val="0"/>
      <w:marTop w:val="0"/>
      <w:marBottom w:val="0"/>
      <w:divBdr>
        <w:top w:val="none" w:sz="0" w:space="0" w:color="auto"/>
        <w:left w:val="none" w:sz="0" w:space="0" w:color="auto"/>
        <w:bottom w:val="none" w:sz="0" w:space="0" w:color="auto"/>
        <w:right w:val="none" w:sz="0" w:space="0" w:color="auto"/>
      </w:divBdr>
    </w:div>
    <w:div w:id="2066633753">
      <w:bodyDiv w:val="1"/>
      <w:marLeft w:val="0"/>
      <w:marRight w:val="0"/>
      <w:marTop w:val="0"/>
      <w:marBottom w:val="0"/>
      <w:divBdr>
        <w:top w:val="none" w:sz="0" w:space="0" w:color="auto"/>
        <w:left w:val="none" w:sz="0" w:space="0" w:color="auto"/>
        <w:bottom w:val="none" w:sz="0" w:space="0" w:color="auto"/>
        <w:right w:val="none" w:sz="0" w:space="0" w:color="auto"/>
      </w:divBdr>
      <w:divsChild>
        <w:div w:id="1385448316">
          <w:marLeft w:val="-720"/>
          <w:marRight w:val="0"/>
          <w:marTop w:val="0"/>
          <w:marBottom w:val="0"/>
          <w:divBdr>
            <w:top w:val="none" w:sz="0" w:space="0" w:color="auto"/>
            <w:left w:val="none" w:sz="0" w:space="0" w:color="auto"/>
            <w:bottom w:val="none" w:sz="0" w:space="0" w:color="auto"/>
            <w:right w:val="none" w:sz="0" w:space="0" w:color="auto"/>
          </w:divBdr>
        </w:div>
      </w:divsChild>
    </w:div>
    <w:div w:id="2115437226">
      <w:bodyDiv w:val="1"/>
      <w:marLeft w:val="0"/>
      <w:marRight w:val="0"/>
      <w:marTop w:val="0"/>
      <w:marBottom w:val="0"/>
      <w:divBdr>
        <w:top w:val="none" w:sz="0" w:space="0" w:color="auto"/>
        <w:left w:val="none" w:sz="0" w:space="0" w:color="auto"/>
        <w:bottom w:val="none" w:sz="0" w:space="0" w:color="auto"/>
        <w:right w:val="none" w:sz="0" w:space="0" w:color="auto"/>
      </w:divBdr>
      <w:divsChild>
        <w:div w:id="706415573">
          <w:marLeft w:val="0"/>
          <w:marRight w:val="0"/>
          <w:marTop w:val="0"/>
          <w:marBottom w:val="0"/>
          <w:divBdr>
            <w:top w:val="none" w:sz="0" w:space="0" w:color="auto"/>
            <w:left w:val="none" w:sz="0" w:space="0" w:color="auto"/>
            <w:bottom w:val="none" w:sz="0" w:space="0" w:color="auto"/>
            <w:right w:val="none" w:sz="0" w:space="0" w:color="auto"/>
          </w:divBdr>
          <w:divsChild>
            <w:div w:id="1816609100">
              <w:marLeft w:val="0"/>
              <w:marRight w:val="0"/>
              <w:marTop w:val="0"/>
              <w:marBottom w:val="0"/>
              <w:divBdr>
                <w:top w:val="none" w:sz="0" w:space="0" w:color="auto"/>
                <w:left w:val="none" w:sz="0" w:space="0" w:color="auto"/>
                <w:bottom w:val="none" w:sz="0" w:space="0" w:color="auto"/>
                <w:right w:val="none" w:sz="0" w:space="0" w:color="auto"/>
              </w:divBdr>
              <w:divsChild>
                <w:div w:id="1713184850">
                  <w:marLeft w:val="0"/>
                  <w:marRight w:val="0"/>
                  <w:marTop w:val="0"/>
                  <w:marBottom w:val="0"/>
                  <w:divBdr>
                    <w:top w:val="none" w:sz="0" w:space="0" w:color="auto"/>
                    <w:left w:val="none" w:sz="0" w:space="0" w:color="auto"/>
                    <w:bottom w:val="none" w:sz="0" w:space="0" w:color="auto"/>
                    <w:right w:val="none" w:sz="0" w:space="0" w:color="auto"/>
                  </w:divBdr>
                  <w:divsChild>
                    <w:div w:id="86359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3149</Words>
  <Characters>17953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Marged Evans (2405251)</dc:creator>
  <cp:keywords/>
  <dc:description/>
  <cp:lastModifiedBy>Marged Evans (2405251)</cp:lastModifiedBy>
  <cp:revision>2</cp:revision>
  <dcterms:created xsi:type="dcterms:W3CDTF">2025-02-26T11:24:00Z</dcterms:created>
  <dcterms:modified xsi:type="dcterms:W3CDTF">2025-02-26T11:24:00Z</dcterms:modified>
</cp:coreProperties>
</file>