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03F23A" w14:textId="51DD5D2A" w:rsidR="009E4652" w:rsidRPr="009019C8" w:rsidRDefault="006E772F" w:rsidP="006E772F">
      <w:pPr>
        <w:jc w:val="center"/>
        <w:rPr>
          <w:rFonts w:ascii="Dubai Medium" w:hAnsi="Dubai Medium" w:cs="Dubai Medium"/>
          <w:sz w:val="36"/>
          <w:szCs w:val="36"/>
        </w:rPr>
      </w:pPr>
      <w:r w:rsidRPr="009019C8">
        <w:rPr>
          <w:rFonts w:ascii="Dubai Medium" w:hAnsi="Dubai Medium" w:cs="Dubai Medium" w:hint="cs"/>
          <w:sz w:val="36"/>
          <w:szCs w:val="36"/>
        </w:rPr>
        <w:t>H</w:t>
      </w:r>
      <w:r w:rsidR="00302837">
        <w:rPr>
          <w:rFonts w:ascii="Dubai Medium" w:hAnsi="Dubai Medium" w:cs="Dubai Medium"/>
          <w:sz w:val="36"/>
          <w:szCs w:val="36"/>
        </w:rPr>
        <w:t>andbook Entry</w:t>
      </w:r>
      <w:r w:rsidRPr="009019C8">
        <w:rPr>
          <w:rFonts w:ascii="Dubai Medium" w:hAnsi="Dubai Medium" w:cs="Dubai Medium" w:hint="cs"/>
          <w:sz w:val="36"/>
          <w:szCs w:val="36"/>
        </w:rPr>
        <w:t xml:space="preserve">: </w:t>
      </w:r>
      <w:r w:rsidR="00302837">
        <w:rPr>
          <w:rFonts w:ascii="Dubai Medium" w:hAnsi="Dubai Medium" w:cs="Dubai Medium"/>
          <w:sz w:val="36"/>
          <w:szCs w:val="36"/>
        </w:rPr>
        <w:t>Fragmentation</w:t>
      </w:r>
    </w:p>
    <w:p w14:paraId="7D55794E" w14:textId="77777777" w:rsidR="00504105" w:rsidRDefault="00504105" w:rsidP="00504105">
      <w:pPr>
        <w:jc w:val="both"/>
        <w:rPr>
          <w:rFonts w:ascii="Baskerville Old Face" w:hAnsi="Baskerville Old Face"/>
          <w:sz w:val="24"/>
          <w:szCs w:val="24"/>
        </w:rPr>
      </w:pPr>
    </w:p>
    <w:p w14:paraId="19D1CDB5" w14:textId="74B8065E" w:rsidR="006E772F" w:rsidRDefault="006E772F" w:rsidP="00504105">
      <w:pPr>
        <w:jc w:val="both"/>
        <w:rPr>
          <w:rFonts w:ascii="Baskerville Old Face" w:hAnsi="Baskerville Old Face"/>
          <w:sz w:val="24"/>
          <w:szCs w:val="24"/>
        </w:rPr>
      </w:pPr>
      <w:r>
        <w:rPr>
          <w:rFonts w:ascii="Baskerville Old Face" w:hAnsi="Baskerville Old Face"/>
          <w:sz w:val="24"/>
          <w:szCs w:val="24"/>
        </w:rPr>
        <w:t xml:space="preserve">The fragmentation of archaeological material has not always been regarded to be a means of gleaning valuable information, or of contextualising the object or material within the historical setting; before Chapman’s revolutionary work on this subject, early antiquarian practice often disregarded </w:t>
      </w:r>
      <w:r w:rsidR="00036104">
        <w:rPr>
          <w:rFonts w:ascii="Baskerville Old Face" w:hAnsi="Baskerville Old Face"/>
          <w:sz w:val="24"/>
          <w:szCs w:val="24"/>
        </w:rPr>
        <w:t xml:space="preserve">fragmentation as rendering material of little value, many times reconstructing artefacts or skeletal remains for the purpose of exhibition. </w:t>
      </w:r>
      <w:r w:rsidR="00292E0A">
        <w:rPr>
          <w:rFonts w:ascii="Baskerville Old Face" w:hAnsi="Baskerville Old Face"/>
          <w:sz w:val="24"/>
          <w:szCs w:val="24"/>
        </w:rPr>
        <w:t xml:space="preserve">Despite these previous failings however, archaeology </w:t>
      </w:r>
      <w:proofErr w:type="gramStart"/>
      <w:r w:rsidR="00292E0A">
        <w:rPr>
          <w:rFonts w:ascii="Baskerville Old Face" w:hAnsi="Baskerville Old Face"/>
          <w:sz w:val="24"/>
          <w:szCs w:val="24"/>
        </w:rPr>
        <w:t>entered into</w:t>
      </w:r>
      <w:proofErr w:type="gramEnd"/>
      <w:r w:rsidR="00292E0A">
        <w:rPr>
          <w:rFonts w:ascii="Baskerville Old Face" w:hAnsi="Baskerville Old Face"/>
          <w:sz w:val="24"/>
          <w:szCs w:val="24"/>
        </w:rPr>
        <w:t xml:space="preserve"> the twenty-first century with a renewed perspective – at the forefront of which, was John Chapman</w:t>
      </w:r>
      <w:r w:rsidR="002A1D49">
        <w:rPr>
          <w:rStyle w:val="FootnoteReference"/>
          <w:rFonts w:ascii="Baskerville Old Face" w:hAnsi="Baskerville Old Face"/>
          <w:sz w:val="24"/>
          <w:szCs w:val="24"/>
        </w:rPr>
        <w:footnoteReference w:id="1"/>
      </w:r>
      <w:r w:rsidR="00292E0A">
        <w:rPr>
          <w:rFonts w:ascii="Baskerville Old Face" w:hAnsi="Baskerville Old Face"/>
          <w:sz w:val="24"/>
          <w:szCs w:val="24"/>
        </w:rPr>
        <w:t xml:space="preserve">. </w:t>
      </w:r>
      <w:r w:rsidR="002A1D49">
        <w:rPr>
          <w:rFonts w:ascii="Baskerville Old Face" w:hAnsi="Baskerville Old Face"/>
          <w:sz w:val="24"/>
          <w:szCs w:val="24"/>
        </w:rPr>
        <w:t xml:space="preserve">Chapman, a prehistoric archaeologist </w:t>
      </w:r>
      <w:proofErr w:type="spellStart"/>
      <w:r w:rsidR="002A1D49">
        <w:rPr>
          <w:rFonts w:ascii="Baskerville Old Face" w:hAnsi="Baskerville Old Face"/>
          <w:sz w:val="24"/>
          <w:szCs w:val="24"/>
        </w:rPr>
        <w:t>centering</w:t>
      </w:r>
      <w:proofErr w:type="spellEnd"/>
      <w:r w:rsidR="002A1D49">
        <w:rPr>
          <w:rFonts w:ascii="Baskerville Old Face" w:hAnsi="Baskerville Old Face"/>
          <w:sz w:val="24"/>
          <w:szCs w:val="24"/>
        </w:rPr>
        <w:t xml:space="preserve"> his research throughout the European Mesolithic, Neolithic and Copper Age, founded the theory of fragmentation in his 2000 publication ‘Fragmentation in Archaeology: People, Places and Broken Objects in the Prehistory of South Eastern Europe’, wherein he su</w:t>
      </w:r>
      <w:r w:rsidR="00B26F54">
        <w:rPr>
          <w:rFonts w:ascii="Baskerville Old Face" w:hAnsi="Baskerville Old Face"/>
          <w:sz w:val="24"/>
          <w:szCs w:val="24"/>
        </w:rPr>
        <w:t>mmarised the processes of fragmentation within the greater context of social practices, specifically of the Balkans.</w:t>
      </w:r>
      <w:r w:rsidR="00B26F54">
        <w:rPr>
          <w:rStyle w:val="FootnoteReference"/>
          <w:rFonts w:ascii="Baskerville Old Face" w:hAnsi="Baskerville Old Face"/>
          <w:sz w:val="24"/>
          <w:szCs w:val="24"/>
        </w:rPr>
        <w:footnoteReference w:id="2"/>
      </w:r>
      <w:r w:rsidR="004E6D89">
        <w:rPr>
          <w:rFonts w:ascii="Baskerville Old Face" w:hAnsi="Baskerville Old Face"/>
          <w:sz w:val="24"/>
          <w:szCs w:val="24"/>
        </w:rPr>
        <w:t xml:space="preserve"> Chapman’s aim was to reshape the field’s faulted</w:t>
      </w:r>
      <w:r w:rsidR="00A258A1">
        <w:rPr>
          <w:rFonts w:ascii="Baskerville Old Face" w:hAnsi="Baskerville Old Face"/>
          <w:sz w:val="24"/>
          <w:szCs w:val="24"/>
        </w:rPr>
        <w:t xml:space="preserve">, and limited </w:t>
      </w:r>
      <w:r w:rsidR="004E6D89">
        <w:rPr>
          <w:rFonts w:ascii="Baskerville Old Face" w:hAnsi="Baskerville Old Face"/>
          <w:sz w:val="24"/>
          <w:szCs w:val="24"/>
        </w:rPr>
        <w:t xml:space="preserve">understanding of broken objects in the archaeological record, </w:t>
      </w:r>
      <w:r w:rsidR="00370707">
        <w:rPr>
          <w:rFonts w:ascii="Baskerville Old Face" w:hAnsi="Baskerville Old Face"/>
          <w:sz w:val="24"/>
          <w:szCs w:val="24"/>
        </w:rPr>
        <w:t>re-examining</w:t>
      </w:r>
      <w:r w:rsidR="00B6091B">
        <w:rPr>
          <w:rFonts w:ascii="Baskerville Old Face" w:hAnsi="Baskerville Old Face"/>
          <w:sz w:val="24"/>
          <w:szCs w:val="24"/>
        </w:rPr>
        <w:t xml:space="preserve"> the breakage of object and human remains as additional information of value.</w:t>
      </w:r>
      <w:r w:rsidR="00B6091B">
        <w:rPr>
          <w:rStyle w:val="FootnoteReference"/>
          <w:rFonts w:ascii="Baskerville Old Face" w:hAnsi="Baskerville Old Face"/>
          <w:sz w:val="24"/>
          <w:szCs w:val="24"/>
        </w:rPr>
        <w:footnoteReference w:id="3"/>
      </w:r>
      <w:r w:rsidR="00B6091B">
        <w:rPr>
          <w:rFonts w:ascii="Baskerville Old Face" w:hAnsi="Baskerville Old Face"/>
          <w:sz w:val="24"/>
          <w:szCs w:val="24"/>
        </w:rPr>
        <w:t xml:space="preserve"> </w:t>
      </w:r>
      <w:r w:rsidR="00BD1A0A">
        <w:rPr>
          <w:rFonts w:ascii="Baskerville Old Face" w:hAnsi="Baskerville Old Face"/>
          <w:sz w:val="24"/>
          <w:szCs w:val="24"/>
        </w:rPr>
        <w:t>His related concepts of accumulation and enchainment have also broadened archaeological perspectives, fuelling a ‘powerful interpretive shift’</w:t>
      </w:r>
      <w:r w:rsidR="00BD1A0A">
        <w:rPr>
          <w:rStyle w:val="FootnoteReference"/>
          <w:rFonts w:ascii="Baskerville Old Face" w:hAnsi="Baskerville Old Face"/>
          <w:sz w:val="24"/>
          <w:szCs w:val="24"/>
        </w:rPr>
        <w:footnoteReference w:id="4"/>
      </w:r>
      <w:r w:rsidR="00BD1A0A">
        <w:rPr>
          <w:rFonts w:ascii="Baskerville Old Face" w:hAnsi="Baskerville Old Face"/>
          <w:sz w:val="24"/>
          <w:szCs w:val="24"/>
        </w:rPr>
        <w:t xml:space="preserve"> wherein archaeologists have begun to recognise numerable appearances of fragmentation within certain periods. </w:t>
      </w:r>
      <w:r w:rsidR="00B6091B">
        <w:rPr>
          <w:rFonts w:ascii="Baskerville Old Face" w:hAnsi="Baskerville Old Face"/>
          <w:sz w:val="24"/>
          <w:szCs w:val="24"/>
        </w:rPr>
        <w:t xml:space="preserve">The development of fragmentation as a theory was born from Chapman’s </w:t>
      </w:r>
      <w:r w:rsidR="004E2B70">
        <w:rPr>
          <w:rFonts w:ascii="Baskerville Old Face" w:hAnsi="Baskerville Old Face"/>
          <w:sz w:val="24"/>
          <w:szCs w:val="24"/>
        </w:rPr>
        <w:t>awareness of a void of understanding of structural relationships during Balkan prehistory, ‘between people, objects and places and the material dimensions of these relations in social practices.’</w:t>
      </w:r>
      <w:r w:rsidR="004E2B70">
        <w:rPr>
          <w:rStyle w:val="FootnoteReference"/>
          <w:rFonts w:ascii="Baskerville Old Face" w:hAnsi="Baskerville Old Face"/>
          <w:sz w:val="24"/>
          <w:szCs w:val="24"/>
        </w:rPr>
        <w:footnoteReference w:id="5"/>
      </w:r>
      <w:r w:rsidR="004E2B70">
        <w:rPr>
          <w:rFonts w:ascii="Baskerville Old Face" w:hAnsi="Baskerville Old Face"/>
          <w:sz w:val="24"/>
          <w:szCs w:val="24"/>
        </w:rPr>
        <w:t xml:space="preserve"> </w:t>
      </w:r>
      <w:r w:rsidR="00AA1ADD">
        <w:rPr>
          <w:rFonts w:ascii="Baskerville Old Face" w:hAnsi="Baskerville Old Face"/>
          <w:sz w:val="24"/>
          <w:szCs w:val="24"/>
        </w:rPr>
        <w:t xml:space="preserve">The archaeologist’s theory provides a framework for the discussion of the phenomenon of deliberate breakage, wherein </w:t>
      </w:r>
      <w:r w:rsidR="005F3610">
        <w:rPr>
          <w:rFonts w:ascii="Baskerville Old Face" w:hAnsi="Baskerville Old Face"/>
          <w:sz w:val="24"/>
          <w:szCs w:val="24"/>
        </w:rPr>
        <w:t>one can interpret the deeper socio-cultural and symbolic meaning</w:t>
      </w:r>
      <w:r w:rsidR="00A258A1">
        <w:rPr>
          <w:rFonts w:ascii="Baskerville Old Face" w:hAnsi="Baskerville Old Face"/>
          <w:sz w:val="24"/>
          <w:szCs w:val="24"/>
        </w:rPr>
        <w:t>s.</w:t>
      </w:r>
      <w:r w:rsidR="00AE707C">
        <w:rPr>
          <w:rFonts w:ascii="Baskerville Old Face" w:hAnsi="Baskerville Old Face"/>
          <w:sz w:val="24"/>
          <w:szCs w:val="24"/>
        </w:rPr>
        <w:t xml:space="preserve"> It also provides a way in which archaeology can ‘treat parts of objects in their own right, as well as provoking [the study of history] to consider issues of personhood anew</w:t>
      </w:r>
      <w:proofErr w:type="gramStart"/>
      <w:r w:rsidR="00AE707C">
        <w:rPr>
          <w:rFonts w:ascii="Baskerville Old Face" w:hAnsi="Baskerville Old Face"/>
          <w:sz w:val="24"/>
          <w:szCs w:val="24"/>
        </w:rPr>
        <w:t>’.</w:t>
      </w:r>
      <w:proofErr w:type="gramEnd"/>
      <w:r w:rsidR="00AE707C">
        <w:rPr>
          <w:rStyle w:val="FootnoteReference"/>
          <w:rFonts w:ascii="Baskerville Old Face" w:hAnsi="Baskerville Old Face"/>
          <w:sz w:val="24"/>
          <w:szCs w:val="24"/>
        </w:rPr>
        <w:footnoteReference w:id="6"/>
      </w:r>
    </w:p>
    <w:p w14:paraId="282E9B7B" w14:textId="76A67A03" w:rsidR="00370707" w:rsidRDefault="00370707" w:rsidP="00504105">
      <w:pPr>
        <w:jc w:val="both"/>
        <w:rPr>
          <w:rFonts w:ascii="Baskerville Old Face" w:hAnsi="Baskerville Old Face"/>
          <w:sz w:val="24"/>
          <w:szCs w:val="24"/>
        </w:rPr>
      </w:pPr>
      <w:r>
        <w:rPr>
          <w:rFonts w:ascii="Baskerville Old Face" w:hAnsi="Baskerville Old Face"/>
          <w:sz w:val="24"/>
          <w:szCs w:val="24"/>
        </w:rPr>
        <w:t>Fragmentation has been defined as ‘both a transformative, generative and a communicative act’</w:t>
      </w:r>
      <w:r>
        <w:rPr>
          <w:rStyle w:val="FootnoteReference"/>
          <w:rFonts w:ascii="Baskerville Old Face" w:hAnsi="Baskerville Old Face"/>
          <w:sz w:val="24"/>
          <w:szCs w:val="24"/>
        </w:rPr>
        <w:footnoteReference w:id="7"/>
      </w:r>
      <w:r>
        <w:rPr>
          <w:rFonts w:ascii="Baskerville Old Face" w:hAnsi="Baskerville Old Face"/>
          <w:sz w:val="24"/>
          <w:szCs w:val="24"/>
        </w:rPr>
        <w:t xml:space="preserve"> – when an object becomes, or is made fragmented, it is consequently transformed, often irreversibly into an object of renewed considerations. It can also be said that fragmentation ‘creates new entities in the form of pieces.</w:t>
      </w:r>
      <w:r>
        <w:rPr>
          <w:rStyle w:val="FootnoteReference"/>
          <w:rFonts w:ascii="Baskerville Old Face" w:hAnsi="Baskerville Old Face"/>
          <w:sz w:val="24"/>
          <w:szCs w:val="24"/>
        </w:rPr>
        <w:footnoteReference w:id="8"/>
      </w:r>
      <w:r>
        <w:rPr>
          <w:rFonts w:ascii="Baskerville Old Face" w:hAnsi="Baskerville Old Face"/>
          <w:sz w:val="24"/>
          <w:szCs w:val="24"/>
        </w:rPr>
        <w:t>’</w:t>
      </w:r>
      <w:r w:rsidR="00866890">
        <w:rPr>
          <w:rFonts w:ascii="Baskerville Old Face" w:hAnsi="Baskerville Old Face"/>
          <w:sz w:val="24"/>
          <w:szCs w:val="24"/>
        </w:rPr>
        <w:t xml:space="preserve"> In discussing fragmentation, the motivation for its breakage must be considered, as there are many </w:t>
      </w:r>
      <w:proofErr w:type="gramStart"/>
      <w:r w:rsidR="00866890">
        <w:rPr>
          <w:rFonts w:ascii="Baskerville Old Face" w:hAnsi="Baskerville Old Face"/>
          <w:sz w:val="24"/>
          <w:szCs w:val="24"/>
        </w:rPr>
        <w:t>complex</w:t>
      </w:r>
      <w:proofErr w:type="gramEnd"/>
      <w:r w:rsidR="00866890">
        <w:rPr>
          <w:rFonts w:ascii="Baskerville Old Face" w:hAnsi="Baskerville Old Face"/>
          <w:sz w:val="24"/>
          <w:szCs w:val="24"/>
        </w:rPr>
        <w:t xml:space="preserve">, nuanced, and culturally intricate driving factors that warrant a meaningful act such as this. Furthermore, the contextualisation of the object of study </w:t>
      </w:r>
      <w:r w:rsidR="00866890" w:rsidRPr="00866890">
        <w:rPr>
          <w:rFonts w:ascii="Baskerville Old Face" w:hAnsi="Baskerville Old Face"/>
          <w:sz w:val="24"/>
          <w:szCs w:val="24"/>
        </w:rPr>
        <w:t xml:space="preserve">within </w:t>
      </w:r>
      <w:r w:rsidR="00866890">
        <w:rPr>
          <w:rFonts w:ascii="Baskerville Old Face" w:hAnsi="Baskerville Old Face"/>
          <w:sz w:val="24"/>
          <w:szCs w:val="24"/>
        </w:rPr>
        <w:t>its</w:t>
      </w:r>
      <w:r w:rsidR="00866890" w:rsidRPr="00866890">
        <w:rPr>
          <w:rFonts w:ascii="Baskerville Old Face" w:hAnsi="Baskerville Old Face"/>
          <w:sz w:val="24"/>
          <w:szCs w:val="24"/>
        </w:rPr>
        <w:t xml:space="preserve"> respective culture or period</w:t>
      </w:r>
      <w:r w:rsidR="00866890">
        <w:rPr>
          <w:rFonts w:ascii="Baskerville Old Face" w:hAnsi="Baskerville Old Face"/>
          <w:sz w:val="24"/>
          <w:szCs w:val="24"/>
        </w:rPr>
        <w:t xml:space="preserve"> highlights the </w:t>
      </w:r>
      <w:r w:rsidR="00866890" w:rsidRPr="00866890">
        <w:rPr>
          <w:rFonts w:ascii="Baskerville Old Face" w:hAnsi="Baskerville Old Face"/>
          <w:sz w:val="24"/>
          <w:szCs w:val="24"/>
        </w:rPr>
        <w:t xml:space="preserve">potential reasons for </w:t>
      </w:r>
      <w:r w:rsidR="00866890" w:rsidRPr="00866890">
        <w:rPr>
          <w:rFonts w:ascii="Baskerville Old Face" w:hAnsi="Baskerville Old Face"/>
          <w:sz w:val="24"/>
          <w:szCs w:val="24"/>
        </w:rPr>
        <w:lastRenderedPageBreak/>
        <w:t>intentional breakage; the ritual and symbolic aspects that drive such a practice are heavily linked to the religious, spiritual, or socioeconomic facets of the society.</w:t>
      </w:r>
    </w:p>
    <w:p w14:paraId="515047A4" w14:textId="49A589EE" w:rsidR="001819B3" w:rsidRPr="001819B3" w:rsidRDefault="001819B3" w:rsidP="001819B3">
      <w:pPr>
        <w:jc w:val="both"/>
        <w:rPr>
          <w:rFonts w:ascii="Baskerville Old Face" w:hAnsi="Baskerville Old Face"/>
          <w:sz w:val="24"/>
          <w:szCs w:val="24"/>
        </w:rPr>
      </w:pPr>
      <w:r w:rsidRPr="001819B3">
        <w:rPr>
          <w:rFonts w:ascii="Baskerville Old Face" w:hAnsi="Baskerville Old Face"/>
          <w:sz w:val="24"/>
          <w:szCs w:val="24"/>
        </w:rPr>
        <w:t xml:space="preserve">Chapman identifies five potential explanations for fragmented objects, which can be outlined </w:t>
      </w:r>
      <w:r>
        <w:rPr>
          <w:rFonts w:ascii="Baskerville Old Face" w:hAnsi="Baskerville Old Face"/>
          <w:sz w:val="24"/>
          <w:szCs w:val="24"/>
        </w:rPr>
        <w:t>thusly</w:t>
      </w:r>
      <w:r w:rsidRPr="001819B3">
        <w:rPr>
          <w:rFonts w:ascii="Baskerville Old Face" w:hAnsi="Baskerville Old Face"/>
          <w:sz w:val="24"/>
          <w:szCs w:val="24"/>
        </w:rPr>
        <w:t>:</w:t>
      </w:r>
    </w:p>
    <w:p w14:paraId="0FD93413" w14:textId="72210BC4" w:rsidR="001819B3" w:rsidRPr="001819B3" w:rsidRDefault="001819B3" w:rsidP="001819B3">
      <w:pPr>
        <w:pStyle w:val="ListParagraph"/>
        <w:numPr>
          <w:ilvl w:val="0"/>
          <w:numId w:val="3"/>
        </w:numPr>
        <w:jc w:val="both"/>
        <w:rPr>
          <w:rFonts w:ascii="Baskerville Old Face" w:hAnsi="Baskerville Old Face"/>
          <w:sz w:val="24"/>
          <w:szCs w:val="24"/>
        </w:rPr>
      </w:pPr>
      <w:r w:rsidRPr="001819B3">
        <w:rPr>
          <w:rFonts w:ascii="Baskerville Old Face" w:hAnsi="Baskerville Old Face"/>
          <w:b/>
          <w:bCs/>
          <w:sz w:val="24"/>
          <w:szCs w:val="24"/>
        </w:rPr>
        <w:t>Accidental breakage</w:t>
      </w:r>
      <w:r w:rsidRPr="001819B3">
        <w:rPr>
          <w:rFonts w:ascii="Baskerville Old Face" w:hAnsi="Baskerville Old Face"/>
          <w:sz w:val="24"/>
          <w:szCs w:val="24"/>
        </w:rPr>
        <w:t xml:space="preserve">, which is sustained </w:t>
      </w:r>
      <w:proofErr w:type="gramStart"/>
      <w:r w:rsidRPr="001819B3">
        <w:rPr>
          <w:rFonts w:ascii="Baskerville Old Face" w:hAnsi="Baskerville Old Face"/>
          <w:sz w:val="24"/>
          <w:szCs w:val="24"/>
        </w:rPr>
        <w:t>as a result of</w:t>
      </w:r>
      <w:proofErr w:type="gramEnd"/>
      <w:r w:rsidRPr="001819B3">
        <w:rPr>
          <w:rFonts w:ascii="Baskerville Old Face" w:hAnsi="Baskerville Old Face"/>
          <w:sz w:val="24"/>
          <w:szCs w:val="24"/>
        </w:rPr>
        <w:t xml:space="preserve"> continued usage to the point of disfunction, or alternatively sustained as a singular damage during either an object’s use-life, or the excavation process itself.</w:t>
      </w:r>
    </w:p>
    <w:p w14:paraId="1AAF7A0C" w14:textId="4BBA4BA3" w:rsidR="001819B3" w:rsidRPr="001819B3" w:rsidRDefault="001819B3" w:rsidP="001819B3">
      <w:pPr>
        <w:pStyle w:val="ListParagraph"/>
        <w:numPr>
          <w:ilvl w:val="0"/>
          <w:numId w:val="3"/>
        </w:numPr>
        <w:jc w:val="both"/>
        <w:rPr>
          <w:rFonts w:ascii="Baskerville Old Face" w:hAnsi="Baskerville Old Face"/>
          <w:sz w:val="24"/>
          <w:szCs w:val="24"/>
        </w:rPr>
      </w:pPr>
      <w:r w:rsidRPr="001819B3">
        <w:rPr>
          <w:rFonts w:ascii="Baskerville Old Face" w:hAnsi="Baskerville Old Face"/>
          <w:b/>
          <w:bCs/>
          <w:sz w:val="24"/>
          <w:szCs w:val="24"/>
        </w:rPr>
        <w:t>Damage-related burial</w:t>
      </w:r>
      <w:r w:rsidRPr="001819B3">
        <w:rPr>
          <w:rFonts w:ascii="Baskerville Old Face" w:hAnsi="Baskerville Old Face"/>
          <w:sz w:val="24"/>
          <w:szCs w:val="24"/>
        </w:rPr>
        <w:t>, wherein objects become necessary to discard due to their breakage, and subsequent inability to perform its intended function.</w:t>
      </w:r>
    </w:p>
    <w:p w14:paraId="58E9DA3A" w14:textId="3D5D59DD" w:rsidR="001819B3" w:rsidRPr="001819B3" w:rsidRDefault="001819B3" w:rsidP="001819B3">
      <w:pPr>
        <w:pStyle w:val="ListParagraph"/>
        <w:numPr>
          <w:ilvl w:val="0"/>
          <w:numId w:val="3"/>
        </w:numPr>
        <w:jc w:val="both"/>
        <w:rPr>
          <w:rFonts w:ascii="Baskerville Old Face" w:hAnsi="Baskerville Old Face"/>
          <w:sz w:val="24"/>
          <w:szCs w:val="24"/>
        </w:rPr>
      </w:pPr>
      <w:r w:rsidRPr="001819B3">
        <w:rPr>
          <w:rFonts w:ascii="Baskerville Old Face" w:hAnsi="Baskerville Old Face"/>
          <w:b/>
          <w:bCs/>
          <w:sz w:val="24"/>
          <w:szCs w:val="24"/>
        </w:rPr>
        <w:t>Ritual killing</w:t>
      </w:r>
      <w:r w:rsidRPr="001819B3">
        <w:rPr>
          <w:rFonts w:ascii="Baskerville Old Face" w:hAnsi="Baskerville Old Face"/>
          <w:sz w:val="24"/>
          <w:szCs w:val="24"/>
        </w:rPr>
        <w:t>, which relates to the symbolic ‘killing’ of an object through its deliberate destruction.</w:t>
      </w:r>
    </w:p>
    <w:p w14:paraId="1E65C1EF" w14:textId="7866BC37" w:rsidR="001819B3" w:rsidRPr="001819B3" w:rsidRDefault="001819B3" w:rsidP="001819B3">
      <w:pPr>
        <w:pStyle w:val="ListParagraph"/>
        <w:numPr>
          <w:ilvl w:val="0"/>
          <w:numId w:val="3"/>
        </w:numPr>
        <w:jc w:val="both"/>
        <w:rPr>
          <w:rFonts w:ascii="Baskerville Old Face" w:hAnsi="Baskerville Old Face"/>
          <w:sz w:val="24"/>
          <w:szCs w:val="24"/>
        </w:rPr>
      </w:pPr>
      <w:r w:rsidRPr="001819B3">
        <w:rPr>
          <w:rFonts w:ascii="Baskerville Old Face" w:hAnsi="Baskerville Old Face"/>
          <w:b/>
          <w:bCs/>
          <w:sz w:val="24"/>
          <w:szCs w:val="24"/>
        </w:rPr>
        <w:t>Symbolic dispersal</w:t>
      </w:r>
      <w:r w:rsidRPr="001819B3">
        <w:rPr>
          <w:rFonts w:ascii="Baskerville Old Face" w:hAnsi="Baskerville Old Face"/>
          <w:sz w:val="24"/>
          <w:szCs w:val="24"/>
        </w:rPr>
        <w:t>, referring to the spreading of objects, with the intention of its power dispersal.</w:t>
      </w:r>
    </w:p>
    <w:p w14:paraId="41A56933" w14:textId="3B89A072" w:rsidR="001819B3" w:rsidRPr="001819B3" w:rsidRDefault="001819B3" w:rsidP="001819B3">
      <w:pPr>
        <w:pStyle w:val="ListParagraph"/>
        <w:numPr>
          <w:ilvl w:val="0"/>
          <w:numId w:val="3"/>
        </w:numPr>
        <w:jc w:val="both"/>
        <w:rPr>
          <w:rFonts w:ascii="Baskerville Old Face" w:hAnsi="Baskerville Old Face"/>
          <w:sz w:val="24"/>
          <w:szCs w:val="24"/>
        </w:rPr>
      </w:pPr>
      <w:r w:rsidRPr="001819B3">
        <w:rPr>
          <w:rFonts w:ascii="Baskerville Old Face" w:hAnsi="Baskerville Old Face"/>
          <w:b/>
          <w:bCs/>
          <w:sz w:val="24"/>
          <w:szCs w:val="24"/>
        </w:rPr>
        <w:t>Enchainment</w:t>
      </w:r>
      <w:r w:rsidRPr="001819B3">
        <w:rPr>
          <w:rFonts w:ascii="Baskerville Old Face" w:hAnsi="Baskerville Old Face"/>
          <w:sz w:val="24"/>
          <w:szCs w:val="24"/>
        </w:rPr>
        <w:t>, whereby objects are broken as a means of physicalising a connection between people and places.</w:t>
      </w:r>
    </w:p>
    <w:p w14:paraId="1FE8F47C" w14:textId="3B787E48" w:rsidR="008C10E8" w:rsidRDefault="008C10E8" w:rsidP="00504105">
      <w:pPr>
        <w:jc w:val="both"/>
        <w:rPr>
          <w:rFonts w:ascii="Dubai Medium" w:hAnsi="Dubai Medium" w:cs="Dubai Medium"/>
          <w:sz w:val="28"/>
          <w:szCs w:val="28"/>
        </w:rPr>
      </w:pPr>
      <w:r w:rsidRPr="008C10E8">
        <w:rPr>
          <w:rFonts w:ascii="Dubai Medium" w:hAnsi="Dubai Medium" w:cs="Dubai Medium" w:hint="cs"/>
          <w:sz w:val="28"/>
          <w:szCs w:val="28"/>
        </w:rPr>
        <w:t>Human Remains</w:t>
      </w:r>
    </w:p>
    <w:p w14:paraId="46C70336" w14:textId="4BBC3B94" w:rsidR="008C10E8" w:rsidRPr="00BC739A" w:rsidRDefault="008C10E8" w:rsidP="00504105">
      <w:pPr>
        <w:jc w:val="both"/>
        <w:rPr>
          <w:rFonts w:ascii="Baskerville Old Face" w:hAnsi="Baskerville Old Face" w:cs="Dubai Medium"/>
          <w:sz w:val="24"/>
          <w:szCs w:val="24"/>
        </w:rPr>
      </w:pPr>
      <w:r>
        <w:rPr>
          <w:rFonts w:ascii="Baskerville Old Face" w:hAnsi="Baskerville Old Face" w:cs="Dubai Medium"/>
          <w:sz w:val="24"/>
          <w:szCs w:val="24"/>
        </w:rPr>
        <w:t xml:space="preserve">The archaeological record reveals it is not </w:t>
      </w:r>
      <w:proofErr w:type="gramStart"/>
      <w:r>
        <w:rPr>
          <w:rFonts w:ascii="Baskerville Old Face" w:hAnsi="Baskerville Old Face" w:cs="Dubai Medium"/>
          <w:sz w:val="24"/>
          <w:szCs w:val="24"/>
        </w:rPr>
        <w:t>objects</w:t>
      </w:r>
      <w:proofErr w:type="gramEnd"/>
      <w:r>
        <w:rPr>
          <w:rFonts w:ascii="Baskerville Old Face" w:hAnsi="Baskerville Old Face" w:cs="Dubai Medium"/>
          <w:sz w:val="24"/>
          <w:szCs w:val="24"/>
        </w:rPr>
        <w:t xml:space="preserve"> alone that have been subject to fragmentation, but bodies also. While it is common for the breaking of remains to be attributed to </w:t>
      </w:r>
      <w:r w:rsidR="00FB7DBE">
        <w:rPr>
          <w:rFonts w:ascii="Baskerville Old Face" w:hAnsi="Baskerville Old Face" w:cs="Dubai Medium"/>
          <w:sz w:val="24"/>
          <w:szCs w:val="24"/>
        </w:rPr>
        <w:t xml:space="preserve">accidental disturbances, the possibility of deliberate fragmentation through cultural and symbolic processes </w:t>
      </w:r>
      <w:r w:rsidR="00094163">
        <w:rPr>
          <w:rFonts w:ascii="Baskerville Old Face" w:hAnsi="Baskerville Old Face" w:cs="Dubai Medium"/>
          <w:sz w:val="24"/>
          <w:szCs w:val="24"/>
        </w:rPr>
        <w:t>can also be made</w:t>
      </w:r>
      <w:r w:rsidR="00FB7DBE">
        <w:rPr>
          <w:rFonts w:ascii="Baskerville Old Face" w:hAnsi="Baskerville Old Face" w:cs="Dubai Medium"/>
          <w:sz w:val="24"/>
          <w:szCs w:val="24"/>
        </w:rPr>
        <w:t xml:space="preserve"> apparent in the examination of human remains. It is only more recently that archaeologists have begun to understand the way in which fragmentation may take a fundamental role in funerary ritual with regards to the body itself, and not just the grave goods that surround it. Additionally, human bones, when broken apart from the complete assemblage that is the human skeleton, can be removed entirely from mortuary context, allowing the involvement of the dead within existing social and political spheres.</w:t>
      </w:r>
      <w:r w:rsidR="00094163">
        <w:rPr>
          <w:rFonts w:ascii="Baskerville Old Face" w:hAnsi="Baskerville Old Face" w:cs="Dubai Medium"/>
          <w:sz w:val="24"/>
          <w:szCs w:val="24"/>
        </w:rPr>
        <w:t xml:space="preserve"> To contextualise this concept, one can observe the BA burials of Britain, wherein archaeological evidence points to the often-incomplete skeletal remains found in certain graves. Largely, this phenomenon is due to the </w:t>
      </w:r>
      <w:r w:rsidR="006E7A9A">
        <w:rPr>
          <w:rFonts w:ascii="Baskerville Old Face" w:hAnsi="Baskerville Old Face" w:cs="Dubai Medium"/>
          <w:sz w:val="24"/>
          <w:szCs w:val="24"/>
        </w:rPr>
        <w:t>conscious rehandling of bones – some graves were</w:t>
      </w:r>
      <w:r w:rsidR="009031E8">
        <w:rPr>
          <w:rFonts w:ascii="Baskerville Old Face" w:hAnsi="Baskerville Old Face" w:cs="Dubai Medium"/>
          <w:sz w:val="24"/>
          <w:szCs w:val="24"/>
        </w:rPr>
        <w:t xml:space="preserve"> opened, and</w:t>
      </w:r>
      <w:r w:rsidR="006E7A9A">
        <w:rPr>
          <w:rFonts w:ascii="Baskerville Old Face" w:hAnsi="Baskerville Old Face" w:cs="Dubai Medium"/>
          <w:sz w:val="24"/>
          <w:szCs w:val="24"/>
        </w:rPr>
        <w:t xml:space="preserve"> further populated when another died,</w:t>
      </w:r>
      <w:r w:rsidR="009031E8">
        <w:rPr>
          <w:rFonts w:ascii="Baskerville Old Face" w:hAnsi="Baskerville Old Face" w:cs="Dubai Medium"/>
          <w:sz w:val="24"/>
          <w:szCs w:val="24"/>
        </w:rPr>
        <w:t xml:space="preserve"> some were opened specifically for meaningful interaction, or removal of bone. </w:t>
      </w:r>
      <w:r w:rsidR="000369E8">
        <w:rPr>
          <w:rFonts w:ascii="Baskerville Old Face" w:hAnsi="Baskerville Old Face" w:cs="Dubai Medium"/>
          <w:sz w:val="24"/>
          <w:szCs w:val="24"/>
        </w:rPr>
        <w:t>Artefacts fashioned from human bone have also been found in EBA burials</w:t>
      </w:r>
      <w:r w:rsidR="00742787">
        <w:rPr>
          <w:rFonts w:ascii="Baskerville Old Face" w:hAnsi="Baskerville Old Face" w:cs="Dubai Medium"/>
          <w:sz w:val="24"/>
          <w:szCs w:val="24"/>
        </w:rPr>
        <w:t>; accompanying a cremation in Wiltshire, a belt hook of human femur. On this, Bruck comments that these such ‘powerful acts of enchainment linked dead members of the community with objects that might themselves have been viewed as imbued with life force</w:t>
      </w:r>
      <w:proofErr w:type="gramStart"/>
      <w:r w:rsidR="00742787">
        <w:rPr>
          <w:rFonts w:ascii="Baskerville Old Face" w:hAnsi="Baskerville Old Face" w:cs="Dubai Medium"/>
          <w:sz w:val="24"/>
          <w:szCs w:val="24"/>
        </w:rPr>
        <w:t>’.</w:t>
      </w:r>
      <w:proofErr w:type="gramEnd"/>
      <w:r w:rsidR="00742787">
        <w:rPr>
          <w:rStyle w:val="FootnoteReference"/>
          <w:rFonts w:ascii="Baskerville Old Face" w:hAnsi="Baskerville Old Face" w:cs="Dubai Medium"/>
          <w:sz w:val="24"/>
          <w:szCs w:val="24"/>
        </w:rPr>
        <w:footnoteReference w:id="9"/>
      </w:r>
      <w:r w:rsidR="00742787">
        <w:rPr>
          <w:rFonts w:ascii="Baskerville Old Face" w:hAnsi="Baskerville Old Face" w:cs="Dubai Medium"/>
          <w:sz w:val="24"/>
          <w:szCs w:val="24"/>
        </w:rPr>
        <w:t xml:space="preserve"> </w:t>
      </w:r>
      <w:r w:rsidR="009031E8">
        <w:rPr>
          <w:rFonts w:ascii="Baskerville Old Face" w:hAnsi="Baskerville Old Face" w:cs="Dubai Medium"/>
          <w:sz w:val="24"/>
          <w:szCs w:val="24"/>
        </w:rPr>
        <w:t xml:space="preserve">These behaviours are highly reflective of the way in which this BA culture promoted an attentiveness and </w:t>
      </w:r>
      <w:r w:rsidR="000369E8">
        <w:rPr>
          <w:rFonts w:ascii="Baskerville Old Face" w:hAnsi="Baskerville Old Face" w:cs="Dubai Medium"/>
          <w:sz w:val="24"/>
          <w:szCs w:val="24"/>
        </w:rPr>
        <w:t>intimacy</w:t>
      </w:r>
      <w:r w:rsidR="009031E8">
        <w:rPr>
          <w:rFonts w:ascii="Baskerville Old Face" w:hAnsi="Baskerville Old Face" w:cs="Dubai Medium"/>
          <w:sz w:val="24"/>
          <w:szCs w:val="24"/>
        </w:rPr>
        <w:t xml:space="preserve"> for</w:t>
      </w:r>
      <w:r w:rsidR="000369E8">
        <w:rPr>
          <w:rFonts w:ascii="Baskerville Old Face" w:hAnsi="Baskerville Old Face" w:cs="Dubai Medium"/>
          <w:sz w:val="24"/>
          <w:szCs w:val="24"/>
        </w:rPr>
        <w:t>, and with</w:t>
      </w:r>
      <w:r w:rsidR="009031E8">
        <w:rPr>
          <w:rFonts w:ascii="Baskerville Old Face" w:hAnsi="Baskerville Old Face" w:cs="Dubai Medium"/>
          <w:sz w:val="24"/>
          <w:szCs w:val="24"/>
        </w:rPr>
        <w:t xml:space="preserve"> the materiality of their dead, as well as on a wider scale, revealing entwining cultural attitudes and mortuary beliefs.</w:t>
      </w:r>
    </w:p>
    <w:p w14:paraId="6D33DB71" w14:textId="752B24FD" w:rsidR="00AE707C" w:rsidRDefault="00AE707C" w:rsidP="00504105">
      <w:pPr>
        <w:jc w:val="both"/>
        <w:rPr>
          <w:rFonts w:ascii="Dubai Medium" w:hAnsi="Dubai Medium" w:cs="Dubai Medium"/>
          <w:sz w:val="28"/>
          <w:szCs w:val="28"/>
        </w:rPr>
      </w:pPr>
      <w:r w:rsidRPr="00AE707C">
        <w:rPr>
          <w:rFonts w:ascii="Dubai Medium" w:hAnsi="Dubai Medium" w:cs="Dubai Medium" w:hint="cs"/>
          <w:sz w:val="28"/>
          <w:szCs w:val="28"/>
        </w:rPr>
        <w:t>Enchainment</w:t>
      </w:r>
    </w:p>
    <w:p w14:paraId="6A201979" w14:textId="3EBF4CFD" w:rsidR="008C10E8" w:rsidRDefault="00AE707C" w:rsidP="00504105">
      <w:pPr>
        <w:jc w:val="both"/>
        <w:rPr>
          <w:rFonts w:ascii="Baskerville Old Face" w:hAnsi="Baskerville Old Face" w:cs="Dubai Medium"/>
          <w:sz w:val="24"/>
          <w:szCs w:val="24"/>
        </w:rPr>
      </w:pPr>
      <w:r>
        <w:rPr>
          <w:rFonts w:ascii="Baskerville Old Face" w:hAnsi="Baskerville Old Face" w:cs="Dubai Medium"/>
          <w:sz w:val="24"/>
          <w:szCs w:val="24"/>
        </w:rPr>
        <w:t xml:space="preserve">The use of material, or object fragments in social exchange </w:t>
      </w:r>
      <w:r w:rsidR="002A3876">
        <w:rPr>
          <w:rFonts w:ascii="Baskerville Old Face" w:hAnsi="Baskerville Old Face" w:cs="Dubai Medium"/>
          <w:sz w:val="24"/>
          <w:szCs w:val="24"/>
        </w:rPr>
        <w:t xml:space="preserve">acts as a connective tissue between people, places, and of course, the object that mediates these exchanges. This means of breaking, and subsequently repurposing objects is known as the process of enchainment. The transformative element involved in an object’s deliberate breakage or burning links people in a </w:t>
      </w:r>
      <w:r w:rsidR="002A3876">
        <w:rPr>
          <w:rFonts w:ascii="Baskerville Old Face" w:hAnsi="Baskerville Old Face" w:cs="Dubai Medium"/>
          <w:sz w:val="24"/>
          <w:szCs w:val="24"/>
        </w:rPr>
        <w:lastRenderedPageBreak/>
        <w:t>physical, tangible way, and thus the objects become inalienable from their life histories</w:t>
      </w:r>
      <w:r w:rsidR="004C341A">
        <w:rPr>
          <w:rFonts w:ascii="Baskerville Old Face" w:hAnsi="Baskerville Old Face" w:cs="Dubai Medium"/>
          <w:sz w:val="24"/>
          <w:szCs w:val="24"/>
        </w:rPr>
        <w:t>. That is to say, the process of their production, the producers themselves, and those involved in the social exchange of its dispersal, and meaningful repurpose become inextricable aspects of the fragmented object</w:t>
      </w:r>
      <w:r w:rsidR="008C10E8">
        <w:rPr>
          <w:rStyle w:val="FootnoteReference"/>
          <w:rFonts w:ascii="Baskerville Old Face" w:hAnsi="Baskerville Old Face" w:cs="Dubai Medium"/>
          <w:sz w:val="24"/>
          <w:szCs w:val="24"/>
        </w:rPr>
        <w:footnoteReference w:id="10"/>
      </w:r>
      <w:r w:rsidR="004C341A">
        <w:rPr>
          <w:rFonts w:ascii="Baskerville Old Face" w:hAnsi="Baskerville Old Face" w:cs="Dubai Medium"/>
          <w:sz w:val="24"/>
          <w:szCs w:val="24"/>
        </w:rPr>
        <w:t xml:space="preserve">. Chapman’s understanding of enchainment was one of a parallel nature and application to fragmentation theory, yet </w:t>
      </w:r>
      <w:r w:rsidR="001F27BF">
        <w:rPr>
          <w:rFonts w:ascii="Baskerville Old Face" w:hAnsi="Baskerville Old Face" w:cs="Dubai Medium"/>
          <w:sz w:val="24"/>
          <w:szCs w:val="24"/>
        </w:rPr>
        <w:t xml:space="preserve">they </w:t>
      </w:r>
      <w:r w:rsidR="005B6EEF">
        <w:rPr>
          <w:rFonts w:ascii="Baskerville Old Face" w:hAnsi="Baskerville Old Face" w:cs="Dubai Medium"/>
          <w:sz w:val="24"/>
          <w:szCs w:val="24"/>
        </w:rPr>
        <w:t>need not</w:t>
      </w:r>
      <w:r w:rsidR="001F27BF">
        <w:rPr>
          <w:rFonts w:ascii="Baskerville Old Face" w:hAnsi="Baskerville Old Face" w:cs="Dubai Medium"/>
          <w:sz w:val="24"/>
          <w:szCs w:val="24"/>
        </w:rPr>
        <w:t xml:space="preserve"> always be found together, as </w:t>
      </w:r>
      <w:r w:rsidR="005B6EEF">
        <w:rPr>
          <w:rFonts w:ascii="Baskerville Old Face" w:hAnsi="Baskerville Old Face" w:cs="Dubai Medium"/>
          <w:sz w:val="24"/>
          <w:szCs w:val="24"/>
        </w:rPr>
        <w:t>they are ‘not necessarily a consequence of each other’</w:t>
      </w:r>
      <w:r w:rsidR="005B6EEF">
        <w:rPr>
          <w:rStyle w:val="FootnoteReference"/>
          <w:rFonts w:ascii="Baskerville Old Face" w:hAnsi="Baskerville Old Face" w:cs="Dubai Medium"/>
          <w:sz w:val="24"/>
          <w:szCs w:val="24"/>
        </w:rPr>
        <w:footnoteReference w:id="11"/>
      </w:r>
      <w:r w:rsidR="005B6EEF">
        <w:rPr>
          <w:rFonts w:ascii="Baskerville Old Face" w:hAnsi="Baskerville Old Face" w:cs="Dubai Medium"/>
          <w:sz w:val="24"/>
          <w:szCs w:val="24"/>
        </w:rPr>
        <w:t xml:space="preserve">. Enchainment therefore, does not require fragmentation to be present; fragmentation is simply </w:t>
      </w:r>
      <w:proofErr w:type="gramStart"/>
      <w:r w:rsidR="005B6EEF">
        <w:rPr>
          <w:rFonts w:ascii="Baskerville Old Face" w:hAnsi="Baskerville Old Face" w:cs="Dubai Medium"/>
          <w:sz w:val="24"/>
          <w:szCs w:val="24"/>
        </w:rPr>
        <w:t xml:space="preserve">the means </w:t>
      </w:r>
      <w:r w:rsidR="00FB7DBE">
        <w:rPr>
          <w:rFonts w:ascii="Baskerville Old Face" w:hAnsi="Baskerville Old Face" w:cs="Dubai Medium"/>
          <w:sz w:val="24"/>
          <w:szCs w:val="24"/>
        </w:rPr>
        <w:t>by</w:t>
      </w:r>
      <w:r w:rsidR="005B6EEF">
        <w:rPr>
          <w:rFonts w:ascii="Baskerville Old Face" w:hAnsi="Baskerville Old Face" w:cs="Dubai Medium"/>
          <w:sz w:val="24"/>
          <w:szCs w:val="24"/>
        </w:rPr>
        <w:t xml:space="preserve"> which</w:t>
      </w:r>
      <w:proofErr w:type="gramEnd"/>
      <w:r w:rsidR="005B6EEF">
        <w:rPr>
          <w:rFonts w:ascii="Baskerville Old Face" w:hAnsi="Baskerville Old Face" w:cs="Dubai Medium"/>
          <w:sz w:val="24"/>
          <w:szCs w:val="24"/>
        </w:rPr>
        <w:t xml:space="preserve"> an object becomes enchained, or exhibits enchainment. This concept can be observed in certain objects that have been split for the materialisation of a contractual arrangement, such as marriage, or alternatively for the identification of one that means to travel, or hold audience with another where a signifier of permission, and trust may apply.</w:t>
      </w:r>
    </w:p>
    <w:p w14:paraId="04248A3C" w14:textId="33614015" w:rsidR="00302837" w:rsidRPr="001819B3" w:rsidRDefault="001819B3" w:rsidP="00E30CF4">
      <w:pPr>
        <w:jc w:val="both"/>
        <w:rPr>
          <w:rFonts w:ascii="Baskerville Old Face" w:hAnsi="Baskerville Old Face" w:cs="Dubai Medium"/>
          <w:sz w:val="24"/>
          <w:szCs w:val="24"/>
        </w:rPr>
      </w:pPr>
      <w:r>
        <w:rPr>
          <w:rFonts w:ascii="Dubai Medium" w:hAnsi="Dubai Medium" w:cs="Dubai Medium"/>
          <w:sz w:val="28"/>
          <w:szCs w:val="28"/>
        </w:rPr>
        <w:t>Ritual Breakage</w:t>
      </w:r>
    </w:p>
    <w:p w14:paraId="46BFAD13" w14:textId="07159501" w:rsidR="009019C8" w:rsidRDefault="001B7D3A" w:rsidP="00E30CF4">
      <w:pPr>
        <w:jc w:val="both"/>
        <w:rPr>
          <w:rFonts w:ascii="Baskerville Old Face" w:hAnsi="Baskerville Old Face"/>
          <w:sz w:val="24"/>
          <w:szCs w:val="24"/>
        </w:rPr>
      </w:pPr>
      <w:r>
        <w:rPr>
          <w:rFonts w:ascii="Baskerville Old Face" w:hAnsi="Baskerville Old Face"/>
          <w:sz w:val="24"/>
          <w:szCs w:val="24"/>
        </w:rPr>
        <w:t xml:space="preserve">Ritual breakage is a subset of the fragmentation theory, focused specifically on the destruction of objects during ceremonial or religious activity. This practice can be observed globally, indicating its ability to evoke a multifaceted and universal symbolism. </w:t>
      </w:r>
      <w:r w:rsidR="001819B3">
        <w:rPr>
          <w:rFonts w:ascii="Baskerville Old Face" w:hAnsi="Baskerville Old Face"/>
          <w:sz w:val="24"/>
          <w:szCs w:val="24"/>
        </w:rPr>
        <w:t>This can be understood</w:t>
      </w:r>
      <w:r w:rsidR="00E30CF4">
        <w:rPr>
          <w:rFonts w:ascii="Baskerville Old Face" w:hAnsi="Baskerville Old Face"/>
          <w:sz w:val="24"/>
          <w:szCs w:val="24"/>
        </w:rPr>
        <w:t xml:space="preserve"> as a means of transforming objects into extraordinary symbols of a much greater value beyond the intrinsic, as well as of marking transitions and forging</w:t>
      </w:r>
      <w:r w:rsidR="001819B3">
        <w:rPr>
          <w:rFonts w:ascii="Baskerville Old Face" w:hAnsi="Baskerville Old Face"/>
          <w:sz w:val="24"/>
          <w:szCs w:val="24"/>
        </w:rPr>
        <w:t xml:space="preserve"> </w:t>
      </w:r>
      <w:r w:rsidR="00E30CF4">
        <w:rPr>
          <w:rFonts w:ascii="Baskerville Old Face" w:hAnsi="Baskerville Old Face"/>
          <w:sz w:val="24"/>
          <w:szCs w:val="24"/>
        </w:rPr>
        <w:t xml:space="preserve">social bonds. </w:t>
      </w:r>
      <w:r w:rsidR="001819B3">
        <w:rPr>
          <w:rFonts w:ascii="Baskerville Old Face" w:hAnsi="Baskerville Old Face"/>
          <w:sz w:val="24"/>
          <w:szCs w:val="24"/>
        </w:rPr>
        <w:t xml:space="preserve">By extension, </w:t>
      </w:r>
      <w:r w:rsidR="00E30CF4">
        <w:rPr>
          <w:rFonts w:ascii="Baskerville Old Face" w:hAnsi="Baskerville Old Face"/>
          <w:sz w:val="24"/>
          <w:szCs w:val="24"/>
        </w:rPr>
        <w:t>breakage as an act can signify a social movement or transition</w:t>
      </w:r>
      <w:r w:rsidR="007B5659">
        <w:rPr>
          <w:rFonts w:ascii="Baskerville Old Face" w:hAnsi="Baskerville Old Face"/>
          <w:sz w:val="24"/>
          <w:szCs w:val="24"/>
        </w:rPr>
        <w:t xml:space="preserve"> through life, death, and status. A meaningful context in which a ritual breakage may happen, is for a rite of passage, as can be justified by Chapman’s analysis of this type of fragmentation as the materialisation of social transitions. Bruck supports this </w:t>
      </w:r>
      <w:r w:rsidR="009019C8">
        <w:rPr>
          <w:rFonts w:ascii="Baskerville Old Face" w:hAnsi="Baskerville Old Face"/>
          <w:sz w:val="24"/>
          <w:szCs w:val="24"/>
        </w:rPr>
        <w:t>interpretation, arguing that social growth is, and was, understood as a series of life-cycles, of which are ‘mediated by rites of passage, such as initiation or marriage</w:t>
      </w:r>
      <w:proofErr w:type="gramStart"/>
      <w:r w:rsidR="009019C8">
        <w:rPr>
          <w:rFonts w:ascii="Baskerville Old Face" w:hAnsi="Baskerville Old Face"/>
          <w:sz w:val="24"/>
          <w:szCs w:val="24"/>
        </w:rPr>
        <w:t>’.</w:t>
      </w:r>
      <w:proofErr w:type="gramEnd"/>
      <w:r w:rsidR="009019C8">
        <w:rPr>
          <w:rFonts w:ascii="Baskerville Old Face" w:hAnsi="Baskerville Old Face"/>
          <w:sz w:val="24"/>
          <w:szCs w:val="24"/>
        </w:rPr>
        <w:t xml:space="preserve"> Ritually broken objects therefore, ‘[facilitate] the destruction of the old social persona and the birth of a new one</w:t>
      </w:r>
      <w:r w:rsidR="001819B3">
        <w:rPr>
          <w:rFonts w:ascii="Baskerville Old Face" w:hAnsi="Baskerville Old Face"/>
          <w:sz w:val="24"/>
          <w:szCs w:val="24"/>
        </w:rPr>
        <w:t>.</w:t>
      </w:r>
      <w:r w:rsidR="001819B3">
        <w:rPr>
          <w:rStyle w:val="FootnoteReference"/>
          <w:rFonts w:ascii="Baskerville Old Face" w:hAnsi="Baskerville Old Face"/>
          <w:sz w:val="24"/>
          <w:szCs w:val="24"/>
        </w:rPr>
        <w:footnoteReference w:id="12"/>
      </w:r>
      <w:r w:rsidR="001819B3">
        <w:rPr>
          <w:rFonts w:ascii="Baskerville Old Face" w:hAnsi="Baskerville Old Face"/>
          <w:sz w:val="24"/>
          <w:szCs w:val="24"/>
        </w:rPr>
        <w:t>’</w:t>
      </w:r>
    </w:p>
    <w:p w14:paraId="78FE0BFB" w14:textId="0C0EA566" w:rsidR="009019C8" w:rsidRPr="009019C8" w:rsidRDefault="000E342C" w:rsidP="00E30CF4">
      <w:pPr>
        <w:jc w:val="both"/>
        <w:rPr>
          <w:rFonts w:ascii="Dubai Medium" w:hAnsi="Dubai Medium" w:cs="Dubai Medium"/>
          <w:sz w:val="28"/>
          <w:szCs w:val="28"/>
        </w:rPr>
      </w:pPr>
      <w:r>
        <w:rPr>
          <w:rFonts w:ascii="Dubai Medium" w:hAnsi="Dubai Medium" w:cs="Dubai Medium"/>
          <w:sz w:val="28"/>
          <w:szCs w:val="28"/>
        </w:rPr>
        <w:t>Broken Ground Stone Tool,</w:t>
      </w:r>
      <w:r w:rsidR="009019C8" w:rsidRPr="009019C8">
        <w:rPr>
          <w:rFonts w:ascii="Dubai Medium" w:hAnsi="Dubai Medium" w:cs="Dubai Medium" w:hint="cs"/>
          <w:sz w:val="28"/>
          <w:szCs w:val="28"/>
        </w:rPr>
        <w:t xml:space="preserve"> </w:t>
      </w:r>
      <w:proofErr w:type="spellStart"/>
      <w:r w:rsidR="009019C8" w:rsidRPr="009019C8">
        <w:rPr>
          <w:rFonts w:ascii="Dubai Medium" w:hAnsi="Dubai Medium" w:cs="Dubai Medium" w:hint="cs"/>
          <w:sz w:val="28"/>
          <w:szCs w:val="28"/>
        </w:rPr>
        <w:t>Hilazon</w:t>
      </w:r>
      <w:proofErr w:type="spellEnd"/>
      <w:r w:rsidR="009019C8" w:rsidRPr="009019C8">
        <w:rPr>
          <w:rFonts w:ascii="Dubai Medium" w:hAnsi="Dubai Medium" w:cs="Dubai Medium" w:hint="cs"/>
          <w:sz w:val="28"/>
          <w:szCs w:val="28"/>
        </w:rPr>
        <w:t xml:space="preserve"> </w:t>
      </w:r>
      <w:proofErr w:type="spellStart"/>
      <w:r w:rsidR="009019C8" w:rsidRPr="009019C8">
        <w:rPr>
          <w:rFonts w:ascii="Dubai Medium" w:hAnsi="Dubai Medium" w:cs="Dubai Medium" w:hint="cs"/>
          <w:sz w:val="28"/>
          <w:szCs w:val="28"/>
        </w:rPr>
        <w:t>Tachtit</w:t>
      </w:r>
      <w:proofErr w:type="spellEnd"/>
    </w:p>
    <w:p w14:paraId="57703341" w14:textId="64C316F6" w:rsidR="009019C8" w:rsidRDefault="002700EE" w:rsidP="00E30CF4">
      <w:pPr>
        <w:jc w:val="both"/>
        <w:rPr>
          <w:rFonts w:ascii="Baskerville Old Face" w:hAnsi="Baskerville Old Face"/>
          <w:sz w:val="24"/>
          <w:szCs w:val="24"/>
        </w:rPr>
      </w:pPr>
      <w:r>
        <w:rPr>
          <w:rFonts w:ascii="Baskerville Old Face" w:hAnsi="Baskerville Old Face"/>
          <w:sz w:val="24"/>
          <w:szCs w:val="24"/>
        </w:rPr>
        <w:t xml:space="preserve">Within a sealed grave at </w:t>
      </w:r>
      <w:proofErr w:type="spellStart"/>
      <w:r>
        <w:rPr>
          <w:rFonts w:ascii="Baskerville Old Face" w:hAnsi="Baskerville Old Face"/>
          <w:sz w:val="24"/>
          <w:szCs w:val="24"/>
        </w:rPr>
        <w:t>Hilazon</w:t>
      </w:r>
      <w:proofErr w:type="spellEnd"/>
      <w:r>
        <w:rPr>
          <w:rFonts w:ascii="Baskerville Old Face" w:hAnsi="Baskerville Old Face"/>
          <w:sz w:val="24"/>
          <w:szCs w:val="24"/>
        </w:rPr>
        <w:t xml:space="preserve"> </w:t>
      </w:r>
      <w:proofErr w:type="spellStart"/>
      <w:r>
        <w:rPr>
          <w:rFonts w:ascii="Baskerville Old Face" w:hAnsi="Baskerville Old Face"/>
          <w:sz w:val="24"/>
          <w:szCs w:val="24"/>
        </w:rPr>
        <w:t>Tachtit</w:t>
      </w:r>
      <w:proofErr w:type="spellEnd"/>
      <w:r>
        <w:rPr>
          <w:rFonts w:ascii="Baskerville Old Face" w:hAnsi="Baskerville Old Face"/>
          <w:sz w:val="24"/>
          <w:szCs w:val="24"/>
        </w:rPr>
        <w:t xml:space="preserve"> cav</w:t>
      </w:r>
      <w:r w:rsidR="00B45EA3">
        <w:rPr>
          <w:rFonts w:ascii="Baskerville Old Face" w:hAnsi="Baskerville Old Face"/>
          <w:sz w:val="24"/>
          <w:szCs w:val="24"/>
        </w:rPr>
        <w:t>e, found in the Southern Levant, early evidence of what is referred to as ‘symbolic destructive behaviour’</w:t>
      </w:r>
      <w:r w:rsidR="00B45EA3">
        <w:rPr>
          <w:rStyle w:val="FootnoteReference"/>
          <w:rFonts w:ascii="Baskerville Old Face" w:hAnsi="Baskerville Old Face"/>
          <w:sz w:val="24"/>
          <w:szCs w:val="24"/>
        </w:rPr>
        <w:footnoteReference w:id="13"/>
      </w:r>
      <w:r w:rsidR="00B45EA3">
        <w:rPr>
          <w:rFonts w:ascii="Baskerville Old Face" w:hAnsi="Baskerville Old Face"/>
          <w:sz w:val="24"/>
          <w:szCs w:val="24"/>
        </w:rPr>
        <w:t xml:space="preserve"> was discovered in the form of a Palaeolithic basalt tool.</w:t>
      </w:r>
      <w:r w:rsidR="004A7161">
        <w:rPr>
          <w:rFonts w:ascii="Baskerville Old Face" w:hAnsi="Baskerville Old Face"/>
          <w:sz w:val="24"/>
          <w:szCs w:val="24"/>
        </w:rPr>
        <w:t xml:space="preserve"> Belonging to a greater assemblage of grave goods, the tool was deposited in a woman’s burial pit – someone who was suggested to have shamanistic powers.</w:t>
      </w:r>
      <w:r w:rsidR="004A7161">
        <w:rPr>
          <w:rStyle w:val="FootnoteReference"/>
          <w:rFonts w:ascii="Baskerville Old Face" w:hAnsi="Baskerville Old Face"/>
          <w:sz w:val="24"/>
          <w:szCs w:val="24"/>
        </w:rPr>
        <w:footnoteReference w:id="14"/>
      </w:r>
      <w:r w:rsidR="00A959D9">
        <w:rPr>
          <w:rFonts w:ascii="Baskerville Old Face" w:hAnsi="Baskerville Old Face"/>
          <w:sz w:val="24"/>
          <w:szCs w:val="24"/>
        </w:rPr>
        <w:t xml:space="preserve"> </w:t>
      </w:r>
      <w:r w:rsidR="00CF0F0B">
        <w:rPr>
          <w:rFonts w:ascii="Baskerville Old Face" w:hAnsi="Baskerville Old Face"/>
          <w:sz w:val="24"/>
          <w:szCs w:val="24"/>
        </w:rPr>
        <w:t xml:space="preserve">The deposit was identified to be from the Late Natufian period, and habited a total of 28 individual human remains. In analysing the location of the cave deposits – its position on a ‘steep, high </w:t>
      </w:r>
      <w:r w:rsidR="000E342C">
        <w:rPr>
          <w:rFonts w:ascii="Baskerville Old Face" w:hAnsi="Baskerville Old Face"/>
          <w:sz w:val="24"/>
          <w:szCs w:val="24"/>
        </w:rPr>
        <w:t>escarpment</w:t>
      </w:r>
      <w:r w:rsidR="00CF0F0B">
        <w:rPr>
          <w:rFonts w:ascii="Baskerville Old Face" w:hAnsi="Baskerville Old Face"/>
          <w:sz w:val="24"/>
          <w:szCs w:val="24"/>
        </w:rPr>
        <w:t>’</w:t>
      </w:r>
      <w:r w:rsidR="000E342C">
        <w:rPr>
          <w:rStyle w:val="FootnoteReference"/>
          <w:rFonts w:ascii="Baskerville Old Face" w:hAnsi="Baskerville Old Face"/>
          <w:sz w:val="24"/>
          <w:szCs w:val="24"/>
        </w:rPr>
        <w:footnoteReference w:id="15"/>
      </w:r>
      <w:r w:rsidR="00CF0F0B">
        <w:rPr>
          <w:rFonts w:ascii="Baskerville Old Face" w:hAnsi="Baskerville Old Face"/>
          <w:sz w:val="24"/>
          <w:szCs w:val="24"/>
        </w:rPr>
        <w:t xml:space="preserve">, and its relatively small size – it can be inferred that the cave was employed in a ritualistic manner to habit and protect the dead upon burial. The tool itself was unearthed in the grave of a roughly middle-aged </w:t>
      </w:r>
      <w:r w:rsidR="000E342C">
        <w:rPr>
          <w:rFonts w:ascii="Baskerville Old Face" w:hAnsi="Baskerville Old Face"/>
          <w:sz w:val="24"/>
          <w:szCs w:val="24"/>
        </w:rPr>
        <w:t xml:space="preserve">to elderly </w:t>
      </w:r>
      <w:r w:rsidR="00CF0F0B">
        <w:rPr>
          <w:rFonts w:ascii="Baskerville Old Face" w:hAnsi="Baskerville Old Face"/>
          <w:sz w:val="24"/>
          <w:szCs w:val="24"/>
        </w:rPr>
        <w:t>female</w:t>
      </w:r>
      <w:r w:rsidR="000E342C">
        <w:rPr>
          <w:rFonts w:ascii="Baskerville Old Face" w:hAnsi="Baskerville Old Face"/>
          <w:sz w:val="24"/>
          <w:szCs w:val="24"/>
        </w:rPr>
        <w:t xml:space="preserve">, and was among a considerable number of grave </w:t>
      </w:r>
      <w:r w:rsidR="000E342C">
        <w:rPr>
          <w:rFonts w:ascii="Baskerville Old Face" w:hAnsi="Baskerville Old Face"/>
          <w:sz w:val="24"/>
          <w:szCs w:val="24"/>
        </w:rPr>
        <w:lastRenderedPageBreak/>
        <w:t>goods; some that could be remarked upon as unusual, lending the burial to the suggestion that the deceased was of high status.</w:t>
      </w:r>
    </w:p>
    <w:p w14:paraId="106DBA42" w14:textId="0A319C7E" w:rsidR="000E342C" w:rsidRDefault="000E342C" w:rsidP="00E30CF4">
      <w:pPr>
        <w:jc w:val="both"/>
        <w:rPr>
          <w:rFonts w:ascii="Baskerville Old Face" w:hAnsi="Baskerville Old Face"/>
          <w:sz w:val="24"/>
          <w:szCs w:val="24"/>
        </w:rPr>
      </w:pPr>
      <w:r>
        <w:rPr>
          <w:rFonts w:ascii="Baskerville Old Face" w:hAnsi="Baskerville Old Face"/>
          <w:sz w:val="24"/>
          <w:szCs w:val="24"/>
        </w:rPr>
        <w:t>The broken ground stone tool was made from a vesicular basalt of fine-grain, and spanned 11.1cm in diameter and 2.8</w:t>
      </w:r>
      <w:r w:rsidR="00BE40D1">
        <w:rPr>
          <w:rFonts w:ascii="Baskerville Old Face" w:hAnsi="Baskerville Old Face"/>
          <w:sz w:val="24"/>
          <w:szCs w:val="24"/>
        </w:rPr>
        <w:t>cm</w:t>
      </w:r>
      <w:r>
        <w:rPr>
          <w:rFonts w:ascii="Baskerville Old Face" w:hAnsi="Baskerville Old Face"/>
          <w:sz w:val="24"/>
          <w:szCs w:val="24"/>
        </w:rPr>
        <w:t xml:space="preserve"> in thickness at its maximum dimensions. It can be described as semi-rounded in shape, due to flake removals at its edges. Aesthetically, the tool presents a reddish colouring on its surface, which pronounces itself more </w:t>
      </w:r>
      <w:r w:rsidR="00B551F4">
        <w:rPr>
          <w:rFonts w:ascii="Baskerville Old Face" w:hAnsi="Baskerville Old Face"/>
          <w:sz w:val="24"/>
          <w:szCs w:val="24"/>
        </w:rPr>
        <w:t>visibly on one half, however this colouring does not appear on its base, or its flaked edges. While further technological analysis can be done in identifying points of breakage, it is first important to visually assess an object and its properties to glean a potential purpose, and mentally collect its properties for its contextualisation against the wider culture, and period to which it belongs.</w:t>
      </w:r>
      <w:r w:rsidR="00145C29">
        <w:rPr>
          <w:rFonts w:ascii="Baskerville Old Face" w:hAnsi="Baskerville Old Face"/>
          <w:sz w:val="24"/>
          <w:szCs w:val="24"/>
        </w:rPr>
        <w:t xml:space="preserve"> A use-wear and residue analysis </w:t>
      </w:r>
      <w:proofErr w:type="gramStart"/>
      <w:r w:rsidR="00145C29">
        <w:rPr>
          <w:rFonts w:ascii="Baskerville Old Face" w:hAnsi="Baskerville Old Face"/>
          <w:sz w:val="24"/>
          <w:szCs w:val="24"/>
        </w:rPr>
        <w:t>was</w:t>
      </w:r>
      <w:proofErr w:type="gramEnd"/>
      <w:r w:rsidR="00145C29">
        <w:rPr>
          <w:rFonts w:ascii="Baskerville Old Face" w:hAnsi="Baskerville Old Face"/>
          <w:sz w:val="24"/>
          <w:szCs w:val="24"/>
        </w:rPr>
        <w:t xml:space="preserve"> carried out with the intent to resolutely identify the typology of the ground stone tool, search for wear patterns, and assess whether its fragmentation denotes recycling.</w:t>
      </w:r>
    </w:p>
    <w:p w14:paraId="1F39A134" w14:textId="6D97D94C" w:rsidR="006746A8" w:rsidRDefault="006746A8" w:rsidP="00E30CF4">
      <w:pPr>
        <w:jc w:val="both"/>
        <w:rPr>
          <w:rFonts w:ascii="Baskerville Old Face" w:hAnsi="Baskerville Old Face"/>
          <w:sz w:val="24"/>
          <w:szCs w:val="24"/>
        </w:rPr>
      </w:pPr>
      <w:r>
        <w:rPr>
          <w:rFonts w:ascii="Baskerville Old Face" w:hAnsi="Baskerville Old Face"/>
          <w:sz w:val="24"/>
          <w:szCs w:val="24"/>
        </w:rPr>
        <w:t>It was concluded through these scientific assessments that the utilisation of the tool involved mixing or pounding, and was therefore a small bowl of the vessel-mortar category used for the mixing and pounding of wood ash or lime plaster with liquids. It is important also, to note that there was no observation during these assessments, of use or manipulation after the bowl’s breakage</w:t>
      </w:r>
      <w:r w:rsidR="004A65E3">
        <w:rPr>
          <w:rFonts w:ascii="Baskerville Old Face" w:hAnsi="Baskerville Old Face"/>
          <w:sz w:val="24"/>
          <w:szCs w:val="24"/>
        </w:rPr>
        <w:t xml:space="preserve"> or flaking</w:t>
      </w:r>
      <w:r>
        <w:rPr>
          <w:rFonts w:ascii="Baskerville Old Face" w:hAnsi="Baskerville Old Face"/>
          <w:sz w:val="24"/>
          <w:szCs w:val="24"/>
        </w:rPr>
        <w:t>.</w:t>
      </w:r>
      <w:r w:rsidR="004A65E3">
        <w:rPr>
          <w:rFonts w:ascii="Baskerville Old Face" w:hAnsi="Baskerville Old Face"/>
          <w:sz w:val="24"/>
          <w:szCs w:val="24"/>
        </w:rPr>
        <w:t xml:space="preserve"> The bowl was knapped into the roughly rounded shape it appears in today, after its use-life, as at least five scars are noticeable to its surface.</w:t>
      </w:r>
      <w:r>
        <w:rPr>
          <w:rFonts w:ascii="Baskerville Old Face" w:hAnsi="Baskerville Old Face"/>
          <w:sz w:val="24"/>
          <w:szCs w:val="24"/>
        </w:rPr>
        <w:t xml:space="preserve"> The mixture of these substances is typically associated with a multitude of preparatory actions, one of which being symbolic purification.</w:t>
      </w:r>
      <w:r w:rsidR="004A65E3">
        <w:rPr>
          <w:rFonts w:ascii="Baskerville Old Face" w:hAnsi="Baskerville Old Face"/>
          <w:sz w:val="24"/>
          <w:szCs w:val="24"/>
        </w:rPr>
        <w:t xml:space="preserve"> </w:t>
      </w:r>
    </w:p>
    <w:p w14:paraId="1FC699B5" w14:textId="096F326A" w:rsidR="004A65E3" w:rsidRDefault="004A65E3" w:rsidP="00E30CF4">
      <w:pPr>
        <w:jc w:val="both"/>
        <w:rPr>
          <w:rFonts w:ascii="Baskerville Old Face" w:hAnsi="Baskerville Old Face"/>
          <w:sz w:val="24"/>
          <w:szCs w:val="24"/>
        </w:rPr>
      </w:pPr>
      <w:r>
        <w:rPr>
          <w:rFonts w:ascii="Baskerville Old Face" w:hAnsi="Baskerville Old Face"/>
          <w:sz w:val="24"/>
          <w:szCs w:val="24"/>
        </w:rPr>
        <w:t xml:space="preserve">The sequence of life events as discussed above, is indicative of a ritual type of breakage. Therefore, it can be said that this bowl constitutes one of the earliest examples of deliberate fragmentation, as this phenomenon would become common amongst human ritual spanning many cultures. Due to the </w:t>
      </w:r>
      <w:r w:rsidR="00A55748">
        <w:rPr>
          <w:rFonts w:ascii="Baskerville Old Face" w:hAnsi="Baskerville Old Face"/>
          <w:sz w:val="24"/>
          <w:szCs w:val="24"/>
        </w:rPr>
        <w:t xml:space="preserve">placing of the repurposing of the bowl as a grave good, the motivation for its breaking is seemingly connected to burial practice, and more specifically to the assumed ‘shaman’ it was interred with. The bowl can be </w:t>
      </w:r>
      <w:r w:rsidR="00BF685B">
        <w:rPr>
          <w:rFonts w:ascii="Baskerville Old Face" w:hAnsi="Baskerville Old Face"/>
          <w:sz w:val="24"/>
          <w:szCs w:val="24"/>
        </w:rPr>
        <w:t xml:space="preserve">directly linked to shamanistic symbolism, </w:t>
      </w:r>
      <w:r w:rsidR="00335C28">
        <w:rPr>
          <w:rFonts w:ascii="Baskerville Old Face" w:hAnsi="Baskerville Old Face"/>
          <w:sz w:val="24"/>
          <w:szCs w:val="24"/>
        </w:rPr>
        <w:t>in that the preparation of mixtures is commonly related to shamanistic ritual activity, and thereby the bowl is a personal, and thoughtful component of the burial itself. Ethnographic and historical studies, while scarce, point to objects within a shaman’s toolkit being ritualised – valuable tools may be destroyed or passed on to a succeeding shaman upon their death.</w:t>
      </w:r>
      <w:r w:rsidR="00335C28">
        <w:rPr>
          <w:rStyle w:val="FootnoteReference"/>
          <w:rFonts w:ascii="Baskerville Old Face" w:hAnsi="Baskerville Old Face"/>
          <w:sz w:val="24"/>
          <w:szCs w:val="24"/>
        </w:rPr>
        <w:footnoteReference w:id="16"/>
      </w:r>
      <w:r w:rsidR="0036729E">
        <w:rPr>
          <w:rFonts w:ascii="Baskerville Old Face" w:hAnsi="Baskerville Old Face"/>
          <w:sz w:val="24"/>
          <w:szCs w:val="24"/>
        </w:rPr>
        <w:t xml:space="preserve"> It has been suggested that this instance of fragmentation may signify the materialising of the end of one’s role as shaman, or perhaps the production of a ‘symbolic’ tool to accompany, and be utilised by the deceased in the afterlife.</w:t>
      </w:r>
      <w:r w:rsidR="0036729E">
        <w:rPr>
          <w:rStyle w:val="FootnoteReference"/>
          <w:rFonts w:ascii="Baskerville Old Face" w:hAnsi="Baskerville Old Face"/>
          <w:sz w:val="24"/>
          <w:szCs w:val="24"/>
        </w:rPr>
        <w:footnoteReference w:id="17"/>
      </w:r>
      <w:r w:rsidR="0036729E">
        <w:rPr>
          <w:rFonts w:ascii="Baskerville Old Face" w:hAnsi="Baskerville Old Face"/>
          <w:sz w:val="24"/>
          <w:szCs w:val="24"/>
        </w:rPr>
        <w:t xml:space="preserve"> This example stands as yet another of which’s fragmentation cannot be definitively explained, however, as has been previously outlined, the cultural context strongly indicates this is a ritual breakage</w:t>
      </w:r>
      <w:r w:rsidR="000017E6">
        <w:rPr>
          <w:rFonts w:ascii="Baskerville Old Face" w:hAnsi="Baskerville Old Face"/>
          <w:sz w:val="24"/>
          <w:szCs w:val="24"/>
        </w:rPr>
        <w:t>, and is reflective of Natufian cultural tradition surrounding burial practice.</w:t>
      </w:r>
    </w:p>
    <w:p w14:paraId="1F8E2F79" w14:textId="77777777" w:rsidR="00BC739A" w:rsidRDefault="00BC739A" w:rsidP="00E30CF4">
      <w:pPr>
        <w:jc w:val="both"/>
        <w:rPr>
          <w:rFonts w:ascii="Baskerville Old Face" w:hAnsi="Baskerville Old Face"/>
          <w:sz w:val="24"/>
          <w:szCs w:val="24"/>
        </w:rPr>
      </w:pPr>
    </w:p>
    <w:p w14:paraId="7AF9501E" w14:textId="77777777" w:rsidR="00BC739A" w:rsidRDefault="00BC739A" w:rsidP="00E30CF4">
      <w:pPr>
        <w:jc w:val="both"/>
        <w:rPr>
          <w:rFonts w:ascii="Dubai Medium" w:hAnsi="Dubai Medium" w:cs="Dubai Medium"/>
          <w:sz w:val="28"/>
          <w:szCs w:val="28"/>
        </w:rPr>
      </w:pPr>
    </w:p>
    <w:p w14:paraId="5913DE32" w14:textId="421D5958" w:rsidR="00BC739A" w:rsidRPr="00BC739A" w:rsidRDefault="00BC739A" w:rsidP="00BC739A">
      <w:pPr>
        <w:jc w:val="center"/>
        <w:rPr>
          <w:rFonts w:ascii="Dubai Medium" w:hAnsi="Dubai Medium" w:cs="Dubai Medium"/>
          <w:sz w:val="32"/>
          <w:szCs w:val="32"/>
        </w:rPr>
      </w:pPr>
      <w:r w:rsidRPr="00BC739A">
        <w:rPr>
          <w:rFonts w:ascii="Dubai Medium" w:hAnsi="Dubai Medium" w:cs="Dubai Medium" w:hint="cs"/>
          <w:sz w:val="32"/>
          <w:szCs w:val="32"/>
        </w:rPr>
        <w:lastRenderedPageBreak/>
        <w:t>Bibliography</w:t>
      </w:r>
    </w:p>
    <w:p w14:paraId="5826BDFB" w14:textId="2B67C6D7" w:rsidR="00BC739A" w:rsidRDefault="00BC739A" w:rsidP="00BC739A">
      <w:pPr>
        <w:pStyle w:val="ListParagraph"/>
        <w:numPr>
          <w:ilvl w:val="0"/>
          <w:numId w:val="4"/>
        </w:numPr>
        <w:jc w:val="both"/>
        <w:rPr>
          <w:rFonts w:ascii="Baskerville Old Face" w:hAnsi="Baskerville Old Face" w:cs="Dubai Medium"/>
          <w:sz w:val="24"/>
          <w:szCs w:val="24"/>
        </w:rPr>
      </w:pPr>
      <w:r w:rsidRPr="00BC739A">
        <w:rPr>
          <w:rFonts w:ascii="Baskerville Old Face" w:hAnsi="Baskerville Old Face" w:cs="Dubai Medium"/>
          <w:sz w:val="24"/>
          <w:szCs w:val="24"/>
        </w:rPr>
        <w:t xml:space="preserve">Sörman, Anna, Astrid A </w:t>
      </w:r>
      <w:proofErr w:type="spellStart"/>
      <w:r w:rsidRPr="00BC739A">
        <w:rPr>
          <w:rFonts w:ascii="Baskerville Old Face" w:hAnsi="Baskerville Old Face" w:cs="Dubai Medium"/>
          <w:sz w:val="24"/>
          <w:szCs w:val="24"/>
        </w:rPr>
        <w:t>Noterman</w:t>
      </w:r>
      <w:proofErr w:type="spellEnd"/>
      <w:r w:rsidRPr="00BC739A">
        <w:rPr>
          <w:rFonts w:ascii="Baskerville Old Face" w:hAnsi="Baskerville Old Face" w:cs="Dubai Medium"/>
          <w:sz w:val="24"/>
          <w:szCs w:val="24"/>
        </w:rPr>
        <w:t xml:space="preserve">, and Markus </w:t>
      </w:r>
      <w:proofErr w:type="spellStart"/>
      <w:r w:rsidRPr="00BC739A">
        <w:rPr>
          <w:rFonts w:ascii="Baskerville Old Face" w:hAnsi="Baskerville Old Face" w:cs="Dubai Medium"/>
          <w:sz w:val="24"/>
          <w:szCs w:val="24"/>
        </w:rPr>
        <w:t>Fjellström</w:t>
      </w:r>
      <w:proofErr w:type="spellEnd"/>
      <w:r w:rsidRPr="00BC739A">
        <w:rPr>
          <w:rFonts w:ascii="Baskerville Old Face" w:hAnsi="Baskerville Old Face" w:cs="Dubai Medium"/>
          <w:sz w:val="24"/>
          <w:szCs w:val="24"/>
        </w:rPr>
        <w:t>. 2023. Broken Bodies, Places and Objects (Taylor &amp; Francis)</w:t>
      </w:r>
    </w:p>
    <w:p w14:paraId="11E4F075" w14:textId="3C7DECB8" w:rsidR="00BC739A" w:rsidRDefault="00BC739A" w:rsidP="00BC739A">
      <w:pPr>
        <w:pStyle w:val="ListParagraph"/>
        <w:numPr>
          <w:ilvl w:val="0"/>
          <w:numId w:val="4"/>
        </w:numPr>
        <w:jc w:val="both"/>
        <w:rPr>
          <w:rFonts w:ascii="Baskerville Old Face" w:hAnsi="Baskerville Old Face" w:cs="Dubai Medium"/>
          <w:sz w:val="24"/>
          <w:szCs w:val="24"/>
        </w:rPr>
      </w:pPr>
      <w:r w:rsidRPr="00BC739A">
        <w:rPr>
          <w:rFonts w:ascii="Baskerville Old Face" w:hAnsi="Baskerville Old Face" w:cs="Dubai Medium"/>
          <w:sz w:val="24"/>
          <w:szCs w:val="24"/>
        </w:rPr>
        <w:t>Chapman, Dr John. “</w:t>
      </w:r>
      <w:proofErr w:type="spellStart"/>
      <w:r w:rsidRPr="00BC739A">
        <w:rPr>
          <w:rFonts w:ascii="Baskerville Old Face" w:hAnsi="Baskerville Old Face" w:cs="Dubai Medium"/>
          <w:sz w:val="24"/>
          <w:szCs w:val="24"/>
        </w:rPr>
        <w:t>Dr.</w:t>
      </w:r>
      <w:proofErr w:type="spellEnd"/>
      <w:r w:rsidRPr="00BC739A">
        <w:rPr>
          <w:rFonts w:ascii="Baskerville Old Face" w:hAnsi="Baskerville Old Face" w:cs="Dubai Medium"/>
          <w:sz w:val="24"/>
          <w:szCs w:val="24"/>
        </w:rPr>
        <w:t xml:space="preserve"> John Chapman – Research, C1: Fragmentation Studies.” </w:t>
      </w:r>
      <w:proofErr w:type="spellStart"/>
      <w:r w:rsidRPr="00BC739A">
        <w:rPr>
          <w:rFonts w:ascii="Baskerville Old Face" w:hAnsi="Baskerville Old Face" w:cs="Dubai Medium"/>
          <w:sz w:val="24"/>
          <w:szCs w:val="24"/>
        </w:rPr>
        <w:t>Dr.</w:t>
      </w:r>
      <w:proofErr w:type="spellEnd"/>
      <w:r w:rsidRPr="00BC739A">
        <w:rPr>
          <w:rFonts w:ascii="Baskerville Old Face" w:hAnsi="Baskerville Old Face" w:cs="Dubai Medium"/>
          <w:sz w:val="24"/>
          <w:szCs w:val="24"/>
        </w:rPr>
        <w:t xml:space="preserve"> John Chapman, 4 May 2021</w:t>
      </w:r>
    </w:p>
    <w:p w14:paraId="03DE88E7" w14:textId="0792710F" w:rsidR="00BC739A" w:rsidRDefault="00BC739A" w:rsidP="00BC739A">
      <w:pPr>
        <w:pStyle w:val="ListParagraph"/>
        <w:numPr>
          <w:ilvl w:val="0"/>
          <w:numId w:val="4"/>
        </w:numPr>
        <w:jc w:val="both"/>
        <w:rPr>
          <w:rFonts w:ascii="Baskerville Old Face" w:hAnsi="Baskerville Old Face" w:cs="Dubai Medium"/>
          <w:sz w:val="24"/>
          <w:szCs w:val="24"/>
        </w:rPr>
      </w:pPr>
      <w:r w:rsidRPr="00BC739A">
        <w:rPr>
          <w:rFonts w:ascii="Baskerville Old Face" w:hAnsi="Baskerville Old Face" w:cs="Dubai Medium"/>
          <w:sz w:val="24"/>
          <w:szCs w:val="24"/>
        </w:rPr>
        <w:t>Brittain, Marcus, and Oliver Harris. 2010. ‘Enchaining Arguments and Fragmenting Assumptions: Reconsidering the Fragmentation Debate in Archaeology’, World Archaeology, 42.4</w:t>
      </w:r>
    </w:p>
    <w:p w14:paraId="08D1D7AA" w14:textId="2425C683" w:rsidR="00BC739A" w:rsidRDefault="00BC739A" w:rsidP="00BC739A">
      <w:pPr>
        <w:pStyle w:val="ListParagraph"/>
        <w:numPr>
          <w:ilvl w:val="0"/>
          <w:numId w:val="4"/>
        </w:numPr>
        <w:jc w:val="both"/>
        <w:rPr>
          <w:rFonts w:ascii="Baskerville Old Face" w:hAnsi="Baskerville Old Face" w:cs="Dubai Medium"/>
          <w:sz w:val="24"/>
          <w:szCs w:val="24"/>
        </w:rPr>
      </w:pPr>
      <w:r w:rsidRPr="00BC739A">
        <w:rPr>
          <w:rFonts w:ascii="Baskerville Old Face" w:hAnsi="Baskerville Old Face" w:cs="Dubai Medium"/>
          <w:sz w:val="24"/>
          <w:szCs w:val="24"/>
        </w:rPr>
        <w:t>Chapman, John. Fragmentation in Archaeology. Routledge, 15 Apr. 2000</w:t>
      </w:r>
    </w:p>
    <w:p w14:paraId="413175A0" w14:textId="3057F336" w:rsidR="00BC739A" w:rsidRDefault="00BC739A" w:rsidP="00BC739A">
      <w:pPr>
        <w:pStyle w:val="ListParagraph"/>
        <w:numPr>
          <w:ilvl w:val="0"/>
          <w:numId w:val="4"/>
        </w:numPr>
        <w:jc w:val="both"/>
        <w:rPr>
          <w:rFonts w:ascii="Baskerville Old Face" w:hAnsi="Baskerville Old Face" w:cs="Dubai Medium"/>
          <w:sz w:val="24"/>
          <w:szCs w:val="24"/>
        </w:rPr>
      </w:pPr>
      <w:r w:rsidRPr="00BC739A">
        <w:rPr>
          <w:rFonts w:ascii="Baskerville Old Face" w:hAnsi="Baskerville Old Face" w:cs="Dubai Medium"/>
          <w:sz w:val="24"/>
          <w:szCs w:val="24"/>
        </w:rPr>
        <w:t>Guernsey, Julia. 2020. Human Figuration and Fragmentation in Preclassic Mesoamerica (Cambridge University Press)</w:t>
      </w:r>
    </w:p>
    <w:p w14:paraId="2E5232E4" w14:textId="31BDC2A4" w:rsidR="00BC739A" w:rsidRDefault="00BC739A" w:rsidP="00BC739A">
      <w:pPr>
        <w:pStyle w:val="ListParagraph"/>
        <w:numPr>
          <w:ilvl w:val="0"/>
          <w:numId w:val="4"/>
        </w:numPr>
        <w:jc w:val="both"/>
        <w:rPr>
          <w:rFonts w:ascii="Baskerville Old Face" w:hAnsi="Baskerville Old Face" w:cs="Dubai Medium"/>
          <w:sz w:val="24"/>
          <w:szCs w:val="24"/>
        </w:rPr>
      </w:pPr>
      <w:r w:rsidRPr="00BC739A">
        <w:rPr>
          <w:rFonts w:ascii="Baskerville Old Face" w:hAnsi="Baskerville Old Face" w:cs="Dubai Medium"/>
          <w:sz w:val="24"/>
          <w:szCs w:val="24"/>
        </w:rPr>
        <w:t>Bruck, Joanna. 2024. ‘Marking Boundaries, Making Connections: Fragmenting the Body in Bronze Age Britain’, in Broken Bodies, Places and Objects (Routledge)</w:t>
      </w:r>
    </w:p>
    <w:p w14:paraId="69C4896C" w14:textId="0B2F0A9A" w:rsidR="00BC739A" w:rsidRDefault="00A85C1F" w:rsidP="00BC739A">
      <w:pPr>
        <w:pStyle w:val="ListParagraph"/>
        <w:numPr>
          <w:ilvl w:val="0"/>
          <w:numId w:val="4"/>
        </w:numPr>
        <w:jc w:val="both"/>
        <w:rPr>
          <w:rFonts w:ascii="Baskerville Old Face" w:hAnsi="Baskerville Old Face" w:cs="Dubai Medium"/>
          <w:sz w:val="24"/>
          <w:szCs w:val="24"/>
        </w:rPr>
      </w:pPr>
      <w:r w:rsidRPr="00A85C1F">
        <w:rPr>
          <w:rFonts w:ascii="Baskerville Old Face" w:hAnsi="Baskerville Old Face" w:cs="Dubai Medium"/>
          <w:sz w:val="24"/>
          <w:szCs w:val="24"/>
        </w:rPr>
        <w:t>Brück, Joanna. 2005. ‘Experiencing the Past? The Development of a Phenomenological Archaeology in British Prehistory</w:t>
      </w:r>
      <w:proofErr w:type="gramStart"/>
      <w:r w:rsidRPr="00A85C1F">
        <w:rPr>
          <w:rFonts w:ascii="Baskerville Old Face" w:hAnsi="Baskerville Old Face" w:cs="Dubai Medium"/>
          <w:sz w:val="24"/>
          <w:szCs w:val="24"/>
        </w:rPr>
        <w:t>’,</w:t>
      </w:r>
      <w:proofErr w:type="gramEnd"/>
      <w:r w:rsidRPr="00A85C1F">
        <w:rPr>
          <w:rFonts w:ascii="Baskerville Old Face" w:hAnsi="Baskerville Old Face" w:cs="Dubai Medium"/>
          <w:sz w:val="24"/>
          <w:szCs w:val="24"/>
        </w:rPr>
        <w:t xml:space="preserve"> Archaeological Dialogues, 12.1: 45–72</w:t>
      </w:r>
    </w:p>
    <w:p w14:paraId="3F6460FE" w14:textId="3CFAAA61" w:rsidR="00A85C1F" w:rsidRDefault="00A85C1F" w:rsidP="00BC739A">
      <w:pPr>
        <w:pStyle w:val="ListParagraph"/>
        <w:numPr>
          <w:ilvl w:val="0"/>
          <w:numId w:val="4"/>
        </w:numPr>
        <w:jc w:val="both"/>
        <w:rPr>
          <w:rFonts w:ascii="Baskerville Old Face" w:hAnsi="Baskerville Old Face" w:cs="Dubai Medium"/>
          <w:sz w:val="24"/>
          <w:szCs w:val="24"/>
        </w:rPr>
      </w:pPr>
      <w:r w:rsidRPr="00A85C1F">
        <w:rPr>
          <w:rFonts w:ascii="Baskerville Old Face" w:hAnsi="Baskerville Old Face" w:cs="Dubai Medium"/>
          <w:sz w:val="24"/>
          <w:szCs w:val="24"/>
        </w:rPr>
        <w:t xml:space="preserve">Dubreuil, Laure, </w:t>
      </w:r>
      <w:proofErr w:type="spellStart"/>
      <w:r w:rsidRPr="00A85C1F">
        <w:rPr>
          <w:rFonts w:ascii="Baskerville Old Face" w:hAnsi="Baskerville Old Face" w:cs="Dubai Medium"/>
          <w:sz w:val="24"/>
          <w:szCs w:val="24"/>
        </w:rPr>
        <w:t>Ahiad</w:t>
      </w:r>
      <w:proofErr w:type="spellEnd"/>
      <w:r w:rsidRPr="00A85C1F">
        <w:rPr>
          <w:rFonts w:ascii="Baskerville Old Face" w:hAnsi="Baskerville Old Face" w:cs="Dubai Medium"/>
          <w:sz w:val="24"/>
          <w:szCs w:val="24"/>
        </w:rPr>
        <w:t xml:space="preserve"> Ovadia, Ruth </w:t>
      </w:r>
      <w:proofErr w:type="spellStart"/>
      <w:r w:rsidRPr="00A85C1F">
        <w:rPr>
          <w:rFonts w:ascii="Baskerville Old Face" w:hAnsi="Baskerville Old Face" w:cs="Dubai Medium"/>
          <w:sz w:val="24"/>
          <w:szCs w:val="24"/>
        </w:rPr>
        <w:t>Shahack</w:t>
      </w:r>
      <w:proofErr w:type="spellEnd"/>
      <w:r w:rsidRPr="00A85C1F">
        <w:rPr>
          <w:rFonts w:ascii="Baskerville Old Face" w:hAnsi="Baskerville Old Face" w:cs="Dubai Medium"/>
          <w:sz w:val="24"/>
          <w:szCs w:val="24"/>
        </w:rPr>
        <w:t xml:space="preserve">-Gross, and </w:t>
      </w:r>
      <w:proofErr w:type="spellStart"/>
      <w:r w:rsidRPr="00A85C1F">
        <w:rPr>
          <w:rFonts w:ascii="Baskerville Old Face" w:hAnsi="Baskerville Old Face" w:cs="Dubai Medium"/>
          <w:sz w:val="24"/>
          <w:szCs w:val="24"/>
        </w:rPr>
        <w:t>Leore</w:t>
      </w:r>
      <w:proofErr w:type="spellEnd"/>
      <w:r w:rsidRPr="00A85C1F">
        <w:rPr>
          <w:rFonts w:ascii="Baskerville Old Face" w:hAnsi="Baskerville Old Face" w:cs="Dubai Medium"/>
          <w:sz w:val="24"/>
          <w:szCs w:val="24"/>
        </w:rPr>
        <w:t xml:space="preserve"> Grosman. 2019. ‘Evidence of Ritual Breakage of a Ground Stone Tool at the Late Natufian Site of </w:t>
      </w:r>
      <w:proofErr w:type="spellStart"/>
      <w:r w:rsidRPr="00A85C1F">
        <w:rPr>
          <w:rFonts w:ascii="Baskerville Old Face" w:hAnsi="Baskerville Old Face" w:cs="Dubai Medium"/>
          <w:sz w:val="24"/>
          <w:szCs w:val="24"/>
        </w:rPr>
        <w:t>Hilazon</w:t>
      </w:r>
      <w:proofErr w:type="spellEnd"/>
      <w:r w:rsidRPr="00A85C1F">
        <w:rPr>
          <w:rFonts w:ascii="Baskerville Old Face" w:hAnsi="Baskerville Old Face" w:cs="Dubai Medium"/>
          <w:sz w:val="24"/>
          <w:szCs w:val="24"/>
        </w:rPr>
        <w:t xml:space="preserve"> </w:t>
      </w:r>
      <w:proofErr w:type="spellStart"/>
      <w:r w:rsidRPr="00A85C1F">
        <w:rPr>
          <w:rFonts w:ascii="Baskerville Old Face" w:hAnsi="Baskerville Old Face" w:cs="Dubai Medium"/>
          <w:sz w:val="24"/>
          <w:szCs w:val="24"/>
        </w:rPr>
        <w:t>Tachtit</w:t>
      </w:r>
      <w:proofErr w:type="spellEnd"/>
      <w:r w:rsidRPr="00A85C1F">
        <w:rPr>
          <w:rFonts w:ascii="Baskerville Old Face" w:hAnsi="Baskerville Old Face" w:cs="Dubai Medium"/>
          <w:sz w:val="24"/>
          <w:szCs w:val="24"/>
        </w:rPr>
        <w:t xml:space="preserve"> Cave (12,000 Years Ago)’, PLOS ONE, 14.10</w:t>
      </w:r>
    </w:p>
    <w:p w14:paraId="4AD28444" w14:textId="42285189" w:rsidR="00A85C1F" w:rsidRPr="00BC739A" w:rsidRDefault="00A85C1F" w:rsidP="00BC739A">
      <w:pPr>
        <w:pStyle w:val="ListParagraph"/>
        <w:numPr>
          <w:ilvl w:val="0"/>
          <w:numId w:val="4"/>
        </w:numPr>
        <w:jc w:val="both"/>
        <w:rPr>
          <w:rFonts w:ascii="Baskerville Old Face" w:hAnsi="Baskerville Old Face" w:cs="Dubai Medium"/>
          <w:sz w:val="24"/>
          <w:szCs w:val="24"/>
        </w:rPr>
      </w:pPr>
      <w:r w:rsidRPr="00A85C1F">
        <w:rPr>
          <w:rFonts w:ascii="Baskerville Old Face" w:hAnsi="Baskerville Old Face" w:cs="Dubai Medium"/>
          <w:sz w:val="24"/>
          <w:szCs w:val="24"/>
        </w:rPr>
        <w:t>Walter, Mariko Namba, and Eva Fridman. 2004. Shamanism: An Encyclopaedia of World Beliefs, Practices and Culture (Santa Barbara: ABC-CLIO)</w:t>
      </w:r>
    </w:p>
    <w:p w14:paraId="6DD2914E" w14:textId="77777777" w:rsidR="00BC739A" w:rsidRPr="00BC739A" w:rsidRDefault="00BC739A" w:rsidP="00E30CF4">
      <w:pPr>
        <w:jc w:val="both"/>
        <w:rPr>
          <w:rFonts w:ascii="Dubai Medium" w:hAnsi="Dubai Medium" w:cs="Dubai Medium" w:hint="cs"/>
          <w:sz w:val="28"/>
          <w:szCs w:val="28"/>
        </w:rPr>
      </w:pPr>
    </w:p>
    <w:p w14:paraId="232E26F4" w14:textId="77777777" w:rsidR="006E772F" w:rsidRDefault="006E772F" w:rsidP="006E772F">
      <w:pPr>
        <w:rPr>
          <w:rFonts w:ascii="Aptos" w:hAnsi="Aptos"/>
        </w:rPr>
      </w:pPr>
    </w:p>
    <w:p w14:paraId="5A5B37E9" w14:textId="77777777" w:rsidR="006E772F" w:rsidRPr="006E772F" w:rsidRDefault="006E772F" w:rsidP="006E772F">
      <w:pPr>
        <w:rPr>
          <w:rFonts w:ascii="Aptos" w:hAnsi="Aptos"/>
        </w:rPr>
      </w:pPr>
    </w:p>
    <w:sectPr w:rsidR="006E772F" w:rsidRPr="006E77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51933B" w14:textId="77777777" w:rsidR="00AF2808" w:rsidRDefault="00AF2808" w:rsidP="002A1D49">
      <w:pPr>
        <w:spacing w:after="0" w:line="240" w:lineRule="auto"/>
      </w:pPr>
      <w:r>
        <w:separator/>
      </w:r>
    </w:p>
  </w:endnote>
  <w:endnote w:type="continuationSeparator" w:id="0">
    <w:p w14:paraId="34EFF661" w14:textId="77777777" w:rsidR="00AF2808" w:rsidRDefault="00AF2808" w:rsidP="002A1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ubai Medium">
    <w:charset w:val="B2"/>
    <w:family w:val="swiss"/>
    <w:pitch w:val="variable"/>
    <w:sig w:usb0="80002067" w:usb1="80000000" w:usb2="00000008" w:usb3="00000000" w:csb0="00000041" w:csb1="00000000"/>
  </w:font>
  <w:font w:name="Baskerville Old Face">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332459" w14:textId="77777777" w:rsidR="00AF2808" w:rsidRDefault="00AF2808" w:rsidP="002A1D49">
      <w:pPr>
        <w:spacing w:after="0" w:line="240" w:lineRule="auto"/>
      </w:pPr>
      <w:r>
        <w:separator/>
      </w:r>
    </w:p>
  </w:footnote>
  <w:footnote w:type="continuationSeparator" w:id="0">
    <w:p w14:paraId="6EECDE8B" w14:textId="77777777" w:rsidR="00AF2808" w:rsidRDefault="00AF2808" w:rsidP="002A1D49">
      <w:pPr>
        <w:spacing w:after="0" w:line="240" w:lineRule="auto"/>
      </w:pPr>
      <w:r>
        <w:continuationSeparator/>
      </w:r>
    </w:p>
  </w:footnote>
  <w:footnote w:id="1">
    <w:p w14:paraId="39B82C21" w14:textId="3195DF94" w:rsidR="002A1D49" w:rsidRPr="002A1D49" w:rsidRDefault="002A1D49">
      <w:pPr>
        <w:pStyle w:val="FootnoteText"/>
        <w:rPr>
          <w:rFonts w:ascii="Baskerville Old Face" w:hAnsi="Baskerville Old Face"/>
        </w:rPr>
      </w:pPr>
      <w:r w:rsidRPr="002A1D49">
        <w:rPr>
          <w:rStyle w:val="FootnoteReference"/>
          <w:rFonts w:ascii="Baskerville Old Face" w:hAnsi="Baskerville Old Face"/>
        </w:rPr>
        <w:footnoteRef/>
      </w:r>
      <w:r w:rsidRPr="002A1D49">
        <w:rPr>
          <w:rFonts w:ascii="Baskerville Old Face" w:hAnsi="Baskerville Old Face"/>
        </w:rPr>
        <w:t xml:space="preserve"> Sörman, Anna, and Markus </w:t>
      </w:r>
      <w:proofErr w:type="spellStart"/>
      <w:r w:rsidRPr="002A1D49">
        <w:rPr>
          <w:rFonts w:ascii="Baskerville Old Face" w:hAnsi="Baskerville Old Face"/>
        </w:rPr>
        <w:t>Fjellström</w:t>
      </w:r>
      <w:proofErr w:type="spellEnd"/>
      <w:r w:rsidRPr="002A1D49">
        <w:rPr>
          <w:rFonts w:ascii="Baskerville Old Face" w:hAnsi="Baskerville Old Face"/>
        </w:rPr>
        <w:t xml:space="preserve">. “Fragmentation in Archaeological Context – Studying the Incomplete.” Sörman, A., </w:t>
      </w:r>
      <w:proofErr w:type="spellStart"/>
      <w:r w:rsidRPr="002A1D49">
        <w:rPr>
          <w:rFonts w:ascii="Baskerville Old Face" w:hAnsi="Baskerville Old Face"/>
        </w:rPr>
        <w:t>Noterman</w:t>
      </w:r>
      <w:proofErr w:type="spellEnd"/>
      <w:r w:rsidRPr="002A1D49">
        <w:rPr>
          <w:rFonts w:ascii="Baskerville Old Face" w:hAnsi="Baskerville Old Face"/>
        </w:rPr>
        <w:t xml:space="preserve">, A.A. &amp; </w:t>
      </w:r>
      <w:proofErr w:type="spellStart"/>
      <w:r w:rsidRPr="002A1D49">
        <w:rPr>
          <w:rFonts w:ascii="Baskerville Old Face" w:hAnsi="Baskerville Old Face"/>
        </w:rPr>
        <w:t>Fjellström</w:t>
      </w:r>
      <w:proofErr w:type="spellEnd"/>
      <w:r w:rsidRPr="002A1D49">
        <w:rPr>
          <w:rFonts w:ascii="Baskerville Old Face" w:hAnsi="Baskerville Old Face"/>
        </w:rPr>
        <w:t>, M. (eds) 2023. p.1</w:t>
      </w:r>
    </w:p>
  </w:footnote>
  <w:footnote w:id="2">
    <w:p w14:paraId="5CD2FAD9" w14:textId="1A4536EA" w:rsidR="00B26F54" w:rsidRPr="00B26F54" w:rsidRDefault="00B26F54">
      <w:pPr>
        <w:pStyle w:val="FootnoteText"/>
        <w:rPr>
          <w:rFonts w:ascii="Baskerville Old Face" w:hAnsi="Baskerville Old Face"/>
        </w:rPr>
      </w:pPr>
      <w:r w:rsidRPr="00B26F54">
        <w:rPr>
          <w:rStyle w:val="FootnoteReference"/>
          <w:rFonts w:ascii="Baskerville Old Face" w:hAnsi="Baskerville Old Face"/>
        </w:rPr>
        <w:footnoteRef/>
      </w:r>
      <w:r w:rsidRPr="00B26F54">
        <w:rPr>
          <w:rFonts w:ascii="Baskerville Old Face" w:hAnsi="Baskerville Old Face"/>
        </w:rPr>
        <w:t xml:space="preserve"> During Mesolithic, </w:t>
      </w:r>
      <w:r w:rsidR="004E6D89" w:rsidRPr="00B26F54">
        <w:rPr>
          <w:rFonts w:ascii="Baskerville Old Face" w:hAnsi="Baskerville Old Face"/>
        </w:rPr>
        <w:t>Neolithic,</w:t>
      </w:r>
      <w:r w:rsidRPr="00B26F54">
        <w:rPr>
          <w:rFonts w:ascii="Baskerville Old Face" w:hAnsi="Baskerville Old Face"/>
        </w:rPr>
        <w:t xml:space="preserve"> and Copper ages.</w:t>
      </w:r>
    </w:p>
  </w:footnote>
  <w:footnote w:id="3">
    <w:p w14:paraId="34F233E4" w14:textId="4EE7117B" w:rsidR="00B6091B" w:rsidRPr="00B6091B" w:rsidRDefault="00B6091B">
      <w:pPr>
        <w:pStyle w:val="FootnoteText"/>
        <w:rPr>
          <w:rFonts w:ascii="Baskerville Old Face" w:hAnsi="Baskerville Old Face"/>
        </w:rPr>
      </w:pPr>
      <w:r w:rsidRPr="00B6091B">
        <w:rPr>
          <w:rStyle w:val="FootnoteReference"/>
          <w:rFonts w:ascii="Baskerville Old Face" w:hAnsi="Baskerville Old Face"/>
        </w:rPr>
        <w:footnoteRef/>
      </w:r>
      <w:r w:rsidRPr="00B6091B">
        <w:rPr>
          <w:rFonts w:ascii="Baskerville Old Face" w:hAnsi="Baskerville Old Face"/>
        </w:rPr>
        <w:t xml:space="preserve"> Chapman, Dr John. “</w:t>
      </w:r>
      <w:proofErr w:type="spellStart"/>
      <w:r w:rsidRPr="00B6091B">
        <w:rPr>
          <w:rFonts w:ascii="Baskerville Old Face" w:hAnsi="Baskerville Old Face"/>
        </w:rPr>
        <w:t>Dr.</w:t>
      </w:r>
      <w:proofErr w:type="spellEnd"/>
      <w:r w:rsidRPr="00B6091B">
        <w:rPr>
          <w:rFonts w:ascii="Baskerville Old Face" w:hAnsi="Baskerville Old Face"/>
        </w:rPr>
        <w:t xml:space="preserve"> John Chapman – Research, C1: Fragmentation Studies.” </w:t>
      </w:r>
      <w:proofErr w:type="spellStart"/>
      <w:r w:rsidRPr="00B6091B">
        <w:rPr>
          <w:rFonts w:ascii="Baskerville Old Face" w:hAnsi="Baskerville Old Face"/>
        </w:rPr>
        <w:t>Dr.</w:t>
      </w:r>
      <w:proofErr w:type="spellEnd"/>
      <w:r w:rsidRPr="00B6091B">
        <w:rPr>
          <w:rFonts w:ascii="Baskerville Old Face" w:hAnsi="Baskerville Old Face"/>
        </w:rPr>
        <w:t xml:space="preserve"> John Chapman, 4 May 2021</w:t>
      </w:r>
    </w:p>
  </w:footnote>
  <w:footnote w:id="4">
    <w:p w14:paraId="54F8EFAB" w14:textId="014569CF" w:rsidR="00BD1A0A" w:rsidRPr="00053919" w:rsidRDefault="00BD1A0A">
      <w:pPr>
        <w:pStyle w:val="FootnoteText"/>
        <w:rPr>
          <w:rFonts w:ascii="Baskerville Old Face" w:hAnsi="Baskerville Old Face"/>
        </w:rPr>
      </w:pPr>
      <w:r w:rsidRPr="00053919">
        <w:rPr>
          <w:rStyle w:val="FootnoteReference"/>
          <w:rFonts w:ascii="Baskerville Old Face" w:hAnsi="Baskerville Old Face"/>
        </w:rPr>
        <w:footnoteRef/>
      </w:r>
      <w:r w:rsidRPr="00053919">
        <w:rPr>
          <w:rFonts w:ascii="Baskerville Old Face" w:hAnsi="Baskerville Old Face"/>
        </w:rPr>
        <w:t xml:space="preserve"> </w:t>
      </w:r>
      <w:r w:rsidR="00053919" w:rsidRPr="00053919">
        <w:rPr>
          <w:rFonts w:ascii="Baskerville Old Face" w:hAnsi="Baskerville Old Face"/>
        </w:rPr>
        <w:t xml:space="preserve">Brittain, Marcus, and Oliver Harris. 2010. ‘Enchaining Arguments and Fragmenting Assumptions: Reconsidering the Fragmentation Debate in Archaeology’, World Archaeology, 42.4: 582 </w:t>
      </w:r>
    </w:p>
  </w:footnote>
  <w:footnote w:id="5">
    <w:p w14:paraId="648E72A9" w14:textId="24D46E15" w:rsidR="004E2B70" w:rsidRPr="004E2B70" w:rsidRDefault="004E2B70">
      <w:pPr>
        <w:pStyle w:val="FootnoteText"/>
        <w:rPr>
          <w:rFonts w:ascii="Baskerville Old Face" w:hAnsi="Baskerville Old Face"/>
        </w:rPr>
      </w:pPr>
      <w:r w:rsidRPr="004E2B70">
        <w:rPr>
          <w:rStyle w:val="FootnoteReference"/>
          <w:rFonts w:ascii="Baskerville Old Face" w:hAnsi="Baskerville Old Face"/>
        </w:rPr>
        <w:footnoteRef/>
      </w:r>
      <w:r w:rsidRPr="004E2B70">
        <w:rPr>
          <w:rFonts w:ascii="Baskerville Old Face" w:hAnsi="Baskerville Old Face"/>
        </w:rPr>
        <w:t xml:space="preserve"> Chapman, John. Fragmentation in Archaeology. Routledge, 15 Apr. 2000, p. 4.</w:t>
      </w:r>
    </w:p>
  </w:footnote>
  <w:footnote w:id="6">
    <w:p w14:paraId="52D92E22" w14:textId="58EB6F3A" w:rsidR="00AE707C" w:rsidRPr="00AE707C" w:rsidRDefault="00AE707C">
      <w:pPr>
        <w:pStyle w:val="FootnoteText"/>
        <w:rPr>
          <w:rFonts w:ascii="Baskerville Old Face" w:hAnsi="Baskerville Old Face"/>
        </w:rPr>
      </w:pPr>
      <w:r w:rsidRPr="00AE707C">
        <w:rPr>
          <w:rStyle w:val="FootnoteReference"/>
          <w:rFonts w:ascii="Baskerville Old Face" w:hAnsi="Baskerville Old Face"/>
        </w:rPr>
        <w:footnoteRef/>
      </w:r>
      <w:r w:rsidRPr="00AE707C">
        <w:rPr>
          <w:rFonts w:ascii="Baskerville Old Face" w:hAnsi="Baskerville Old Face"/>
        </w:rPr>
        <w:t xml:space="preserve"> </w:t>
      </w:r>
      <w:r w:rsidRPr="00AE707C">
        <w:rPr>
          <w:rFonts w:ascii="Baskerville Old Face" w:hAnsi="Baskerville Old Face"/>
        </w:rPr>
        <w:t xml:space="preserve">Brittain, Marcus, and Oliver Harris. 2010. ‘Enchaining Arguments and Fragmenting Assumptions: Reconsidering the Fragmentation Debate in Archaeology’, World Archaeology, 42.4: </w:t>
      </w:r>
      <w:r w:rsidRPr="00AE707C">
        <w:rPr>
          <w:rFonts w:ascii="Baskerville Old Face" w:hAnsi="Baskerville Old Face"/>
        </w:rPr>
        <w:t>p.582</w:t>
      </w:r>
    </w:p>
  </w:footnote>
  <w:footnote w:id="7">
    <w:p w14:paraId="161D2BED" w14:textId="0DD341AC" w:rsidR="00370707" w:rsidRPr="00866890" w:rsidRDefault="00370707">
      <w:pPr>
        <w:pStyle w:val="FootnoteText"/>
        <w:rPr>
          <w:rFonts w:ascii="Baskerville Old Face" w:hAnsi="Baskerville Old Face"/>
        </w:rPr>
      </w:pPr>
      <w:r w:rsidRPr="00866890">
        <w:rPr>
          <w:rStyle w:val="FootnoteReference"/>
          <w:rFonts w:ascii="Baskerville Old Face" w:hAnsi="Baskerville Old Face"/>
        </w:rPr>
        <w:footnoteRef/>
      </w:r>
      <w:r w:rsidRPr="00866890">
        <w:rPr>
          <w:rFonts w:ascii="Baskerville Old Face" w:hAnsi="Baskerville Old Face"/>
        </w:rPr>
        <w:t xml:space="preserve"> </w:t>
      </w:r>
      <w:r w:rsidR="00866890" w:rsidRPr="00866890">
        <w:rPr>
          <w:rFonts w:ascii="Baskerville Old Face" w:hAnsi="Baskerville Old Face"/>
        </w:rPr>
        <w:t>Guernsey, Julia. 2020. Human Figuration and Fragmentation in Preclassic Mesoamerica (Cambridge University Press)</w:t>
      </w:r>
    </w:p>
  </w:footnote>
  <w:footnote w:id="8">
    <w:p w14:paraId="30706418" w14:textId="6543A9EA" w:rsidR="00370707" w:rsidRPr="00370707" w:rsidRDefault="00370707">
      <w:pPr>
        <w:pStyle w:val="FootnoteText"/>
        <w:rPr>
          <w:rFonts w:ascii="Baskerville Old Face" w:hAnsi="Baskerville Old Face"/>
        </w:rPr>
      </w:pPr>
      <w:r w:rsidRPr="00370707">
        <w:rPr>
          <w:rStyle w:val="FootnoteReference"/>
          <w:rFonts w:ascii="Baskerville Old Face" w:hAnsi="Baskerville Old Face"/>
        </w:rPr>
        <w:footnoteRef/>
      </w:r>
      <w:r w:rsidRPr="00370707">
        <w:rPr>
          <w:rFonts w:ascii="Baskerville Old Face" w:hAnsi="Baskerville Old Face"/>
        </w:rPr>
        <w:t xml:space="preserve"> </w:t>
      </w:r>
      <w:r w:rsidRPr="00370707">
        <w:rPr>
          <w:rFonts w:ascii="Baskerville Old Face" w:hAnsi="Baskerville Old Face"/>
        </w:rPr>
        <w:t xml:space="preserve">Sörman, Anna, Astrid A </w:t>
      </w:r>
      <w:proofErr w:type="spellStart"/>
      <w:r w:rsidRPr="00370707">
        <w:rPr>
          <w:rFonts w:ascii="Baskerville Old Face" w:hAnsi="Baskerville Old Face"/>
        </w:rPr>
        <w:t>Noterman</w:t>
      </w:r>
      <w:proofErr w:type="spellEnd"/>
      <w:r w:rsidRPr="00370707">
        <w:rPr>
          <w:rFonts w:ascii="Baskerville Old Face" w:hAnsi="Baskerville Old Face"/>
        </w:rPr>
        <w:t xml:space="preserve">, and Markus </w:t>
      </w:r>
      <w:proofErr w:type="spellStart"/>
      <w:r w:rsidRPr="00370707">
        <w:rPr>
          <w:rFonts w:ascii="Baskerville Old Face" w:hAnsi="Baskerville Old Face"/>
        </w:rPr>
        <w:t>Fjellström</w:t>
      </w:r>
      <w:proofErr w:type="spellEnd"/>
      <w:r w:rsidRPr="00370707">
        <w:rPr>
          <w:rFonts w:ascii="Baskerville Old Face" w:hAnsi="Baskerville Old Face"/>
        </w:rPr>
        <w:t>. 2023. Broken Bodies, Places and Objects (Taylor &amp; Francis), p. 3</w:t>
      </w:r>
    </w:p>
  </w:footnote>
  <w:footnote w:id="9">
    <w:p w14:paraId="60EDED8E" w14:textId="39DE26B3" w:rsidR="00742787" w:rsidRPr="00742787" w:rsidRDefault="00742787">
      <w:pPr>
        <w:pStyle w:val="FootnoteText"/>
        <w:rPr>
          <w:rFonts w:ascii="Baskerville Old Face" w:hAnsi="Baskerville Old Face"/>
        </w:rPr>
      </w:pPr>
      <w:r w:rsidRPr="00742787">
        <w:rPr>
          <w:rStyle w:val="FootnoteReference"/>
          <w:rFonts w:ascii="Baskerville Old Face" w:hAnsi="Baskerville Old Face"/>
        </w:rPr>
        <w:footnoteRef/>
      </w:r>
      <w:r w:rsidRPr="00742787">
        <w:rPr>
          <w:rFonts w:ascii="Baskerville Old Face" w:hAnsi="Baskerville Old Face"/>
        </w:rPr>
        <w:t xml:space="preserve"> </w:t>
      </w:r>
      <w:bookmarkStart w:id="0" w:name="_Hlk184138652"/>
      <w:r w:rsidRPr="00742787">
        <w:rPr>
          <w:rFonts w:ascii="Baskerville Old Face" w:hAnsi="Baskerville Old Face"/>
        </w:rPr>
        <w:t>Bruck, Joanna. 2024. ‘Marking Boundaries, Making Connections: Fragmenting the Body in Bronze Age Britain’, in Broken Bodies, Places and Objects (Routledge), p. 30</w:t>
      </w:r>
      <w:bookmarkEnd w:id="0"/>
    </w:p>
  </w:footnote>
  <w:footnote w:id="10">
    <w:p w14:paraId="277BEECA" w14:textId="0891AFDB" w:rsidR="008C10E8" w:rsidRPr="008C10E8" w:rsidRDefault="008C10E8">
      <w:pPr>
        <w:pStyle w:val="FootnoteText"/>
        <w:rPr>
          <w:rFonts w:ascii="Baskerville Old Face" w:hAnsi="Baskerville Old Face"/>
        </w:rPr>
      </w:pPr>
      <w:r w:rsidRPr="008C10E8">
        <w:rPr>
          <w:rStyle w:val="FootnoteReference"/>
          <w:rFonts w:ascii="Baskerville Old Face" w:hAnsi="Baskerville Old Face"/>
        </w:rPr>
        <w:footnoteRef/>
      </w:r>
      <w:r w:rsidRPr="008C10E8">
        <w:rPr>
          <w:rFonts w:ascii="Baskerville Old Face" w:hAnsi="Baskerville Old Face"/>
        </w:rPr>
        <w:t xml:space="preserve"> </w:t>
      </w:r>
      <w:r w:rsidRPr="008C10E8">
        <w:rPr>
          <w:rFonts w:ascii="Baskerville Old Face" w:hAnsi="Baskerville Old Face"/>
        </w:rPr>
        <w:t>Brittain, Marcus, and Oliver Harris. 2010. ‘Enchaining Arguments and Fragmenting Assumptions: Reconsidering the Fragmentation Debate in Archaeology’, World Archaeology, 42.4: 58</w:t>
      </w:r>
      <w:r w:rsidRPr="008C10E8">
        <w:rPr>
          <w:rFonts w:ascii="Baskerville Old Face" w:hAnsi="Baskerville Old Face"/>
        </w:rPr>
        <w:t>4</w:t>
      </w:r>
    </w:p>
  </w:footnote>
  <w:footnote w:id="11">
    <w:p w14:paraId="0DE6B318" w14:textId="20D558CF" w:rsidR="005B6EEF" w:rsidRPr="005B6EEF" w:rsidRDefault="005B6EEF">
      <w:pPr>
        <w:pStyle w:val="FootnoteText"/>
        <w:rPr>
          <w:rFonts w:ascii="Baskerville Old Face" w:hAnsi="Baskerville Old Face"/>
        </w:rPr>
      </w:pPr>
      <w:r w:rsidRPr="005B6EEF">
        <w:rPr>
          <w:rStyle w:val="FootnoteReference"/>
          <w:rFonts w:ascii="Baskerville Old Face" w:hAnsi="Baskerville Old Face"/>
        </w:rPr>
        <w:footnoteRef/>
      </w:r>
      <w:r w:rsidRPr="005B6EEF">
        <w:rPr>
          <w:rFonts w:ascii="Baskerville Old Face" w:hAnsi="Baskerville Old Face"/>
        </w:rPr>
        <w:t xml:space="preserve"> </w:t>
      </w:r>
      <w:r w:rsidRPr="005B6EEF">
        <w:rPr>
          <w:rFonts w:ascii="Baskerville Old Face" w:hAnsi="Baskerville Old Face"/>
        </w:rPr>
        <w:t>Chapman, John. 2000. Fragmentation in Archaeology (Routledge), p. 37</w:t>
      </w:r>
    </w:p>
  </w:footnote>
  <w:footnote w:id="12">
    <w:p w14:paraId="172DE1D1" w14:textId="4952B284" w:rsidR="001819B3" w:rsidRPr="00BC739A" w:rsidRDefault="001819B3">
      <w:pPr>
        <w:pStyle w:val="FootnoteText"/>
        <w:rPr>
          <w:rFonts w:ascii="Baskerville Old Face" w:hAnsi="Baskerville Old Face"/>
        </w:rPr>
      </w:pPr>
      <w:r w:rsidRPr="00BC739A">
        <w:rPr>
          <w:rStyle w:val="FootnoteReference"/>
          <w:rFonts w:ascii="Baskerville Old Face" w:hAnsi="Baskerville Old Face"/>
        </w:rPr>
        <w:footnoteRef/>
      </w:r>
      <w:r w:rsidRPr="00BC739A">
        <w:rPr>
          <w:rFonts w:ascii="Baskerville Old Face" w:hAnsi="Baskerville Old Face"/>
        </w:rPr>
        <w:t xml:space="preserve"> </w:t>
      </w:r>
      <w:r w:rsidR="00BC739A" w:rsidRPr="00BC739A">
        <w:rPr>
          <w:rFonts w:ascii="Baskerville Old Face" w:hAnsi="Baskerville Old Face"/>
        </w:rPr>
        <w:t>Brück, Joanna. 2005. ‘Experiencing the Past? The Development of a Phenomenological Archaeology in British Prehistory</w:t>
      </w:r>
      <w:proofErr w:type="gramStart"/>
      <w:r w:rsidR="00BC739A" w:rsidRPr="00BC739A">
        <w:rPr>
          <w:rFonts w:ascii="Baskerville Old Face" w:hAnsi="Baskerville Old Face"/>
        </w:rPr>
        <w:t>’,</w:t>
      </w:r>
      <w:proofErr w:type="gramEnd"/>
      <w:r w:rsidR="00BC739A" w:rsidRPr="00BC739A">
        <w:rPr>
          <w:rFonts w:ascii="Baskerville Old Face" w:hAnsi="Baskerville Old Face"/>
        </w:rPr>
        <w:t xml:space="preserve"> Archaeological Dialogues, 12.1</w:t>
      </w:r>
    </w:p>
  </w:footnote>
  <w:footnote w:id="13">
    <w:p w14:paraId="3C76664B" w14:textId="48123AB8" w:rsidR="00B45EA3" w:rsidRPr="00B45EA3" w:rsidRDefault="00B45EA3">
      <w:pPr>
        <w:pStyle w:val="FootnoteText"/>
        <w:rPr>
          <w:rFonts w:ascii="Baskerville Old Face" w:hAnsi="Baskerville Old Face"/>
        </w:rPr>
      </w:pPr>
      <w:r w:rsidRPr="00B45EA3">
        <w:rPr>
          <w:rStyle w:val="FootnoteReference"/>
          <w:rFonts w:ascii="Baskerville Old Face" w:hAnsi="Baskerville Old Face"/>
        </w:rPr>
        <w:footnoteRef/>
      </w:r>
      <w:r w:rsidRPr="00B45EA3">
        <w:rPr>
          <w:rFonts w:ascii="Baskerville Old Face" w:hAnsi="Baskerville Old Face"/>
        </w:rPr>
        <w:t xml:space="preserve"> </w:t>
      </w:r>
      <w:r w:rsidRPr="00B45EA3">
        <w:rPr>
          <w:rFonts w:ascii="Baskerville Old Face" w:hAnsi="Baskerville Old Face"/>
        </w:rPr>
        <w:t xml:space="preserve">Dubreuil, Laure, </w:t>
      </w:r>
      <w:proofErr w:type="spellStart"/>
      <w:r w:rsidRPr="00B45EA3">
        <w:rPr>
          <w:rFonts w:ascii="Baskerville Old Face" w:hAnsi="Baskerville Old Face"/>
        </w:rPr>
        <w:t>Ahiad</w:t>
      </w:r>
      <w:proofErr w:type="spellEnd"/>
      <w:r w:rsidRPr="00B45EA3">
        <w:rPr>
          <w:rFonts w:ascii="Baskerville Old Face" w:hAnsi="Baskerville Old Face"/>
        </w:rPr>
        <w:t xml:space="preserve"> Ovadia, Ruth </w:t>
      </w:r>
      <w:proofErr w:type="spellStart"/>
      <w:r w:rsidRPr="00B45EA3">
        <w:rPr>
          <w:rFonts w:ascii="Baskerville Old Face" w:hAnsi="Baskerville Old Face"/>
        </w:rPr>
        <w:t>Shahack</w:t>
      </w:r>
      <w:proofErr w:type="spellEnd"/>
      <w:r w:rsidRPr="00B45EA3">
        <w:rPr>
          <w:rFonts w:ascii="Baskerville Old Face" w:hAnsi="Baskerville Old Face"/>
        </w:rPr>
        <w:t xml:space="preserve">-Gross, and </w:t>
      </w:r>
      <w:proofErr w:type="spellStart"/>
      <w:r w:rsidRPr="00B45EA3">
        <w:rPr>
          <w:rFonts w:ascii="Baskerville Old Face" w:hAnsi="Baskerville Old Face"/>
        </w:rPr>
        <w:t>Leore</w:t>
      </w:r>
      <w:proofErr w:type="spellEnd"/>
      <w:r w:rsidRPr="00B45EA3">
        <w:rPr>
          <w:rFonts w:ascii="Baskerville Old Face" w:hAnsi="Baskerville Old Face"/>
        </w:rPr>
        <w:t xml:space="preserve"> Grosman. 2019. ‘Evidence of Ritual Breakage of a Ground Stone Tool at the Late Natufian Site of </w:t>
      </w:r>
      <w:proofErr w:type="spellStart"/>
      <w:r w:rsidRPr="00B45EA3">
        <w:rPr>
          <w:rFonts w:ascii="Baskerville Old Face" w:hAnsi="Baskerville Old Face"/>
        </w:rPr>
        <w:t>Hilazon</w:t>
      </w:r>
      <w:proofErr w:type="spellEnd"/>
      <w:r w:rsidRPr="00B45EA3">
        <w:rPr>
          <w:rFonts w:ascii="Baskerville Old Face" w:hAnsi="Baskerville Old Face"/>
        </w:rPr>
        <w:t xml:space="preserve"> </w:t>
      </w:r>
      <w:proofErr w:type="spellStart"/>
      <w:r w:rsidRPr="00B45EA3">
        <w:rPr>
          <w:rFonts w:ascii="Baskerville Old Face" w:hAnsi="Baskerville Old Face"/>
        </w:rPr>
        <w:t>Tachtit</w:t>
      </w:r>
      <w:proofErr w:type="spellEnd"/>
      <w:r w:rsidRPr="00B45EA3">
        <w:rPr>
          <w:rFonts w:ascii="Baskerville Old Face" w:hAnsi="Baskerville Old Face"/>
        </w:rPr>
        <w:t xml:space="preserve"> Cave (12,000 Years Ago)’, PLOS ONE, 14.10, ed. by Michael D. Petraglia</w:t>
      </w:r>
      <w:r w:rsidRPr="00B45EA3">
        <w:rPr>
          <w:rFonts w:ascii="Baskerville Old Face" w:hAnsi="Baskerville Old Face"/>
        </w:rPr>
        <w:t>, p.2</w:t>
      </w:r>
    </w:p>
  </w:footnote>
  <w:footnote w:id="14">
    <w:p w14:paraId="7DF17788" w14:textId="2DB6396D" w:rsidR="004A7161" w:rsidRPr="004A7161" w:rsidRDefault="004A7161">
      <w:pPr>
        <w:pStyle w:val="FootnoteText"/>
        <w:rPr>
          <w:rFonts w:ascii="Baskerville Old Face" w:hAnsi="Baskerville Old Face"/>
        </w:rPr>
      </w:pPr>
      <w:r w:rsidRPr="004A7161">
        <w:rPr>
          <w:rStyle w:val="FootnoteReference"/>
          <w:rFonts w:ascii="Baskerville Old Face" w:hAnsi="Baskerville Old Face"/>
        </w:rPr>
        <w:footnoteRef/>
      </w:r>
      <w:r w:rsidRPr="004A7161">
        <w:rPr>
          <w:rFonts w:ascii="Baskerville Old Face" w:hAnsi="Baskerville Old Face"/>
        </w:rPr>
        <w:t xml:space="preserve"> According to the source (above), it is unclear for what reason this is inferred.</w:t>
      </w:r>
    </w:p>
  </w:footnote>
  <w:footnote w:id="15">
    <w:p w14:paraId="2B54C58B" w14:textId="23B33CBE" w:rsidR="000E342C" w:rsidRPr="000E342C" w:rsidRDefault="000E342C">
      <w:pPr>
        <w:pStyle w:val="FootnoteText"/>
        <w:rPr>
          <w:rFonts w:ascii="Baskerville Old Face" w:hAnsi="Baskerville Old Face"/>
        </w:rPr>
      </w:pPr>
      <w:r w:rsidRPr="000E342C">
        <w:rPr>
          <w:rStyle w:val="FootnoteReference"/>
          <w:rFonts w:ascii="Baskerville Old Face" w:hAnsi="Baskerville Old Face"/>
        </w:rPr>
        <w:footnoteRef/>
      </w:r>
      <w:r w:rsidRPr="000E342C">
        <w:rPr>
          <w:rFonts w:ascii="Baskerville Old Face" w:hAnsi="Baskerville Old Face"/>
        </w:rPr>
        <w:t xml:space="preserve"> Ibid, p.3</w:t>
      </w:r>
    </w:p>
  </w:footnote>
  <w:footnote w:id="16">
    <w:p w14:paraId="5283F0D1" w14:textId="0CFCEA4E" w:rsidR="00335C28" w:rsidRPr="0036729E" w:rsidRDefault="00335C28">
      <w:pPr>
        <w:pStyle w:val="FootnoteText"/>
        <w:rPr>
          <w:rFonts w:ascii="Baskerville Old Face" w:hAnsi="Baskerville Old Face"/>
        </w:rPr>
      </w:pPr>
      <w:r w:rsidRPr="0036729E">
        <w:rPr>
          <w:rStyle w:val="FootnoteReference"/>
          <w:rFonts w:ascii="Baskerville Old Face" w:hAnsi="Baskerville Old Face"/>
        </w:rPr>
        <w:footnoteRef/>
      </w:r>
      <w:r w:rsidRPr="0036729E">
        <w:rPr>
          <w:rFonts w:ascii="Baskerville Old Face" w:hAnsi="Baskerville Old Face"/>
        </w:rPr>
        <w:t xml:space="preserve"> </w:t>
      </w:r>
      <w:bookmarkStart w:id="1" w:name="_Hlk184138805"/>
      <w:r w:rsidR="0036729E" w:rsidRPr="0036729E">
        <w:rPr>
          <w:rFonts w:ascii="Baskerville Old Face" w:hAnsi="Baskerville Old Face"/>
        </w:rPr>
        <w:t xml:space="preserve">Walter, Mariko Namba, and Eva Fridman. 2004. Shamanism: An </w:t>
      </w:r>
      <w:r w:rsidR="0036729E" w:rsidRPr="0036729E">
        <w:rPr>
          <w:rFonts w:ascii="Baskerville Old Face" w:hAnsi="Baskerville Old Face"/>
        </w:rPr>
        <w:t>Encyclopaedia</w:t>
      </w:r>
      <w:r w:rsidR="0036729E" w:rsidRPr="0036729E">
        <w:rPr>
          <w:rFonts w:ascii="Baskerville Old Face" w:hAnsi="Baskerville Old Face"/>
        </w:rPr>
        <w:t xml:space="preserve"> of World Beliefs, Practices and Culture (Santa Barbara: ABC-CLIO)</w:t>
      </w:r>
      <w:bookmarkEnd w:id="1"/>
    </w:p>
  </w:footnote>
  <w:footnote w:id="17">
    <w:p w14:paraId="42E4E88A" w14:textId="4EC73800" w:rsidR="0036729E" w:rsidRPr="00BC739A" w:rsidRDefault="0036729E">
      <w:pPr>
        <w:pStyle w:val="FootnoteText"/>
        <w:rPr>
          <w:rFonts w:ascii="Baskerville Old Face" w:hAnsi="Baskerville Old Face"/>
        </w:rPr>
      </w:pPr>
      <w:r w:rsidRPr="00BC739A">
        <w:rPr>
          <w:rStyle w:val="FootnoteReference"/>
          <w:rFonts w:ascii="Baskerville Old Face" w:hAnsi="Baskerville Old Face"/>
        </w:rPr>
        <w:footnoteRef/>
      </w:r>
      <w:r w:rsidRPr="00BC739A">
        <w:rPr>
          <w:rFonts w:ascii="Baskerville Old Face" w:hAnsi="Baskerville Old Face"/>
        </w:rPr>
        <w:t xml:space="preserve"> </w:t>
      </w:r>
      <w:r w:rsidR="00BC739A" w:rsidRPr="00BC739A">
        <w:rPr>
          <w:rFonts w:ascii="Baskerville Old Face" w:hAnsi="Baskerville Old Face"/>
        </w:rPr>
        <w:t xml:space="preserve">  Dubreuil, Laure, </w:t>
      </w:r>
      <w:proofErr w:type="spellStart"/>
      <w:r w:rsidR="00BC739A" w:rsidRPr="00BC739A">
        <w:rPr>
          <w:rFonts w:ascii="Baskerville Old Face" w:hAnsi="Baskerville Old Face"/>
        </w:rPr>
        <w:t>Ahiad</w:t>
      </w:r>
      <w:proofErr w:type="spellEnd"/>
      <w:r w:rsidR="00BC739A" w:rsidRPr="00BC739A">
        <w:rPr>
          <w:rFonts w:ascii="Baskerville Old Face" w:hAnsi="Baskerville Old Face"/>
        </w:rPr>
        <w:t xml:space="preserve"> Ovadia, Ruth </w:t>
      </w:r>
      <w:proofErr w:type="spellStart"/>
      <w:r w:rsidR="00BC739A" w:rsidRPr="00BC739A">
        <w:rPr>
          <w:rFonts w:ascii="Baskerville Old Face" w:hAnsi="Baskerville Old Face"/>
        </w:rPr>
        <w:t>Shahack</w:t>
      </w:r>
      <w:proofErr w:type="spellEnd"/>
      <w:r w:rsidR="00BC739A" w:rsidRPr="00BC739A">
        <w:rPr>
          <w:rFonts w:ascii="Baskerville Old Face" w:hAnsi="Baskerville Old Face"/>
        </w:rPr>
        <w:t xml:space="preserve">-Gross, and </w:t>
      </w:r>
      <w:proofErr w:type="spellStart"/>
      <w:r w:rsidR="00BC739A" w:rsidRPr="00BC739A">
        <w:rPr>
          <w:rFonts w:ascii="Baskerville Old Face" w:hAnsi="Baskerville Old Face"/>
        </w:rPr>
        <w:t>Leore</w:t>
      </w:r>
      <w:proofErr w:type="spellEnd"/>
      <w:r w:rsidR="00BC739A" w:rsidRPr="00BC739A">
        <w:rPr>
          <w:rFonts w:ascii="Baskerville Old Face" w:hAnsi="Baskerville Old Face"/>
        </w:rPr>
        <w:t xml:space="preserve"> Grosman. 2019. ‘Evidence of Ritual Breakage of a Ground Stone Tool at the Late Natufian Site of </w:t>
      </w:r>
      <w:proofErr w:type="spellStart"/>
      <w:r w:rsidR="00BC739A" w:rsidRPr="00BC739A">
        <w:rPr>
          <w:rFonts w:ascii="Baskerville Old Face" w:hAnsi="Baskerville Old Face"/>
        </w:rPr>
        <w:t>Hilazon</w:t>
      </w:r>
      <w:proofErr w:type="spellEnd"/>
      <w:r w:rsidR="00BC739A" w:rsidRPr="00BC739A">
        <w:rPr>
          <w:rFonts w:ascii="Baskerville Old Face" w:hAnsi="Baskerville Old Face"/>
        </w:rPr>
        <w:t xml:space="preserve"> </w:t>
      </w:r>
      <w:proofErr w:type="spellStart"/>
      <w:r w:rsidR="00BC739A" w:rsidRPr="00BC739A">
        <w:rPr>
          <w:rFonts w:ascii="Baskerville Old Face" w:hAnsi="Baskerville Old Face"/>
        </w:rPr>
        <w:t>Tachtit</w:t>
      </w:r>
      <w:proofErr w:type="spellEnd"/>
      <w:r w:rsidR="00BC739A" w:rsidRPr="00BC739A">
        <w:rPr>
          <w:rFonts w:ascii="Baskerville Old Face" w:hAnsi="Baskerville Old Face"/>
        </w:rPr>
        <w:t xml:space="preserve"> Cave (12,000 Years Ago)’, PLOS ONE, 14.10, ed. by Michael D. Petraglia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F2E1C"/>
    <w:multiLevelType w:val="hybridMultilevel"/>
    <w:tmpl w:val="4A2A8018"/>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46760C"/>
    <w:multiLevelType w:val="hybridMultilevel"/>
    <w:tmpl w:val="1CC62BD4"/>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4C2A22"/>
    <w:multiLevelType w:val="hybridMultilevel"/>
    <w:tmpl w:val="1BDE613E"/>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234C6A"/>
    <w:multiLevelType w:val="hybridMultilevel"/>
    <w:tmpl w:val="9EF0CB4A"/>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1802517">
    <w:abstractNumId w:val="0"/>
  </w:num>
  <w:num w:numId="2" w16cid:durableId="467167521">
    <w:abstractNumId w:val="3"/>
  </w:num>
  <w:num w:numId="3" w16cid:durableId="883559469">
    <w:abstractNumId w:val="1"/>
  </w:num>
  <w:num w:numId="4" w16cid:durableId="867311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279"/>
    <w:rsid w:val="000017E6"/>
    <w:rsid w:val="00036104"/>
    <w:rsid w:val="000369E8"/>
    <w:rsid w:val="00053919"/>
    <w:rsid w:val="00094163"/>
    <w:rsid w:val="000E342C"/>
    <w:rsid w:val="00145C29"/>
    <w:rsid w:val="001819B3"/>
    <w:rsid w:val="001B23E2"/>
    <w:rsid w:val="001B7D3A"/>
    <w:rsid w:val="001F27BF"/>
    <w:rsid w:val="00221DD4"/>
    <w:rsid w:val="00245E64"/>
    <w:rsid w:val="002700EE"/>
    <w:rsid w:val="00292E0A"/>
    <w:rsid w:val="002A1D49"/>
    <w:rsid w:val="002A3876"/>
    <w:rsid w:val="00302837"/>
    <w:rsid w:val="00335C28"/>
    <w:rsid w:val="0036729E"/>
    <w:rsid w:val="00370707"/>
    <w:rsid w:val="004A65E3"/>
    <w:rsid w:val="004A7161"/>
    <w:rsid w:val="004C341A"/>
    <w:rsid w:val="004E2B70"/>
    <w:rsid w:val="004E6D89"/>
    <w:rsid w:val="00504105"/>
    <w:rsid w:val="00583E05"/>
    <w:rsid w:val="005B6EEF"/>
    <w:rsid w:val="005F3610"/>
    <w:rsid w:val="006746A8"/>
    <w:rsid w:val="006E5E1F"/>
    <w:rsid w:val="006E772F"/>
    <w:rsid w:val="006E7A9A"/>
    <w:rsid w:val="00742787"/>
    <w:rsid w:val="007B5659"/>
    <w:rsid w:val="007C2DA5"/>
    <w:rsid w:val="00830FC1"/>
    <w:rsid w:val="00866890"/>
    <w:rsid w:val="008B4939"/>
    <w:rsid w:val="008B7D59"/>
    <w:rsid w:val="008C10E8"/>
    <w:rsid w:val="009019C8"/>
    <w:rsid w:val="009031E8"/>
    <w:rsid w:val="009E4652"/>
    <w:rsid w:val="00A12FE0"/>
    <w:rsid w:val="00A258A1"/>
    <w:rsid w:val="00A55748"/>
    <w:rsid w:val="00A85C1F"/>
    <w:rsid w:val="00A959D9"/>
    <w:rsid w:val="00AA1ADD"/>
    <w:rsid w:val="00AE707C"/>
    <w:rsid w:val="00AF2808"/>
    <w:rsid w:val="00B26F54"/>
    <w:rsid w:val="00B45EA3"/>
    <w:rsid w:val="00B551F4"/>
    <w:rsid w:val="00B6091B"/>
    <w:rsid w:val="00BC739A"/>
    <w:rsid w:val="00BD1A0A"/>
    <w:rsid w:val="00BE40D1"/>
    <w:rsid w:val="00BF685B"/>
    <w:rsid w:val="00C73E51"/>
    <w:rsid w:val="00CC2DF8"/>
    <w:rsid w:val="00CD5FF3"/>
    <w:rsid w:val="00CF0F0B"/>
    <w:rsid w:val="00DB4552"/>
    <w:rsid w:val="00E30CF4"/>
    <w:rsid w:val="00E87279"/>
    <w:rsid w:val="00FB7DB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C71BA"/>
  <w15:chartTrackingRefBased/>
  <w15:docId w15:val="{FADE8606-CBC6-42D2-80EE-7F80A338E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A1D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1D49"/>
    <w:rPr>
      <w:sz w:val="20"/>
      <w:szCs w:val="20"/>
    </w:rPr>
  </w:style>
  <w:style w:type="character" w:styleId="FootnoteReference">
    <w:name w:val="footnote reference"/>
    <w:basedOn w:val="DefaultParagraphFont"/>
    <w:uiPriority w:val="99"/>
    <w:semiHidden/>
    <w:unhideWhenUsed/>
    <w:rsid w:val="002A1D49"/>
    <w:rPr>
      <w:vertAlign w:val="superscript"/>
    </w:rPr>
  </w:style>
  <w:style w:type="paragraph" w:styleId="ListParagraph">
    <w:name w:val="List Paragraph"/>
    <w:basedOn w:val="Normal"/>
    <w:uiPriority w:val="34"/>
    <w:qFormat/>
    <w:rsid w:val="008B49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6D875-BF94-4061-BB16-2E7C0067D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7101</TotalTime>
  <Pages>5</Pages>
  <Words>1996</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quieros</dc:creator>
  <cp:keywords/>
  <dc:description/>
  <cp:lastModifiedBy>francesca quieros</cp:lastModifiedBy>
  <cp:revision>16</cp:revision>
  <dcterms:created xsi:type="dcterms:W3CDTF">2024-10-31T14:46:00Z</dcterms:created>
  <dcterms:modified xsi:type="dcterms:W3CDTF">2024-12-03T17:20:00Z</dcterms:modified>
</cp:coreProperties>
</file>