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F2A80" w14:textId="57E5DA32" w:rsidR="00780B9F" w:rsidRPr="00780B9F" w:rsidRDefault="00780B9F" w:rsidP="00780B9F">
      <w:pPr>
        <w:spacing w:line="480" w:lineRule="auto"/>
        <w:rPr>
          <w:rFonts w:ascii="Arial" w:hAnsi="Arial" w:cs="Arial"/>
          <w:b/>
          <w:bCs/>
          <w:sz w:val="24"/>
          <w:szCs w:val="24"/>
          <w:u w:val="single"/>
        </w:rPr>
      </w:pPr>
      <w:r w:rsidRPr="00780B9F">
        <w:rPr>
          <w:rFonts w:ascii="Arial" w:hAnsi="Arial" w:cs="Arial"/>
          <w:sz w:val="24"/>
          <w:szCs w:val="24"/>
        </w:rPr>
        <w:t>Risk assessment: `Using the provided headings, produce a written risk assessment identifying the factors that need to be considered in working within the case-study provided` (2,500 words).</w:t>
      </w:r>
    </w:p>
    <w:p w14:paraId="0CF70670" w14:textId="3C4E2F37" w:rsidR="00E34C16" w:rsidRPr="00780B9F" w:rsidRDefault="00065492" w:rsidP="00780B9F">
      <w:pPr>
        <w:spacing w:line="480" w:lineRule="auto"/>
        <w:rPr>
          <w:rFonts w:ascii="Arial" w:hAnsi="Arial" w:cs="Arial"/>
          <w:b/>
          <w:bCs/>
          <w:sz w:val="24"/>
          <w:szCs w:val="24"/>
          <w:u w:val="single"/>
        </w:rPr>
      </w:pPr>
      <w:r w:rsidRPr="00780B9F">
        <w:rPr>
          <w:rFonts w:ascii="Arial" w:hAnsi="Arial" w:cs="Arial"/>
          <w:b/>
          <w:bCs/>
          <w:sz w:val="24"/>
          <w:szCs w:val="24"/>
          <w:u w:val="single"/>
        </w:rPr>
        <w:t>Identification</w:t>
      </w:r>
    </w:p>
    <w:p w14:paraId="4806F555" w14:textId="5D68E50C" w:rsidR="003B4040" w:rsidRPr="00780B9F" w:rsidRDefault="00EE623D" w:rsidP="00780B9F">
      <w:pPr>
        <w:pStyle w:val="NormalWeb"/>
        <w:spacing w:before="0" w:beforeAutospacing="0" w:after="0" w:afterAutospacing="0" w:line="480" w:lineRule="auto"/>
        <w:ind w:firstLine="720"/>
        <w:rPr>
          <w:rFonts w:ascii="Arial" w:hAnsi="Arial" w:cs="Arial"/>
        </w:rPr>
      </w:pPr>
      <w:r w:rsidRPr="00780B9F">
        <w:rPr>
          <w:rFonts w:ascii="Arial" w:hAnsi="Arial" w:cs="Arial"/>
        </w:rPr>
        <w:t>Risk assessment is one of the main elements of mental health care and it consists of understanding a person’s needs and recognition of risk levels</w:t>
      </w:r>
      <w:r w:rsidR="004F3DE1">
        <w:rPr>
          <w:rFonts w:ascii="Arial" w:hAnsi="Arial" w:cs="Arial"/>
        </w:rPr>
        <w:t>,</w:t>
      </w:r>
      <w:r w:rsidRPr="00780B9F">
        <w:rPr>
          <w:rFonts w:ascii="Arial" w:hAnsi="Arial" w:cs="Arial"/>
        </w:rPr>
        <w:t xml:space="preserve"> which they can demonstrate to themselves and/or others. Positive risk management involves forming flexible strategies</w:t>
      </w:r>
      <w:r w:rsidR="004F3DE1">
        <w:rPr>
          <w:rFonts w:ascii="Arial" w:hAnsi="Arial" w:cs="Arial"/>
        </w:rPr>
        <w:t xml:space="preserve"> aiming to </w:t>
      </w:r>
      <w:r w:rsidRPr="00780B9F">
        <w:rPr>
          <w:rFonts w:ascii="Arial" w:hAnsi="Arial" w:cs="Arial"/>
        </w:rPr>
        <w:t>prevent negative events from occurring or minimising their harm. For transparency</w:t>
      </w:r>
      <w:r w:rsidR="004F3DE1">
        <w:rPr>
          <w:rFonts w:ascii="Arial" w:hAnsi="Arial" w:cs="Arial"/>
        </w:rPr>
        <w:t>,</w:t>
      </w:r>
      <w:r w:rsidRPr="00780B9F">
        <w:rPr>
          <w:rFonts w:ascii="Arial" w:hAnsi="Arial" w:cs="Arial"/>
        </w:rPr>
        <w:t xml:space="preserve"> risks and benefits should be clearly outlined to enable the delivery of efficient support. This will allow the service users to manage identified risks to the best of their ability. Risk assessment should be conducted as a collaboration between the service user and their carers</w:t>
      </w:r>
      <w:r w:rsidR="0023370E" w:rsidRPr="00780B9F">
        <w:rPr>
          <w:rFonts w:ascii="Arial" w:hAnsi="Arial" w:cs="Arial"/>
        </w:rPr>
        <w:t xml:space="preserve"> (Department of Health and Social Care, 2009)</w:t>
      </w:r>
      <w:r w:rsidR="00004868" w:rsidRPr="00780B9F">
        <w:rPr>
          <w:rFonts w:ascii="Arial" w:hAnsi="Arial" w:cs="Arial"/>
        </w:rPr>
        <w:t>. Structural</w:t>
      </w:r>
      <w:r w:rsidRPr="00780B9F">
        <w:rPr>
          <w:rFonts w:ascii="Arial" w:hAnsi="Arial" w:cs="Arial"/>
        </w:rPr>
        <w:t>, positive risk assessment will be performed on the case of Patty Bensusan. The term “risk factor” refers to a measurable characteristic that precedes the onset of a disorder (</w:t>
      </w:r>
      <w:hyperlink r:id="rId4" w:anchor="R20" w:tgtFrame="_blank" w:history="1">
        <w:r w:rsidRPr="00780B9F">
          <w:rPr>
            <w:rStyle w:val="Hyperlink"/>
            <w:rFonts w:ascii="Arial" w:hAnsi="Arial" w:cs="Arial"/>
            <w:color w:val="auto"/>
            <w:u w:val="none"/>
          </w:rPr>
          <w:t>Kraemer et al., 1997</w:t>
        </w:r>
      </w:hyperlink>
      <w:r w:rsidRPr="00780B9F">
        <w:rPr>
          <w:rFonts w:ascii="Arial" w:hAnsi="Arial" w:cs="Arial"/>
        </w:rPr>
        <w:t xml:space="preserve">). </w:t>
      </w:r>
    </w:p>
    <w:p w14:paraId="3DEC5F2D" w14:textId="3FCE46AF" w:rsidR="00AB0C6D" w:rsidRPr="00780B9F" w:rsidRDefault="003415F4" w:rsidP="00780B9F">
      <w:pPr>
        <w:pStyle w:val="NormalWeb"/>
        <w:spacing w:before="0" w:beforeAutospacing="0" w:after="0" w:afterAutospacing="0" w:line="480" w:lineRule="auto"/>
        <w:ind w:firstLine="720"/>
        <w:rPr>
          <w:rFonts w:ascii="Arial" w:hAnsi="Arial" w:cs="Arial"/>
        </w:rPr>
      </w:pPr>
      <w:r w:rsidRPr="00780B9F">
        <w:rPr>
          <w:rFonts w:ascii="Arial" w:hAnsi="Arial" w:cs="Arial"/>
        </w:rPr>
        <w:t xml:space="preserve">Patty’s </w:t>
      </w:r>
      <w:r w:rsidR="00C37FDD" w:rsidRPr="00780B9F">
        <w:rPr>
          <w:rFonts w:ascii="Arial" w:hAnsi="Arial" w:cs="Arial"/>
        </w:rPr>
        <w:t>Bensusan</w:t>
      </w:r>
      <w:r w:rsidR="004F3DE1">
        <w:rPr>
          <w:rFonts w:ascii="Arial" w:hAnsi="Arial" w:cs="Arial"/>
        </w:rPr>
        <w:t>’s</w:t>
      </w:r>
      <w:r w:rsidR="00C37FDD" w:rsidRPr="00780B9F">
        <w:rPr>
          <w:rFonts w:ascii="Arial" w:hAnsi="Arial" w:cs="Arial"/>
        </w:rPr>
        <w:t xml:space="preserve"> </w:t>
      </w:r>
      <w:r w:rsidRPr="00780B9F">
        <w:rPr>
          <w:rFonts w:ascii="Arial" w:hAnsi="Arial" w:cs="Arial"/>
        </w:rPr>
        <w:t>obsession with losing weight and her control over food intake</w:t>
      </w:r>
      <w:r w:rsidR="004F3DE1">
        <w:rPr>
          <w:rFonts w:ascii="Arial" w:hAnsi="Arial" w:cs="Arial"/>
        </w:rPr>
        <w:t>,</w:t>
      </w:r>
      <w:r w:rsidR="00C37FDD" w:rsidRPr="00780B9F">
        <w:rPr>
          <w:rFonts w:ascii="Arial" w:eastAsiaTheme="minorHAnsi" w:hAnsi="Arial" w:cs="Arial"/>
          <w:lang w:eastAsia="en-US"/>
        </w:rPr>
        <w:t xml:space="preserve"> </w:t>
      </w:r>
      <w:r w:rsidR="00C37FDD" w:rsidRPr="00780B9F">
        <w:rPr>
          <w:rFonts w:ascii="Arial" w:hAnsi="Arial" w:cs="Arial"/>
        </w:rPr>
        <w:t>are the main risks identified during the assessment</w:t>
      </w:r>
      <w:r w:rsidRPr="00780B9F">
        <w:rPr>
          <w:rFonts w:ascii="Arial" w:hAnsi="Arial" w:cs="Arial"/>
        </w:rPr>
        <w:t xml:space="preserve">. Her thoughts are constantly preoccupied with food, she began restricting her food intake in the last year of high school and continued to do so throughout her college years. Patty’s weight obsession has developed as an outcome of her distress caused by social life which is now her coping mechanism. She describes a desire to have an empty stomach and expresses a feeling of guilt after eating. Lack of sufficient nutrition led to a medical examination during which Patty was diagnosed with cardiac problems, a low pulse, and substantial loss of bone density. The direct outcome of that assessment was her hospital admission, her BMI at that time was 15-8 which </w:t>
      </w:r>
      <w:r w:rsidRPr="00780B9F">
        <w:rPr>
          <w:rFonts w:ascii="Arial" w:hAnsi="Arial" w:cs="Arial"/>
        </w:rPr>
        <w:lastRenderedPageBreak/>
        <w:t xml:space="preserve">indicates that she was 68% of her ideal body weight. She is </w:t>
      </w:r>
      <w:r w:rsidR="004F3DE1">
        <w:rPr>
          <w:rFonts w:ascii="Arial" w:hAnsi="Arial" w:cs="Arial"/>
        </w:rPr>
        <w:t>very</w:t>
      </w:r>
      <w:r w:rsidRPr="00780B9F">
        <w:rPr>
          <w:rFonts w:ascii="Arial" w:hAnsi="Arial" w:cs="Arial"/>
        </w:rPr>
        <w:t xml:space="preserve"> self-critical and has extremely low self-esteem, further individual psychological factors include perfectionism, lack of confidence, and reoccurring state of depression</w:t>
      </w:r>
      <w:r w:rsidR="000D31A5" w:rsidRPr="00780B9F">
        <w:rPr>
          <w:rFonts w:ascii="Arial" w:hAnsi="Arial" w:cs="Arial"/>
        </w:rPr>
        <w:t xml:space="preserve">. </w:t>
      </w:r>
    </w:p>
    <w:p w14:paraId="47B0B82B" w14:textId="208625F4" w:rsidR="002A75F3" w:rsidRPr="00780B9F" w:rsidRDefault="002A75F3" w:rsidP="00780B9F">
      <w:pPr>
        <w:pStyle w:val="NormalWeb"/>
        <w:spacing w:before="0" w:beforeAutospacing="0" w:after="0" w:afterAutospacing="0" w:line="480" w:lineRule="auto"/>
        <w:ind w:firstLine="720"/>
        <w:rPr>
          <w:rFonts w:ascii="Arial" w:hAnsi="Arial" w:cs="Arial"/>
        </w:rPr>
      </w:pPr>
      <w:r w:rsidRPr="00780B9F">
        <w:rPr>
          <w:rFonts w:ascii="Arial" w:hAnsi="Arial" w:cs="Arial"/>
        </w:rPr>
        <w:t>Evidently, Patty suffers from a restrictive type of Anorexia Nervosa. Anorexia is a common eating disorder, that often has its onset in women aged 10-20 years old (Edakubo &amp; Fushimi, 2020). Patty</w:t>
      </w:r>
      <w:r w:rsidR="004F3DE1">
        <w:rPr>
          <w:rFonts w:ascii="Arial" w:hAnsi="Arial" w:cs="Arial"/>
        </w:rPr>
        <w:t>’s</w:t>
      </w:r>
      <w:r w:rsidRPr="00780B9F">
        <w:rPr>
          <w:rFonts w:ascii="Arial" w:hAnsi="Arial" w:cs="Arial"/>
        </w:rPr>
        <w:t xml:space="preserve"> </w:t>
      </w:r>
      <w:r w:rsidR="001014BF" w:rsidRPr="00780B9F">
        <w:rPr>
          <w:rFonts w:ascii="Arial" w:hAnsi="Arial" w:cs="Arial"/>
        </w:rPr>
        <w:t>symptoms</w:t>
      </w:r>
      <w:r w:rsidRPr="00780B9F">
        <w:rPr>
          <w:rFonts w:ascii="Arial" w:hAnsi="Arial" w:cs="Arial"/>
        </w:rPr>
        <w:t xml:space="preserve"> </w:t>
      </w:r>
      <w:r w:rsidR="001014BF" w:rsidRPr="00780B9F">
        <w:rPr>
          <w:rFonts w:ascii="Arial" w:hAnsi="Arial" w:cs="Arial"/>
        </w:rPr>
        <w:t>match the Diagnostic</w:t>
      </w:r>
      <w:r w:rsidR="001014BF" w:rsidRPr="00780B9F">
        <w:rPr>
          <w:rFonts w:ascii="Arial" w:hAnsi="Arial" w:cs="Arial"/>
          <w:i/>
          <w:iCs/>
        </w:rPr>
        <w:t xml:space="preserve"> </w:t>
      </w:r>
      <w:r w:rsidR="001014BF" w:rsidRPr="00780B9F">
        <w:rPr>
          <w:rFonts w:ascii="Arial" w:hAnsi="Arial" w:cs="Arial"/>
        </w:rPr>
        <w:t>and Statistical Manual of Mental Disorders</w:t>
      </w:r>
      <w:r w:rsidR="001014BF" w:rsidRPr="00780B9F">
        <w:rPr>
          <w:rFonts w:ascii="Arial" w:hAnsi="Arial" w:cs="Arial"/>
          <w:i/>
          <w:iCs/>
        </w:rPr>
        <w:t> </w:t>
      </w:r>
      <w:r w:rsidR="001014BF" w:rsidRPr="00780B9F">
        <w:rPr>
          <w:rFonts w:ascii="Arial" w:hAnsi="Arial" w:cs="Arial"/>
        </w:rPr>
        <w:t xml:space="preserve">(5th ed.; DSM–5; American Psychiatric Association, 2013) characteristic </w:t>
      </w:r>
      <w:r w:rsidRPr="00780B9F">
        <w:rPr>
          <w:rFonts w:ascii="Arial" w:hAnsi="Arial" w:cs="Arial"/>
        </w:rPr>
        <w:t>for Anorexia Nervous, such as food restriction that leads to significant weight loss, self-criticism, and lack of recognition of the severity of low body weight. Most patients which have suffered from this disorder have died due to medical complications</w:t>
      </w:r>
      <w:r w:rsidR="004F3DE1">
        <w:rPr>
          <w:rFonts w:ascii="Arial" w:hAnsi="Arial" w:cs="Arial"/>
        </w:rPr>
        <w:t>;</w:t>
      </w:r>
      <w:r w:rsidRPr="00780B9F">
        <w:rPr>
          <w:rFonts w:ascii="Arial" w:hAnsi="Arial" w:cs="Arial"/>
        </w:rPr>
        <w:t xml:space="preserve"> approximately 3 percent of the individuals die as a direct effect of their self-imposed starvation (Signorini et al., 2006). Patty’s current mental and physical state presents a high risk to her wellbeing.</w:t>
      </w:r>
      <w:r w:rsidR="005E35C6" w:rsidRPr="00780B9F">
        <w:rPr>
          <w:rFonts w:ascii="Arial" w:hAnsi="Arial" w:cs="Arial"/>
        </w:rPr>
        <w:t xml:space="preserve"> Like many others suffering from this disorder, Patty does not present any risk to others, however her actions pose a significant risk to herself. If her starvation continues the prolonged lack of nutrition can lead to starvation which then can lead to death </w:t>
      </w:r>
      <w:r w:rsidR="001014BF" w:rsidRPr="00780B9F">
        <w:rPr>
          <w:rFonts w:ascii="Arial" w:hAnsi="Arial" w:cs="Arial"/>
        </w:rPr>
        <w:t>(Brockmeyer et al., 2012).</w:t>
      </w:r>
    </w:p>
    <w:p w14:paraId="09BB3274" w14:textId="1EF434B6" w:rsidR="00EE623D" w:rsidRPr="00780B9F" w:rsidRDefault="00C37FDD" w:rsidP="00780B9F">
      <w:pPr>
        <w:pStyle w:val="NormalWeb"/>
        <w:spacing w:before="0" w:beforeAutospacing="0" w:after="0" w:afterAutospacing="0" w:line="480" w:lineRule="auto"/>
        <w:ind w:firstLine="720"/>
        <w:rPr>
          <w:rFonts w:ascii="Arial" w:hAnsi="Arial" w:cs="Arial"/>
        </w:rPr>
      </w:pPr>
      <w:r w:rsidRPr="00780B9F">
        <w:rPr>
          <w:rFonts w:ascii="Arial" w:hAnsi="Arial" w:cs="Arial"/>
        </w:rPr>
        <w:t>Social interactions and life experiences often contribute to the development of an eating disorder (Cardi et al., 2018). This is visible in Patty’s case, where her eating regime was triggered by a loss of an old friend and learning that her ex-boyfriend was unfaithful to her. She often avoids social interaction especially those that involve eating around others. There are no pre-existent links to any mental health disorder</w:t>
      </w:r>
      <w:r w:rsidR="004F3DE1">
        <w:rPr>
          <w:rFonts w:ascii="Arial" w:hAnsi="Arial" w:cs="Arial"/>
        </w:rPr>
        <w:t>s</w:t>
      </w:r>
      <w:r w:rsidRPr="00780B9F">
        <w:rPr>
          <w:rFonts w:ascii="Arial" w:hAnsi="Arial" w:cs="Arial"/>
        </w:rPr>
        <w:t xml:space="preserve"> within the immediate family. No information was supplied concerning obesity, eating, or weight concerns, which are usually seen within the immediate family (Fairburn et al., 1999). Anorexia presents a variety of physical and </w:t>
      </w:r>
      <w:r w:rsidRPr="00780B9F">
        <w:rPr>
          <w:rFonts w:ascii="Arial" w:hAnsi="Arial" w:cs="Arial"/>
        </w:rPr>
        <w:lastRenderedPageBreak/>
        <w:t>psychiatric complications, such as hypotension, bradycardia, and arrhythmia due to electrolyte abnormality and high infection rate</w:t>
      </w:r>
      <w:r w:rsidR="004F3DE1">
        <w:rPr>
          <w:rFonts w:ascii="Arial" w:hAnsi="Arial" w:cs="Arial"/>
        </w:rPr>
        <w:t xml:space="preserve"> from</w:t>
      </w:r>
      <w:r w:rsidRPr="00780B9F">
        <w:rPr>
          <w:rFonts w:ascii="Arial" w:hAnsi="Arial" w:cs="Arial"/>
        </w:rPr>
        <w:t xml:space="preserve"> low white blood cell count (Yager &amp; Andersen, 2005). Due to the food restrictions, Patty’s immune system was we</w:t>
      </w:r>
      <w:r w:rsidR="004F3DE1">
        <w:rPr>
          <w:rFonts w:ascii="Arial" w:hAnsi="Arial" w:cs="Arial"/>
        </w:rPr>
        <w:t>a</w:t>
      </w:r>
      <w:r w:rsidRPr="00780B9F">
        <w:rPr>
          <w:rFonts w:ascii="Arial" w:hAnsi="Arial" w:cs="Arial"/>
        </w:rPr>
        <w:t>ken</w:t>
      </w:r>
      <w:r w:rsidR="004F3DE1">
        <w:rPr>
          <w:rFonts w:ascii="Arial" w:hAnsi="Arial" w:cs="Arial"/>
        </w:rPr>
        <w:t>e</w:t>
      </w:r>
      <w:r w:rsidRPr="00780B9F">
        <w:rPr>
          <w:rFonts w:ascii="Arial" w:hAnsi="Arial" w:cs="Arial"/>
        </w:rPr>
        <w:t>d and she often contracted bacterial and virus infections</w:t>
      </w:r>
      <w:r w:rsidR="004F3DE1">
        <w:rPr>
          <w:rFonts w:ascii="Arial" w:hAnsi="Arial" w:cs="Arial"/>
        </w:rPr>
        <w:t xml:space="preserve">; </w:t>
      </w:r>
      <w:r w:rsidRPr="00780B9F">
        <w:rPr>
          <w:rFonts w:ascii="Arial" w:hAnsi="Arial" w:cs="Arial"/>
        </w:rPr>
        <w:t>her menstruating cycle has also stopped.  She often displays fatigue and lack of concentration.</w:t>
      </w:r>
      <w:r w:rsidR="00EE623D" w:rsidRPr="00780B9F">
        <w:rPr>
          <w:rFonts w:ascii="Arial" w:hAnsi="Arial" w:cs="Arial"/>
        </w:rPr>
        <w:t xml:space="preserve"> </w:t>
      </w:r>
    </w:p>
    <w:p w14:paraId="3ADDC756" w14:textId="6CBDF70F" w:rsidR="0037657E" w:rsidRPr="00780B9F" w:rsidRDefault="0037657E" w:rsidP="00780B9F">
      <w:pPr>
        <w:spacing w:line="480" w:lineRule="auto"/>
        <w:rPr>
          <w:rFonts w:ascii="Arial" w:hAnsi="Arial" w:cs="Arial"/>
          <w:sz w:val="24"/>
          <w:szCs w:val="24"/>
          <w:u w:val="single"/>
        </w:rPr>
      </w:pPr>
    </w:p>
    <w:p w14:paraId="07825F0D" w14:textId="7B654F1E" w:rsidR="00065492" w:rsidRPr="00780B9F" w:rsidRDefault="00065492" w:rsidP="00780B9F">
      <w:pPr>
        <w:spacing w:line="480" w:lineRule="auto"/>
        <w:rPr>
          <w:rFonts w:ascii="Arial" w:hAnsi="Arial" w:cs="Arial"/>
          <w:b/>
          <w:bCs/>
          <w:sz w:val="24"/>
          <w:szCs w:val="24"/>
          <w:u w:val="single"/>
        </w:rPr>
      </w:pPr>
      <w:r w:rsidRPr="00780B9F">
        <w:rPr>
          <w:rFonts w:ascii="Arial" w:hAnsi="Arial" w:cs="Arial"/>
          <w:b/>
          <w:bCs/>
          <w:sz w:val="24"/>
          <w:szCs w:val="24"/>
          <w:u w:val="single"/>
        </w:rPr>
        <w:t>Static and dynamic factors</w:t>
      </w:r>
    </w:p>
    <w:p w14:paraId="3DBCBCD3" w14:textId="1996F366" w:rsidR="008E453B" w:rsidRPr="00780B9F" w:rsidRDefault="008E453B" w:rsidP="00780B9F">
      <w:pPr>
        <w:spacing w:line="480" w:lineRule="auto"/>
        <w:ind w:firstLine="720"/>
        <w:rPr>
          <w:rFonts w:ascii="Arial" w:hAnsi="Arial" w:cs="Arial"/>
          <w:sz w:val="24"/>
          <w:szCs w:val="24"/>
        </w:rPr>
      </w:pPr>
      <w:r w:rsidRPr="00780B9F">
        <w:rPr>
          <w:rFonts w:ascii="Arial" w:hAnsi="Arial" w:cs="Arial"/>
          <w:sz w:val="24"/>
          <w:szCs w:val="24"/>
        </w:rPr>
        <w:t xml:space="preserve">The most significant static factor for Patty Bensusan is her desire to lose weight and avoid eating. Patty was already underweight when she developed issues with her weight. In her final year of high school, she started to restrict intake of </w:t>
      </w:r>
      <w:r w:rsidR="00AB0C6D" w:rsidRPr="00780B9F">
        <w:rPr>
          <w:rFonts w:ascii="Arial" w:hAnsi="Arial" w:cs="Arial"/>
          <w:sz w:val="24"/>
          <w:szCs w:val="24"/>
        </w:rPr>
        <w:t>fats, sugar</w:t>
      </w:r>
      <w:r w:rsidR="004F3DE1">
        <w:rPr>
          <w:rFonts w:ascii="Arial" w:hAnsi="Arial" w:cs="Arial"/>
          <w:sz w:val="24"/>
          <w:szCs w:val="24"/>
        </w:rPr>
        <w:t>s</w:t>
      </w:r>
      <w:r w:rsidR="00AB0C6D" w:rsidRPr="00780B9F">
        <w:rPr>
          <w:rFonts w:ascii="Arial" w:hAnsi="Arial" w:cs="Arial"/>
          <w:sz w:val="24"/>
          <w:szCs w:val="24"/>
        </w:rPr>
        <w:t xml:space="preserve"> and carbohydrates</w:t>
      </w:r>
      <w:r w:rsidRPr="00780B9F">
        <w:rPr>
          <w:rFonts w:ascii="Arial" w:hAnsi="Arial" w:cs="Arial"/>
          <w:sz w:val="24"/>
          <w:szCs w:val="24"/>
        </w:rPr>
        <w:t xml:space="preserve">. This then escalated to her skipping meals, staying longer in college to avoid family mealtime. At the same time, she intensifies her exercise regime by scheduling her runs after </w:t>
      </w:r>
      <w:r w:rsidR="00C37FDD" w:rsidRPr="00780B9F">
        <w:rPr>
          <w:rFonts w:ascii="Arial" w:hAnsi="Arial" w:cs="Arial"/>
          <w:sz w:val="24"/>
          <w:szCs w:val="24"/>
        </w:rPr>
        <w:t>meals</w:t>
      </w:r>
      <w:r w:rsidRPr="00780B9F">
        <w:rPr>
          <w:rFonts w:ascii="Arial" w:hAnsi="Arial" w:cs="Arial"/>
          <w:sz w:val="24"/>
          <w:szCs w:val="24"/>
        </w:rPr>
        <w:t xml:space="preserve"> and running on the treadmill at night to burn extra calories. Even though her weight began to drop, her concern over her body image did not. Her thoughts were constantly preoccupied with her weight and her body</w:t>
      </w:r>
      <w:r w:rsidR="00EF5CCE" w:rsidRPr="00780B9F">
        <w:rPr>
          <w:rFonts w:ascii="Arial" w:hAnsi="Arial" w:cs="Arial"/>
          <w:sz w:val="24"/>
          <w:szCs w:val="24"/>
        </w:rPr>
        <w:t xml:space="preserve"> image</w:t>
      </w:r>
      <w:r w:rsidRPr="00780B9F">
        <w:rPr>
          <w:rFonts w:ascii="Arial" w:hAnsi="Arial" w:cs="Arial"/>
          <w:sz w:val="24"/>
          <w:szCs w:val="24"/>
        </w:rPr>
        <w:t xml:space="preserve">.  She enjoyed the feeling of emptiness that she felt when </w:t>
      </w:r>
      <w:r w:rsidR="00EF5CCE" w:rsidRPr="00780B9F">
        <w:rPr>
          <w:rFonts w:ascii="Arial" w:hAnsi="Arial" w:cs="Arial"/>
          <w:sz w:val="24"/>
          <w:szCs w:val="24"/>
        </w:rPr>
        <w:t>she did not eat</w:t>
      </w:r>
      <w:r w:rsidRPr="00780B9F">
        <w:rPr>
          <w:rFonts w:ascii="Arial" w:hAnsi="Arial" w:cs="Arial"/>
          <w:sz w:val="24"/>
          <w:szCs w:val="24"/>
        </w:rPr>
        <w:t>. She often associates failure, embarrassment, and humiliation with her food intake. She always negatively views her body.</w:t>
      </w:r>
    </w:p>
    <w:p w14:paraId="42C451D7" w14:textId="236CB0C5" w:rsidR="00EF5CCE" w:rsidRPr="00780B9F" w:rsidRDefault="008E453B" w:rsidP="00780B9F">
      <w:pPr>
        <w:spacing w:line="480" w:lineRule="auto"/>
        <w:ind w:firstLine="720"/>
        <w:rPr>
          <w:rFonts w:ascii="Arial" w:hAnsi="Arial" w:cs="Arial"/>
          <w:sz w:val="24"/>
          <w:szCs w:val="24"/>
        </w:rPr>
      </w:pPr>
      <w:r w:rsidRPr="00780B9F">
        <w:rPr>
          <w:rFonts w:ascii="Arial" w:hAnsi="Arial" w:cs="Arial"/>
          <w:sz w:val="24"/>
          <w:szCs w:val="24"/>
        </w:rPr>
        <w:t xml:space="preserve">Social interaction is a dynamic factor </w:t>
      </w:r>
      <w:r w:rsidR="00EF5CCE" w:rsidRPr="00780B9F">
        <w:rPr>
          <w:rFonts w:ascii="Arial" w:hAnsi="Arial" w:cs="Arial"/>
          <w:sz w:val="24"/>
          <w:szCs w:val="24"/>
        </w:rPr>
        <w:t>that</w:t>
      </w:r>
      <w:r w:rsidRPr="00780B9F">
        <w:rPr>
          <w:rFonts w:ascii="Arial" w:hAnsi="Arial" w:cs="Arial"/>
          <w:sz w:val="24"/>
          <w:szCs w:val="24"/>
        </w:rPr>
        <w:t xml:space="preserve"> fluctuates throughout </w:t>
      </w:r>
      <w:r w:rsidR="00736BCC" w:rsidRPr="00780B9F">
        <w:rPr>
          <w:rFonts w:ascii="Arial" w:hAnsi="Arial" w:cs="Arial"/>
          <w:sz w:val="24"/>
          <w:szCs w:val="24"/>
        </w:rPr>
        <w:t>Patty’s</w:t>
      </w:r>
      <w:r w:rsidRPr="00780B9F">
        <w:rPr>
          <w:rFonts w:ascii="Arial" w:hAnsi="Arial" w:cs="Arial"/>
          <w:sz w:val="24"/>
          <w:szCs w:val="24"/>
        </w:rPr>
        <w:t xml:space="preserve"> life. Her anorexia disorder was triggered by personal distress which was caused by losing one of her friends and learning about her ex-boyfriend's infidelity. After that, </w:t>
      </w:r>
      <w:r w:rsidR="009A7AF6" w:rsidRPr="00780B9F">
        <w:rPr>
          <w:rFonts w:ascii="Arial" w:hAnsi="Arial" w:cs="Arial"/>
          <w:sz w:val="24"/>
          <w:szCs w:val="24"/>
        </w:rPr>
        <w:t xml:space="preserve">to </w:t>
      </w:r>
      <w:r w:rsidRPr="00780B9F">
        <w:rPr>
          <w:rFonts w:ascii="Arial" w:hAnsi="Arial" w:cs="Arial"/>
          <w:sz w:val="24"/>
          <w:szCs w:val="24"/>
        </w:rPr>
        <w:t>regain control over her</w:t>
      </w:r>
      <w:r w:rsidR="00736BCC" w:rsidRPr="00780B9F">
        <w:rPr>
          <w:rFonts w:ascii="Arial" w:hAnsi="Arial" w:cs="Arial"/>
          <w:sz w:val="24"/>
          <w:szCs w:val="24"/>
        </w:rPr>
        <w:t xml:space="preserve"> personal</w:t>
      </w:r>
      <w:r w:rsidRPr="00780B9F">
        <w:rPr>
          <w:rFonts w:ascii="Arial" w:hAnsi="Arial" w:cs="Arial"/>
          <w:sz w:val="24"/>
          <w:szCs w:val="24"/>
        </w:rPr>
        <w:t xml:space="preserve"> life </w:t>
      </w:r>
      <w:r w:rsidR="009A7AF6" w:rsidRPr="00780B9F">
        <w:rPr>
          <w:rFonts w:ascii="Arial" w:hAnsi="Arial" w:cs="Arial"/>
          <w:sz w:val="24"/>
          <w:szCs w:val="24"/>
        </w:rPr>
        <w:t>she began to</w:t>
      </w:r>
      <w:r w:rsidRPr="00780B9F">
        <w:rPr>
          <w:rFonts w:ascii="Arial" w:hAnsi="Arial" w:cs="Arial"/>
          <w:sz w:val="24"/>
          <w:szCs w:val="24"/>
        </w:rPr>
        <w:t xml:space="preserve"> control</w:t>
      </w:r>
      <w:r w:rsidR="009A7AF6" w:rsidRPr="00780B9F">
        <w:rPr>
          <w:rFonts w:ascii="Arial" w:hAnsi="Arial" w:cs="Arial"/>
          <w:sz w:val="24"/>
          <w:szCs w:val="24"/>
        </w:rPr>
        <w:t xml:space="preserve"> </w:t>
      </w:r>
      <w:r w:rsidRPr="00780B9F">
        <w:rPr>
          <w:rFonts w:ascii="Arial" w:hAnsi="Arial" w:cs="Arial"/>
          <w:sz w:val="24"/>
          <w:szCs w:val="24"/>
        </w:rPr>
        <w:t>her weight</w:t>
      </w:r>
      <w:r w:rsidR="00EF5CCE" w:rsidRPr="00780B9F">
        <w:rPr>
          <w:rFonts w:ascii="Arial" w:hAnsi="Arial" w:cs="Arial"/>
          <w:sz w:val="24"/>
          <w:szCs w:val="24"/>
        </w:rPr>
        <w:t xml:space="preserve"> </w:t>
      </w:r>
      <w:r w:rsidR="00736BCC" w:rsidRPr="00780B9F">
        <w:rPr>
          <w:rFonts w:ascii="Arial" w:hAnsi="Arial" w:cs="Arial"/>
          <w:sz w:val="24"/>
          <w:szCs w:val="24"/>
        </w:rPr>
        <w:t>by reducing</w:t>
      </w:r>
      <w:r w:rsidR="009A7AF6" w:rsidRPr="00780B9F">
        <w:rPr>
          <w:rFonts w:ascii="Arial" w:hAnsi="Arial" w:cs="Arial"/>
          <w:sz w:val="24"/>
          <w:szCs w:val="24"/>
        </w:rPr>
        <w:t xml:space="preserve"> </w:t>
      </w:r>
      <w:r w:rsidR="00EF5CCE" w:rsidRPr="00780B9F">
        <w:rPr>
          <w:rFonts w:ascii="Arial" w:hAnsi="Arial" w:cs="Arial"/>
          <w:sz w:val="24"/>
          <w:szCs w:val="24"/>
        </w:rPr>
        <w:t>food intake</w:t>
      </w:r>
      <w:r w:rsidR="00736BCC" w:rsidRPr="00780B9F">
        <w:rPr>
          <w:rFonts w:ascii="Arial" w:hAnsi="Arial" w:cs="Arial"/>
          <w:sz w:val="24"/>
          <w:szCs w:val="24"/>
        </w:rPr>
        <w:t xml:space="preserve"> and exercise</w:t>
      </w:r>
      <w:r w:rsidRPr="00780B9F">
        <w:rPr>
          <w:rFonts w:ascii="Arial" w:hAnsi="Arial" w:cs="Arial"/>
          <w:sz w:val="24"/>
          <w:szCs w:val="24"/>
        </w:rPr>
        <w:t>.</w:t>
      </w:r>
      <w:r w:rsidR="00EF5CCE" w:rsidRPr="00780B9F">
        <w:rPr>
          <w:rFonts w:ascii="Arial" w:hAnsi="Arial" w:cs="Arial"/>
          <w:sz w:val="24"/>
          <w:szCs w:val="24"/>
        </w:rPr>
        <w:t xml:space="preserve"> </w:t>
      </w:r>
      <w:r w:rsidR="006B688A" w:rsidRPr="00780B9F">
        <w:rPr>
          <w:rFonts w:ascii="Arial" w:hAnsi="Arial" w:cs="Arial"/>
          <w:sz w:val="24"/>
          <w:szCs w:val="24"/>
        </w:rPr>
        <w:t xml:space="preserve">Interpersonal functioning is a pattern of interaction between the individual and others, it is also a process which a self-perception is affected by </w:t>
      </w:r>
      <w:r w:rsidR="006B688A" w:rsidRPr="00780B9F">
        <w:rPr>
          <w:rFonts w:ascii="Arial" w:hAnsi="Arial" w:cs="Arial"/>
          <w:sz w:val="24"/>
          <w:szCs w:val="24"/>
        </w:rPr>
        <w:lastRenderedPageBreak/>
        <w:t xml:space="preserve">(Arcelus et al., 2013). Patty </w:t>
      </w:r>
      <w:r w:rsidR="00EF5CCE" w:rsidRPr="00780B9F">
        <w:rPr>
          <w:rFonts w:ascii="Arial" w:hAnsi="Arial" w:cs="Arial"/>
          <w:sz w:val="24"/>
          <w:szCs w:val="24"/>
        </w:rPr>
        <w:t>demonstrates interpersonal distrust</w:t>
      </w:r>
      <w:r w:rsidR="006B688A" w:rsidRPr="00780B9F">
        <w:rPr>
          <w:rFonts w:ascii="Arial" w:hAnsi="Arial" w:cs="Arial"/>
          <w:sz w:val="24"/>
          <w:szCs w:val="24"/>
        </w:rPr>
        <w:t>. The concern of her ex-partner over her health has created an inner conflict</w:t>
      </w:r>
      <w:r w:rsidR="00EF5CCE" w:rsidRPr="00780B9F">
        <w:rPr>
          <w:rFonts w:ascii="Arial" w:hAnsi="Arial" w:cs="Arial"/>
          <w:sz w:val="24"/>
          <w:szCs w:val="24"/>
        </w:rPr>
        <w:t>. S</w:t>
      </w:r>
      <w:r w:rsidRPr="00780B9F">
        <w:rPr>
          <w:rFonts w:ascii="Arial" w:hAnsi="Arial" w:cs="Arial"/>
          <w:sz w:val="24"/>
          <w:szCs w:val="24"/>
        </w:rPr>
        <w:t>he felt guilty for making him worr</w:t>
      </w:r>
      <w:r w:rsidR="00457F7B">
        <w:rPr>
          <w:rFonts w:ascii="Arial" w:hAnsi="Arial" w:cs="Arial"/>
          <w:sz w:val="24"/>
          <w:szCs w:val="24"/>
        </w:rPr>
        <w:t>y,</w:t>
      </w:r>
      <w:r w:rsidRPr="00780B9F">
        <w:rPr>
          <w:rFonts w:ascii="Arial" w:hAnsi="Arial" w:cs="Arial"/>
          <w:sz w:val="24"/>
          <w:szCs w:val="24"/>
        </w:rPr>
        <w:t xml:space="preserve"> but at the same </w:t>
      </w:r>
      <w:r w:rsidR="00EF5CCE" w:rsidRPr="00780B9F">
        <w:rPr>
          <w:rFonts w:ascii="Arial" w:hAnsi="Arial" w:cs="Arial"/>
          <w:sz w:val="24"/>
          <w:szCs w:val="24"/>
        </w:rPr>
        <w:t>time</w:t>
      </w:r>
      <w:r w:rsidR="00457F7B">
        <w:rPr>
          <w:rFonts w:ascii="Arial" w:hAnsi="Arial" w:cs="Arial"/>
          <w:sz w:val="24"/>
          <w:szCs w:val="24"/>
        </w:rPr>
        <w:t xml:space="preserve"> </w:t>
      </w:r>
      <w:r w:rsidRPr="00780B9F">
        <w:rPr>
          <w:rFonts w:ascii="Arial" w:hAnsi="Arial" w:cs="Arial"/>
          <w:sz w:val="24"/>
          <w:szCs w:val="24"/>
        </w:rPr>
        <w:t xml:space="preserve">she developed a desire to maintain her </w:t>
      </w:r>
      <w:r w:rsidR="00EF5CCE" w:rsidRPr="00780B9F">
        <w:rPr>
          <w:rFonts w:ascii="Arial" w:hAnsi="Arial" w:cs="Arial"/>
          <w:sz w:val="24"/>
          <w:szCs w:val="24"/>
        </w:rPr>
        <w:t>behaviour,</w:t>
      </w:r>
      <w:r w:rsidRPr="00780B9F">
        <w:rPr>
          <w:rFonts w:ascii="Arial" w:hAnsi="Arial" w:cs="Arial"/>
          <w:sz w:val="24"/>
          <w:szCs w:val="24"/>
        </w:rPr>
        <w:t xml:space="preserve"> so </w:t>
      </w:r>
      <w:r w:rsidR="006B688A" w:rsidRPr="00780B9F">
        <w:rPr>
          <w:rFonts w:ascii="Arial" w:hAnsi="Arial" w:cs="Arial"/>
          <w:sz w:val="24"/>
          <w:szCs w:val="24"/>
        </w:rPr>
        <w:t xml:space="preserve">she </w:t>
      </w:r>
      <w:r w:rsidR="00CF1D71" w:rsidRPr="00780B9F">
        <w:rPr>
          <w:rFonts w:ascii="Arial" w:hAnsi="Arial" w:cs="Arial"/>
          <w:sz w:val="24"/>
          <w:szCs w:val="24"/>
        </w:rPr>
        <w:t>does not</w:t>
      </w:r>
      <w:r w:rsidR="006B688A" w:rsidRPr="00780B9F">
        <w:rPr>
          <w:rFonts w:ascii="Arial" w:hAnsi="Arial" w:cs="Arial"/>
          <w:sz w:val="24"/>
          <w:szCs w:val="24"/>
        </w:rPr>
        <w:t xml:space="preserve"> lose him again</w:t>
      </w:r>
      <w:r w:rsidRPr="00780B9F">
        <w:rPr>
          <w:rFonts w:ascii="Arial" w:hAnsi="Arial" w:cs="Arial"/>
          <w:sz w:val="24"/>
          <w:szCs w:val="24"/>
        </w:rPr>
        <w:t xml:space="preserve">. </w:t>
      </w:r>
      <w:r w:rsidR="00EF5CCE" w:rsidRPr="00780B9F">
        <w:rPr>
          <w:rFonts w:ascii="Arial" w:hAnsi="Arial" w:cs="Arial"/>
          <w:sz w:val="24"/>
          <w:szCs w:val="24"/>
        </w:rPr>
        <w:t>At that time,</w:t>
      </w:r>
      <w:r w:rsidRPr="00780B9F">
        <w:rPr>
          <w:rFonts w:ascii="Arial" w:hAnsi="Arial" w:cs="Arial"/>
          <w:sz w:val="24"/>
          <w:szCs w:val="24"/>
        </w:rPr>
        <w:t xml:space="preserve"> the severity of her disorder increased, and she became socially withdrawn and depressed. She </w:t>
      </w:r>
      <w:r w:rsidR="00EF5CCE" w:rsidRPr="00780B9F">
        <w:rPr>
          <w:rFonts w:ascii="Arial" w:hAnsi="Arial" w:cs="Arial"/>
          <w:sz w:val="24"/>
          <w:szCs w:val="24"/>
        </w:rPr>
        <w:t>expressed her</w:t>
      </w:r>
      <w:r w:rsidRPr="00780B9F">
        <w:rPr>
          <w:rFonts w:ascii="Arial" w:hAnsi="Arial" w:cs="Arial"/>
          <w:sz w:val="24"/>
          <w:szCs w:val="24"/>
        </w:rPr>
        <w:t xml:space="preserve"> </w:t>
      </w:r>
      <w:r w:rsidR="00EF5CCE" w:rsidRPr="00780B9F">
        <w:rPr>
          <w:rFonts w:ascii="Arial" w:hAnsi="Arial" w:cs="Arial"/>
          <w:sz w:val="24"/>
          <w:szCs w:val="24"/>
        </w:rPr>
        <w:t xml:space="preserve">anxiety </w:t>
      </w:r>
      <w:r w:rsidR="00457F7B">
        <w:rPr>
          <w:rFonts w:ascii="Arial" w:hAnsi="Arial" w:cs="Arial"/>
          <w:sz w:val="24"/>
          <w:szCs w:val="24"/>
        </w:rPr>
        <w:t xml:space="preserve">through </w:t>
      </w:r>
      <w:r w:rsidR="00EF5CCE" w:rsidRPr="00780B9F">
        <w:rPr>
          <w:rFonts w:ascii="Arial" w:hAnsi="Arial" w:cs="Arial"/>
          <w:sz w:val="24"/>
          <w:szCs w:val="24"/>
        </w:rPr>
        <w:t xml:space="preserve">social interaction. </w:t>
      </w:r>
    </w:p>
    <w:p w14:paraId="66C0C3EB" w14:textId="77777777" w:rsidR="009339F0" w:rsidRPr="00780B9F" w:rsidRDefault="009339F0" w:rsidP="00780B9F">
      <w:pPr>
        <w:spacing w:line="480" w:lineRule="auto"/>
        <w:rPr>
          <w:rFonts w:ascii="Arial" w:hAnsi="Arial" w:cs="Arial"/>
          <w:sz w:val="24"/>
          <w:szCs w:val="24"/>
          <w:u w:val="single"/>
        </w:rPr>
      </w:pPr>
    </w:p>
    <w:p w14:paraId="603F3E54" w14:textId="31109CA0" w:rsidR="00065492" w:rsidRPr="00780B9F" w:rsidRDefault="00065492" w:rsidP="00780B9F">
      <w:pPr>
        <w:spacing w:line="480" w:lineRule="auto"/>
        <w:rPr>
          <w:rFonts w:ascii="Arial" w:hAnsi="Arial" w:cs="Arial"/>
          <w:b/>
          <w:bCs/>
          <w:sz w:val="24"/>
          <w:szCs w:val="24"/>
          <w:u w:val="single"/>
        </w:rPr>
      </w:pPr>
      <w:r w:rsidRPr="00780B9F">
        <w:rPr>
          <w:rFonts w:ascii="Arial" w:hAnsi="Arial" w:cs="Arial"/>
          <w:b/>
          <w:bCs/>
          <w:sz w:val="24"/>
          <w:szCs w:val="24"/>
          <w:u w:val="single"/>
        </w:rPr>
        <w:t>Triggers and precipitating factors</w:t>
      </w:r>
    </w:p>
    <w:p w14:paraId="559160B1" w14:textId="208D98D1" w:rsidR="000070D6" w:rsidRPr="00780B9F" w:rsidRDefault="000070D6" w:rsidP="00780B9F">
      <w:pPr>
        <w:spacing w:line="480" w:lineRule="auto"/>
        <w:ind w:firstLine="720"/>
        <w:rPr>
          <w:rFonts w:ascii="Arial" w:hAnsi="Arial" w:cs="Arial"/>
          <w:sz w:val="24"/>
          <w:szCs w:val="24"/>
        </w:rPr>
      </w:pPr>
      <w:r w:rsidRPr="00780B9F">
        <w:rPr>
          <w:rFonts w:ascii="Arial" w:hAnsi="Arial" w:cs="Arial"/>
          <w:sz w:val="24"/>
          <w:szCs w:val="24"/>
        </w:rPr>
        <w:t>During the last year of high school, Patty went through an emotional time, she has been accepted to the University of her choice but at the same time, she found out that her ex-boyfriend was unfaithful when they were together. On top of that, she has suffered distress caused by losing her long-time friend. This is when her problems with her self-image began. Negative emotional situations can often trigger self-criticism, as people often magnify their flaws and defects during that time. This pattern of emotions often occurs in individuals suffering from eating disorders and depression (Garner &amp; Garfinkel, 1997). A negative effect can also act as a risk trigger for dietary restrictions (Engel et al., 2013). The emotional regulation difficulty is one of the precipitating factors in Patty’s case and often occurs in individuals suffering from Anorexia Nervosa. Individuals suffering from this disorder often display elevated emotional regulation difficulties and have a reduced ability to deal with distress. The emotional state increases before anorexia nervosa behaviour occur</w:t>
      </w:r>
      <w:r w:rsidR="00457F7B">
        <w:rPr>
          <w:rFonts w:ascii="Arial" w:hAnsi="Arial" w:cs="Arial"/>
          <w:sz w:val="24"/>
          <w:szCs w:val="24"/>
        </w:rPr>
        <w:t>,</w:t>
      </w:r>
      <w:r w:rsidRPr="00780B9F">
        <w:rPr>
          <w:rFonts w:ascii="Arial" w:hAnsi="Arial" w:cs="Arial"/>
          <w:sz w:val="24"/>
          <w:szCs w:val="24"/>
        </w:rPr>
        <w:t xml:space="preserve"> and decrease significantly after the occurrence of these behaviours (Engel et al., 2013). Social relationships have repeatedly been demonstrated to have an impact on Patty and the intensity of her disorder. It is noticeable that she has </w:t>
      </w:r>
      <w:r w:rsidRPr="00780B9F">
        <w:rPr>
          <w:rFonts w:ascii="Arial" w:hAnsi="Arial" w:cs="Arial"/>
          <w:sz w:val="24"/>
          <w:szCs w:val="24"/>
        </w:rPr>
        <w:lastRenderedPageBreak/>
        <w:t>difficulties in dealing with opinions that differ from her own, other people's comments are often taken out of context and viewed as negative.</w:t>
      </w:r>
    </w:p>
    <w:p w14:paraId="45374FCD" w14:textId="77777777" w:rsidR="000070D6" w:rsidRPr="00780B9F" w:rsidRDefault="000070D6" w:rsidP="00780B9F">
      <w:pPr>
        <w:spacing w:line="480" w:lineRule="auto"/>
        <w:ind w:firstLine="720"/>
        <w:rPr>
          <w:rFonts w:ascii="Arial" w:hAnsi="Arial" w:cs="Arial"/>
          <w:sz w:val="24"/>
          <w:szCs w:val="24"/>
        </w:rPr>
      </w:pPr>
      <w:r w:rsidRPr="00780B9F">
        <w:rPr>
          <w:rFonts w:ascii="Arial" w:hAnsi="Arial" w:cs="Arial"/>
          <w:sz w:val="24"/>
          <w:szCs w:val="24"/>
        </w:rPr>
        <w:t xml:space="preserve">Self-orientated perfectionism is one of the strongest risk factors, which involves unrealistic expectations for themselves. Self-oriented perfectionism consists of a critical self-scrutiny, unrealistic self-imposed personal standards, and requiring perfection of oneself. Perfectionism is related to several negative outcomes, including characterological feelings of failure, guilt, indecisiveness, procrastination, shame, and low self-esteem (Hewitt &amp; Flett, 1991). Studies have also demonstrated an association between perfectionism and abnormal eating attitudes and a link between perfectionism and excessive exercise. In different aspects of her life, Patty has demonstrated that she is a self-orientated perfectionist. She displays dissatisfaction with her academic performance, her weight, and she is driven by excessive exercise to achieve satisfaction with her body image. </w:t>
      </w:r>
    </w:p>
    <w:p w14:paraId="18D8F059" w14:textId="59A86793" w:rsidR="00BB1D59" w:rsidRPr="00780B9F" w:rsidRDefault="000070D6" w:rsidP="00780B9F">
      <w:pPr>
        <w:spacing w:line="480" w:lineRule="auto"/>
        <w:ind w:firstLine="720"/>
        <w:rPr>
          <w:rFonts w:ascii="Arial" w:hAnsi="Arial" w:cs="Arial"/>
          <w:sz w:val="24"/>
          <w:szCs w:val="24"/>
        </w:rPr>
      </w:pPr>
      <w:r w:rsidRPr="00780B9F">
        <w:rPr>
          <w:rFonts w:ascii="Arial" w:hAnsi="Arial" w:cs="Arial"/>
          <w:sz w:val="24"/>
          <w:szCs w:val="24"/>
        </w:rPr>
        <w:t>Patty also has a limited social network, especially in the college setting. Loneliness and isolation are often associated with anorexia. She has reported having fewer friends and no social activities in college except her swimming team which she was asked to leave due to her poor health. This has</w:t>
      </w:r>
      <w:r w:rsidR="00457F7B">
        <w:rPr>
          <w:rFonts w:ascii="Arial" w:hAnsi="Arial" w:cs="Arial"/>
          <w:sz w:val="24"/>
          <w:szCs w:val="24"/>
        </w:rPr>
        <w:t xml:space="preserve"> all</w:t>
      </w:r>
      <w:r w:rsidRPr="00780B9F">
        <w:rPr>
          <w:rFonts w:ascii="Arial" w:hAnsi="Arial" w:cs="Arial"/>
          <w:sz w:val="24"/>
          <w:szCs w:val="24"/>
        </w:rPr>
        <w:t xml:space="preserve"> resulted in less social support which led to her major depressive disorder.</w:t>
      </w:r>
    </w:p>
    <w:p w14:paraId="666E8945" w14:textId="0E06C53A" w:rsidR="007F2E0A" w:rsidRDefault="007F2E0A" w:rsidP="00780B9F">
      <w:pPr>
        <w:spacing w:line="480" w:lineRule="auto"/>
        <w:rPr>
          <w:rFonts w:ascii="Arial" w:hAnsi="Arial" w:cs="Arial"/>
          <w:sz w:val="24"/>
          <w:szCs w:val="24"/>
          <w:u w:val="single"/>
        </w:rPr>
      </w:pPr>
    </w:p>
    <w:p w14:paraId="34C90369" w14:textId="77777777" w:rsidR="00780B9F" w:rsidRPr="00780B9F" w:rsidRDefault="00780B9F" w:rsidP="00780B9F">
      <w:pPr>
        <w:spacing w:line="480" w:lineRule="auto"/>
        <w:rPr>
          <w:rFonts w:ascii="Arial" w:hAnsi="Arial" w:cs="Arial"/>
          <w:sz w:val="24"/>
          <w:szCs w:val="24"/>
          <w:u w:val="single"/>
        </w:rPr>
      </w:pPr>
    </w:p>
    <w:p w14:paraId="34E74533" w14:textId="37D61FC8" w:rsidR="00065492" w:rsidRPr="00780B9F" w:rsidRDefault="00065492" w:rsidP="00780B9F">
      <w:pPr>
        <w:spacing w:line="480" w:lineRule="auto"/>
        <w:rPr>
          <w:rFonts w:ascii="Arial" w:hAnsi="Arial" w:cs="Arial"/>
          <w:b/>
          <w:bCs/>
          <w:sz w:val="24"/>
          <w:szCs w:val="24"/>
          <w:u w:val="single"/>
        </w:rPr>
      </w:pPr>
      <w:r w:rsidRPr="00780B9F">
        <w:rPr>
          <w:rFonts w:ascii="Arial" w:hAnsi="Arial" w:cs="Arial"/>
          <w:b/>
          <w:bCs/>
          <w:sz w:val="24"/>
          <w:szCs w:val="24"/>
          <w:u w:val="single"/>
        </w:rPr>
        <w:t>Protective factors</w:t>
      </w:r>
    </w:p>
    <w:p w14:paraId="5561FAC1" w14:textId="77777777" w:rsidR="00EE623D" w:rsidRPr="00780B9F" w:rsidRDefault="00EE623D" w:rsidP="00780B9F">
      <w:pPr>
        <w:spacing w:line="480" w:lineRule="auto"/>
        <w:ind w:firstLine="720"/>
        <w:rPr>
          <w:rFonts w:ascii="Arial" w:hAnsi="Arial" w:cs="Arial"/>
          <w:sz w:val="24"/>
          <w:szCs w:val="24"/>
        </w:rPr>
      </w:pPr>
      <w:r w:rsidRPr="00780B9F">
        <w:rPr>
          <w:rFonts w:ascii="Arial" w:hAnsi="Arial" w:cs="Arial"/>
          <w:sz w:val="24"/>
          <w:szCs w:val="24"/>
        </w:rPr>
        <w:t xml:space="preserve">Patty's relationship with her parents and sister is also a protective factor. She has demonstrated in the past her willingness to change for them. To be close to her parents she has chosen a university close to home. It was upon their request she </w:t>
      </w:r>
      <w:r w:rsidRPr="00780B9F">
        <w:rPr>
          <w:rFonts w:ascii="Arial" w:hAnsi="Arial" w:cs="Arial"/>
          <w:sz w:val="24"/>
          <w:szCs w:val="24"/>
        </w:rPr>
        <w:lastRenderedPageBreak/>
        <w:t>undergoes a medical examination that led to her hospitalisation. Furthermore, it was upon their request that she continued her treatment following her discharge from the hospital. She described her separation from the family as a traumatic experience. This family bond can be viewed as the main protective factor.</w:t>
      </w:r>
    </w:p>
    <w:p w14:paraId="2ADD8EF6" w14:textId="5015B9DE" w:rsidR="00EE623D" w:rsidRPr="00780B9F" w:rsidRDefault="00EE623D" w:rsidP="00780B9F">
      <w:pPr>
        <w:spacing w:line="480" w:lineRule="auto"/>
        <w:ind w:firstLine="720"/>
        <w:rPr>
          <w:rFonts w:ascii="Arial" w:hAnsi="Arial" w:cs="Arial"/>
          <w:sz w:val="24"/>
          <w:szCs w:val="24"/>
        </w:rPr>
      </w:pPr>
      <w:r w:rsidRPr="00780B9F">
        <w:rPr>
          <w:rFonts w:ascii="Arial" w:hAnsi="Arial" w:cs="Arial"/>
          <w:sz w:val="24"/>
          <w:szCs w:val="24"/>
        </w:rPr>
        <w:t xml:space="preserve">Swimming has been an important part of Patty’s life; she was a coach of her college swimming team. From the clinical history, we can gather that swimming was an important part of her life and was not associated directly with weight loss. Her focus was on </w:t>
      </w:r>
      <w:r w:rsidR="008F3BAD">
        <w:rPr>
          <w:rFonts w:ascii="Arial" w:hAnsi="Arial" w:cs="Arial"/>
          <w:sz w:val="24"/>
          <w:szCs w:val="24"/>
        </w:rPr>
        <w:t xml:space="preserve">her </w:t>
      </w:r>
      <w:r w:rsidRPr="00780B9F">
        <w:rPr>
          <w:rFonts w:ascii="Arial" w:hAnsi="Arial" w:cs="Arial"/>
          <w:sz w:val="24"/>
          <w:szCs w:val="24"/>
        </w:rPr>
        <w:t>performance which she has recognised herself after her hospitalisation. Her dedication to swimming can be a protective factor. Certain studies agree that physical activity can be a protective factor in anorexia others disagree with that statement (Smolak et al., 2000 and Ryan et al., 2018). When managed correctly swimming can be a positive part of her life and it could allow her to expand her social circle which is restricted to her family and few friends from high school which can be sufficient to boost her self-esteem. In the past, her friends have demonstrated a high concern with Patty's health, and they have tried to influence Patty to change her behaviours. They knew that she still had feelings for her ex-boyfriend, so they have reached out to him to seek help. There is no family conflict recoded, no abuse or neglect.</w:t>
      </w:r>
    </w:p>
    <w:p w14:paraId="173710BD" w14:textId="6FD5DC35" w:rsidR="002F2F4A" w:rsidRPr="00780B9F" w:rsidRDefault="00EE623D" w:rsidP="00780B9F">
      <w:pPr>
        <w:spacing w:line="480" w:lineRule="auto"/>
        <w:ind w:firstLine="720"/>
        <w:rPr>
          <w:rFonts w:ascii="Arial" w:hAnsi="Arial" w:cs="Arial"/>
          <w:sz w:val="24"/>
          <w:szCs w:val="24"/>
        </w:rPr>
      </w:pPr>
      <w:r w:rsidRPr="00780B9F">
        <w:rPr>
          <w:rFonts w:ascii="Arial" w:hAnsi="Arial" w:cs="Arial"/>
          <w:sz w:val="24"/>
          <w:szCs w:val="24"/>
        </w:rPr>
        <w:t>Commitment to her academic education can also be seen as a protective factor. Coll</w:t>
      </w:r>
      <w:r w:rsidR="008F3BAD">
        <w:rPr>
          <w:rFonts w:ascii="Arial" w:hAnsi="Arial" w:cs="Arial"/>
          <w:sz w:val="24"/>
          <w:szCs w:val="24"/>
        </w:rPr>
        <w:t>e</w:t>
      </w:r>
      <w:r w:rsidRPr="00780B9F">
        <w:rPr>
          <w:rFonts w:ascii="Arial" w:hAnsi="Arial" w:cs="Arial"/>
          <w:sz w:val="24"/>
          <w:szCs w:val="24"/>
        </w:rPr>
        <w:t>ge employees also had an impact on her participation in the medical examination which most likely saved her life. Unfortunately, due to poor health, the college has requested that Patty leaves the education and focuses on her health. They have requested that she increases her body weight to at least 85% of her ideal weight before she can graduate from college. This has given her motivation and allowed her to refocus and not over-emphasise</w:t>
      </w:r>
      <w:r w:rsidR="008F3BAD">
        <w:rPr>
          <w:rFonts w:ascii="Arial" w:hAnsi="Arial" w:cs="Arial"/>
          <w:sz w:val="24"/>
          <w:szCs w:val="24"/>
        </w:rPr>
        <w:t xml:space="preserve"> on her</w:t>
      </w:r>
      <w:r w:rsidRPr="00780B9F">
        <w:rPr>
          <w:rFonts w:ascii="Arial" w:hAnsi="Arial" w:cs="Arial"/>
          <w:sz w:val="24"/>
          <w:szCs w:val="24"/>
        </w:rPr>
        <w:t xml:space="preserve"> body weight.</w:t>
      </w:r>
    </w:p>
    <w:p w14:paraId="274521EE" w14:textId="77777777" w:rsidR="007F2E0A" w:rsidRPr="00780B9F" w:rsidRDefault="007F2E0A" w:rsidP="00780B9F">
      <w:pPr>
        <w:spacing w:line="480" w:lineRule="auto"/>
        <w:rPr>
          <w:rFonts w:ascii="Arial" w:hAnsi="Arial" w:cs="Arial"/>
          <w:sz w:val="24"/>
          <w:szCs w:val="24"/>
        </w:rPr>
      </w:pPr>
    </w:p>
    <w:p w14:paraId="6B202631" w14:textId="0DFA1113" w:rsidR="00065492" w:rsidRPr="00780B9F" w:rsidRDefault="00065492" w:rsidP="00780B9F">
      <w:pPr>
        <w:spacing w:line="480" w:lineRule="auto"/>
        <w:rPr>
          <w:rFonts w:ascii="Arial" w:hAnsi="Arial" w:cs="Arial"/>
          <w:b/>
          <w:bCs/>
          <w:sz w:val="24"/>
          <w:szCs w:val="24"/>
          <w:u w:val="single"/>
        </w:rPr>
      </w:pPr>
      <w:r w:rsidRPr="00780B9F">
        <w:rPr>
          <w:rFonts w:ascii="Arial" w:hAnsi="Arial" w:cs="Arial"/>
          <w:b/>
          <w:bCs/>
          <w:sz w:val="24"/>
          <w:szCs w:val="24"/>
          <w:u w:val="single"/>
        </w:rPr>
        <w:t>Maintaining factors</w:t>
      </w:r>
    </w:p>
    <w:p w14:paraId="34F7FD7B" w14:textId="55375307" w:rsidR="00736BCC" w:rsidRPr="00780B9F" w:rsidRDefault="00736BCC" w:rsidP="00780B9F">
      <w:pPr>
        <w:spacing w:line="480" w:lineRule="auto"/>
        <w:ind w:firstLine="720"/>
        <w:rPr>
          <w:rFonts w:ascii="Arial" w:hAnsi="Arial" w:cs="Arial"/>
          <w:sz w:val="24"/>
          <w:szCs w:val="24"/>
        </w:rPr>
      </w:pPr>
      <w:r w:rsidRPr="00780B9F">
        <w:rPr>
          <w:rFonts w:ascii="Arial" w:hAnsi="Arial" w:cs="Arial"/>
          <w:sz w:val="24"/>
          <w:szCs w:val="24"/>
        </w:rPr>
        <w:t xml:space="preserve">Throughout the clinical history, Patty’s family has been actively involved in her treatment and had a positive impact on her. She </w:t>
      </w:r>
      <w:r w:rsidR="008F3BAD">
        <w:rPr>
          <w:rFonts w:ascii="Arial" w:hAnsi="Arial" w:cs="Arial"/>
          <w:sz w:val="24"/>
          <w:szCs w:val="24"/>
        </w:rPr>
        <w:t>compares</w:t>
      </w:r>
      <w:r w:rsidRPr="00780B9F">
        <w:rPr>
          <w:rFonts w:ascii="Arial" w:hAnsi="Arial" w:cs="Arial"/>
          <w:sz w:val="24"/>
          <w:szCs w:val="24"/>
        </w:rPr>
        <w:t xml:space="preserve"> her academic achievements to her sister, but this is not a relationship issue, this is Patty’s low estimate and self-criticism that controls her behaviour. In this case, the family can be viewed as a maintaining and protective factor and i</w:t>
      </w:r>
      <w:r w:rsidR="008F3BAD">
        <w:rPr>
          <w:rFonts w:ascii="Arial" w:hAnsi="Arial" w:cs="Arial"/>
          <w:sz w:val="24"/>
          <w:szCs w:val="24"/>
        </w:rPr>
        <w:t>s</w:t>
      </w:r>
      <w:r w:rsidRPr="00780B9F">
        <w:rPr>
          <w:rFonts w:ascii="Arial" w:hAnsi="Arial" w:cs="Arial"/>
          <w:sz w:val="24"/>
          <w:szCs w:val="24"/>
        </w:rPr>
        <w:t xml:space="preserve"> viewed as having a positive impact on Patty. </w:t>
      </w:r>
    </w:p>
    <w:p w14:paraId="1F4CD155" w14:textId="123C1B6B" w:rsidR="00BE1A70" w:rsidRPr="00780B9F" w:rsidRDefault="00736BCC" w:rsidP="00780B9F">
      <w:pPr>
        <w:spacing w:line="480" w:lineRule="auto"/>
        <w:ind w:firstLine="720"/>
        <w:rPr>
          <w:rFonts w:ascii="Arial" w:hAnsi="Arial" w:cs="Arial"/>
          <w:sz w:val="24"/>
          <w:szCs w:val="24"/>
        </w:rPr>
      </w:pPr>
      <w:r w:rsidRPr="00780B9F">
        <w:rPr>
          <w:rFonts w:ascii="Arial" w:hAnsi="Arial" w:cs="Arial"/>
          <w:sz w:val="24"/>
          <w:szCs w:val="24"/>
        </w:rPr>
        <w:t>Patty’s impaired interoceptive awareness can be viewed as a maintaining factor. The impaired interoceptive awareness is often identified in individuals suffering from anorexia nervosa and it is the inability to recognise bodily sensations such as hunger. For example, when Patty is advised by the medical team to eat 2000 calories per day, she knows that this has been put in place to help her stay healthy. However, she views this action in a negative light as this collides with reaching her weight target of 95 pounds. The exposure to food generates an aversion that conflicts with the positive reward which should be associated with the consumption of food. This mismatch between anticipated and experienced states induces a negative affective state, thereby motivates the food avoidance (Khalsa et al., 2015).</w:t>
      </w:r>
    </w:p>
    <w:p w14:paraId="26F48342" w14:textId="77777777" w:rsidR="00CF1D71" w:rsidRPr="00780B9F" w:rsidRDefault="00CF1D71" w:rsidP="00780B9F">
      <w:pPr>
        <w:spacing w:line="480" w:lineRule="auto"/>
        <w:rPr>
          <w:rFonts w:ascii="Arial" w:hAnsi="Arial" w:cs="Arial"/>
          <w:sz w:val="24"/>
          <w:szCs w:val="24"/>
          <w:shd w:val="clear" w:color="auto" w:fill="FFFFFF"/>
        </w:rPr>
      </w:pPr>
    </w:p>
    <w:p w14:paraId="203B064F" w14:textId="6F29ADE3" w:rsidR="00065492" w:rsidRPr="00780B9F" w:rsidRDefault="00065492" w:rsidP="00780B9F">
      <w:pPr>
        <w:spacing w:line="480" w:lineRule="auto"/>
        <w:rPr>
          <w:rFonts w:ascii="Arial" w:hAnsi="Arial" w:cs="Arial"/>
          <w:b/>
          <w:bCs/>
          <w:sz w:val="24"/>
          <w:szCs w:val="24"/>
          <w:u w:val="single"/>
        </w:rPr>
      </w:pPr>
      <w:r w:rsidRPr="00780B9F">
        <w:rPr>
          <w:rFonts w:ascii="Arial" w:hAnsi="Arial" w:cs="Arial"/>
          <w:b/>
          <w:bCs/>
          <w:sz w:val="24"/>
          <w:szCs w:val="24"/>
          <w:u w:val="single"/>
        </w:rPr>
        <w:t xml:space="preserve">Reflection </w:t>
      </w:r>
    </w:p>
    <w:p w14:paraId="097A92D8" w14:textId="2F7AF29F" w:rsidR="00BE68E9" w:rsidRPr="00780B9F" w:rsidRDefault="00BE68E9" w:rsidP="00780B9F">
      <w:pPr>
        <w:spacing w:line="480" w:lineRule="auto"/>
        <w:ind w:firstLine="720"/>
        <w:rPr>
          <w:rFonts w:ascii="Arial" w:hAnsi="Arial" w:cs="Arial"/>
          <w:sz w:val="24"/>
          <w:szCs w:val="24"/>
        </w:rPr>
      </w:pPr>
      <w:r w:rsidRPr="00780B9F">
        <w:rPr>
          <w:rFonts w:ascii="Arial" w:hAnsi="Arial" w:cs="Arial"/>
          <w:sz w:val="24"/>
          <w:szCs w:val="24"/>
        </w:rPr>
        <w:t xml:space="preserve">The mental health risk assessment turned out to be a challenging task. This came as a surprise as I have completed many risk assessments in the past. However, those risk assessments focused on an impact that a change has on a </w:t>
      </w:r>
      <w:r w:rsidRPr="00780B9F">
        <w:rPr>
          <w:rFonts w:ascii="Arial" w:hAnsi="Arial" w:cs="Arial"/>
          <w:sz w:val="24"/>
          <w:szCs w:val="24"/>
        </w:rPr>
        <w:lastRenderedPageBreak/>
        <w:t>business rather than an individual</w:t>
      </w:r>
      <w:r w:rsidR="008F3BAD">
        <w:rPr>
          <w:rFonts w:ascii="Arial" w:hAnsi="Arial" w:cs="Arial"/>
          <w:sz w:val="24"/>
          <w:szCs w:val="24"/>
        </w:rPr>
        <w:t>,</w:t>
      </w:r>
      <w:r w:rsidRPr="00780B9F">
        <w:rPr>
          <w:rFonts w:ascii="Arial" w:hAnsi="Arial" w:cs="Arial"/>
          <w:sz w:val="24"/>
          <w:szCs w:val="24"/>
        </w:rPr>
        <w:t xml:space="preserve"> and did not resemble the format of this type of risk assessment. The mental health risk assessment is much more complex and difficult to deliver. For </w:t>
      </w:r>
      <w:r w:rsidR="008F3BAD">
        <w:rPr>
          <w:rFonts w:ascii="Arial" w:hAnsi="Arial" w:cs="Arial"/>
          <w:sz w:val="24"/>
          <w:szCs w:val="24"/>
        </w:rPr>
        <w:t>starters</w:t>
      </w:r>
      <w:r w:rsidRPr="00780B9F">
        <w:rPr>
          <w:rFonts w:ascii="Arial" w:hAnsi="Arial" w:cs="Arial"/>
          <w:sz w:val="24"/>
          <w:szCs w:val="24"/>
        </w:rPr>
        <w:t xml:space="preserve">, your view of a situation will influence the recovery of the assessed person. The interpretation must be supported by an excellent knowledge of mental health disorders, the identification, the risk that their project, the casual factors, and their treatment. Furthermore, it can be very confusing when you must consider all those aspects at once. How do you decide what is more important? </w:t>
      </w:r>
    </w:p>
    <w:p w14:paraId="3E602636" w14:textId="4B039E4B" w:rsidR="00BE68E9" w:rsidRPr="00780B9F" w:rsidRDefault="00BE68E9" w:rsidP="00780B9F">
      <w:pPr>
        <w:spacing w:line="480" w:lineRule="auto"/>
        <w:ind w:firstLine="720"/>
        <w:rPr>
          <w:rFonts w:ascii="Arial" w:hAnsi="Arial" w:cs="Arial"/>
          <w:sz w:val="24"/>
          <w:szCs w:val="24"/>
        </w:rPr>
      </w:pPr>
      <w:r w:rsidRPr="00780B9F">
        <w:rPr>
          <w:rFonts w:ascii="Arial" w:hAnsi="Arial" w:cs="Arial"/>
          <w:sz w:val="24"/>
          <w:szCs w:val="24"/>
        </w:rPr>
        <w:t>When I was trying to locate different factors and assess which factor can be associated with the displayed behaviour</w:t>
      </w:r>
      <w:r w:rsidR="008F3BAD">
        <w:rPr>
          <w:rFonts w:ascii="Arial" w:hAnsi="Arial" w:cs="Arial"/>
          <w:sz w:val="24"/>
          <w:szCs w:val="24"/>
        </w:rPr>
        <w:t>,</w:t>
      </w:r>
      <w:r w:rsidRPr="00780B9F">
        <w:rPr>
          <w:rFonts w:ascii="Arial" w:hAnsi="Arial" w:cs="Arial"/>
          <w:sz w:val="24"/>
          <w:szCs w:val="24"/>
        </w:rPr>
        <w:t xml:space="preserve"> I got confused. I initially read the clinical history and highlighted everything that I thought was relevant</w:t>
      </w:r>
      <w:r w:rsidR="008F3BAD">
        <w:rPr>
          <w:rFonts w:ascii="Arial" w:hAnsi="Arial" w:cs="Arial"/>
          <w:sz w:val="24"/>
          <w:szCs w:val="24"/>
        </w:rPr>
        <w:t>,</w:t>
      </w:r>
      <w:r w:rsidRPr="00780B9F">
        <w:rPr>
          <w:rFonts w:ascii="Arial" w:hAnsi="Arial" w:cs="Arial"/>
          <w:sz w:val="24"/>
          <w:szCs w:val="24"/>
        </w:rPr>
        <w:t xml:space="preserve"> but when I looked back on it, most of it was highlighted in yellow. I had to re-read the clinical history numerous times to ensure that I have selected the relevant factors. I found this very stressful, and I can only imagine what pressure this process presents on individuals that are responsible for this assessment daily. Even though I knew this was just an exercise</w:t>
      </w:r>
      <w:r w:rsidR="008F3BAD">
        <w:rPr>
          <w:rFonts w:ascii="Arial" w:hAnsi="Arial" w:cs="Arial"/>
          <w:sz w:val="24"/>
          <w:szCs w:val="24"/>
        </w:rPr>
        <w:t>,</w:t>
      </w:r>
      <w:r w:rsidRPr="00780B9F">
        <w:rPr>
          <w:rFonts w:ascii="Arial" w:hAnsi="Arial" w:cs="Arial"/>
          <w:sz w:val="24"/>
          <w:szCs w:val="24"/>
        </w:rPr>
        <w:t xml:space="preserve"> I felt connected to Patty, and I wanted to help her to live a normal healthy life. It would have been much more stressful if I knew </w:t>
      </w:r>
      <w:r w:rsidR="008F3BAD">
        <w:rPr>
          <w:rFonts w:ascii="Arial" w:hAnsi="Arial" w:cs="Arial"/>
          <w:sz w:val="24"/>
          <w:szCs w:val="24"/>
        </w:rPr>
        <w:t>her as</w:t>
      </w:r>
      <w:r w:rsidRPr="00780B9F">
        <w:rPr>
          <w:rFonts w:ascii="Arial" w:hAnsi="Arial" w:cs="Arial"/>
          <w:sz w:val="24"/>
          <w:szCs w:val="24"/>
        </w:rPr>
        <w:t xml:space="preserve"> a real person. I think I would question myself even more. </w:t>
      </w:r>
    </w:p>
    <w:p w14:paraId="09A6B2DF" w14:textId="2CA3BC44" w:rsidR="00BE68E9" w:rsidRPr="00780B9F" w:rsidRDefault="00BE68E9" w:rsidP="00780B9F">
      <w:pPr>
        <w:spacing w:line="480" w:lineRule="auto"/>
        <w:ind w:firstLine="720"/>
        <w:rPr>
          <w:rFonts w:ascii="Arial" w:hAnsi="Arial" w:cs="Arial"/>
          <w:sz w:val="24"/>
          <w:szCs w:val="24"/>
        </w:rPr>
      </w:pPr>
      <w:r w:rsidRPr="00780B9F">
        <w:rPr>
          <w:rFonts w:ascii="Arial" w:hAnsi="Arial" w:cs="Arial"/>
          <w:sz w:val="24"/>
          <w:szCs w:val="24"/>
        </w:rPr>
        <w:t xml:space="preserve">It is clear why this process is so important and </w:t>
      </w:r>
      <w:r w:rsidR="007F2E0A" w:rsidRPr="00780B9F">
        <w:rPr>
          <w:rFonts w:ascii="Arial" w:hAnsi="Arial" w:cs="Arial"/>
          <w:sz w:val="24"/>
          <w:szCs w:val="24"/>
        </w:rPr>
        <w:t>its</w:t>
      </w:r>
      <w:r w:rsidRPr="00780B9F">
        <w:rPr>
          <w:rFonts w:ascii="Arial" w:hAnsi="Arial" w:cs="Arial"/>
          <w:sz w:val="24"/>
          <w:szCs w:val="24"/>
        </w:rPr>
        <w:t xml:space="preserve"> delivery crucial. We are trying to predict a person's behaviour to make them realise their behaviour patterns and try to reduce the distress. We want them to learn from it, so they can spot any trigger situation in the future and teach them how to avoid those triggers if possible. We also want the service providers to have an inside into the person's behaviour. </w:t>
      </w:r>
    </w:p>
    <w:p w14:paraId="148586D8" w14:textId="348AD1E4" w:rsidR="0085545E" w:rsidRDefault="00BE68E9" w:rsidP="00780B9F">
      <w:pPr>
        <w:spacing w:line="480" w:lineRule="auto"/>
        <w:ind w:firstLine="720"/>
        <w:rPr>
          <w:rFonts w:ascii="Arial" w:hAnsi="Arial" w:cs="Arial"/>
          <w:sz w:val="24"/>
          <w:szCs w:val="24"/>
        </w:rPr>
      </w:pPr>
      <w:r w:rsidRPr="00780B9F">
        <w:rPr>
          <w:rFonts w:ascii="Arial" w:hAnsi="Arial" w:cs="Arial"/>
          <w:sz w:val="24"/>
          <w:szCs w:val="24"/>
        </w:rPr>
        <w:t xml:space="preserve">I can see why it is so important to work as a collaborative team, the consistency throughout the treatment and support must be sustained to provide the </w:t>
      </w:r>
      <w:r w:rsidRPr="00780B9F">
        <w:rPr>
          <w:rFonts w:ascii="Arial" w:hAnsi="Arial" w:cs="Arial"/>
          <w:sz w:val="24"/>
          <w:szCs w:val="24"/>
        </w:rPr>
        <w:lastRenderedPageBreak/>
        <w:t>best care. This is especially important in working with individuals that suffer from mental health disorders</w:t>
      </w:r>
      <w:r w:rsidR="008F3BAD">
        <w:rPr>
          <w:rFonts w:ascii="Arial" w:hAnsi="Arial" w:cs="Arial"/>
          <w:sz w:val="24"/>
          <w:szCs w:val="24"/>
        </w:rPr>
        <w:t>,</w:t>
      </w:r>
      <w:r w:rsidRPr="00780B9F">
        <w:rPr>
          <w:rFonts w:ascii="Arial" w:hAnsi="Arial" w:cs="Arial"/>
          <w:sz w:val="24"/>
          <w:szCs w:val="24"/>
        </w:rPr>
        <w:t xml:space="preserve"> as most of them </w:t>
      </w:r>
      <w:r w:rsidR="008F3BAD">
        <w:rPr>
          <w:rFonts w:ascii="Arial" w:hAnsi="Arial" w:cs="Arial"/>
          <w:sz w:val="24"/>
          <w:szCs w:val="24"/>
        </w:rPr>
        <w:t xml:space="preserve">have </w:t>
      </w:r>
      <w:r w:rsidRPr="00780B9F">
        <w:rPr>
          <w:rFonts w:ascii="Arial" w:hAnsi="Arial" w:cs="Arial"/>
          <w:sz w:val="24"/>
          <w:szCs w:val="24"/>
        </w:rPr>
        <w:t>already experienced instability in their li</w:t>
      </w:r>
      <w:r w:rsidR="008F3BAD">
        <w:rPr>
          <w:rFonts w:ascii="Arial" w:hAnsi="Arial" w:cs="Arial"/>
          <w:sz w:val="24"/>
          <w:szCs w:val="24"/>
        </w:rPr>
        <w:t>v</w:t>
      </w:r>
      <w:r w:rsidRPr="00780B9F">
        <w:rPr>
          <w:rFonts w:ascii="Arial" w:hAnsi="Arial" w:cs="Arial"/>
          <w:sz w:val="24"/>
          <w:szCs w:val="24"/>
        </w:rPr>
        <w:t>e</w:t>
      </w:r>
      <w:r w:rsidR="008F3BAD">
        <w:rPr>
          <w:rFonts w:ascii="Arial" w:hAnsi="Arial" w:cs="Arial"/>
          <w:sz w:val="24"/>
          <w:szCs w:val="24"/>
        </w:rPr>
        <w:t>s</w:t>
      </w:r>
      <w:r w:rsidRPr="00780B9F">
        <w:rPr>
          <w:rFonts w:ascii="Arial" w:hAnsi="Arial" w:cs="Arial"/>
          <w:sz w:val="24"/>
          <w:szCs w:val="24"/>
        </w:rPr>
        <w:t>.</w:t>
      </w:r>
    </w:p>
    <w:p w14:paraId="0D684302" w14:textId="77777777" w:rsidR="00AF2289" w:rsidRPr="00AF2289" w:rsidRDefault="00AF2289" w:rsidP="00AF2289">
      <w:pPr>
        <w:spacing w:line="480" w:lineRule="auto"/>
        <w:rPr>
          <w:rFonts w:ascii="Arial" w:hAnsi="Arial" w:cs="Arial"/>
          <w:b/>
          <w:bCs/>
          <w:sz w:val="24"/>
          <w:szCs w:val="24"/>
          <w:u w:val="single"/>
        </w:rPr>
      </w:pPr>
      <w:r w:rsidRPr="00AF2289">
        <w:rPr>
          <w:rFonts w:ascii="Arial" w:hAnsi="Arial" w:cs="Arial"/>
          <w:b/>
          <w:bCs/>
          <w:sz w:val="24"/>
          <w:szCs w:val="24"/>
          <w:u w:val="single"/>
        </w:rPr>
        <w:t>References</w:t>
      </w:r>
    </w:p>
    <w:p w14:paraId="73DF6D01" w14:textId="77777777" w:rsidR="00AF2289" w:rsidRPr="00AF2289" w:rsidRDefault="00AF2289" w:rsidP="00AF2289">
      <w:pPr>
        <w:spacing w:line="480" w:lineRule="auto"/>
        <w:rPr>
          <w:rFonts w:ascii="Arial" w:hAnsi="Arial" w:cs="Arial"/>
          <w:sz w:val="24"/>
          <w:szCs w:val="24"/>
        </w:rPr>
      </w:pPr>
      <w:r w:rsidRPr="00AF2289">
        <w:rPr>
          <w:rFonts w:ascii="Arial" w:hAnsi="Arial" w:cs="Arial"/>
          <w:sz w:val="24"/>
          <w:szCs w:val="24"/>
        </w:rPr>
        <w:t xml:space="preserve">American Psychiatric Association. (2013). </w:t>
      </w:r>
      <w:r w:rsidRPr="00AF2289">
        <w:rPr>
          <w:rFonts w:ascii="Arial" w:hAnsi="Arial" w:cs="Arial"/>
          <w:i/>
          <w:iCs/>
          <w:sz w:val="24"/>
          <w:szCs w:val="24"/>
        </w:rPr>
        <w:t>Diagnostic and statistical manual of mental disorders</w:t>
      </w:r>
      <w:r w:rsidRPr="00AF2289">
        <w:rPr>
          <w:rFonts w:ascii="Arial" w:hAnsi="Arial" w:cs="Arial"/>
          <w:sz w:val="24"/>
          <w:szCs w:val="24"/>
        </w:rPr>
        <w:t xml:space="preserve"> (5th ed.). American Psychiatric Association.</w:t>
      </w:r>
    </w:p>
    <w:p w14:paraId="5D65B1ED" w14:textId="77777777" w:rsidR="00AF2289" w:rsidRPr="00AF2289" w:rsidRDefault="00AF2289" w:rsidP="00AF2289">
      <w:pPr>
        <w:spacing w:line="480" w:lineRule="auto"/>
        <w:rPr>
          <w:rFonts w:ascii="Arial" w:hAnsi="Arial" w:cs="Arial"/>
          <w:sz w:val="24"/>
          <w:szCs w:val="24"/>
        </w:rPr>
      </w:pPr>
      <w:r w:rsidRPr="00AF2289">
        <w:rPr>
          <w:rFonts w:ascii="Arial" w:hAnsi="Arial" w:cs="Arial"/>
          <w:sz w:val="24"/>
          <w:szCs w:val="24"/>
        </w:rPr>
        <w:t xml:space="preserve">Arcelus, J., Haslam, M., Farrow, C., &amp; Meyer, C. (2013). The role of interpersonal functioning in the maintenance of eating psychopathology: A systematic review and testable model. </w:t>
      </w:r>
      <w:r w:rsidRPr="00AF2289">
        <w:rPr>
          <w:rFonts w:ascii="Arial" w:hAnsi="Arial" w:cs="Arial"/>
          <w:i/>
          <w:iCs/>
          <w:sz w:val="24"/>
          <w:szCs w:val="24"/>
        </w:rPr>
        <w:t>Clinical Psychology Review</w:t>
      </w:r>
      <w:r w:rsidRPr="00AF2289">
        <w:rPr>
          <w:rFonts w:ascii="Arial" w:hAnsi="Arial" w:cs="Arial"/>
          <w:sz w:val="24"/>
          <w:szCs w:val="24"/>
        </w:rPr>
        <w:t xml:space="preserve">, </w:t>
      </w:r>
      <w:r w:rsidRPr="00AF2289">
        <w:rPr>
          <w:rFonts w:ascii="Arial" w:hAnsi="Arial" w:cs="Arial"/>
          <w:i/>
          <w:iCs/>
          <w:sz w:val="24"/>
          <w:szCs w:val="24"/>
        </w:rPr>
        <w:t>33</w:t>
      </w:r>
      <w:r w:rsidRPr="00AF2289">
        <w:rPr>
          <w:rFonts w:ascii="Arial" w:hAnsi="Arial" w:cs="Arial"/>
          <w:sz w:val="24"/>
          <w:szCs w:val="24"/>
        </w:rPr>
        <w:t>(1), 156–167. https://doi.org/10.1016/j.cpr.2012.10.009</w:t>
      </w:r>
    </w:p>
    <w:p w14:paraId="2167C6F6" w14:textId="77777777" w:rsidR="00AF2289" w:rsidRPr="00AF2289" w:rsidRDefault="00AF2289" w:rsidP="00AF2289">
      <w:pPr>
        <w:spacing w:line="480" w:lineRule="auto"/>
        <w:rPr>
          <w:rFonts w:ascii="Arial" w:hAnsi="Arial" w:cs="Arial"/>
          <w:sz w:val="24"/>
          <w:szCs w:val="24"/>
        </w:rPr>
      </w:pPr>
      <w:r w:rsidRPr="00AF2289">
        <w:rPr>
          <w:rFonts w:ascii="Arial" w:hAnsi="Arial" w:cs="Arial"/>
          <w:sz w:val="24"/>
          <w:szCs w:val="24"/>
        </w:rPr>
        <w:t xml:space="preserve">Brockmeyer, T., Holtforth, M. G., Bents, H., Kämmerer, A., Herzog, W., &amp; Friederich, H.-C. (2012). Starvation and emotion regulation in anorexia nervosa. </w:t>
      </w:r>
      <w:r w:rsidRPr="00AF2289">
        <w:rPr>
          <w:rFonts w:ascii="Arial" w:hAnsi="Arial" w:cs="Arial"/>
          <w:i/>
          <w:iCs/>
          <w:sz w:val="24"/>
          <w:szCs w:val="24"/>
        </w:rPr>
        <w:t>Comprehensive Psychiatry</w:t>
      </w:r>
      <w:r w:rsidRPr="00AF2289">
        <w:rPr>
          <w:rFonts w:ascii="Arial" w:hAnsi="Arial" w:cs="Arial"/>
          <w:sz w:val="24"/>
          <w:szCs w:val="24"/>
        </w:rPr>
        <w:t xml:space="preserve">, </w:t>
      </w:r>
      <w:r w:rsidRPr="00AF2289">
        <w:rPr>
          <w:rFonts w:ascii="Arial" w:hAnsi="Arial" w:cs="Arial"/>
          <w:i/>
          <w:iCs/>
          <w:sz w:val="24"/>
          <w:szCs w:val="24"/>
        </w:rPr>
        <w:t>53</w:t>
      </w:r>
      <w:r w:rsidRPr="00AF2289">
        <w:rPr>
          <w:rFonts w:ascii="Arial" w:hAnsi="Arial" w:cs="Arial"/>
          <w:sz w:val="24"/>
          <w:szCs w:val="24"/>
        </w:rPr>
        <w:t>(5), 496–501. https://doi.org/10.1016/j.comppsych.2011.09.003</w:t>
      </w:r>
    </w:p>
    <w:p w14:paraId="25489A7E" w14:textId="77777777" w:rsidR="00AF2289" w:rsidRPr="00AF2289" w:rsidRDefault="00AF2289" w:rsidP="00AF2289">
      <w:pPr>
        <w:spacing w:line="480" w:lineRule="auto"/>
        <w:rPr>
          <w:rFonts w:ascii="Arial" w:hAnsi="Arial" w:cs="Arial"/>
          <w:sz w:val="24"/>
          <w:szCs w:val="24"/>
        </w:rPr>
      </w:pPr>
      <w:r w:rsidRPr="00AF2289">
        <w:rPr>
          <w:rFonts w:ascii="Arial" w:hAnsi="Arial" w:cs="Arial"/>
          <w:sz w:val="24"/>
          <w:szCs w:val="24"/>
        </w:rPr>
        <w:t xml:space="preserve">Cardi, V., Mallorqui-Bague, N., Albano, G., Monteleone, A. M., Fernandez-Aranda, F., &amp; Treasure, J. (2018). Social Difficulties As Risk and Maintaining Factors in Anorexia Nervosa: A Mixed-Method Investigation. </w:t>
      </w:r>
      <w:r w:rsidRPr="00AF2289">
        <w:rPr>
          <w:rFonts w:ascii="Arial" w:hAnsi="Arial" w:cs="Arial"/>
          <w:i/>
          <w:iCs/>
          <w:sz w:val="24"/>
          <w:szCs w:val="24"/>
        </w:rPr>
        <w:t>Frontiers in Psychiatry</w:t>
      </w:r>
      <w:r w:rsidRPr="00AF2289">
        <w:rPr>
          <w:rFonts w:ascii="Arial" w:hAnsi="Arial" w:cs="Arial"/>
          <w:sz w:val="24"/>
          <w:szCs w:val="24"/>
        </w:rPr>
        <w:t xml:space="preserve">, </w:t>
      </w:r>
      <w:r w:rsidRPr="00AF2289">
        <w:rPr>
          <w:rFonts w:ascii="Arial" w:hAnsi="Arial" w:cs="Arial"/>
          <w:i/>
          <w:iCs/>
          <w:sz w:val="24"/>
          <w:szCs w:val="24"/>
        </w:rPr>
        <w:t>9</w:t>
      </w:r>
      <w:r w:rsidRPr="00AF2289">
        <w:rPr>
          <w:rFonts w:ascii="Arial" w:hAnsi="Arial" w:cs="Arial"/>
          <w:sz w:val="24"/>
          <w:szCs w:val="24"/>
        </w:rPr>
        <w:t>. https://doi.org/10.3389/fpsyt.2018.00012</w:t>
      </w:r>
    </w:p>
    <w:p w14:paraId="6D5BA66B" w14:textId="1C0F0CF4" w:rsidR="00AF2289" w:rsidRPr="00AF2289" w:rsidRDefault="00AF2289" w:rsidP="00AF2289">
      <w:pPr>
        <w:spacing w:line="480" w:lineRule="auto"/>
        <w:rPr>
          <w:rFonts w:ascii="Arial" w:hAnsi="Arial" w:cs="Arial"/>
          <w:sz w:val="24"/>
          <w:szCs w:val="24"/>
        </w:rPr>
      </w:pPr>
      <w:r w:rsidRPr="00AF2289">
        <w:rPr>
          <w:rFonts w:ascii="Arial" w:hAnsi="Arial" w:cs="Arial"/>
          <w:sz w:val="24"/>
          <w:szCs w:val="24"/>
        </w:rPr>
        <w:t>C</w:t>
      </w:r>
      <w:r>
        <w:rPr>
          <w:rFonts w:ascii="Arial" w:hAnsi="Arial" w:cs="Arial"/>
          <w:sz w:val="24"/>
          <w:szCs w:val="24"/>
        </w:rPr>
        <w:t>arter</w:t>
      </w:r>
      <w:r w:rsidRPr="00AF2289">
        <w:rPr>
          <w:rFonts w:ascii="Arial" w:hAnsi="Arial" w:cs="Arial"/>
          <w:sz w:val="24"/>
          <w:szCs w:val="24"/>
        </w:rPr>
        <w:t>, J. C., B</w:t>
      </w:r>
      <w:r>
        <w:rPr>
          <w:rFonts w:ascii="Arial" w:hAnsi="Arial" w:cs="Arial"/>
          <w:sz w:val="24"/>
          <w:szCs w:val="24"/>
        </w:rPr>
        <w:t>lackmore</w:t>
      </w:r>
      <w:r w:rsidRPr="00AF2289">
        <w:rPr>
          <w:rFonts w:ascii="Arial" w:hAnsi="Arial" w:cs="Arial"/>
          <w:sz w:val="24"/>
          <w:szCs w:val="24"/>
        </w:rPr>
        <w:t>, E., S</w:t>
      </w:r>
      <w:r>
        <w:rPr>
          <w:rFonts w:ascii="Arial" w:hAnsi="Arial" w:cs="Arial"/>
          <w:sz w:val="24"/>
          <w:szCs w:val="24"/>
        </w:rPr>
        <w:t>utandar</w:t>
      </w:r>
      <w:r w:rsidRPr="00AF2289">
        <w:rPr>
          <w:rFonts w:ascii="Arial" w:hAnsi="Arial" w:cs="Arial"/>
          <w:sz w:val="24"/>
          <w:szCs w:val="24"/>
        </w:rPr>
        <w:t>-P</w:t>
      </w:r>
      <w:r>
        <w:rPr>
          <w:rFonts w:ascii="Arial" w:hAnsi="Arial" w:cs="Arial"/>
          <w:sz w:val="24"/>
          <w:szCs w:val="24"/>
        </w:rPr>
        <w:t>innock</w:t>
      </w:r>
      <w:r w:rsidRPr="00AF2289">
        <w:rPr>
          <w:rFonts w:ascii="Arial" w:hAnsi="Arial" w:cs="Arial"/>
          <w:sz w:val="24"/>
          <w:szCs w:val="24"/>
        </w:rPr>
        <w:t>, K., &amp; W</w:t>
      </w:r>
      <w:r>
        <w:rPr>
          <w:rFonts w:ascii="Arial" w:hAnsi="Arial" w:cs="Arial"/>
          <w:sz w:val="24"/>
          <w:szCs w:val="24"/>
        </w:rPr>
        <w:t>oodside</w:t>
      </w:r>
      <w:r w:rsidRPr="00AF2289">
        <w:rPr>
          <w:rFonts w:ascii="Arial" w:hAnsi="Arial" w:cs="Arial"/>
          <w:sz w:val="24"/>
          <w:szCs w:val="24"/>
        </w:rPr>
        <w:t xml:space="preserve">, D. B. (2004). Relapse in anorexia nervosa: a survival analysis. </w:t>
      </w:r>
      <w:r w:rsidRPr="00AF2289">
        <w:rPr>
          <w:rFonts w:ascii="Arial" w:hAnsi="Arial" w:cs="Arial"/>
          <w:i/>
          <w:iCs/>
          <w:sz w:val="24"/>
          <w:szCs w:val="24"/>
        </w:rPr>
        <w:t>Psychological Medicine</w:t>
      </w:r>
      <w:r w:rsidRPr="00AF2289">
        <w:rPr>
          <w:rFonts w:ascii="Arial" w:hAnsi="Arial" w:cs="Arial"/>
          <w:sz w:val="24"/>
          <w:szCs w:val="24"/>
        </w:rPr>
        <w:t xml:space="preserve">, </w:t>
      </w:r>
      <w:r w:rsidRPr="00AF2289">
        <w:rPr>
          <w:rFonts w:ascii="Arial" w:hAnsi="Arial" w:cs="Arial"/>
          <w:i/>
          <w:iCs/>
          <w:sz w:val="24"/>
          <w:szCs w:val="24"/>
        </w:rPr>
        <w:t>34</w:t>
      </w:r>
      <w:r w:rsidRPr="00AF2289">
        <w:rPr>
          <w:rFonts w:ascii="Arial" w:hAnsi="Arial" w:cs="Arial"/>
          <w:sz w:val="24"/>
          <w:szCs w:val="24"/>
        </w:rPr>
        <w:t>(4), 671–679. https://doi.org/10.1017/s0033291703001168</w:t>
      </w:r>
    </w:p>
    <w:p w14:paraId="700C3E1F" w14:textId="77777777" w:rsidR="00AF2289" w:rsidRPr="00AF2289" w:rsidRDefault="00AF2289" w:rsidP="00AF2289">
      <w:pPr>
        <w:spacing w:line="480" w:lineRule="auto"/>
        <w:rPr>
          <w:rFonts w:ascii="Arial" w:hAnsi="Arial" w:cs="Arial"/>
          <w:sz w:val="24"/>
          <w:szCs w:val="24"/>
        </w:rPr>
      </w:pPr>
      <w:r w:rsidRPr="00AF2289">
        <w:rPr>
          <w:rFonts w:ascii="Arial" w:hAnsi="Arial" w:cs="Arial"/>
          <w:sz w:val="24"/>
          <w:szCs w:val="24"/>
        </w:rPr>
        <w:t xml:space="preserve">Department of Health and Social Care. (2009). Best practice in managing risk: the assessment and management of risk to self and others in mental health services. In </w:t>
      </w:r>
      <w:r w:rsidRPr="00AF2289">
        <w:rPr>
          <w:rFonts w:ascii="Arial" w:hAnsi="Arial" w:cs="Arial"/>
          <w:i/>
          <w:iCs/>
          <w:sz w:val="24"/>
          <w:szCs w:val="24"/>
        </w:rPr>
        <w:lastRenderedPageBreak/>
        <w:t>Gov.uk</w:t>
      </w:r>
      <w:r w:rsidRPr="00AF2289">
        <w:rPr>
          <w:rFonts w:ascii="Arial" w:hAnsi="Arial" w:cs="Arial"/>
          <w:sz w:val="24"/>
          <w:szCs w:val="24"/>
        </w:rPr>
        <w:t>. https://www.gov.uk/government/publications/assessing-and-managing-risk-in-mental-health-services</w:t>
      </w:r>
    </w:p>
    <w:p w14:paraId="20B810CB" w14:textId="77777777" w:rsidR="00AF2289" w:rsidRPr="00AF2289" w:rsidRDefault="00AF2289" w:rsidP="00AF2289">
      <w:pPr>
        <w:spacing w:line="480" w:lineRule="auto"/>
        <w:rPr>
          <w:rFonts w:ascii="Arial" w:hAnsi="Arial" w:cs="Arial"/>
          <w:sz w:val="24"/>
          <w:szCs w:val="24"/>
        </w:rPr>
      </w:pPr>
      <w:r w:rsidRPr="00AF2289">
        <w:rPr>
          <w:rFonts w:ascii="Arial" w:hAnsi="Arial" w:cs="Arial"/>
          <w:sz w:val="24"/>
          <w:szCs w:val="24"/>
        </w:rPr>
        <w:t xml:space="preserve">Edakubo, S., &amp; Fushimi, K. (2020). Mortality and risk assessment for anorexia nervosa in acute-care hospitals: a nationwide administrative database analysis. </w:t>
      </w:r>
      <w:r w:rsidRPr="00AF2289">
        <w:rPr>
          <w:rFonts w:ascii="Arial" w:hAnsi="Arial" w:cs="Arial"/>
          <w:i/>
          <w:iCs/>
          <w:sz w:val="24"/>
          <w:szCs w:val="24"/>
        </w:rPr>
        <w:t>BMC Psychiatry</w:t>
      </w:r>
      <w:r w:rsidRPr="00AF2289">
        <w:rPr>
          <w:rFonts w:ascii="Arial" w:hAnsi="Arial" w:cs="Arial"/>
          <w:sz w:val="24"/>
          <w:szCs w:val="24"/>
        </w:rPr>
        <w:t xml:space="preserve">, </w:t>
      </w:r>
      <w:r w:rsidRPr="00AF2289">
        <w:rPr>
          <w:rFonts w:ascii="Arial" w:hAnsi="Arial" w:cs="Arial"/>
          <w:i/>
          <w:iCs/>
          <w:sz w:val="24"/>
          <w:szCs w:val="24"/>
        </w:rPr>
        <w:t>20</w:t>
      </w:r>
      <w:r w:rsidRPr="00AF2289">
        <w:rPr>
          <w:rFonts w:ascii="Arial" w:hAnsi="Arial" w:cs="Arial"/>
          <w:sz w:val="24"/>
          <w:szCs w:val="24"/>
        </w:rPr>
        <w:t>(1). https://doi.org/10.1186/s12888-020-2433-8</w:t>
      </w:r>
    </w:p>
    <w:p w14:paraId="5068F404" w14:textId="77777777" w:rsidR="00AF2289" w:rsidRPr="00AF2289" w:rsidRDefault="00AF2289" w:rsidP="00AF2289">
      <w:pPr>
        <w:spacing w:line="480" w:lineRule="auto"/>
        <w:rPr>
          <w:rFonts w:ascii="Arial" w:hAnsi="Arial" w:cs="Arial"/>
          <w:sz w:val="24"/>
          <w:szCs w:val="24"/>
        </w:rPr>
      </w:pPr>
      <w:r w:rsidRPr="00AF2289">
        <w:rPr>
          <w:rFonts w:ascii="Arial" w:hAnsi="Arial" w:cs="Arial"/>
          <w:sz w:val="24"/>
          <w:szCs w:val="24"/>
        </w:rPr>
        <w:t xml:space="preserve">Engel, S. G., Wonderlich, S. A., Crosby, R. D., Mitchell, J. E., Crow, S., Peterson, C. B., Le Grange, D., Simonich, H. K., Cao, L., Lavender, J. M., &amp; Gordon, K. H. (2013). The role of affect in the maintenance of anorexia nervosa: Evidence from a naturalistic assessment of momentary behaviors and emotion. </w:t>
      </w:r>
      <w:r w:rsidRPr="00AF2289">
        <w:rPr>
          <w:rFonts w:ascii="Arial" w:hAnsi="Arial" w:cs="Arial"/>
          <w:i/>
          <w:iCs/>
          <w:sz w:val="24"/>
          <w:szCs w:val="24"/>
        </w:rPr>
        <w:t>Journal of Abnormal Psychology</w:t>
      </w:r>
      <w:r w:rsidRPr="00AF2289">
        <w:rPr>
          <w:rFonts w:ascii="Arial" w:hAnsi="Arial" w:cs="Arial"/>
          <w:sz w:val="24"/>
          <w:szCs w:val="24"/>
        </w:rPr>
        <w:t xml:space="preserve">, </w:t>
      </w:r>
      <w:r w:rsidRPr="00AF2289">
        <w:rPr>
          <w:rFonts w:ascii="Arial" w:hAnsi="Arial" w:cs="Arial"/>
          <w:i/>
          <w:iCs/>
          <w:sz w:val="24"/>
          <w:szCs w:val="24"/>
        </w:rPr>
        <w:t>122</w:t>
      </w:r>
      <w:r w:rsidRPr="00AF2289">
        <w:rPr>
          <w:rFonts w:ascii="Arial" w:hAnsi="Arial" w:cs="Arial"/>
          <w:sz w:val="24"/>
          <w:szCs w:val="24"/>
        </w:rPr>
        <w:t>(3), 709–719. https://doi.org/10.1037/a0034010</w:t>
      </w:r>
    </w:p>
    <w:p w14:paraId="6566271A" w14:textId="77777777" w:rsidR="00AF2289" w:rsidRPr="00AF2289" w:rsidRDefault="00AF2289" w:rsidP="00AF2289">
      <w:pPr>
        <w:spacing w:line="480" w:lineRule="auto"/>
        <w:rPr>
          <w:rFonts w:ascii="Arial" w:hAnsi="Arial" w:cs="Arial"/>
          <w:sz w:val="24"/>
          <w:szCs w:val="24"/>
        </w:rPr>
      </w:pPr>
      <w:r w:rsidRPr="00AF2289">
        <w:rPr>
          <w:rFonts w:ascii="Arial" w:hAnsi="Arial" w:cs="Arial"/>
          <w:sz w:val="24"/>
          <w:szCs w:val="24"/>
        </w:rPr>
        <w:t xml:space="preserve">Fairburn, C. G., Cooper, Z., Doll, H. A., &amp; Welch, S. L. (1999). Risk Factors for Anorexia Nervosa. </w:t>
      </w:r>
      <w:r w:rsidRPr="00AF2289">
        <w:rPr>
          <w:rFonts w:ascii="Arial" w:hAnsi="Arial" w:cs="Arial"/>
          <w:i/>
          <w:iCs/>
          <w:sz w:val="24"/>
          <w:szCs w:val="24"/>
        </w:rPr>
        <w:t>Archives of General Psychiatry</w:t>
      </w:r>
      <w:r w:rsidRPr="00AF2289">
        <w:rPr>
          <w:rFonts w:ascii="Arial" w:hAnsi="Arial" w:cs="Arial"/>
          <w:sz w:val="24"/>
          <w:szCs w:val="24"/>
        </w:rPr>
        <w:t xml:space="preserve">, </w:t>
      </w:r>
      <w:r w:rsidRPr="00AF2289">
        <w:rPr>
          <w:rFonts w:ascii="Arial" w:hAnsi="Arial" w:cs="Arial"/>
          <w:i/>
          <w:iCs/>
          <w:sz w:val="24"/>
          <w:szCs w:val="24"/>
        </w:rPr>
        <w:t>56</w:t>
      </w:r>
      <w:r w:rsidRPr="00AF2289">
        <w:rPr>
          <w:rFonts w:ascii="Arial" w:hAnsi="Arial" w:cs="Arial"/>
          <w:sz w:val="24"/>
          <w:szCs w:val="24"/>
        </w:rPr>
        <w:t>(5), 468. https://doi.org/10.1001/archpsyc.56.5.468</w:t>
      </w:r>
    </w:p>
    <w:p w14:paraId="1AF6EEA2" w14:textId="77777777" w:rsidR="00AF2289" w:rsidRPr="00AF2289" w:rsidRDefault="00AF2289" w:rsidP="00AF2289">
      <w:pPr>
        <w:spacing w:line="480" w:lineRule="auto"/>
        <w:rPr>
          <w:rFonts w:ascii="Arial" w:hAnsi="Arial" w:cs="Arial"/>
          <w:sz w:val="24"/>
          <w:szCs w:val="24"/>
        </w:rPr>
      </w:pPr>
      <w:r w:rsidRPr="00AF2289">
        <w:rPr>
          <w:rFonts w:ascii="Arial" w:hAnsi="Arial" w:cs="Arial"/>
          <w:sz w:val="24"/>
          <w:szCs w:val="24"/>
        </w:rPr>
        <w:t xml:space="preserve">Garner, D. M., &amp; Garfinkel, P. E. (1997). </w:t>
      </w:r>
      <w:r w:rsidRPr="00AF2289">
        <w:rPr>
          <w:rFonts w:ascii="Arial" w:hAnsi="Arial" w:cs="Arial"/>
          <w:i/>
          <w:iCs/>
          <w:sz w:val="24"/>
          <w:szCs w:val="24"/>
        </w:rPr>
        <w:t>Handbook of treatment for eating disorders</w:t>
      </w:r>
      <w:r w:rsidRPr="00AF2289">
        <w:rPr>
          <w:rFonts w:ascii="Arial" w:hAnsi="Arial" w:cs="Arial"/>
          <w:sz w:val="24"/>
          <w:szCs w:val="24"/>
        </w:rPr>
        <w:t>. Guilford Press.</w:t>
      </w:r>
    </w:p>
    <w:p w14:paraId="0E2D7CB2" w14:textId="77777777" w:rsidR="00AF2289" w:rsidRPr="00AF2289" w:rsidRDefault="00AF2289" w:rsidP="00AF2289">
      <w:pPr>
        <w:spacing w:line="480" w:lineRule="auto"/>
        <w:rPr>
          <w:rFonts w:ascii="Arial" w:hAnsi="Arial" w:cs="Arial"/>
          <w:sz w:val="24"/>
          <w:szCs w:val="24"/>
        </w:rPr>
      </w:pPr>
      <w:r w:rsidRPr="00AF2289">
        <w:rPr>
          <w:rFonts w:ascii="Arial" w:hAnsi="Arial" w:cs="Arial"/>
          <w:sz w:val="24"/>
          <w:szCs w:val="24"/>
        </w:rPr>
        <w:t xml:space="preserve">Hewitt, P. L., &amp; Flett, G. L. (1991). Perfectionism in the self and social contexts: Conceptualization, assessment, and association with psychopathology. </w:t>
      </w:r>
      <w:r w:rsidRPr="00AF2289">
        <w:rPr>
          <w:rFonts w:ascii="Arial" w:hAnsi="Arial" w:cs="Arial"/>
          <w:i/>
          <w:iCs/>
          <w:sz w:val="24"/>
          <w:szCs w:val="24"/>
        </w:rPr>
        <w:t>Journal of Personality and Social Psychology</w:t>
      </w:r>
      <w:r w:rsidRPr="00AF2289">
        <w:rPr>
          <w:rFonts w:ascii="Arial" w:hAnsi="Arial" w:cs="Arial"/>
          <w:sz w:val="24"/>
          <w:szCs w:val="24"/>
        </w:rPr>
        <w:t xml:space="preserve">, </w:t>
      </w:r>
      <w:r w:rsidRPr="00AF2289">
        <w:rPr>
          <w:rFonts w:ascii="Arial" w:hAnsi="Arial" w:cs="Arial"/>
          <w:i/>
          <w:iCs/>
          <w:sz w:val="24"/>
          <w:szCs w:val="24"/>
        </w:rPr>
        <w:t>60</w:t>
      </w:r>
      <w:r w:rsidRPr="00AF2289">
        <w:rPr>
          <w:rFonts w:ascii="Arial" w:hAnsi="Arial" w:cs="Arial"/>
          <w:sz w:val="24"/>
          <w:szCs w:val="24"/>
        </w:rPr>
        <w:t>(3), 456–470. https://doi.org/10.1037/0022-3514.60.3.456</w:t>
      </w:r>
    </w:p>
    <w:p w14:paraId="021562DA" w14:textId="77777777" w:rsidR="00AF2289" w:rsidRPr="00AF2289" w:rsidRDefault="00AF2289" w:rsidP="00AF2289">
      <w:pPr>
        <w:spacing w:line="480" w:lineRule="auto"/>
        <w:rPr>
          <w:rFonts w:ascii="Arial" w:hAnsi="Arial" w:cs="Arial"/>
          <w:sz w:val="24"/>
          <w:szCs w:val="24"/>
        </w:rPr>
      </w:pPr>
      <w:r w:rsidRPr="00AF2289">
        <w:rPr>
          <w:rFonts w:ascii="Arial" w:hAnsi="Arial" w:cs="Arial"/>
          <w:sz w:val="24"/>
          <w:szCs w:val="24"/>
        </w:rPr>
        <w:t xml:space="preserve">Khalsa, S. S., Craske, M. G., Li, W., Vangala, S., Strober, M., &amp; Feusner, J. D. (2015). Altered interoceptive awareness in anorexia nervosa: Effects of meal anticipation, consumption and bodily arousal. </w:t>
      </w:r>
      <w:r w:rsidRPr="00AF2289">
        <w:rPr>
          <w:rFonts w:ascii="Arial" w:hAnsi="Arial" w:cs="Arial"/>
          <w:i/>
          <w:iCs/>
          <w:sz w:val="24"/>
          <w:szCs w:val="24"/>
        </w:rPr>
        <w:t>International Journal of Eating Disorders</w:t>
      </w:r>
      <w:r w:rsidRPr="00AF2289">
        <w:rPr>
          <w:rFonts w:ascii="Arial" w:hAnsi="Arial" w:cs="Arial"/>
          <w:sz w:val="24"/>
          <w:szCs w:val="24"/>
        </w:rPr>
        <w:t xml:space="preserve">, </w:t>
      </w:r>
      <w:r w:rsidRPr="00AF2289">
        <w:rPr>
          <w:rFonts w:ascii="Arial" w:hAnsi="Arial" w:cs="Arial"/>
          <w:i/>
          <w:iCs/>
          <w:sz w:val="24"/>
          <w:szCs w:val="24"/>
        </w:rPr>
        <w:t>48</w:t>
      </w:r>
      <w:r w:rsidRPr="00AF2289">
        <w:rPr>
          <w:rFonts w:ascii="Arial" w:hAnsi="Arial" w:cs="Arial"/>
          <w:sz w:val="24"/>
          <w:szCs w:val="24"/>
        </w:rPr>
        <w:t>(7), 889–897. https://doi.org/10.1002/eat.22387</w:t>
      </w:r>
    </w:p>
    <w:p w14:paraId="097E02CA" w14:textId="77777777" w:rsidR="00AF2289" w:rsidRPr="00AF2289" w:rsidRDefault="00AF2289" w:rsidP="00AF2289">
      <w:pPr>
        <w:spacing w:line="480" w:lineRule="auto"/>
        <w:rPr>
          <w:rFonts w:ascii="Arial" w:hAnsi="Arial" w:cs="Arial"/>
          <w:sz w:val="24"/>
          <w:szCs w:val="24"/>
        </w:rPr>
      </w:pPr>
      <w:r w:rsidRPr="00AF2289">
        <w:rPr>
          <w:rFonts w:ascii="Arial" w:hAnsi="Arial" w:cs="Arial"/>
          <w:sz w:val="24"/>
          <w:szCs w:val="24"/>
        </w:rPr>
        <w:lastRenderedPageBreak/>
        <w:t xml:space="preserve">Kraemer, H. C. (1997). Coming to Terms With the Terms of Risk. </w:t>
      </w:r>
      <w:r w:rsidRPr="00AF2289">
        <w:rPr>
          <w:rFonts w:ascii="Arial" w:hAnsi="Arial" w:cs="Arial"/>
          <w:i/>
          <w:iCs/>
          <w:sz w:val="24"/>
          <w:szCs w:val="24"/>
        </w:rPr>
        <w:t>Archives of General Psychiatry</w:t>
      </w:r>
      <w:r w:rsidRPr="00AF2289">
        <w:rPr>
          <w:rFonts w:ascii="Arial" w:hAnsi="Arial" w:cs="Arial"/>
          <w:sz w:val="24"/>
          <w:szCs w:val="24"/>
        </w:rPr>
        <w:t xml:space="preserve">, </w:t>
      </w:r>
      <w:r w:rsidRPr="00AF2289">
        <w:rPr>
          <w:rFonts w:ascii="Arial" w:hAnsi="Arial" w:cs="Arial"/>
          <w:i/>
          <w:iCs/>
          <w:sz w:val="24"/>
          <w:szCs w:val="24"/>
        </w:rPr>
        <w:t>54</w:t>
      </w:r>
      <w:r w:rsidRPr="00AF2289">
        <w:rPr>
          <w:rFonts w:ascii="Arial" w:hAnsi="Arial" w:cs="Arial"/>
          <w:sz w:val="24"/>
          <w:szCs w:val="24"/>
        </w:rPr>
        <w:t>(4), 337. https://doi.org/10.1001/archpsyc.1997.01830160065009</w:t>
      </w:r>
    </w:p>
    <w:p w14:paraId="423DBEB3" w14:textId="77777777" w:rsidR="00AF2289" w:rsidRPr="00AF2289" w:rsidRDefault="00AF2289" w:rsidP="00AF2289">
      <w:pPr>
        <w:spacing w:line="480" w:lineRule="auto"/>
        <w:rPr>
          <w:rFonts w:ascii="Arial" w:hAnsi="Arial" w:cs="Arial"/>
          <w:sz w:val="24"/>
          <w:szCs w:val="24"/>
        </w:rPr>
      </w:pPr>
      <w:r w:rsidRPr="00AF2289">
        <w:rPr>
          <w:rFonts w:ascii="Arial" w:hAnsi="Arial" w:cs="Arial"/>
          <w:sz w:val="24"/>
          <w:szCs w:val="24"/>
        </w:rPr>
        <w:t xml:space="preserve">Ryan, H., Gayles, J. G., &amp; Bell, L. (2018). Student-Athletes and Mental Health Experiences. </w:t>
      </w:r>
      <w:r w:rsidRPr="00AF2289">
        <w:rPr>
          <w:rFonts w:ascii="Arial" w:hAnsi="Arial" w:cs="Arial"/>
          <w:i/>
          <w:iCs/>
          <w:sz w:val="24"/>
          <w:szCs w:val="24"/>
        </w:rPr>
        <w:t>New Directions for Student Services</w:t>
      </w:r>
      <w:r w:rsidRPr="00AF2289">
        <w:rPr>
          <w:rFonts w:ascii="Arial" w:hAnsi="Arial" w:cs="Arial"/>
          <w:sz w:val="24"/>
          <w:szCs w:val="24"/>
        </w:rPr>
        <w:t xml:space="preserve">, </w:t>
      </w:r>
      <w:r w:rsidRPr="00AF2289">
        <w:rPr>
          <w:rFonts w:ascii="Arial" w:hAnsi="Arial" w:cs="Arial"/>
          <w:i/>
          <w:iCs/>
          <w:sz w:val="24"/>
          <w:szCs w:val="24"/>
        </w:rPr>
        <w:t>2018</w:t>
      </w:r>
      <w:r w:rsidRPr="00AF2289">
        <w:rPr>
          <w:rFonts w:ascii="Arial" w:hAnsi="Arial" w:cs="Arial"/>
          <w:sz w:val="24"/>
          <w:szCs w:val="24"/>
        </w:rPr>
        <w:t>(163), 67–79. https://doi.org/10.1002/ss.20271</w:t>
      </w:r>
    </w:p>
    <w:p w14:paraId="55C9B627" w14:textId="77777777" w:rsidR="00AF2289" w:rsidRPr="00AF2289" w:rsidRDefault="00AF2289" w:rsidP="00AF2289">
      <w:pPr>
        <w:spacing w:line="480" w:lineRule="auto"/>
        <w:rPr>
          <w:rFonts w:ascii="Arial" w:hAnsi="Arial" w:cs="Arial"/>
          <w:sz w:val="24"/>
          <w:szCs w:val="24"/>
        </w:rPr>
      </w:pPr>
      <w:r w:rsidRPr="00AF2289">
        <w:rPr>
          <w:rFonts w:ascii="Arial" w:hAnsi="Arial" w:cs="Arial"/>
          <w:sz w:val="24"/>
          <w:szCs w:val="24"/>
        </w:rPr>
        <w:t xml:space="preserve">Signorini, A., De Filippo, E., Panico, S., De Caprio, C., Pasanisi, F., &amp; Contaldo, F. (2006). Long-term mortality in anorexia nervosa: a report after an 8-year follow-up and a review of the most recent literature. </w:t>
      </w:r>
      <w:r w:rsidRPr="00AF2289">
        <w:rPr>
          <w:rFonts w:ascii="Arial" w:hAnsi="Arial" w:cs="Arial"/>
          <w:i/>
          <w:iCs/>
          <w:sz w:val="24"/>
          <w:szCs w:val="24"/>
        </w:rPr>
        <w:t>European Journal of Clinical Nutrition</w:t>
      </w:r>
      <w:r w:rsidRPr="00AF2289">
        <w:rPr>
          <w:rFonts w:ascii="Arial" w:hAnsi="Arial" w:cs="Arial"/>
          <w:sz w:val="24"/>
          <w:szCs w:val="24"/>
        </w:rPr>
        <w:t xml:space="preserve">, </w:t>
      </w:r>
      <w:r w:rsidRPr="00AF2289">
        <w:rPr>
          <w:rFonts w:ascii="Arial" w:hAnsi="Arial" w:cs="Arial"/>
          <w:i/>
          <w:iCs/>
          <w:sz w:val="24"/>
          <w:szCs w:val="24"/>
        </w:rPr>
        <w:t>61</w:t>
      </w:r>
      <w:r w:rsidRPr="00AF2289">
        <w:rPr>
          <w:rFonts w:ascii="Arial" w:hAnsi="Arial" w:cs="Arial"/>
          <w:sz w:val="24"/>
          <w:szCs w:val="24"/>
        </w:rPr>
        <w:t>(1), 119–122. https://doi.org/10.1038/sj.ejcn.1602491</w:t>
      </w:r>
    </w:p>
    <w:p w14:paraId="365DDE9E" w14:textId="77777777" w:rsidR="00AF2289" w:rsidRPr="00AF2289" w:rsidRDefault="00AF2289" w:rsidP="00AF2289">
      <w:pPr>
        <w:spacing w:line="480" w:lineRule="auto"/>
        <w:rPr>
          <w:rFonts w:ascii="Arial" w:hAnsi="Arial" w:cs="Arial"/>
          <w:sz w:val="24"/>
          <w:szCs w:val="24"/>
        </w:rPr>
      </w:pPr>
      <w:r w:rsidRPr="00AF2289">
        <w:rPr>
          <w:rFonts w:ascii="Arial" w:hAnsi="Arial" w:cs="Arial"/>
          <w:sz w:val="24"/>
          <w:szCs w:val="24"/>
        </w:rPr>
        <w:t xml:space="preserve">Smolak, L., Murnen, S. K., &amp; Ruble, A. E. (2000). Female athletes and eating problems: A meta-analysis. </w:t>
      </w:r>
      <w:r w:rsidRPr="00AF2289">
        <w:rPr>
          <w:rFonts w:ascii="Arial" w:hAnsi="Arial" w:cs="Arial"/>
          <w:i/>
          <w:iCs/>
          <w:sz w:val="24"/>
          <w:szCs w:val="24"/>
        </w:rPr>
        <w:t>International Journal of Eating Disorders</w:t>
      </w:r>
      <w:r w:rsidRPr="00AF2289">
        <w:rPr>
          <w:rFonts w:ascii="Arial" w:hAnsi="Arial" w:cs="Arial"/>
          <w:sz w:val="24"/>
          <w:szCs w:val="24"/>
        </w:rPr>
        <w:t xml:space="preserve">, </w:t>
      </w:r>
      <w:r w:rsidRPr="00AF2289">
        <w:rPr>
          <w:rFonts w:ascii="Arial" w:hAnsi="Arial" w:cs="Arial"/>
          <w:i/>
          <w:iCs/>
          <w:sz w:val="24"/>
          <w:szCs w:val="24"/>
        </w:rPr>
        <w:t>27</w:t>
      </w:r>
      <w:r w:rsidRPr="00AF2289">
        <w:rPr>
          <w:rFonts w:ascii="Arial" w:hAnsi="Arial" w:cs="Arial"/>
          <w:sz w:val="24"/>
          <w:szCs w:val="24"/>
        </w:rPr>
        <w:t>(4), 371–380. https://doi.org/3.0.co;2-y"&gt;10.1002/(sici)1098-108x(200005)27:4&lt;371::aid-eat1&gt;3.0.co;2-y</w:t>
      </w:r>
    </w:p>
    <w:p w14:paraId="4A32352E" w14:textId="77777777" w:rsidR="00AF2289" w:rsidRPr="00AF2289" w:rsidRDefault="00AF2289" w:rsidP="00AF2289">
      <w:pPr>
        <w:spacing w:line="480" w:lineRule="auto"/>
        <w:rPr>
          <w:rFonts w:ascii="Arial" w:hAnsi="Arial" w:cs="Arial"/>
          <w:sz w:val="24"/>
          <w:szCs w:val="24"/>
        </w:rPr>
      </w:pPr>
      <w:r w:rsidRPr="00AF2289">
        <w:rPr>
          <w:rFonts w:ascii="Arial" w:hAnsi="Arial" w:cs="Arial"/>
          <w:sz w:val="24"/>
          <w:szCs w:val="24"/>
        </w:rPr>
        <w:t xml:space="preserve">Yager, J., &amp; Andersen, A. E. (2005). Anorexia Nervosa. </w:t>
      </w:r>
      <w:r w:rsidRPr="00AF2289">
        <w:rPr>
          <w:rFonts w:ascii="Arial" w:hAnsi="Arial" w:cs="Arial"/>
          <w:i/>
          <w:iCs/>
          <w:sz w:val="24"/>
          <w:szCs w:val="24"/>
        </w:rPr>
        <w:t>New England Journal of Medicine</w:t>
      </w:r>
      <w:r w:rsidRPr="00AF2289">
        <w:rPr>
          <w:rFonts w:ascii="Arial" w:hAnsi="Arial" w:cs="Arial"/>
          <w:sz w:val="24"/>
          <w:szCs w:val="24"/>
        </w:rPr>
        <w:t xml:space="preserve">, </w:t>
      </w:r>
      <w:r w:rsidRPr="00AF2289">
        <w:rPr>
          <w:rFonts w:ascii="Arial" w:hAnsi="Arial" w:cs="Arial"/>
          <w:i/>
          <w:iCs/>
          <w:sz w:val="24"/>
          <w:szCs w:val="24"/>
        </w:rPr>
        <w:t>353</w:t>
      </w:r>
      <w:r w:rsidRPr="00AF2289">
        <w:rPr>
          <w:rFonts w:ascii="Arial" w:hAnsi="Arial" w:cs="Arial"/>
          <w:sz w:val="24"/>
          <w:szCs w:val="24"/>
        </w:rPr>
        <w:t>(14), 1481–1488. https://doi.org/10.1056/nejmcp050187</w:t>
      </w:r>
    </w:p>
    <w:p w14:paraId="63433B2F" w14:textId="77777777" w:rsidR="00AF2289" w:rsidRPr="00780B9F" w:rsidRDefault="00AF2289" w:rsidP="00AF2289">
      <w:pPr>
        <w:spacing w:line="480" w:lineRule="auto"/>
        <w:rPr>
          <w:rFonts w:ascii="Arial" w:hAnsi="Arial" w:cs="Arial"/>
          <w:sz w:val="24"/>
          <w:szCs w:val="24"/>
        </w:rPr>
      </w:pPr>
    </w:p>
    <w:sectPr w:rsidR="00AF2289" w:rsidRPr="00780B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492"/>
    <w:rsid w:val="00004868"/>
    <w:rsid w:val="000070D6"/>
    <w:rsid w:val="000078C8"/>
    <w:rsid w:val="0006166C"/>
    <w:rsid w:val="00061A81"/>
    <w:rsid w:val="00065492"/>
    <w:rsid w:val="000705A4"/>
    <w:rsid w:val="000729A6"/>
    <w:rsid w:val="000A0031"/>
    <w:rsid w:val="000B53BE"/>
    <w:rsid w:val="000D31A5"/>
    <w:rsid w:val="000D7803"/>
    <w:rsid w:val="000E27D2"/>
    <w:rsid w:val="001014BF"/>
    <w:rsid w:val="00106F07"/>
    <w:rsid w:val="001228BD"/>
    <w:rsid w:val="00131908"/>
    <w:rsid w:val="00131E42"/>
    <w:rsid w:val="00140379"/>
    <w:rsid w:val="0014608F"/>
    <w:rsid w:val="00152D11"/>
    <w:rsid w:val="001623CA"/>
    <w:rsid w:val="00190BCF"/>
    <w:rsid w:val="001B039B"/>
    <w:rsid w:val="001C07C9"/>
    <w:rsid w:val="001C7239"/>
    <w:rsid w:val="001D3411"/>
    <w:rsid w:val="00233151"/>
    <w:rsid w:val="0023370E"/>
    <w:rsid w:val="00243518"/>
    <w:rsid w:val="00247DC3"/>
    <w:rsid w:val="00252A13"/>
    <w:rsid w:val="00275DD0"/>
    <w:rsid w:val="00290366"/>
    <w:rsid w:val="002950EC"/>
    <w:rsid w:val="00297DAA"/>
    <w:rsid w:val="002A75F3"/>
    <w:rsid w:val="002C3615"/>
    <w:rsid w:val="002D546B"/>
    <w:rsid w:val="002F2F4A"/>
    <w:rsid w:val="002F7071"/>
    <w:rsid w:val="0030102B"/>
    <w:rsid w:val="003109A1"/>
    <w:rsid w:val="003415F4"/>
    <w:rsid w:val="00370EE1"/>
    <w:rsid w:val="0037657E"/>
    <w:rsid w:val="003B30DD"/>
    <w:rsid w:val="003B4040"/>
    <w:rsid w:val="003D7CAF"/>
    <w:rsid w:val="00420D0D"/>
    <w:rsid w:val="00440804"/>
    <w:rsid w:val="00456867"/>
    <w:rsid w:val="00457F7B"/>
    <w:rsid w:val="004810B9"/>
    <w:rsid w:val="00496E0E"/>
    <w:rsid w:val="004B68A4"/>
    <w:rsid w:val="004C1658"/>
    <w:rsid w:val="004F3DE1"/>
    <w:rsid w:val="005126F6"/>
    <w:rsid w:val="00535953"/>
    <w:rsid w:val="005409BA"/>
    <w:rsid w:val="00544EC0"/>
    <w:rsid w:val="0054706B"/>
    <w:rsid w:val="00580D45"/>
    <w:rsid w:val="00593EA5"/>
    <w:rsid w:val="005A2399"/>
    <w:rsid w:val="005B0192"/>
    <w:rsid w:val="005D405B"/>
    <w:rsid w:val="005D7D6E"/>
    <w:rsid w:val="005E35C6"/>
    <w:rsid w:val="00627B66"/>
    <w:rsid w:val="006734B7"/>
    <w:rsid w:val="006B688A"/>
    <w:rsid w:val="006D1A3D"/>
    <w:rsid w:val="006E192B"/>
    <w:rsid w:val="006E6202"/>
    <w:rsid w:val="00736BCC"/>
    <w:rsid w:val="007446F4"/>
    <w:rsid w:val="00755858"/>
    <w:rsid w:val="0075784D"/>
    <w:rsid w:val="0076688D"/>
    <w:rsid w:val="0077270B"/>
    <w:rsid w:val="00780B9F"/>
    <w:rsid w:val="00786348"/>
    <w:rsid w:val="00790BE3"/>
    <w:rsid w:val="007A277B"/>
    <w:rsid w:val="007A3B32"/>
    <w:rsid w:val="007C1E06"/>
    <w:rsid w:val="007C59B6"/>
    <w:rsid w:val="007F2E0A"/>
    <w:rsid w:val="007F2F59"/>
    <w:rsid w:val="008225F2"/>
    <w:rsid w:val="00823C1A"/>
    <w:rsid w:val="0085545E"/>
    <w:rsid w:val="00883D7E"/>
    <w:rsid w:val="008C60F9"/>
    <w:rsid w:val="008E0B89"/>
    <w:rsid w:val="008E453B"/>
    <w:rsid w:val="008F3BAD"/>
    <w:rsid w:val="00930245"/>
    <w:rsid w:val="009339F0"/>
    <w:rsid w:val="0096223A"/>
    <w:rsid w:val="0097442F"/>
    <w:rsid w:val="00975FB7"/>
    <w:rsid w:val="00976840"/>
    <w:rsid w:val="0097720C"/>
    <w:rsid w:val="00991FFA"/>
    <w:rsid w:val="009A50E2"/>
    <w:rsid w:val="009A7AF6"/>
    <w:rsid w:val="009C631C"/>
    <w:rsid w:val="00A01797"/>
    <w:rsid w:val="00A45A67"/>
    <w:rsid w:val="00A5380A"/>
    <w:rsid w:val="00AB0C6D"/>
    <w:rsid w:val="00AB612B"/>
    <w:rsid w:val="00AB79CE"/>
    <w:rsid w:val="00AC3FFA"/>
    <w:rsid w:val="00AD37FF"/>
    <w:rsid w:val="00AE5A11"/>
    <w:rsid w:val="00AF2289"/>
    <w:rsid w:val="00BA1CB6"/>
    <w:rsid w:val="00BB1D59"/>
    <w:rsid w:val="00BE1A70"/>
    <w:rsid w:val="00BE68E9"/>
    <w:rsid w:val="00BF5FC1"/>
    <w:rsid w:val="00C33829"/>
    <w:rsid w:val="00C37FDD"/>
    <w:rsid w:val="00C45726"/>
    <w:rsid w:val="00C65434"/>
    <w:rsid w:val="00C76BA5"/>
    <w:rsid w:val="00C87E12"/>
    <w:rsid w:val="00CA24AC"/>
    <w:rsid w:val="00CA4E5B"/>
    <w:rsid w:val="00CF1D71"/>
    <w:rsid w:val="00D0140E"/>
    <w:rsid w:val="00D33864"/>
    <w:rsid w:val="00D45D5D"/>
    <w:rsid w:val="00D50022"/>
    <w:rsid w:val="00D5393A"/>
    <w:rsid w:val="00D53B88"/>
    <w:rsid w:val="00D75EA0"/>
    <w:rsid w:val="00D85F3B"/>
    <w:rsid w:val="00DC48C4"/>
    <w:rsid w:val="00DD71B9"/>
    <w:rsid w:val="00E07943"/>
    <w:rsid w:val="00E51D2E"/>
    <w:rsid w:val="00E53847"/>
    <w:rsid w:val="00E64703"/>
    <w:rsid w:val="00E91FA7"/>
    <w:rsid w:val="00EA0145"/>
    <w:rsid w:val="00EA1E51"/>
    <w:rsid w:val="00ED6991"/>
    <w:rsid w:val="00EE2D3C"/>
    <w:rsid w:val="00EE623D"/>
    <w:rsid w:val="00EF35D8"/>
    <w:rsid w:val="00EF5CCE"/>
    <w:rsid w:val="00EF5E25"/>
    <w:rsid w:val="00F22E7F"/>
    <w:rsid w:val="00F22F11"/>
    <w:rsid w:val="00F43342"/>
    <w:rsid w:val="00F45040"/>
    <w:rsid w:val="00F52E41"/>
    <w:rsid w:val="00F54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49A88"/>
  <w15:chartTrackingRefBased/>
  <w15:docId w15:val="{98131E84-E507-43E5-B864-61758E796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50EC"/>
    <w:rPr>
      <w:color w:val="0563C1" w:themeColor="hyperlink"/>
      <w:u w:val="single"/>
    </w:rPr>
  </w:style>
  <w:style w:type="character" w:styleId="UnresolvedMention">
    <w:name w:val="Unresolved Mention"/>
    <w:basedOn w:val="DefaultParagraphFont"/>
    <w:uiPriority w:val="99"/>
    <w:semiHidden/>
    <w:unhideWhenUsed/>
    <w:rsid w:val="002950EC"/>
    <w:rPr>
      <w:color w:val="605E5C"/>
      <w:shd w:val="clear" w:color="auto" w:fill="E1DFDD"/>
    </w:rPr>
  </w:style>
  <w:style w:type="paragraph" w:styleId="NormalWeb">
    <w:name w:val="Normal (Web)"/>
    <w:basedOn w:val="Normal"/>
    <w:uiPriority w:val="99"/>
    <w:semiHidden/>
    <w:unhideWhenUsed/>
    <w:rsid w:val="00EE623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9539303">
      <w:bodyDiv w:val="1"/>
      <w:marLeft w:val="0"/>
      <w:marRight w:val="0"/>
      <w:marTop w:val="0"/>
      <w:marBottom w:val="0"/>
      <w:divBdr>
        <w:top w:val="none" w:sz="0" w:space="0" w:color="auto"/>
        <w:left w:val="none" w:sz="0" w:space="0" w:color="auto"/>
        <w:bottom w:val="none" w:sz="0" w:space="0" w:color="auto"/>
        <w:right w:val="none" w:sz="0" w:space="0" w:color="auto"/>
      </w:divBdr>
    </w:div>
    <w:div w:id="2049724356">
      <w:bodyDiv w:val="1"/>
      <w:marLeft w:val="0"/>
      <w:marRight w:val="0"/>
      <w:marTop w:val="0"/>
      <w:marBottom w:val="0"/>
      <w:divBdr>
        <w:top w:val="none" w:sz="0" w:space="0" w:color="auto"/>
        <w:left w:val="none" w:sz="0" w:space="0" w:color="auto"/>
        <w:bottom w:val="none" w:sz="0" w:space="0" w:color="auto"/>
        <w:right w:val="none" w:sz="0" w:space="0" w:color="auto"/>
      </w:divBdr>
      <w:divsChild>
        <w:div w:id="20535800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ncbi.nlm.nih.gov/pmc/articles/PMC47858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2647</TotalTime>
  <Pages>11</Pages>
  <Words>2801</Words>
  <Characters>15966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Labuda</dc:creator>
  <cp:keywords/>
  <dc:description/>
  <cp:lastModifiedBy>Ewa Labuda</cp:lastModifiedBy>
  <cp:revision>45</cp:revision>
  <dcterms:created xsi:type="dcterms:W3CDTF">2021-05-10T07:00:00Z</dcterms:created>
  <dcterms:modified xsi:type="dcterms:W3CDTF">2021-05-14T12:51:00Z</dcterms:modified>
</cp:coreProperties>
</file>