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6A9C4" w14:textId="77777777" w:rsidR="00025B4E" w:rsidRDefault="00025B4E" w:rsidP="00025B4E">
      <w:pPr>
        <w:jc w:val="center"/>
      </w:pPr>
      <w:r w:rsidRPr="00EE7F9C">
        <w:rPr>
          <w:rFonts w:asciiTheme="majorBidi" w:hAnsiTheme="majorBidi" w:cstheme="majorBidi"/>
          <w:b/>
          <w:bCs/>
          <w:noProof/>
          <w:rtl/>
          <w:lang w:val="ar-SA"/>
        </w:rPr>
        <w:drawing>
          <wp:inline distT="0" distB="0" distL="0" distR="0" wp14:anchorId="0B04D30E" wp14:editId="532188FE">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3FABC228" w14:textId="77777777" w:rsidR="00025B4E" w:rsidRDefault="00025B4E" w:rsidP="00025B4E">
      <w:pPr>
        <w:jc w:val="center"/>
      </w:pPr>
    </w:p>
    <w:p w14:paraId="4F77E0F4" w14:textId="77777777" w:rsidR="00025B4E" w:rsidRDefault="00025B4E" w:rsidP="00025B4E">
      <w:pPr>
        <w:jc w:val="center"/>
      </w:pPr>
    </w:p>
    <w:p w14:paraId="574AC27C" w14:textId="77777777" w:rsidR="00025B4E" w:rsidRDefault="00025B4E" w:rsidP="00025B4E">
      <w:pPr>
        <w:jc w:val="center"/>
      </w:pPr>
    </w:p>
    <w:p w14:paraId="1966F7CD" w14:textId="77777777" w:rsidR="00025B4E" w:rsidRDefault="00025B4E" w:rsidP="00025B4E">
      <w:pPr>
        <w:jc w:val="center"/>
      </w:pPr>
    </w:p>
    <w:p w14:paraId="2F3679F8" w14:textId="77777777" w:rsidR="00025B4E" w:rsidRDefault="00025B4E" w:rsidP="00025B4E">
      <w:pPr>
        <w:jc w:val="center"/>
      </w:pPr>
    </w:p>
    <w:p w14:paraId="3B445F55" w14:textId="77777777" w:rsidR="00025B4E" w:rsidRDefault="00025B4E" w:rsidP="00025B4E">
      <w:pPr>
        <w:jc w:val="center"/>
      </w:pPr>
    </w:p>
    <w:p w14:paraId="3CBDCA98" w14:textId="77777777" w:rsidR="00025B4E" w:rsidRDefault="00025B4E" w:rsidP="00025B4E">
      <w:pPr>
        <w:jc w:val="center"/>
      </w:pPr>
    </w:p>
    <w:p w14:paraId="4396A472" w14:textId="77777777" w:rsidR="00025B4E" w:rsidRDefault="00025B4E" w:rsidP="00025B4E">
      <w:pPr>
        <w:jc w:val="center"/>
      </w:pPr>
    </w:p>
    <w:p w14:paraId="490A21CF" w14:textId="77777777" w:rsidR="00025B4E" w:rsidRDefault="00025B4E" w:rsidP="00025B4E">
      <w:pPr>
        <w:jc w:val="center"/>
      </w:pPr>
    </w:p>
    <w:p w14:paraId="71BC4288" w14:textId="6717BBF1" w:rsidR="00025B4E" w:rsidRDefault="00025B4E" w:rsidP="00025B4E">
      <w:pPr>
        <w:jc w:val="center"/>
        <w:rPr>
          <w:rFonts w:ascii="Arial" w:hAnsi="Arial" w:cs="Arial"/>
          <w:b/>
          <w:sz w:val="44"/>
          <w:szCs w:val="44"/>
        </w:rPr>
      </w:pPr>
      <w:r w:rsidRPr="00025B4E">
        <w:rPr>
          <w:rFonts w:ascii="Arial" w:hAnsi="Arial" w:cs="Arial"/>
          <w:b/>
          <w:sz w:val="44"/>
          <w:szCs w:val="44"/>
        </w:rPr>
        <w:t>Networks and Cyber Security Essentials</w:t>
      </w:r>
    </w:p>
    <w:p w14:paraId="174AE9FF" w14:textId="77777777" w:rsidR="00025B4E" w:rsidRDefault="00025B4E" w:rsidP="00025B4E">
      <w:pPr>
        <w:jc w:val="center"/>
        <w:rPr>
          <w:rFonts w:ascii="Arial" w:hAnsi="Arial" w:cs="Arial"/>
          <w:b/>
          <w:sz w:val="44"/>
          <w:szCs w:val="44"/>
        </w:rPr>
      </w:pPr>
    </w:p>
    <w:p w14:paraId="7DA014FC" w14:textId="3B35C09F" w:rsidR="00025B4E" w:rsidRPr="00025B4E" w:rsidRDefault="00025B4E" w:rsidP="00025B4E">
      <w:pPr>
        <w:jc w:val="center"/>
        <w:rPr>
          <w:rFonts w:ascii="Calibri" w:hAnsi="Calibri"/>
          <w:b/>
          <w:sz w:val="32"/>
          <w:szCs w:val="32"/>
        </w:rPr>
      </w:pPr>
      <w:r w:rsidRPr="00025B4E">
        <w:rPr>
          <w:rFonts w:ascii="Caladea" w:hAnsi="Caladea"/>
          <w:b/>
          <w:sz w:val="28"/>
          <w:szCs w:val="32"/>
        </w:rPr>
        <w:t>Synthesize a solution to a potential real life scenario</w:t>
      </w:r>
    </w:p>
    <w:p w14:paraId="5E515217" w14:textId="77777777" w:rsidR="00025B4E" w:rsidRDefault="00025B4E" w:rsidP="00025B4E">
      <w:pPr>
        <w:jc w:val="center"/>
        <w:rPr>
          <w:bCs/>
          <w:sz w:val="40"/>
          <w:szCs w:val="40"/>
        </w:rPr>
      </w:pPr>
    </w:p>
    <w:p w14:paraId="51A04694" w14:textId="77777777" w:rsidR="00025B4E" w:rsidRPr="00D0344D" w:rsidRDefault="00025B4E" w:rsidP="00025B4E">
      <w:pPr>
        <w:jc w:val="center"/>
        <w:rPr>
          <w:bCs/>
          <w:sz w:val="40"/>
          <w:szCs w:val="40"/>
        </w:rPr>
      </w:pPr>
    </w:p>
    <w:p w14:paraId="70C731C4" w14:textId="4C65F059" w:rsidR="00025B4E" w:rsidRPr="00D0344D" w:rsidRDefault="00025B4E" w:rsidP="00025B4E">
      <w:pPr>
        <w:jc w:val="center"/>
        <w:rPr>
          <w:sz w:val="32"/>
          <w:szCs w:val="32"/>
        </w:rPr>
      </w:pPr>
      <w:r w:rsidRPr="00575DCB">
        <w:rPr>
          <w:sz w:val="32"/>
          <w:szCs w:val="32"/>
        </w:rPr>
        <w:t xml:space="preserve">Supervisor: </w:t>
      </w:r>
      <w:r>
        <w:rPr>
          <w:sz w:val="32"/>
          <w:szCs w:val="32"/>
        </w:rPr>
        <w:t>Carlene Campbell</w:t>
      </w:r>
    </w:p>
    <w:p w14:paraId="24CD1E3F" w14:textId="77777777" w:rsidR="00025B4E" w:rsidRPr="00D0344D" w:rsidRDefault="00025B4E" w:rsidP="00025B4E">
      <w:pPr>
        <w:jc w:val="center"/>
        <w:rPr>
          <w:sz w:val="24"/>
          <w:szCs w:val="24"/>
        </w:rPr>
      </w:pPr>
    </w:p>
    <w:p w14:paraId="6C0E1C0B" w14:textId="77777777" w:rsidR="00025B4E" w:rsidRPr="00D0344D" w:rsidRDefault="00025B4E" w:rsidP="00025B4E">
      <w:pPr>
        <w:jc w:val="center"/>
        <w:rPr>
          <w:sz w:val="24"/>
          <w:szCs w:val="24"/>
        </w:rPr>
      </w:pPr>
    </w:p>
    <w:p w14:paraId="7456C4EF" w14:textId="77777777" w:rsidR="00025B4E" w:rsidRDefault="00025B4E" w:rsidP="00025B4E">
      <w:pPr>
        <w:jc w:val="center"/>
        <w:rPr>
          <w:sz w:val="24"/>
          <w:szCs w:val="24"/>
        </w:rPr>
      </w:pPr>
    </w:p>
    <w:p w14:paraId="79AE1192" w14:textId="77777777" w:rsidR="00025B4E" w:rsidRDefault="00025B4E" w:rsidP="00025B4E">
      <w:pPr>
        <w:jc w:val="center"/>
        <w:rPr>
          <w:sz w:val="24"/>
          <w:szCs w:val="24"/>
        </w:rPr>
      </w:pPr>
    </w:p>
    <w:p w14:paraId="5CF06E68" w14:textId="77777777" w:rsidR="00025B4E" w:rsidRPr="00D0344D" w:rsidRDefault="00025B4E" w:rsidP="00025B4E">
      <w:pPr>
        <w:jc w:val="center"/>
        <w:rPr>
          <w:sz w:val="24"/>
          <w:szCs w:val="24"/>
        </w:rPr>
      </w:pPr>
    </w:p>
    <w:p w14:paraId="3FCDF73D" w14:textId="77777777" w:rsidR="00025B4E" w:rsidRPr="00EE7F9C" w:rsidRDefault="00025B4E" w:rsidP="00025B4E">
      <w:pPr>
        <w:pStyle w:val="NormalWeb"/>
        <w:spacing w:line="360" w:lineRule="auto"/>
        <w:jc w:val="center"/>
        <w:rPr>
          <w:rFonts w:asciiTheme="majorBidi" w:hAnsiTheme="majorBidi" w:cstheme="majorBidi"/>
          <w:b/>
          <w:bCs/>
          <w:sz w:val="28"/>
          <w:szCs w:val="28"/>
        </w:rPr>
      </w:pPr>
      <w:r>
        <w:rPr>
          <w:rFonts w:asciiTheme="majorBidi" w:hAnsiTheme="majorBidi" w:cstheme="majorBidi"/>
          <w:b/>
          <w:bCs/>
          <w:sz w:val="28"/>
          <w:szCs w:val="28"/>
        </w:rPr>
        <w:t>GABRIELA CIUBA</w:t>
      </w:r>
    </w:p>
    <w:p w14:paraId="5B92C716" w14:textId="77777777" w:rsidR="00025B4E" w:rsidRPr="00575DCB" w:rsidRDefault="00025B4E" w:rsidP="00025B4E">
      <w:pPr>
        <w:pStyle w:val="NormalWeb"/>
        <w:spacing w:line="360" w:lineRule="auto"/>
        <w:jc w:val="center"/>
        <w:rPr>
          <w:rFonts w:asciiTheme="majorBidi" w:hAnsiTheme="majorBidi" w:cstheme="majorBidi"/>
          <w:b/>
          <w:bCs/>
          <w:sz w:val="28"/>
          <w:szCs w:val="28"/>
        </w:rPr>
      </w:pPr>
      <w:r w:rsidRPr="00575DCB">
        <w:rPr>
          <w:rFonts w:asciiTheme="majorBidi" w:hAnsiTheme="majorBidi" w:cstheme="majorBidi"/>
          <w:b/>
          <w:bCs/>
          <w:sz w:val="28"/>
          <w:szCs w:val="28"/>
        </w:rPr>
        <w:t>1806307</w:t>
      </w:r>
    </w:p>
    <w:p w14:paraId="28EC6E5C" w14:textId="77777777" w:rsidR="00025B4E" w:rsidRPr="00D0344D" w:rsidRDefault="00025B4E" w:rsidP="00025B4E">
      <w:pPr>
        <w:jc w:val="center"/>
        <w:rPr>
          <w:sz w:val="24"/>
          <w:szCs w:val="24"/>
        </w:rPr>
      </w:pPr>
    </w:p>
    <w:p w14:paraId="11529152" w14:textId="77777777" w:rsidR="00025B4E" w:rsidRPr="00D0344D" w:rsidRDefault="00025B4E" w:rsidP="00025B4E">
      <w:pPr>
        <w:jc w:val="center"/>
        <w:rPr>
          <w:sz w:val="24"/>
          <w:szCs w:val="24"/>
        </w:rPr>
      </w:pPr>
    </w:p>
    <w:p w14:paraId="279DBEB9" w14:textId="77777777" w:rsidR="00025B4E" w:rsidRPr="00D0344D" w:rsidRDefault="00025B4E" w:rsidP="00025B4E">
      <w:pPr>
        <w:jc w:val="center"/>
        <w:rPr>
          <w:sz w:val="24"/>
          <w:szCs w:val="24"/>
        </w:rPr>
      </w:pPr>
    </w:p>
    <w:p w14:paraId="69AA8111" w14:textId="77777777" w:rsidR="00025B4E" w:rsidRDefault="00025B4E" w:rsidP="00025B4E">
      <w:pPr>
        <w:jc w:val="center"/>
      </w:pPr>
    </w:p>
    <w:p w14:paraId="07FF667E" w14:textId="77777777" w:rsidR="00025B4E" w:rsidRDefault="00025B4E" w:rsidP="00025B4E">
      <w:pPr>
        <w:jc w:val="center"/>
      </w:pPr>
    </w:p>
    <w:p w14:paraId="13FE9162" w14:textId="77777777" w:rsidR="00025B4E" w:rsidRDefault="00025B4E" w:rsidP="00025B4E">
      <w:pPr>
        <w:jc w:val="center"/>
      </w:pPr>
    </w:p>
    <w:p w14:paraId="5A760059" w14:textId="77777777" w:rsidR="00025B4E" w:rsidRDefault="00025B4E" w:rsidP="00025B4E">
      <w:pPr>
        <w:jc w:val="center"/>
      </w:pPr>
    </w:p>
    <w:p w14:paraId="7AE41F16" w14:textId="77777777" w:rsidR="00025B4E" w:rsidRDefault="00025B4E" w:rsidP="00025B4E">
      <w:pPr>
        <w:jc w:val="center"/>
      </w:pPr>
    </w:p>
    <w:p w14:paraId="61676404" w14:textId="77777777" w:rsidR="00025B4E" w:rsidRDefault="00025B4E" w:rsidP="00025B4E">
      <w:pPr>
        <w:jc w:val="center"/>
      </w:pPr>
    </w:p>
    <w:p w14:paraId="5CE84D8F" w14:textId="77777777" w:rsidR="00025B4E" w:rsidRDefault="00025B4E" w:rsidP="00025B4E">
      <w:pPr>
        <w:jc w:val="center"/>
      </w:pPr>
    </w:p>
    <w:p w14:paraId="74382D9C" w14:textId="77777777" w:rsidR="00025B4E" w:rsidRPr="00575DCB" w:rsidRDefault="00025B4E" w:rsidP="00025B4E">
      <w:pPr>
        <w:jc w:val="center"/>
      </w:pPr>
    </w:p>
    <w:p w14:paraId="4D265C6A" w14:textId="77777777" w:rsidR="00025B4E" w:rsidRDefault="00025B4E" w:rsidP="00025B4E">
      <w:pPr>
        <w:jc w:val="center"/>
      </w:pPr>
    </w:p>
    <w:p w14:paraId="53B43648" w14:textId="77777777" w:rsidR="00025B4E" w:rsidRDefault="00025B4E" w:rsidP="00025B4E"/>
    <w:p w14:paraId="439357F3" w14:textId="77777777" w:rsidR="00025B4E" w:rsidRPr="00D64071" w:rsidRDefault="00025B4E" w:rsidP="00025B4E">
      <w:pPr>
        <w:jc w:val="center"/>
      </w:pPr>
      <w:r w:rsidRPr="00D64071">
        <w:t>‘This project is submitted in partial fulfilment of the requirements for the Higher National Certificate:</w:t>
      </w:r>
      <w:r>
        <w:t xml:space="preserve"> </w:t>
      </w:r>
      <w:r w:rsidRPr="00D64071">
        <w:t>Computing (Computer Networks and Cybersecurity), University of Wales Trinity Saint David’</w:t>
      </w:r>
    </w:p>
    <w:p w14:paraId="06A1DF6B" w14:textId="7CC3BD0B" w:rsidR="00025B4E" w:rsidRPr="005902CF" w:rsidRDefault="00025B4E" w:rsidP="00025B4E">
      <w:pPr>
        <w:jc w:val="center"/>
      </w:pPr>
      <w:r w:rsidRPr="00575DCB">
        <w:t>SUBMISSION DATE</w:t>
      </w:r>
      <w:r>
        <w:t xml:space="preserve">: </w:t>
      </w:r>
      <w:r w:rsidR="00822A2D">
        <w:t>10/05/2025</w:t>
      </w:r>
    </w:p>
    <w:p w14:paraId="1724DE90" w14:textId="77777777" w:rsidR="00E50CA2" w:rsidRDefault="00E50CA2" w:rsidP="00A54177">
      <w:pPr>
        <w:jc w:val="center"/>
      </w:pPr>
    </w:p>
    <w:p w14:paraId="011861C8" w14:textId="77777777" w:rsidR="00025B4E" w:rsidRPr="00D64071" w:rsidRDefault="00025B4E" w:rsidP="00025B4E">
      <w:pPr>
        <w:spacing w:line="360" w:lineRule="auto"/>
        <w:rPr>
          <w:b/>
          <w:bCs/>
        </w:rPr>
      </w:pPr>
      <w:r w:rsidRPr="00D64071">
        <w:rPr>
          <w:b/>
          <w:bCs/>
        </w:rPr>
        <w:lastRenderedPageBreak/>
        <w:t>DECLARATION</w:t>
      </w:r>
    </w:p>
    <w:p w14:paraId="1F6BEC6E" w14:textId="77777777" w:rsidR="00025B4E" w:rsidRPr="00D64071" w:rsidRDefault="00025B4E" w:rsidP="00025B4E">
      <w:pPr>
        <w:spacing w:line="360" w:lineRule="auto"/>
      </w:pPr>
      <w:r w:rsidRPr="00D64071">
        <w:t xml:space="preserve"> ‘I have read and understood the University Regulations concerning plagiarism and I undertake:</w:t>
      </w:r>
    </w:p>
    <w:p w14:paraId="0A5A0956" w14:textId="77777777" w:rsidR="00025B4E" w:rsidRPr="00D64071" w:rsidRDefault="00025B4E" w:rsidP="00025B4E">
      <w:pPr>
        <w:spacing w:line="360" w:lineRule="auto"/>
      </w:pPr>
      <w:r w:rsidRPr="00D64071">
        <w:t xml:space="preserve"> • That all material presented for examination is my own work and has not been written for me, in whole or in part by any other person(s). </w:t>
      </w:r>
    </w:p>
    <w:p w14:paraId="3B24F143" w14:textId="77777777" w:rsidR="00025B4E" w:rsidRPr="00D64071" w:rsidRDefault="00025B4E" w:rsidP="00025B4E">
      <w:pPr>
        <w:spacing w:line="360" w:lineRule="auto"/>
      </w:pPr>
      <w:r w:rsidRPr="00D64071">
        <w:t>• That any quotation or paraphrase from the published or unpublished work of another person has been duly acknowledged in the project.</w:t>
      </w:r>
    </w:p>
    <w:p w14:paraId="13485E56" w14:textId="77777777" w:rsidR="00025B4E" w:rsidRPr="00D64071" w:rsidRDefault="00025B4E" w:rsidP="00025B4E">
      <w:pPr>
        <w:spacing w:line="360" w:lineRule="auto"/>
      </w:pPr>
    </w:p>
    <w:p w14:paraId="5A57D3DF" w14:textId="77777777" w:rsidR="00025B4E" w:rsidRPr="00D64071" w:rsidRDefault="00025B4E" w:rsidP="00025B4E">
      <w:pPr>
        <w:spacing w:line="360" w:lineRule="auto"/>
        <w:rPr>
          <w:b/>
          <w:bCs/>
        </w:rPr>
      </w:pPr>
      <w:r w:rsidRPr="00D64071">
        <w:rPr>
          <w:b/>
          <w:bCs/>
        </w:rPr>
        <w:t>FORM OF CONSENT</w:t>
      </w:r>
    </w:p>
    <w:p w14:paraId="7667E88D" w14:textId="77777777" w:rsidR="00025B4E" w:rsidRPr="00D64071" w:rsidRDefault="00025B4E" w:rsidP="00025B4E">
      <w:pPr>
        <w:spacing w:line="360" w:lineRule="auto"/>
        <w:rPr>
          <w:b/>
          <w:bCs/>
        </w:rPr>
      </w:pPr>
      <w:r w:rsidRPr="00D64071">
        <w:t>I Gabriela Ciuba hereby consent that my Project, submitted in candidature for the Higher National Certificate:</w:t>
      </w:r>
      <w:r>
        <w:t xml:space="preserve"> </w:t>
      </w:r>
      <w:r w:rsidRPr="00D64071">
        <w:t>Computing (Computer Networks and Cybersecurity), if successful, may be made available for inter-library loan or photocopying (subject to the law of copyright), and that the title and abstract may be made available to outside organizations</w:t>
      </w:r>
      <w:r>
        <w:t>.</w:t>
      </w:r>
    </w:p>
    <w:p w14:paraId="2AD12E80" w14:textId="77777777" w:rsidR="00025B4E" w:rsidRDefault="00025B4E" w:rsidP="00025B4E"/>
    <w:p w14:paraId="407A3C5A" w14:textId="77777777" w:rsidR="00A54177" w:rsidRDefault="00A54177" w:rsidP="00A54177">
      <w:pPr>
        <w:jc w:val="center"/>
      </w:pPr>
    </w:p>
    <w:p w14:paraId="2A59EA9E" w14:textId="77777777" w:rsidR="00A54177" w:rsidRDefault="00A54177" w:rsidP="00A54177">
      <w:pPr>
        <w:jc w:val="center"/>
      </w:pPr>
    </w:p>
    <w:p w14:paraId="1B7ABDF0" w14:textId="77777777" w:rsidR="00A54177" w:rsidRDefault="00A54177" w:rsidP="00A54177">
      <w:pPr>
        <w:jc w:val="center"/>
      </w:pPr>
    </w:p>
    <w:p w14:paraId="6C390CEC" w14:textId="77777777" w:rsidR="00A54177" w:rsidRDefault="00A54177" w:rsidP="00A54177">
      <w:pPr>
        <w:jc w:val="center"/>
      </w:pPr>
    </w:p>
    <w:p w14:paraId="334588CC" w14:textId="77777777" w:rsidR="00A54177" w:rsidRDefault="00A54177" w:rsidP="00A54177">
      <w:pPr>
        <w:jc w:val="center"/>
      </w:pPr>
    </w:p>
    <w:p w14:paraId="7BF57625" w14:textId="77777777" w:rsidR="00A54177" w:rsidRDefault="00A54177" w:rsidP="00A54177">
      <w:pPr>
        <w:jc w:val="center"/>
      </w:pPr>
    </w:p>
    <w:p w14:paraId="43A43B6C" w14:textId="77777777" w:rsidR="00A54177" w:rsidRDefault="00A54177" w:rsidP="00A54177">
      <w:pPr>
        <w:jc w:val="center"/>
      </w:pPr>
    </w:p>
    <w:p w14:paraId="21D580B6" w14:textId="77777777" w:rsidR="00A54177" w:rsidRDefault="00A54177" w:rsidP="00A54177"/>
    <w:p w14:paraId="17DA6CBB" w14:textId="77777777" w:rsidR="00A54177" w:rsidRDefault="00A54177" w:rsidP="00A54177"/>
    <w:p w14:paraId="14B82D66" w14:textId="77777777" w:rsidR="00A54177" w:rsidRDefault="00A54177" w:rsidP="00A54177"/>
    <w:p w14:paraId="6B6B80E1" w14:textId="77777777" w:rsidR="00A54177" w:rsidRDefault="00A54177" w:rsidP="00A54177"/>
    <w:p w14:paraId="1D130321" w14:textId="77777777" w:rsidR="00A54177" w:rsidRDefault="00A54177" w:rsidP="00A54177"/>
    <w:p w14:paraId="2DBBDE45" w14:textId="77777777" w:rsidR="00A54177" w:rsidRDefault="00A54177" w:rsidP="00A54177"/>
    <w:p w14:paraId="1CF04453" w14:textId="77777777" w:rsidR="00A54177" w:rsidRDefault="00A54177" w:rsidP="00A54177"/>
    <w:p w14:paraId="0643824D" w14:textId="77777777" w:rsidR="00A54177" w:rsidRDefault="00A54177" w:rsidP="00A54177"/>
    <w:p w14:paraId="4BC18AC7" w14:textId="77777777" w:rsidR="00A54177" w:rsidRDefault="00A54177" w:rsidP="00A54177"/>
    <w:p w14:paraId="227EC533" w14:textId="77777777" w:rsidR="00A54177" w:rsidRDefault="00A54177" w:rsidP="00A54177"/>
    <w:p w14:paraId="201E4A28" w14:textId="77777777" w:rsidR="00A54177" w:rsidRDefault="00A54177" w:rsidP="00A54177"/>
    <w:p w14:paraId="036E4E3A" w14:textId="77777777" w:rsidR="00A54177" w:rsidRDefault="00A54177" w:rsidP="00A54177"/>
    <w:p w14:paraId="73438F45" w14:textId="77777777" w:rsidR="00A54177" w:rsidRDefault="00A54177" w:rsidP="00A54177"/>
    <w:p w14:paraId="77263855" w14:textId="77777777" w:rsidR="00A54177" w:rsidRDefault="00A54177" w:rsidP="00A54177"/>
    <w:p w14:paraId="51B7D08B" w14:textId="77777777" w:rsidR="00A54177" w:rsidRDefault="00A54177" w:rsidP="00A54177"/>
    <w:p w14:paraId="0379A183" w14:textId="77777777" w:rsidR="00A54177" w:rsidRDefault="00A54177" w:rsidP="00A54177"/>
    <w:p w14:paraId="6A77A8F0" w14:textId="77777777" w:rsidR="00A54177" w:rsidRDefault="00A54177" w:rsidP="00A54177"/>
    <w:p w14:paraId="039C5E45" w14:textId="77777777" w:rsidR="00A54177" w:rsidRDefault="00A54177" w:rsidP="00A54177"/>
    <w:p w14:paraId="44C6B196" w14:textId="77777777" w:rsidR="00A54177" w:rsidRDefault="00A54177" w:rsidP="00A54177"/>
    <w:p w14:paraId="73B65B53" w14:textId="77777777" w:rsidR="00A54177" w:rsidRDefault="00A54177" w:rsidP="00A54177"/>
    <w:p w14:paraId="1ADE919A" w14:textId="77777777" w:rsidR="00A54177" w:rsidRDefault="00A54177" w:rsidP="00A54177"/>
    <w:p w14:paraId="5F874400" w14:textId="77777777" w:rsidR="00A54177" w:rsidRDefault="00A54177" w:rsidP="00A54177"/>
    <w:p w14:paraId="72D21320" w14:textId="77777777" w:rsidR="00A54177" w:rsidRDefault="00A54177" w:rsidP="00A54177"/>
    <w:p w14:paraId="00AEE17D" w14:textId="77777777" w:rsidR="00A54177" w:rsidRDefault="00A54177" w:rsidP="00A54177"/>
    <w:p w14:paraId="23B5AAE2" w14:textId="77777777" w:rsidR="00A54177" w:rsidRDefault="00A54177" w:rsidP="00A54177"/>
    <w:p w14:paraId="66AED8C9" w14:textId="77777777" w:rsidR="00A54177" w:rsidRDefault="00A54177" w:rsidP="00A54177"/>
    <w:p w14:paraId="37BE1511" w14:textId="77777777" w:rsidR="00A54177" w:rsidRDefault="00A54177" w:rsidP="00A54177"/>
    <w:p w14:paraId="7ED946FE" w14:textId="77777777" w:rsidR="00A54177" w:rsidRDefault="00A54177" w:rsidP="00A54177"/>
    <w:p w14:paraId="48FC268D" w14:textId="77777777" w:rsidR="00A54177" w:rsidRDefault="00A54177" w:rsidP="00A54177"/>
    <w:p w14:paraId="532CAB6A" w14:textId="77777777" w:rsidR="00A54177" w:rsidRDefault="00A54177" w:rsidP="00A54177"/>
    <w:p w14:paraId="14AA03AE" w14:textId="77777777" w:rsidR="00A54177" w:rsidRDefault="00A54177" w:rsidP="00A54177"/>
    <w:p w14:paraId="374B5878" w14:textId="77777777" w:rsidR="00A54177" w:rsidRDefault="00A54177" w:rsidP="00A54177"/>
    <w:p w14:paraId="38ECC592" w14:textId="77777777" w:rsidR="00A54177" w:rsidRDefault="00A54177" w:rsidP="00A54177"/>
    <w:p w14:paraId="154A703F" w14:textId="77777777" w:rsidR="00A54177" w:rsidRDefault="00A54177" w:rsidP="00A54177"/>
    <w:sdt>
      <w:sdtPr>
        <w:rPr>
          <w:rFonts w:ascii="Times New Roman" w:eastAsia="Times New Roman" w:hAnsi="Times New Roman" w:cs="Times New Roman"/>
          <w:color w:val="auto"/>
          <w:sz w:val="20"/>
          <w:szCs w:val="20"/>
          <w:lang w:val="en-GB" w:eastAsia="en-GB"/>
        </w:rPr>
        <w:id w:val="-709339642"/>
        <w:docPartObj>
          <w:docPartGallery w:val="Table of Contents"/>
          <w:docPartUnique/>
        </w:docPartObj>
      </w:sdtPr>
      <w:sdtEndPr>
        <w:rPr>
          <w:b/>
          <w:bCs/>
        </w:rPr>
      </w:sdtEndPr>
      <w:sdtContent>
        <w:p w14:paraId="6501A7EE" w14:textId="46F973CE" w:rsidR="00E2335A" w:rsidRDefault="00E2335A">
          <w:pPr>
            <w:pStyle w:val="TOCHeading"/>
          </w:pPr>
          <w:r>
            <w:rPr>
              <w:lang w:val="en-GB"/>
            </w:rPr>
            <w:t>Contents</w:t>
          </w:r>
        </w:p>
        <w:p w14:paraId="7F96EF91" w14:textId="68DBECAA" w:rsidR="0055156C" w:rsidRDefault="00E2335A">
          <w:pPr>
            <w:pStyle w:val="TOC1"/>
            <w:tabs>
              <w:tab w:val="right" w:leader="dot" w:pos="9062"/>
            </w:tabs>
            <w:rPr>
              <w:rFonts w:asciiTheme="minorHAnsi" w:eastAsiaTheme="minorEastAsia" w:hAnsiTheme="minorHAnsi" w:cstheme="minorBidi"/>
              <w:noProof/>
              <w:kern w:val="2"/>
              <w:sz w:val="24"/>
              <w:szCs w:val="24"/>
              <w:lang w:val="pl-PL" w:eastAsia="pl-PL"/>
              <w14:ligatures w14:val="standardContextual"/>
            </w:rPr>
          </w:pPr>
          <w:r>
            <w:fldChar w:fldCharType="begin"/>
          </w:r>
          <w:r>
            <w:instrText xml:space="preserve"> TOC \o "1-3" \h \z \u </w:instrText>
          </w:r>
          <w:r>
            <w:fldChar w:fldCharType="separate"/>
          </w:r>
          <w:hyperlink w:anchor="_Toc197276572" w:history="1">
            <w:r w:rsidR="0055156C" w:rsidRPr="00FA4A9F">
              <w:rPr>
                <w:rStyle w:val="Hyperlink"/>
                <w:noProof/>
              </w:rPr>
              <w:t>Introduction</w:t>
            </w:r>
            <w:r w:rsidR="0055156C">
              <w:rPr>
                <w:noProof/>
                <w:webHidden/>
              </w:rPr>
              <w:tab/>
            </w:r>
            <w:r w:rsidR="0055156C">
              <w:rPr>
                <w:noProof/>
                <w:webHidden/>
              </w:rPr>
              <w:fldChar w:fldCharType="begin"/>
            </w:r>
            <w:r w:rsidR="0055156C">
              <w:rPr>
                <w:noProof/>
                <w:webHidden/>
              </w:rPr>
              <w:instrText xml:space="preserve"> PAGEREF _Toc197276572 \h </w:instrText>
            </w:r>
            <w:r w:rsidR="0055156C">
              <w:rPr>
                <w:noProof/>
                <w:webHidden/>
              </w:rPr>
            </w:r>
            <w:r w:rsidR="0055156C">
              <w:rPr>
                <w:noProof/>
                <w:webHidden/>
              </w:rPr>
              <w:fldChar w:fldCharType="separate"/>
            </w:r>
            <w:r w:rsidR="0055156C">
              <w:rPr>
                <w:noProof/>
                <w:webHidden/>
              </w:rPr>
              <w:t>4</w:t>
            </w:r>
            <w:r w:rsidR="0055156C">
              <w:rPr>
                <w:noProof/>
                <w:webHidden/>
              </w:rPr>
              <w:fldChar w:fldCharType="end"/>
            </w:r>
          </w:hyperlink>
        </w:p>
        <w:p w14:paraId="5C7198F7" w14:textId="18F679EA" w:rsidR="0055156C" w:rsidRDefault="0055156C">
          <w:pPr>
            <w:pStyle w:val="TOC1"/>
            <w:tabs>
              <w:tab w:val="right" w:leader="dot" w:pos="9062"/>
            </w:tabs>
            <w:rPr>
              <w:rFonts w:asciiTheme="minorHAnsi" w:eastAsiaTheme="minorEastAsia" w:hAnsiTheme="minorHAnsi" w:cstheme="minorBidi"/>
              <w:noProof/>
              <w:kern w:val="2"/>
              <w:sz w:val="24"/>
              <w:szCs w:val="24"/>
              <w:lang w:val="pl-PL" w:eastAsia="pl-PL"/>
              <w14:ligatures w14:val="standardContextual"/>
            </w:rPr>
          </w:pPr>
          <w:hyperlink w:anchor="_Toc197276573" w:history="1">
            <w:r w:rsidRPr="00FA4A9F">
              <w:rPr>
                <w:rStyle w:val="Hyperlink"/>
                <w:noProof/>
                <w:lang w:val="en-US"/>
              </w:rPr>
              <w:t>Identification of Cybersecurity Threat</w:t>
            </w:r>
            <w:r>
              <w:rPr>
                <w:noProof/>
                <w:webHidden/>
              </w:rPr>
              <w:tab/>
            </w:r>
            <w:r>
              <w:rPr>
                <w:noProof/>
                <w:webHidden/>
              </w:rPr>
              <w:fldChar w:fldCharType="begin"/>
            </w:r>
            <w:r>
              <w:rPr>
                <w:noProof/>
                <w:webHidden/>
              </w:rPr>
              <w:instrText xml:space="preserve"> PAGEREF _Toc197276573 \h </w:instrText>
            </w:r>
            <w:r>
              <w:rPr>
                <w:noProof/>
                <w:webHidden/>
              </w:rPr>
            </w:r>
            <w:r>
              <w:rPr>
                <w:noProof/>
                <w:webHidden/>
              </w:rPr>
              <w:fldChar w:fldCharType="separate"/>
            </w:r>
            <w:r>
              <w:rPr>
                <w:noProof/>
                <w:webHidden/>
              </w:rPr>
              <w:t>4</w:t>
            </w:r>
            <w:r>
              <w:rPr>
                <w:noProof/>
                <w:webHidden/>
              </w:rPr>
              <w:fldChar w:fldCharType="end"/>
            </w:r>
          </w:hyperlink>
        </w:p>
        <w:p w14:paraId="0D062F59" w14:textId="315BEE6C" w:rsidR="0055156C" w:rsidRDefault="0055156C">
          <w:pPr>
            <w:pStyle w:val="TOC2"/>
            <w:tabs>
              <w:tab w:val="right" w:leader="dot" w:pos="9062"/>
            </w:tabs>
            <w:rPr>
              <w:rFonts w:asciiTheme="minorHAnsi" w:eastAsiaTheme="minorEastAsia" w:hAnsiTheme="minorHAnsi" w:cstheme="minorBidi"/>
              <w:noProof/>
              <w:kern w:val="2"/>
              <w:sz w:val="24"/>
              <w:szCs w:val="24"/>
              <w:lang w:val="pl-PL" w:eastAsia="pl-PL"/>
              <w14:ligatures w14:val="standardContextual"/>
            </w:rPr>
          </w:pPr>
          <w:hyperlink w:anchor="_Toc197276574" w:history="1">
            <w:r w:rsidRPr="00FA4A9F">
              <w:rPr>
                <w:rStyle w:val="Hyperlink"/>
                <w:noProof/>
                <w:lang w:val="en-US"/>
              </w:rPr>
              <w:t>Internal Threats</w:t>
            </w:r>
            <w:r>
              <w:rPr>
                <w:noProof/>
                <w:webHidden/>
              </w:rPr>
              <w:tab/>
            </w:r>
            <w:r>
              <w:rPr>
                <w:noProof/>
                <w:webHidden/>
              </w:rPr>
              <w:fldChar w:fldCharType="begin"/>
            </w:r>
            <w:r>
              <w:rPr>
                <w:noProof/>
                <w:webHidden/>
              </w:rPr>
              <w:instrText xml:space="preserve"> PAGEREF _Toc197276574 \h </w:instrText>
            </w:r>
            <w:r>
              <w:rPr>
                <w:noProof/>
                <w:webHidden/>
              </w:rPr>
            </w:r>
            <w:r>
              <w:rPr>
                <w:noProof/>
                <w:webHidden/>
              </w:rPr>
              <w:fldChar w:fldCharType="separate"/>
            </w:r>
            <w:r>
              <w:rPr>
                <w:noProof/>
                <w:webHidden/>
              </w:rPr>
              <w:t>4</w:t>
            </w:r>
            <w:r>
              <w:rPr>
                <w:noProof/>
                <w:webHidden/>
              </w:rPr>
              <w:fldChar w:fldCharType="end"/>
            </w:r>
          </w:hyperlink>
        </w:p>
        <w:p w14:paraId="41532739" w14:textId="1463A694" w:rsidR="0055156C" w:rsidRDefault="0055156C">
          <w:pPr>
            <w:pStyle w:val="TOC2"/>
            <w:tabs>
              <w:tab w:val="right" w:leader="dot" w:pos="9062"/>
            </w:tabs>
            <w:rPr>
              <w:rFonts w:asciiTheme="minorHAnsi" w:eastAsiaTheme="minorEastAsia" w:hAnsiTheme="minorHAnsi" w:cstheme="minorBidi"/>
              <w:noProof/>
              <w:kern w:val="2"/>
              <w:sz w:val="24"/>
              <w:szCs w:val="24"/>
              <w:lang w:val="pl-PL" w:eastAsia="pl-PL"/>
              <w14:ligatures w14:val="standardContextual"/>
            </w:rPr>
          </w:pPr>
          <w:hyperlink w:anchor="_Toc197276575" w:history="1">
            <w:r w:rsidRPr="00FA4A9F">
              <w:rPr>
                <w:rStyle w:val="Hyperlink"/>
                <w:noProof/>
                <w:lang w:val="en-US"/>
              </w:rPr>
              <w:t>External Threats</w:t>
            </w:r>
            <w:r>
              <w:rPr>
                <w:noProof/>
                <w:webHidden/>
              </w:rPr>
              <w:tab/>
            </w:r>
            <w:r>
              <w:rPr>
                <w:noProof/>
                <w:webHidden/>
              </w:rPr>
              <w:fldChar w:fldCharType="begin"/>
            </w:r>
            <w:r>
              <w:rPr>
                <w:noProof/>
                <w:webHidden/>
              </w:rPr>
              <w:instrText xml:space="preserve"> PAGEREF _Toc197276575 \h </w:instrText>
            </w:r>
            <w:r>
              <w:rPr>
                <w:noProof/>
                <w:webHidden/>
              </w:rPr>
            </w:r>
            <w:r>
              <w:rPr>
                <w:noProof/>
                <w:webHidden/>
              </w:rPr>
              <w:fldChar w:fldCharType="separate"/>
            </w:r>
            <w:r>
              <w:rPr>
                <w:noProof/>
                <w:webHidden/>
              </w:rPr>
              <w:t>4</w:t>
            </w:r>
            <w:r>
              <w:rPr>
                <w:noProof/>
                <w:webHidden/>
              </w:rPr>
              <w:fldChar w:fldCharType="end"/>
            </w:r>
          </w:hyperlink>
        </w:p>
        <w:p w14:paraId="2E1490E5" w14:textId="09CF3750" w:rsidR="0055156C" w:rsidRDefault="0055156C">
          <w:pPr>
            <w:pStyle w:val="TOC1"/>
            <w:tabs>
              <w:tab w:val="right" w:leader="dot" w:pos="9062"/>
            </w:tabs>
            <w:rPr>
              <w:rFonts w:asciiTheme="minorHAnsi" w:eastAsiaTheme="minorEastAsia" w:hAnsiTheme="minorHAnsi" w:cstheme="minorBidi"/>
              <w:noProof/>
              <w:kern w:val="2"/>
              <w:sz w:val="24"/>
              <w:szCs w:val="24"/>
              <w:lang w:val="pl-PL" w:eastAsia="pl-PL"/>
              <w14:ligatures w14:val="standardContextual"/>
            </w:rPr>
          </w:pPr>
          <w:hyperlink w:anchor="_Toc197276576" w:history="1">
            <w:r w:rsidRPr="00FA4A9F">
              <w:rPr>
                <w:rStyle w:val="Hyperlink"/>
                <w:noProof/>
                <w:lang w:val="en-US"/>
              </w:rPr>
              <w:t>Security Policies</w:t>
            </w:r>
            <w:r>
              <w:rPr>
                <w:noProof/>
                <w:webHidden/>
              </w:rPr>
              <w:tab/>
            </w:r>
            <w:r>
              <w:rPr>
                <w:noProof/>
                <w:webHidden/>
              </w:rPr>
              <w:fldChar w:fldCharType="begin"/>
            </w:r>
            <w:r>
              <w:rPr>
                <w:noProof/>
                <w:webHidden/>
              </w:rPr>
              <w:instrText xml:space="preserve"> PAGEREF _Toc197276576 \h </w:instrText>
            </w:r>
            <w:r>
              <w:rPr>
                <w:noProof/>
                <w:webHidden/>
              </w:rPr>
            </w:r>
            <w:r>
              <w:rPr>
                <w:noProof/>
                <w:webHidden/>
              </w:rPr>
              <w:fldChar w:fldCharType="separate"/>
            </w:r>
            <w:r>
              <w:rPr>
                <w:noProof/>
                <w:webHidden/>
              </w:rPr>
              <w:t>5</w:t>
            </w:r>
            <w:r>
              <w:rPr>
                <w:noProof/>
                <w:webHidden/>
              </w:rPr>
              <w:fldChar w:fldCharType="end"/>
            </w:r>
          </w:hyperlink>
        </w:p>
        <w:p w14:paraId="66077D34" w14:textId="691D3902" w:rsidR="0055156C" w:rsidRDefault="0055156C">
          <w:pPr>
            <w:pStyle w:val="TOC1"/>
            <w:tabs>
              <w:tab w:val="right" w:leader="dot" w:pos="9062"/>
            </w:tabs>
            <w:rPr>
              <w:rFonts w:asciiTheme="minorHAnsi" w:eastAsiaTheme="minorEastAsia" w:hAnsiTheme="minorHAnsi" w:cstheme="minorBidi"/>
              <w:noProof/>
              <w:kern w:val="2"/>
              <w:sz w:val="24"/>
              <w:szCs w:val="24"/>
              <w:lang w:val="pl-PL" w:eastAsia="pl-PL"/>
              <w14:ligatures w14:val="standardContextual"/>
            </w:rPr>
          </w:pPr>
          <w:hyperlink w:anchor="_Toc197276577" w:history="1">
            <w:r w:rsidRPr="00FA4A9F">
              <w:rPr>
                <w:rStyle w:val="Hyperlink"/>
                <w:noProof/>
                <w:lang w:val="en-US"/>
              </w:rPr>
              <w:t>Mitigation Measures and Controls</w:t>
            </w:r>
            <w:r>
              <w:rPr>
                <w:noProof/>
                <w:webHidden/>
              </w:rPr>
              <w:tab/>
            </w:r>
            <w:r>
              <w:rPr>
                <w:noProof/>
                <w:webHidden/>
              </w:rPr>
              <w:fldChar w:fldCharType="begin"/>
            </w:r>
            <w:r>
              <w:rPr>
                <w:noProof/>
                <w:webHidden/>
              </w:rPr>
              <w:instrText xml:space="preserve"> PAGEREF _Toc197276577 \h </w:instrText>
            </w:r>
            <w:r>
              <w:rPr>
                <w:noProof/>
                <w:webHidden/>
              </w:rPr>
            </w:r>
            <w:r>
              <w:rPr>
                <w:noProof/>
                <w:webHidden/>
              </w:rPr>
              <w:fldChar w:fldCharType="separate"/>
            </w:r>
            <w:r>
              <w:rPr>
                <w:noProof/>
                <w:webHidden/>
              </w:rPr>
              <w:t>5</w:t>
            </w:r>
            <w:r>
              <w:rPr>
                <w:noProof/>
                <w:webHidden/>
              </w:rPr>
              <w:fldChar w:fldCharType="end"/>
            </w:r>
          </w:hyperlink>
        </w:p>
        <w:p w14:paraId="485B0FD4" w14:textId="41F7170A" w:rsidR="0055156C" w:rsidRDefault="0055156C">
          <w:pPr>
            <w:pStyle w:val="TOC1"/>
            <w:tabs>
              <w:tab w:val="right" w:leader="dot" w:pos="9062"/>
            </w:tabs>
            <w:rPr>
              <w:rFonts w:asciiTheme="minorHAnsi" w:eastAsiaTheme="minorEastAsia" w:hAnsiTheme="minorHAnsi" w:cstheme="minorBidi"/>
              <w:noProof/>
              <w:kern w:val="2"/>
              <w:sz w:val="24"/>
              <w:szCs w:val="24"/>
              <w:lang w:val="pl-PL" w:eastAsia="pl-PL"/>
              <w14:ligatures w14:val="standardContextual"/>
            </w:rPr>
          </w:pPr>
          <w:hyperlink w:anchor="_Toc197276578" w:history="1">
            <w:r w:rsidRPr="00FA4A9F">
              <w:rPr>
                <w:rStyle w:val="Hyperlink"/>
                <w:noProof/>
                <w:lang w:val="en-US"/>
              </w:rPr>
              <w:t>Monitoring and Incident Response Plan</w:t>
            </w:r>
            <w:r>
              <w:rPr>
                <w:noProof/>
                <w:webHidden/>
              </w:rPr>
              <w:tab/>
            </w:r>
            <w:r>
              <w:rPr>
                <w:noProof/>
                <w:webHidden/>
              </w:rPr>
              <w:fldChar w:fldCharType="begin"/>
            </w:r>
            <w:r>
              <w:rPr>
                <w:noProof/>
                <w:webHidden/>
              </w:rPr>
              <w:instrText xml:space="preserve"> PAGEREF _Toc197276578 \h </w:instrText>
            </w:r>
            <w:r>
              <w:rPr>
                <w:noProof/>
                <w:webHidden/>
              </w:rPr>
            </w:r>
            <w:r>
              <w:rPr>
                <w:noProof/>
                <w:webHidden/>
              </w:rPr>
              <w:fldChar w:fldCharType="separate"/>
            </w:r>
            <w:r>
              <w:rPr>
                <w:noProof/>
                <w:webHidden/>
              </w:rPr>
              <w:t>6</w:t>
            </w:r>
            <w:r>
              <w:rPr>
                <w:noProof/>
                <w:webHidden/>
              </w:rPr>
              <w:fldChar w:fldCharType="end"/>
            </w:r>
          </w:hyperlink>
        </w:p>
        <w:p w14:paraId="687B0CFB" w14:textId="13B6094F" w:rsidR="0055156C" w:rsidRDefault="0055156C">
          <w:pPr>
            <w:pStyle w:val="TOC1"/>
            <w:tabs>
              <w:tab w:val="right" w:leader="dot" w:pos="9062"/>
            </w:tabs>
            <w:rPr>
              <w:rFonts w:asciiTheme="minorHAnsi" w:eastAsiaTheme="minorEastAsia" w:hAnsiTheme="minorHAnsi" w:cstheme="minorBidi"/>
              <w:noProof/>
              <w:kern w:val="2"/>
              <w:sz w:val="24"/>
              <w:szCs w:val="24"/>
              <w:lang w:val="pl-PL" w:eastAsia="pl-PL"/>
              <w14:ligatures w14:val="standardContextual"/>
            </w:rPr>
          </w:pPr>
          <w:hyperlink w:anchor="_Toc197276579" w:history="1">
            <w:r w:rsidRPr="00FA4A9F">
              <w:rPr>
                <w:rStyle w:val="Hyperlink"/>
                <w:noProof/>
                <w:lang w:val="en-US"/>
              </w:rPr>
              <w:t>Training and Awareness</w:t>
            </w:r>
            <w:r>
              <w:rPr>
                <w:noProof/>
                <w:webHidden/>
              </w:rPr>
              <w:tab/>
            </w:r>
            <w:r>
              <w:rPr>
                <w:noProof/>
                <w:webHidden/>
              </w:rPr>
              <w:fldChar w:fldCharType="begin"/>
            </w:r>
            <w:r>
              <w:rPr>
                <w:noProof/>
                <w:webHidden/>
              </w:rPr>
              <w:instrText xml:space="preserve"> PAGEREF _Toc197276579 \h </w:instrText>
            </w:r>
            <w:r>
              <w:rPr>
                <w:noProof/>
                <w:webHidden/>
              </w:rPr>
            </w:r>
            <w:r>
              <w:rPr>
                <w:noProof/>
                <w:webHidden/>
              </w:rPr>
              <w:fldChar w:fldCharType="separate"/>
            </w:r>
            <w:r>
              <w:rPr>
                <w:noProof/>
                <w:webHidden/>
              </w:rPr>
              <w:t>7</w:t>
            </w:r>
            <w:r>
              <w:rPr>
                <w:noProof/>
                <w:webHidden/>
              </w:rPr>
              <w:fldChar w:fldCharType="end"/>
            </w:r>
          </w:hyperlink>
        </w:p>
        <w:p w14:paraId="53ADF8A3" w14:textId="09D35B3E" w:rsidR="0055156C" w:rsidRDefault="0055156C">
          <w:pPr>
            <w:pStyle w:val="TOC1"/>
            <w:tabs>
              <w:tab w:val="right" w:leader="dot" w:pos="9062"/>
            </w:tabs>
            <w:rPr>
              <w:rFonts w:asciiTheme="minorHAnsi" w:eastAsiaTheme="minorEastAsia" w:hAnsiTheme="minorHAnsi" w:cstheme="minorBidi"/>
              <w:noProof/>
              <w:kern w:val="2"/>
              <w:sz w:val="24"/>
              <w:szCs w:val="24"/>
              <w:lang w:val="pl-PL" w:eastAsia="pl-PL"/>
              <w14:ligatures w14:val="standardContextual"/>
            </w:rPr>
          </w:pPr>
          <w:hyperlink w:anchor="_Toc197276580" w:history="1">
            <w:r w:rsidRPr="00FA4A9F">
              <w:rPr>
                <w:rStyle w:val="Hyperlink"/>
                <w:noProof/>
                <w:lang w:val="en-US"/>
              </w:rPr>
              <w:t>Conclusion</w:t>
            </w:r>
            <w:r>
              <w:rPr>
                <w:noProof/>
                <w:webHidden/>
              </w:rPr>
              <w:tab/>
            </w:r>
            <w:r>
              <w:rPr>
                <w:noProof/>
                <w:webHidden/>
              </w:rPr>
              <w:fldChar w:fldCharType="begin"/>
            </w:r>
            <w:r>
              <w:rPr>
                <w:noProof/>
                <w:webHidden/>
              </w:rPr>
              <w:instrText xml:space="preserve"> PAGEREF _Toc197276580 \h </w:instrText>
            </w:r>
            <w:r>
              <w:rPr>
                <w:noProof/>
                <w:webHidden/>
              </w:rPr>
            </w:r>
            <w:r>
              <w:rPr>
                <w:noProof/>
                <w:webHidden/>
              </w:rPr>
              <w:fldChar w:fldCharType="separate"/>
            </w:r>
            <w:r>
              <w:rPr>
                <w:noProof/>
                <w:webHidden/>
              </w:rPr>
              <w:t>8</w:t>
            </w:r>
            <w:r>
              <w:rPr>
                <w:noProof/>
                <w:webHidden/>
              </w:rPr>
              <w:fldChar w:fldCharType="end"/>
            </w:r>
          </w:hyperlink>
        </w:p>
        <w:p w14:paraId="54285DEE" w14:textId="01FB3BFF" w:rsidR="0055156C" w:rsidRDefault="0055156C">
          <w:pPr>
            <w:pStyle w:val="TOC1"/>
            <w:tabs>
              <w:tab w:val="right" w:leader="dot" w:pos="9062"/>
            </w:tabs>
            <w:rPr>
              <w:rFonts w:asciiTheme="minorHAnsi" w:eastAsiaTheme="minorEastAsia" w:hAnsiTheme="minorHAnsi" w:cstheme="minorBidi"/>
              <w:noProof/>
              <w:kern w:val="2"/>
              <w:sz w:val="24"/>
              <w:szCs w:val="24"/>
              <w:lang w:val="pl-PL" w:eastAsia="pl-PL"/>
              <w14:ligatures w14:val="standardContextual"/>
            </w:rPr>
          </w:pPr>
          <w:hyperlink w:anchor="_Toc197276581" w:history="1">
            <w:r w:rsidRPr="00FA4A9F">
              <w:rPr>
                <w:rStyle w:val="Hyperlink"/>
                <w:noProof/>
                <w:lang w:val="en-US"/>
              </w:rPr>
              <w:t>References</w:t>
            </w:r>
            <w:r>
              <w:rPr>
                <w:noProof/>
                <w:webHidden/>
              </w:rPr>
              <w:tab/>
            </w:r>
            <w:r>
              <w:rPr>
                <w:noProof/>
                <w:webHidden/>
              </w:rPr>
              <w:fldChar w:fldCharType="begin"/>
            </w:r>
            <w:r>
              <w:rPr>
                <w:noProof/>
                <w:webHidden/>
              </w:rPr>
              <w:instrText xml:space="preserve"> PAGEREF _Toc197276581 \h </w:instrText>
            </w:r>
            <w:r>
              <w:rPr>
                <w:noProof/>
                <w:webHidden/>
              </w:rPr>
            </w:r>
            <w:r>
              <w:rPr>
                <w:noProof/>
                <w:webHidden/>
              </w:rPr>
              <w:fldChar w:fldCharType="separate"/>
            </w:r>
            <w:r>
              <w:rPr>
                <w:noProof/>
                <w:webHidden/>
              </w:rPr>
              <w:t>9</w:t>
            </w:r>
            <w:r>
              <w:rPr>
                <w:noProof/>
                <w:webHidden/>
              </w:rPr>
              <w:fldChar w:fldCharType="end"/>
            </w:r>
          </w:hyperlink>
        </w:p>
        <w:p w14:paraId="0B943200" w14:textId="2BA84FB3" w:rsidR="00E2335A" w:rsidRDefault="00E2335A">
          <w:r>
            <w:rPr>
              <w:b/>
              <w:bCs/>
            </w:rPr>
            <w:fldChar w:fldCharType="end"/>
          </w:r>
        </w:p>
      </w:sdtContent>
    </w:sdt>
    <w:p w14:paraId="7812C048" w14:textId="77777777" w:rsidR="00A54177" w:rsidRDefault="00A54177" w:rsidP="00A54177"/>
    <w:p w14:paraId="576D919A" w14:textId="77777777" w:rsidR="00A54177" w:rsidRDefault="00A54177" w:rsidP="00A54177"/>
    <w:p w14:paraId="054BD042" w14:textId="77777777" w:rsidR="00A54177" w:rsidRDefault="00A54177" w:rsidP="00A54177"/>
    <w:p w14:paraId="1D4F24C4" w14:textId="77777777" w:rsidR="00A54177" w:rsidRDefault="00A54177" w:rsidP="00A54177"/>
    <w:p w14:paraId="046B378B" w14:textId="77777777" w:rsidR="00A54177" w:rsidRDefault="00A54177" w:rsidP="00A54177"/>
    <w:p w14:paraId="185EB413" w14:textId="77777777" w:rsidR="00A54177" w:rsidRDefault="00A54177" w:rsidP="00A54177"/>
    <w:p w14:paraId="19062C9F" w14:textId="77777777" w:rsidR="00A54177" w:rsidRDefault="00A54177" w:rsidP="00A54177"/>
    <w:p w14:paraId="6F4753E6" w14:textId="77777777" w:rsidR="00A54177" w:rsidRDefault="00A54177" w:rsidP="00A54177"/>
    <w:p w14:paraId="78699C00" w14:textId="77777777" w:rsidR="00A54177" w:rsidRDefault="00A54177" w:rsidP="00A54177"/>
    <w:p w14:paraId="44DF2D76" w14:textId="77777777" w:rsidR="00A54177" w:rsidRDefault="00A54177" w:rsidP="00A54177"/>
    <w:p w14:paraId="67EB4E09" w14:textId="77777777" w:rsidR="00A54177" w:rsidRDefault="00A54177" w:rsidP="00A54177"/>
    <w:p w14:paraId="10F5FCBF" w14:textId="77777777" w:rsidR="00A54177" w:rsidRDefault="00A54177" w:rsidP="00A54177"/>
    <w:p w14:paraId="0D999E4B" w14:textId="77777777" w:rsidR="00A54177" w:rsidRDefault="00A54177" w:rsidP="00A54177"/>
    <w:p w14:paraId="7BA39305" w14:textId="77777777" w:rsidR="00A54177" w:rsidRDefault="00A54177" w:rsidP="00A54177"/>
    <w:p w14:paraId="7C8D67A1" w14:textId="77777777" w:rsidR="00A54177" w:rsidRDefault="00A54177" w:rsidP="00A54177"/>
    <w:p w14:paraId="007B1966" w14:textId="77777777" w:rsidR="00A54177" w:rsidRDefault="00A54177" w:rsidP="00A54177"/>
    <w:p w14:paraId="03C40C1C" w14:textId="77777777" w:rsidR="00A54177" w:rsidRDefault="00A54177" w:rsidP="00A54177"/>
    <w:p w14:paraId="30993523" w14:textId="77777777" w:rsidR="00E2335A" w:rsidRDefault="00E2335A" w:rsidP="00A54177"/>
    <w:p w14:paraId="6E2F3F96" w14:textId="77777777" w:rsidR="00E2335A" w:rsidRDefault="00E2335A" w:rsidP="00A54177"/>
    <w:p w14:paraId="449521D8" w14:textId="77777777" w:rsidR="00E2335A" w:rsidRDefault="00E2335A" w:rsidP="00A54177"/>
    <w:p w14:paraId="5B8D8106" w14:textId="77777777" w:rsidR="00E2335A" w:rsidRDefault="00E2335A" w:rsidP="00A54177"/>
    <w:p w14:paraId="1FDE2D88" w14:textId="77777777" w:rsidR="00E2335A" w:rsidRDefault="00E2335A" w:rsidP="00A54177"/>
    <w:p w14:paraId="5653C99A" w14:textId="77777777" w:rsidR="00E2335A" w:rsidRDefault="00E2335A" w:rsidP="00A54177"/>
    <w:p w14:paraId="5AF684B2" w14:textId="77777777" w:rsidR="00E2335A" w:rsidRDefault="00E2335A" w:rsidP="00A54177"/>
    <w:p w14:paraId="63E0EFBA" w14:textId="77777777" w:rsidR="00E2335A" w:rsidRDefault="00E2335A" w:rsidP="00A54177"/>
    <w:p w14:paraId="6D11FC8C" w14:textId="77777777" w:rsidR="00E2335A" w:rsidRDefault="00E2335A" w:rsidP="00A54177"/>
    <w:p w14:paraId="51351D61" w14:textId="77777777" w:rsidR="00E2335A" w:rsidRDefault="00E2335A" w:rsidP="00A54177"/>
    <w:p w14:paraId="1AD7B90F" w14:textId="77777777" w:rsidR="00E2335A" w:rsidRDefault="00E2335A" w:rsidP="00A54177"/>
    <w:p w14:paraId="74807C01" w14:textId="77777777" w:rsidR="00E2335A" w:rsidRDefault="00E2335A" w:rsidP="00A54177"/>
    <w:p w14:paraId="232C8BB8" w14:textId="77777777" w:rsidR="00E2335A" w:rsidRDefault="00E2335A" w:rsidP="00A54177"/>
    <w:p w14:paraId="3CEEFBD9" w14:textId="77777777" w:rsidR="00E2335A" w:rsidRDefault="00E2335A" w:rsidP="00A54177"/>
    <w:p w14:paraId="25516534" w14:textId="77777777" w:rsidR="00E2335A" w:rsidRDefault="00E2335A" w:rsidP="00A54177"/>
    <w:p w14:paraId="7D37C4F4" w14:textId="77777777" w:rsidR="00E2335A" w:rsidRDefault="00E2335A" w:rsidP="00A54177"/>
    <w:p w14:paraId="3D5AE406" w14:textId="77777777" w:rsidR="00E2335A" w:rsidRDefault="00E2335A" w:rsidP="00A54177"/>
    <w:p w14:paraId="6707D7C7" w14:textId="77777777" w:rsidR="00E2335A" w:rsidRDefault="00E2335A" w:rsidP="00A54177"/>
    <w:p w14:paraId="0DF43638" w14:textId="77777777" w:rsidR="00E2335A" w:rsidRDefault="00E2335A" w:rsidP="00A54177"/>
    <w:p w14:paraId="3D091D2F" w14:textId="77777777" w:rsidR="00E2335A" w:rsidRDefault="00E2335A" w:rsidP="00A54177"/>
    <w:p w14:paraId="076592B3" w14:textId="77777777" w:rsidR="00E2335A" w:rsidRDefault="00E2335A" w:rsidP="00A54177"/>
    <w:p w14:paraId="49DF98B4" w14:textId="77777777" w:rsidR="00E2335A" w:rsidRDefault="00E2335A" w:rsidP="00A54177"/>
    <w:p w14:paraId="59084FC9" w14:textId="77777777" w:rsidR="00E2335A" w:rsidRDefault="00E2335A" w:rsidP="00A54177"/>
    <w:p w14:paraId="573E1217" w14:textId="77777777" w:rsidR="00E2335A" w:rsidRDefault="00E2335A" w:rsidP="00A54177"/>
    <w:p w14:paraId="19A9EC8D" w14:textId="5BA34C16" w:rsidR="00A54177" w:rsidRDefault="00A54177" w:rsidP="00A54177">
      <w:pPr>
        <w:pStyle w:val="Heading1"/>
      </w:pPr>
      <w:bookmarkStart w:id="0" w:name="_Toc197276572"/>
      <w:r>
        <w:lastRenderedPageBreak/>
        <w:t>Introduction</w:t>
      </w:r>
      <w:bookmarkEnd w:id="0"/>
    </w:p>
    <w:p w14:paraId="105006B6" w14:textId="77777777" w:rsidR="00A54177" w:rsidRDefault="00A54177" w:rsidP="00A54177"/>
    <w:p w14:paraId="46D8CD42" w14:textId="1C46AA7E" w:rsidR="00A54177" w:rsidRDefault="00A54177" w:rsidP="00F655A3">
      <w:pPr>
        <w:spacing w:line="360" w:lineRule="auto"/>
        <w:jc w:val="both"/>
        <w:rPr>
          <w:rFonts w:ascii="Calibri" w:hAnsi="Calibri" w:cs="Calibri"/>
          <w:sz w:val="22"/>
          <w:szCs w:val="22"/>
        </w:rPr>
      </w:pPr>
      <w:r w:rsidRPr="00A54177">
        <w:rPr>
          <w:rFonts w:ascii="Calibri" w:hAnsi="Calibri" w:cs="Calibri"/>
          <w:sz w:val="22"/>
          <w:szCs w:val="22"/>
        </w:rPr>
        <w:t>Businesses may now use contemporary digital financial solutions thanks to recent industry growth, but they are also more susceptible to various cybersecurity risks. One of the mid-sized financial services companies that has been impacted by a rise in phishing and sensitive system authorizations that calls for urgent cybersecurity changes is FinSecure Ltd (FSL). Threats are increasing in the current security environment. To safeguard their well-known assets and data while upholding consumer safety and standards, FSL and other businesses must have a methodical, proactive defense approach.</w:t>
      </w:r>
    </w:p>
    <w:p w14:paraId="077EE3D1" w14:textId="306EEC66" w:rsidR="00A54177" w:rsidRDefault="00A54177" w:rsidP="00F655A3">
      <w:pPr>
        <w:spacing w:line="360" w:lineRule="auto"/>
        <w:jc w:val="both"/>
        <w:rPr>
          <w:rFonts w:ascii="Calibri" w:hAnsi="Calibri" w:cs="Calibri"/>
          <w:sz w:val="22"/>
          <w:szCs w:val="22"/>
        </w:rPr>
      </w:pPr>
      <w:r w:rsidRPr="00A54177">
        <w:rPr>
          <w:rFonts w:ascii="Calibri" w:hAnsi="Calibri" w:cs="Calibri"/>
          <w:sz w:val="22"/>
          <w:szCs w:val="22"/>
        </w:rPr>
        <w:t>Financial institutions are increasingly being targeted by sophisticated and regular cyberattacks that use ransomware, social engineering, and insider threats.</w:t>
      </w:r>
      <w:r>
        <w:rPr>
          <w:rFonts w:ascii="Calibri" w:hAnsi="Calibri" w:cs="Calibri"/>
          <w:sz w:val="22"/>
          <w:szCs w:val="22"/>
        </w:rPr>
        <w:t xml:space="preserve"> </w:t>
      </w:r>
      <w:r>
        <w:rPr>
          <w:rFonts w:ascii="Calibri" w:hAnsi="Calibri" w:cs="Calibri"/>
          <w:sz w:val="22"/>
          <w:szCs w:val="22"/>
        </w:rPr>
        <w:fldChar w:fldCharType="begin" w:fldLock="1"/>
      </w:r>
      <w:r w:rsidR="00554205">
        <w:rPr>
          <w:rFonts w:ascii="Calibri" w:hAnsi="Calibri" w:cs="Calibri"/>
          <w:sz w:val="22"/>
          <w:szCs w:val="22"/>
        </w:rPr>
        <w:instrText>ADDIN CSL_CITATION {"citationItems":[{"id":"ITEM-1","itemData":{"DOI":"10.1134/S1019331614060033","ISSN":"15556492","abstract":"Scientific and technological progress generates two interrelated trends: new machinery and technologies, on the one hand, open unprecedented opportunities in all practical spheres and, on the other, provoke numerous negative consequences that are often impossible to predict in advance. This is also true of information and communication technologies, whose rapid development in the past decades has called into existence the dangerous phenomena of cyberterrorism and cyberwars. As is the case with other threats associated with the use of scientific and technological achievements, society responds with technological improvements. A specific example of such improvements within a pan-European research project with the participation of Russian scientists is given below.","author":[{"dropping-particle":"","family":"Kotenko","given":"Igor Vital’evich","non-dropping-particle":"","parse-names":false,"suffix":""},{"dropping-particle":"","family":"Saenko","given":"Igor Borisovich","non-dropping-particle":"","parse-names":false,"suffix":""}],"container-title":"Herald of the Russian Academy of Sciences","id":"ITEM-1","issue":"6","issued":{"date-parts":[["2014"]]},"page":"424-431","title":"Creating new-generation cybersecurity monitoring and management systems","type":"article-journal","volume":"84"},"uris":["http://www.mendeley.com/documents/?uuid=878c573a-3a6b-4ae0-ad0d-98c16178f779"]}],"mendeley":{"formattedCitation":"[1]","plainTextFormattedCitation":"[1]","previouslyFormattedCitation":"[1]"},"properties":{"noteIndex":0},"schema":"https://github.com/citation-style-language/schema/raw/master/csl-citation.json"}</w:instrText>
      </w:r>
      <w:r>
        <w:rPr>
          <w:rFonts w:ascii="Calibri" w:hAnsi="Calibri" w:cs="Calibri"/>
          <w:sz w:val="22"/>
          <w:szCs w:val="22"/>
        </w:rPr>
        <w:fldChar w:fldCharType="separate"/>
      </w:r>
      <w:r w:rsidRPr="00A54177">
        <w:rPr>
          <w:rFonts w:ascii="Calibri" w:hAnsi="Calibri" w:cs="Calibri"/>
          <w:noProof/>
          <w:sz w:val="22"/>
          <w:szCs w:val="22"/>
        </w:rPr>
        <w:t>[1]</w:t>
      </w:r>
      <w:r>
        <w:rPr>
          <w:rFonts w:ascii="Calibri" w:hAnsi="Calibri" w:cs="Calibri"/>
          <w:sz w:val="22"/>
          <w:szCs w:val="22"/>
        </w:rPr>
        <w:fldChar w:fldCharType="end"/>
      </w:r>
      <w:r>
        <w:rPr>
          <w:rFonts w:ascii="Calibri" w:hAnsi="Calibri" w:cs="Calibri"/>
          <w:sz w:val="22"/>
          <w:szCs w:val="22"/>
        </w:rPr>
        <w:t xml:space="preserve"> </w:t>
      </w:r>
      <w:r w:rsidR="00554205" w:rsidRPr="00554205">
        <w:rPr>
          <w:rFonts w:ascii="Calibri" w:hAnsi="Calibri" w:cs="Calibri"/>
          <w:sz w:val="22"/>
          <w:szCs w:val="22"/>
        </w:rPr>
        <w:t>Cybercriminals have greater options to launch attacks when cloud computing is combined with IoT (Internet of Things), FinTech, and artificial intelligence technology.</w:t>
      </w:r>
      <w:r w:rsidR="00554205">
        <w:rPr>
          <w:rFonts w:ascii="Calibri" w:hAnsi="Calibri" w:cs="Calibri"/>
          <w:sz w:val="22"/>
          <w:szCs w:val="22"/>
        </w:rPr>
        <w:t xml:space="preserve"> </w:t>
      </w:r>
      <w:r w:rsidR="00554205">
        <w:rPr>
          <w:rFonts w:ascii="Calibri" w:hAnsi="Calibri" w:cs="Calibri"/>
          <w:sz w:val="22"/>
          <w:szCs w:val="22"/>
        </w:rPr>
        <w:fldChar w:fldCharType="begin" w:fldLock="1"/>
      </w:r>
      <w:r w:rsidR="00F72C55">
        <w:rPr>
          <w:rFonts w:ascii="Calibri" w:hAnsi="Calibri" w:cs="Calibri"/>
          <w:sz w:val="22"/>
          <w:szCs w:val="22"/>
        </w:rPr>
        <w:instrText>ADDIN CSL_CITATION {"citationItems":[{"id":"ITEM-1","itemData":{"DOI":"10.30574/ijsra.2024.11.1.0217","abstract":"The Internet of Things (IoT) heralds a new era of connectivity, transforming the way devices interact and share information. With this transformative potential comes a concomitant rise in cybersecurity threats that pose significant challenges to the integrity of the IoT ecosystem. This paper undertakes a comprehensive examination of cybersecurity threats in the age of IoT, categorizing them into data breaches, malware attacks, physical manipulation, and more. Counteracting these threats necessitates a multifaceted approach encompassing device-level security, network-level measures, and effective management practices. Protective measures discussed include secure boot processes, encryption protocols, and the implementation of intrusion detection systems. However, persistent challenges, such as device diversity and resource constraints, underscore the need for ongoing research and development. Emerging technologies like blockchain, edge computing, and artificial intelligence offer promising avenues to bolster IoT security. In the pursuit of a secure IoT future, this paper emphasizes the critical importance of collaboration and collective efforts. The key findings underscore the centrality of robust security measures in the IoT landscape. The call to action resonates throughout the paper, urging stakeholders to unite in addressing challenges, embracing emerging technologies, and ensuring the responsible growth of IoT. Together, through shared knowledge and collaborative endeavors, we can forge a secure foundation for the continued expansion of IoT technologies","author":[{"dropping-particle":"","family":"Olukunle Oladipupo Amoo","given":"","non-dropping-particle":"","parse-names":false,"suffix":""},{"dropping-particle":"","family":"Femi Osasona","given":"","non-dropping-particle":"","parse-names":false,"suffix":""},{"dropping-particle":"","family":"Akoh Atadoga","given":"","non-dropping-particle":"","parse-names":false,"suffix":""},{"dropping-particle":"","family":"Benjamin Samson Ayinla","given":"","non-dropping-particle":"","parse-names":false,"suffix":""},{"dropping-particle":"","family":"Oluwatoyin Ajoke Farayola","given":"","non-dropping-particle":"","parse-names":false,"suffix":""},{"dropping-particle":"","family":"Temitayo Oluwaseun Abrahams","given":"","non-dropping-particle":"","parse-names":false,"suffix":""}],"container-title":"International Journal of Science and Research Archive","id":"ITEM-1","issue":"1","issued":{"date-parts":[["2024"]]},"page":"1304-1310","title":"Cybersecurity threats in the age of IoT: A review of protective measures","type":"article-journal","volume":"11"},"uris":["http://www.mendeley.com/documents/?uuid=d0ae1da0-21da-4391-af20-b9ac254ba8fa"]}],"mendeley":{"formattedCitation":"[2]","plainTextFormattedCitation":"[2]","previouslyFormattedCitation":"[2]"},"properties":{"noteIndex":0},"schema":"https://github.com/citation-style-language/schema/raw/master/csl-citation.json"}</w:instrText>
      </w:r>
      <w:r w:rsidR="00554205">
        <w:rPr>
          <w:rFonts w:ascii="Calibri" w:hAnsi="Calibri" w:cs="Calibri"/>
          <w:sz w:val="22"/>
          <w:szCs w:val="22"/>
        </w:rPr>
        <w:fldChar w:fldCharType="separate"/>
      </w:r>
      <w:r w:rsidR="00554205" w:rsidRPr="00554205">
        <w:rPr>
          <w:rFonts w:ascii="Calibri" w:hAnsi="Calibri" w:cs="Calibri"/>
          <w:noProof/>
          <w:sz w:val="22"/>
          <w:szCs w:val="22"/>
        </w:rPr>
        <w:t>[2]</w:t>
      </w:r>
      <w:r w:rsidR="00554205">
        <w:rPr>
          <w:rFonts w:ascii="Calibri" w:hAnsi="Calibri" w:cs="Calibri"/>
          <w:sz w:val="22"/>
          <w:szCs w:val="22"/>
        </w:rPr>
        <w:fldChar w:fldCharType="end"/>
      </w:r>
      <w:r w:rsidR="00554205">
        <w:rPr>
          <w:rFonts w:ascii="Calibri" w:hAnsi="Calibri" w:cs="Calibri"/>
          <w:sz w:val="22"/>
          <w:szCs w:val="22"/>
        </w:rPr>
        <w:t xml:space="preserve"> </w:t>
      </w:r>
      <w:r w:rsidR="00F72C55" w:rsidRPr="00F72C55">
        <w:rPr>
          <w:rFonts w:ascii="Calibri" w:hAnsi="Calibri" w:cs="Calibri"/>
          <w:sz w:val="22"/>
          <w:szCs w:val="22"/>
        </w:rPr>
        <w:t>FSL must enforce and put into place a robust cybersecurity policy that adheres to ISO/IEC 27001 and NIST standards in order to safeguard its operations and guarantee service integrity, confidentiality, and availability</w:t>
      </w:r>
      <w:r w:rsidR="00F72C55">
        <w:rPr>
          <w:rFonts w:ascii="Calibri" w:hAnsi="Calibri" w:cs="Calibri"/>
          <w:sz w:val="22"/>
          <w:szCs w:val="22"/>
        </w:rPr>
        <w:t xml:space="preserve">. </w:t>
      </w:r>
      <w:r w:rsidR="00F72C55">
        <w:rPr>
          <w:rFonts w:ascii="Calibri" w:hAnsi="Calibri" w:cs="Calibri"/>
          <w:sz w:val="22"/>
          <w:szCs w:val="22"/>
        </w:rPr>
        <w:fldChar w:fldCharType="begin" w:fldLock="1"/>
      </w:r>
      <w:r w:rsidR="00654719">
        <w:rPr>
          <w:rFonts w:ascii="Calibri" w:hAnsi="Calibri" w:cs="Calibri"/>
          <w:sz w:val="22"/>
          <w:szCs w:val="22"/>
        </w:rPr>
        <w:instrText>ADDIN CSL_CITATION {"citationItems":[{"id":"ITEM-1","itemData":{"DOI":"10.22215/timreview835","abstract":"Cybersecurity is a broadly used term, whose definitions are highly variable, often subject- ive, and at times, uninformative. The absence of a concise, broadly acceptable definition that captures the multidimensionality of cybersecurity impedes technological and scientific advances by reinforcing the predominantly technical view of cybersecurity while separating disciplines that should be acting in concert to resolve complex cybersecurity challenges. In conjunction with an in-depth literature review, we led multiple discussions on cybersecur- ity with a diverse group of practitioners, academics, and graduate students to examine mul- tiple perspectives of what should be included in a definition of cybersecurity. In this article, we propose a resulting new definition: \"Cybersecurity is the organization and collection of resources, processes, and structures used to protect cyberspace and cyberspace-enabled systems from occurrences that misalign de jure from de facto property rights.\" Articulating a concise, inclusive, meaningful, and unifying definition will enable an enhanced and en- riched focus on interdisciplinary cybersecurity dialectics and thereby will influence the ap- proaches of academia, industry, and government and non-governmental organizations to cybersecurity challenges.","author":[{"dropping-particle":"","family":"Craigen","given":"Dan","non-dropping-particle":"","parse-names":false,"suffix":""},{"dropping-particle":"","family":"Diakun-Thibault","given":"Nadia","non-dropping-particle":"","parse-names":false,"suffix":""},{"dropping-particle":"","family":"Purse","given":"Randy","non-dropping-particle":"","parse-names":false,"suffix":""}],"container-title":"Technology Innovation Management Review","id":"ITEM-1","issue":"10","issued":{"date-parts":[["2014"]]},"page":"13-21","title":"Defining Cybersecurity","type":"article-journal","volume":"4"},"uris":["http://www.mendeley.com/documents/?uuid=27906316-f7d6-46e6-9e4b-20a562868d52"]}],"mendeley":{"formattedCitation":"[3]","plainTextFormattedCitation":"[3]","previouslyFormattedCitation":"[3]"},"properties":{"noteIndex":0},"schema":"https://github.com/citation-style-language/schema/raw/master/csl-citation.json"}</w:instrText>
      </w:r>
      <w:r w:rsidR="00F72C55">
        <w:rPr>
          <w:rFonts w:ascii="Calibri" w:hAnsi="Calibri" w:cs="Calibri"/>
          <w:sz w:val="22"/>
          <w:szCs w:val="22"/>
        </w:rPr>
        <w:fldChar w:fldCharType="separate"/>
      </w:r>
      <w:r w:rsidR="00F72C55" w:rsidRPr="00F72C55">
        <w:rPr>
          <w:rFonts w:ascii="Calibri" w:hAnsi="Calibri" w:cs="Calibri"/>
          <w:noProof/>
          <w:sz w:val="22"/>
          <w:szCs w:val="22"/>
        </w:rPr>
        <w:t>[3]</w:t>
      </w:r>
      <w:r w:rsidR="00F72C55">
        <w:rPr>
          <w:rFonts w:ascii="Calibri" w:hAnsi="Calibri" w:cs="Calibri"/>
          <w:sz w:val="22"/>
          <w:szCs w:val="22"/>
        </w:rPr>
        <w:fldChar w:fldCharType="end"/>
      </w:r>
      <w:r w:rsidR="00FB30B8">
        <w:rPr>
          <w:rFonts w:ascii="Calibri" w:hAnsi="Calibri" w:cs="Calibri"/>
          <w:sz w:val="22"/>
          <w:szCs w:val="22"/>
        </w:rPr>
        <w:t xml:space="preserve"> </w:t>
      </w:r>
      <w:r w:rsidR="00FB30B8" w:rsidRPr="00FB30B8">
        <w:rPr>
          <w:rFonts w:ascii="Calibri" w:hAnsi="Calibri" w:cs="Calibri"/>
          <w:sz w:val="22"/>
          <w:szCs w:val="22"/>
        </w:rPr>
        <w:t>The study outlines a comprehensive cybersecurity policy framework that satisfies the company's operational needs and legal obligations.</w:t>
      </w:r>
    </w:p>
    <w:p w14:paraId="4A0978BF" w14:textId="77777777" w:rsidR="008F4228" w:rsidRDefault="008F4228" w:rsidP="00A54177">
      <w:pPr>
        <w:rPr>
          <w:rFonts w:ascii="Calibri" w:hAnsi="Calibri" w:cs="Calibri"/>
          <w:sz w:val="22"/>
          <w:szCs w:val="22"/>
        </w:rPr>
      </w:pPr>
    </w:p>
    <w:p w14:paraId="36753F0D" w14:textId="77777777" w:rsidR="008F4228" w:rsidRDefault="008F4228" w:rsidP="008F4228">
      <w:pPr>
        <w:pStyle w:val="Heading1"/>
        <w:rPr>
          <w:lang w:val="en-US"/>
        </w:rPr>
      </w:pPr>
      <w:bookmarkStart w:id="1" w:name="_Toc197276573"/>
      <w:r w:rsidRPr="008F4228">
        <w:rPr>
          <w:lang w:val="en-US"/>
        </w:rPr>
        <w:t>Identification of Cybersecurity Threat</w:t>
      </w:r>
      <w:bookmarkEnd w:id="1"/>
    </w:p>
    <w:p w14:paraId="7FFDC1DC" w14:textId="77777777" w:rsidR="008F4228" w:rsidRPr="008F4228" w:rsidRDefault="008F4228" w:rsidP="008F4228">
      <w:pPr>
        <w:rPr>
          <w:lang w:val="en-US"/>
        </w:rPr>
      </w:pPr>
    </w:p>
    <w:p w14:paraId="47F5B1D0" w14:textId="737BCFE3" w:rsidR="008F4228" w:rsidRDefault="008F4228" w:rsidP="00F655A3">
      <w:pPr>
        <w:spacing w:line="360" w:lineRule="auto"/>
        <w:jc w:val="both"/>
        <w:rPr>
          <w:rFonts w:ascii="Calibri" w:hAnsi="Calibri" w:cs="Calibri"/>
          <w:sz w:val="22"/>
          <w:szCs w:val="22"/>
        </w:rPr>
      </w:pPr>
      <w:r w:rsidRPr="008F4228">
        <w:rPr>
          <w:rFonts w:ascii="Calibri" w:hAnsi="Calibri" w:cs="Calibri"/>
          <w:sz w:val="22"/>
          <w:szCs w:val="22"/>
        </w:rPr>
        <w:t>As FinSecure Ltd. (FSL) incorporates cloud-based operations with its remote working environment and customer digital platforms, it is confronted with more complex cybersecurity risks.</w:t>
      </w:r>
    </w:p>
    <w:p w14:paraId="79969B8E" w14:textId="77777777" w:rsidR="008F4228" w:rsidRDefault="008F4228" w:rsidP="00A54177">
      <w:pPr>
        <w:rPr>
          <w:rFonts w:ascii="Calibri" w:hAnsi="Calibri" w:cs="Calibri"/>
          <w:sz w:val="22"/>
          <w:szCs w:val="22"/>
        </w:rPr>
      </w:pPr>
    </w:p>
    <w:p w14:paraId="385A2C9C" w14:textId="77777777" w:rsidR="008F4228" w:rsidRDefault="008F4228" w:rsidP="008F4228">
      <w:pPr>
        <w:pStyle w:val="Heading2"/>
        <w:rPr>
          <w:lang w:val="en-US"/>
        </w:rPr>
      </w:pPr>
      <w:bookmarkStart w:id="2" w:name="_Toc197276574"/>
      <w:r w:rsidRPr="008F4228">
        <w:rPr>
          <w:lang w:val="en-US"/>
        </w:rPr>
        <w:t>Internal Threats</w:t>
      </w:r>
      <w:bookmarkEnd w:id="2"/>
    </w:p>
    <w:p w14:paraId="1A82F2B8" w14:textId="4B3AE037" w:rsidR="008F4228" w:rsidRPr="00F655A3" w:rsidRDefault="00654719" w:rsidP="00F655A3">
      <w:pPr>
        <w:spacing w:line="360" w:lineRule="auto"/>
        <w:jc w:val="both"/>
        <w:rPr>
          <w:rFonts w:ascii="Calibri" w:hAnsi="Calibri" w:cs="Calibri"/>
          <w:sz w:val="22"/>
          <w:szCs w:val="22"/>
        </w:rPr>
      </w:pPr>
      <w:r w:rsidRPr="00F655A3">
        <w:rPr>
          <w:rFonts w:ascii="Calibri" w:hAnsi="Calibri" w:cs="Calibri"/>
          <w:sz w:val="22"/>
          <w:szCs w:val="22"/>
          <w:lang w:val="en-US"/>
        </w:rPr>
        <w:t xml:space="preserve">The main internal hazards are staff mistakes, employees with bad intentions toward the organization, and lax access restrictions. These attacks can include intentional financial transactions, attacks based on the atmosphere, and thefts of sensitive information. Because their employees intentionally or negligently pose both purposeful and inadvertent risks, financial institutions face significant challenges. </w:t>
      </w:r>
      <w:r w:rsidRPr="00F655A3">
        <w:rPr>
          <w:rFonts w:ascii="Calibri" w:hAnsi="Calibri" w:cs="Calibri"/>
          <w:sz w:val="22"/>
          <w:szCs w:val="22"/>
          <w:lang w:val="en-US"/>
        </w:rPr>
        <w:fldChar w:fldCharType="begin" w:fldLock="1"/>
      </w:r>
      <w:r w:rsidR="005979C9">
        <w:rPr>
          <w:rFonts w:ascii="Calibri" w:hAnsi="Calibri" w:cs="Calibri"/>
          <w:sz w:val="22"/>
          <w:szCs w:val="22"/>
          <w:lang w:val="en-US"/>
        </w:rPr>
        <w:instrText>ADDIN CSL_CITATION {"citationItems":[{"id":"ITEM-1","itemData":{"DOI":"10.52866/ijcsm.2024.05.03.004","ISSN":"27887421","abstract":"The fourth industrial revolution has seen the evolution and wide adoption of game-changing and disruptive innovation \"financial technologies (FinTech)\" around the globe. However, the security of FinTech systems and networks remains critical. This paper comprehensively reviews the evolving landscape of cybersecurity issues within the FinTech sector and explores effective mitigation measures. Four independent researchers reviewed relevant literature from IEEE Xplore Digital Library, ScienceDirect, Taylor &amp; Francis, Emerald Insight, Springer, SAGE, Wiley Online Library, Hindawi, MDPI, ACM Digital Library, IGI Global, and Google Scholar. The research paper begins by examining the history and evolution of FinTech, drivers for the growth of FinTech, segments of the FinTech industry, FinTech ecosystem, FinTech business model, and FinTech application. Subsequently, it then delves into an analysis of the most pressing cybersecurity issues confronting FinTech firms, such as privacy concerns, data breaches, malware attacks, hacking, insider threats, identity theft, social engineering attacks, distributed denial-of-service attacks, and others. In response to these cybersecurity issues, the paper evaluates various mitigation strategies and best practices adopted by FinTech firms and regulatory bodies globally. These measures include technological solutions such as authentication and access control mechanisms, cryptography, big data analytics, intrusion detection/prevention systems, regular data backup, artificial intelligence and machine learning, cloud computing technologies, blockchain technologies, and fraud detection and prevention systems. The paper also emphasizes the importance of FinTech regulatory sandboxes, regulatory compliance, basic security training, continuous monitoring of threats, zero-trust policy, robust cybersecurity culture, regular testing, and stringent security policies to strengthen the FinTech ecosystem's cyber resilience. Based on empirical research, industry reports, and regulatory guidelines, this review brings together existing information and highlights upcoming trends in FinTech cybersecurity. It emphasizes the importance of a collaborative strategy combining industry stakeholders, regulators, legislators, and cybersecurity specialists to address the growing cyber threat situation successfully. Ultimately, this research will help develop robust security mechanisms for FinTech systems and networks to achieve sustainable financial inclu…","author":[{"dropping-particle":"","family":"Ali","given":"Guma","non-dropping-particle":"","parse-names":false,"suffix":""},{"dropping-particle":"","family":"Mijwil","given":"Maad M.","non-dropping-particle":"","parse-names":false,"suffix":""},{"dropping-particle":"","family":"Buruga","given":"Bosco Apparatus","non-dropping-particle":"","parse-names":false,"suffix":""},{"dropping-particle":"","family":"Abotaleb","given":"Mostafa","non-dropping-particle":"","parse-names":false,"suffix":""}],"container-title":"Iraqi Journal for Computer Science and Mathematics","id":"ITEM-1","issue":"3","issued":{"date-parts":[["2024"]]},"page":"45-91","title":"A Comprehensive Review on Cybersecurity Issues and Their Mitigation Measures in FinTech","type":"article-journal","volume":"5"},"uris":["http://www.mendeley.com/documents/?uuid=0813aa04-7a82-4639-a015-33055e0c78ea"]}],"mendeley":{"formattedCitation":"[4]","plainTextFormattedCitation":"[4]","previouslyFormattedCitation":"[4]"},"properties":{"noteIndex":0},"schema":"https://github.com/citation-style-language/schema/raw/master/csl-citation.json"}</w:instrText>
      </w:r>
      <w:r w:rsidRPr="00F655A3">
        <w:rPr>
          <w:rFonts w:ascii="Calibri" w:hAnsi="Calibri" w:cs="Calibri"/>
          <w:sz w:val="22"/>
          <w:szCs w:val="22"/>
          <w:lang w:val="en-US"/>
        </w:rPr>
        <w:fldChar w:fldCharType="separate"/>
      </w:r>
      <w:r w:rsidRPr="00F655A3">
        <w:rPr>
          <w:rFonts w:ascii="Calibri" w:hAnsi="Calibri" w:cs="Calibri"/>
          <w:noProof/>
          <w:sz w:val="22"/>
          <w:szCs w:val="22"/>
          <w:lang w:val="en-US"/>
        </w:rPr>
        <w:t>[4]</w:t>
      </w:r>
      <w:r w:rsidRPr="00F655A3">
        <w:rPr>
          <w:rFonts w:ascii="Calibri" w:hAnsi="Calibri" w:cs="Calibri"/>
          <w:sz w:val="22"/>
          <w:szCs w:val="22"/>
          <w:lang w:val="en-US"/>
        </w:rPr>
        <w:fldChar w:fldCharType="end"/>
      </w:r>
      <w:r w:rsidR="00B845FA" w:rsidRPr="00F655A3">
        <w:rPr>
          <w:rFonts w:ascii="Calibri" w:hAnsi="Calibri" w:cs="Calibri"/>
          <w:sz w:val="22"/>
          <w:szCs w:val="22"/>
          <w:lang w:val="en-US"/>
        </w:rPr>
        <w:t xml:space="preserve"> </w:t>
      </w:r>
      <w:r w:rsidR="00B845FA" w:rsidRPr="00F655A3">
        <w:rPr>
          <w:rFonts w:ascii="Calibri" w:hAnsi="Calibri" w:cs="Calibri"/>
          <w:sz w:val="22"/>
          <w:szCs w:val="22"/>
        </w:rPr>
        <w:t>The 2020 ABSA insider breach shows how employee misconduct resulted in the sale of 200,000 client records, eroding consumer confidence and harming the company's reputation.</w:t>
      </w:r>
      <w:r w:rsidR="00914FCB" w:rsidRPr="00F655A3">
        <w:rPr>
          <w:rFonts w:ascii="Calibri" w:hAnsi="Calibri" w:cs="Calibri"/>
          <w:sz w:val="22"/>
          <w:szCs w:val="22"/>
        </w:rPr>
        <w:t xml:space="preserve"> </w:t>
      </w:r>
    </w:p>
    <w:p w14:paraId="02420D2A" w14:textId="77777777" w:rsidR="00914FCB" w:rsidRDefault="00914FCB" w:rsidP="00A54177">
      <w:pPr>
        <w:rPr>
          <w:rFonts w:ascii="Calibri" w:hAnsi="Calibri" w:cs="Calibri"/>
          <w:sz w:val="22"/>
          <w:szCs w:val="22"/>
        </w:rPr>
      </w:pPr>
    </w:p>
    <w:p w14:paraId="1E1481B7" w14:textId="77777777" w:rsidR="00914FCB" w:rsidRDefault="00914FCB" w:rsidP="00914FCB">
      <w:pPr>
        <w:pStyle w:val="Heading2"/>
        <w:rPr>
          <w:lang w:val="en-US"/>
        </w:rPr>
      </w:pPr>
      <w:bookmarkStart w:id="3" w:name="_Toc197276575"/>
      <w:r w:rsidRPr="00914FCB">
        <w:rPr>
          <w:lang w:val="en-US"/>
        </w:rPr>
        <w:t>External Threats</w:t>
      </w:r>
      <w:bookmarkEnd w:id="3"/>
    </w:p>
    <w:p w14:paraId="07FAF177" w14:textId="77777777" w:rsidR="00914FCB" w:rsidRPr="00914FCB" w:rsidRDefault="00914FCB" w:rsidP="00914FCB">
      <w:pPr>
        <w:rPr>
          <w:lang w:val="en-US"/>
        </w:rPr>
      </w:pPr>
    </w:p>
    <w:p w14:paraId="7FA893EC" w14:textId="55517CCF" w:rsidR="00914FCB" w:rsidRDefault="005979C9" w:rsidP="009C7C94">
      <w:pPr>
        <w:spacing w:line="360" w:lineRule="auto"/>
        <w:jc w:val="both"/>
        <w:rPr>
          <w:rFonts w:ascii="Calibri" w:hAnsi="Calibri" w:cs="Calibri"/>
          <w:sz w:val="22"/>
          <w:szCs w:val="22"/>
          <w:lang w:val="en-US"/>
        </w:rPr>
      </w:pPr>
      <w:r w:rsidRPr="009C7C94">
        <w:rPr>
          <w:rFonts w:ascii="Calibri" w:hAnsi="Calibri" w:cs="Calibri"/>
          <w:sz w:val="22"/>
          <w:szCs w:val="22"/>
          <w:lang w:val="en-US"/>
        </w:rPr>
        <w:t xml:space="preserve">Threats to FSL's external infrastructure include ransomware, distributed denial-of-service assaults, hacking attempts, and electronic phishing. Phishing attacks are still one of the main ways that bad actors pose as trustworthy organizations in order to get login credentials and spread malware in the </w:t>
      </w:r>
      <w:r w:rsidRPr="009C7C94">
        <w:rPr>
          <w:rFonts w:ascii="Calibri" w:hAnsi="Calibri" w:cs="Calibri"/>
          <w:sz w:val="22"/>
          <w:szCs w:val="22"/>
          <w:lang w:val="en-US"/>
        </w:rPr>
        <w:lastRenderedPageBreak/>
        <w:t xml:space="preserve">banking industry. </w:t>
      </w:r>
      <w:r w:rsidRPr="009C7C94">
        <w:rPr>
          <w:rFonts w:ascii="Calibri" w:hAnsi="Calibri" w:cs="Calibri"/>
          <w:sz w:val="22"/>
          <w:szCs w:val="22"/>
          <w:lang w:val="en-US"/>
        </w:rPr>
        <w:fldChar w:fldCharType="begin" w:fldLock="1"/>
      </w:r>
      <w:r w:rsidR="00C034F9">
        <w:rPr>
          <w:rFonts w:ascii="Calibri" w:hAnsi="Calibri" w:cs="Calibri"/>
          <w:sz w:val="22"/>
          <w:szCs w:val="22"/>
          <w:lang w:val="en-US"/>
        </w:rPr>
        <w:instrText>ADDIN CSL_CITATION {"citationItems":[{"id":"ITEM-1","itemData":{"DOI":"10.1109/CSCloud.2015.71","ISBN":"9781467392990","abstract":"Cyber security has been used interchangeably for information security, where later considers the role of the human in the security process while former consider this as an additional dimension and also, focus person has a potential target. However, such discussion on cyber security has important implication as it focuses on the ethical part of the society as a whole. To address the issue of cyber security, various frameworks and models have been developed. It also introduces the concepts of cyber security in terms of its framework, workforces and information related to protecting personal information in the computer. This paper reviews these models along with their limitations and review the past techniques used to mitigate these threats. Furthermore, the report also provides recommendations for future research.","author":[{"dropping-particle":"","family":"Thakur","given":"Kutub","non-dropping-particle":"","parse-names":false,"suffix":""},{"dropping-particle":"","family":"Qiu","given":"Meikang","non-dropping-particle":"","parse-names":false,"suffix":""},{"dropping-particle":"","family":"Gai","given":"Keke","non-dropping-particle":"","parse-names":false,"suffix":""},{"dropping-particle":"","family":"Ali","given":"Md Liakat","non-dropping-particle":"","parse-names":false,"suffix":""}],"container-title":"Proceedings - 2nd IEEE International Conference on Cyber Security and Cloud Computing, CSCloud 2015 - IEEE International Symposium of Smart Cloud, IEEE SSC 2015","id":"ITEM-1","issued":{"date-parts":[["2016"]]},"page":"307-311","publisher":"IEEE","title":"An Investigation on Cyber Security Threats and Security Models","type":"article-journal"},"uris":["http://www.mendeley.com/documents/?uuid=506cde9f-687e-4f9c-9886-936528c1c522"]}],"mendeley":{"formattedCitation":"[5]","plainTextFormattedCitation":"[5]","previouslyFormattedCitation":"[5]"},"properties":{"noteIndex":0},"schema":"https://github.com/citation-style-language/schema/raw/master/csl-citation.json"}</w:instrText>
      </w:r>
      <w:r w:rsidRPr="009C7C94">
        <w:rPr>
          <w:rFonts w:ascii="Calibri" w:hAnsi="Calibri" w:cs="Calibri"/>
          <w:sz w:val="22"/>
          <w:szCs w:val="22"/>
          <w:lang w:val="en-US"/>
        </w:rPr>
        <w:fldChar w:fldCharType="separate"/>
      </w:r>
      <w:r w:rsidRPr="009C7C94">
        <w:rPr>
          <w:rFonts w:ascii="Calibri" w:hAnsi="Calibri" w:cs="Calibri"/>
          <w:noProof/>
          <w:sz w:val="22"/>
          <w:szCs w:val="22"/>
          <w:lang w:val="en-US"/>
        </w:rPr>
        <w:t>[5]</w:t>
      </w:r>
      <w:r w:rsidRPr="009C7C94">
        <w:rPr>
          <w:rFonts w:ascii="Calibri" w:hAnsi="Calibri" w:cs="Calibri"/>
          <w:sz w:val="22"/>
          <w:szCs w:val="22"/>
          <w:lang w:val="en-US"/>
        </w:rPr>
        <w:fldChar w:fldCharType="end"/>
      </w:r>
      <w:r w:rsidRPr="009C7C94">
        <w:rPr>
          <w:rFonts w:ascii="Calibri" w:hAnsi="Calibri" w:cs="Calibri"/>
          <w:sz w:val="22"/>
          <w:szCs w:val="22"/>
          <w:lang w:val="en-US"/>
        </w:rPr>
        <w:t xml:space="preserve"> </w:t>
      </w:r>
      <w:r w:rsidR="009C7C94" w:rsidRPr="009C7C94">
        <w:rPr>
          <w:rFonts w:ascii="Calibri" w:hAnsi="Calibri" w:cs="Calibri"/>
          <w:sz w:val="22"/>
          <w:szCs w:val="22"/>
          <w:lang w:val="en-US"/>
        </w:rPr>
        <w:t>FinTech platforms like Block and Revolut are breached by a variety of skilled attackers using social engineering techniques and system vulnerabilities. The CIA Triad principles, which FSL must uphold in order to fulfill its duties to clients and regulatory agencies, are in danger due to the various security concerns. Technological solutions and a comprehensive security policy that addresses procedural flaws, human weaknesses, and hardware vulnerabilities are necessary for security protection.</w:t>
      </w:r>
    </w:p>
    <w:p w14:paraId="1A1EF396" w14:textId="77777777" w:rsidR="009C7C94" w:rsidRDefault="009C7C94" w:rsidP="009C7C94">
      <w:pPr>
        <w:spacing w:line="360" w:lineRule="auto"/>
        <w:jc w:val="both"/>
        <w:rPr>
          <w:rFonts w:ascii="Calibri" w:hAnsi="Calibri" w:cs="Calibri"/>
          <w:sz w:val="22"/>
          <w:szCs w:val="22"/>
          <w:lang w:val="en-US"/>
        </w:rPr>
      </w:pPr>
    </w:p>
    <w:p w14:paraId="76F8F455" w14:textId="77777777" w:rsidR="00C034F9" w:rsidRDefault="00C034F9" w:rsidP="002B0525">
      <w:pPr>
        <w:pStyle w:val="Heading1"/>
        <w:rPr>
          <w:lang w:val="en-US"/>
        </w:rPr>
      </w:pPr>
      <w:bookmarkStart w:id="4" w:name="_Toc197276576"/>
      <w:r w:rsidRPr="00C034F9">
        <w:rPr>
          <w:lang w:val="en-US"/>
        </w:rPr>
        <w:t>Security Policies</w:t>
      </w:r>
      <w:bookmarkEnd w:id="4"/>
    </w:p>
    <w:p w14:paraId="1891E978" w14:textId="010A1B8D" w:rsidR="00C034F9" w:rsidRDefault="00C034F9" w:rsidP="00015972">
      <w:pPr>
        <w:spacing w:line="360" w:lineRule="auto"/>
        <w:jc w:val="both"/>
        <w:rPr>
          <w:rFonts w:ascii="Calibri" w:hAnsi="Calibri" w:cs="Calibri"/>
          <w:sz w:val="22"/>
          <w:szCs w:val="22"/>
          <w:lang w:val="en-US"/>
        </w:rPr>
      </w:pPr>
      <w:r w:rsidRPr="00015972">
        <w:rPr>
          <w:rFonts w:ascii="Calibri" w:hAnsi="Calibri" w:cs="Calibri"/>
          <w:sz w:val="22"/>
          <w:szCs w:val="22"/>
          <w:lang w:val="en-US"/>
        </w:rPr>
        <w:t xml:space="preserve">International cybersecurity requirements, such as ISO/IEC 27001, NIST recommendations, and the General Data Protection Regulation (GDPR), must be supported by FinSecure Ltd (FSL)'s cybersecurity policies. The CIA trinity principles, which safeguard confidential data from unauthorized access while guaranteeing the legitimacy and system availability for authorized users, should serve as the foundation for all of these security measures. </w:t>
      </w:r>
      <w:r w:rsidRPr="00015972">
        <w:rPr>
          <w:rFonts w:ascii="Calibri" w:hAnsi="Calibri" w:cs="Calibri"/>
          <w:sz w:val="22"/>
          <w:szCs w:val="22"/>
          <w:lang w:val="en-US"/>
        </w:rPr>
        <w:fldChar w:fldCharType="begin" w:fldLock="1"/>
      </w:r>
      <w:r w:rsidR="009714E0" w:rsidRPr="00015972">
        <w:rPr>
          <w:rFonts w:ascii="Calibri" w:hAnsi="Calibri" w:cs="Calibri"/>
          <w:sz w:val="22"/>
          <w:szCs w:val="22"/>
          <w:lang w:val="en-US"/>
        </w:rPr>
        <w:instrText>ADDIN CSL_CITATION {"citationItems":[{"id":"ITEM-1","itemData":{"DOI":"10.22215/timreview835","abstract":"Cybersecurity is a broadly used term, whose definitions are highly variable, often subject- ive, and at times, uninformative. The absence of a concise, broadly acceptable definition that captures the multidimensionality of cybersecurity impedes technological and scientific advances by reinforcing the predominantly technical view of cybersecurity while separating disciplines that should be acting in concert to resolve complex cybersecurity challenges. In conjunction with an in-depth literature review, we led multiple discussions on cybersecur- ity with a diverse group of practitioners, academics, and graduate students to examine mul- tiple perspectives of what should be included in a definition of cybersecurity. In this article, we propose a resulting new definition: \"Cybersecurity is the organization and collection of resources, processes, and structures used to protect cyberspace and cyberspace-enabled systems from occurrences that misalign de jure from de facto property rights.\" Articulating a concise, inclusive, meaningful, and unifying definition will enable an enhanced and en- riched focus on interdisciplinary cybersecurity dialectics and thereby will influence the ap- proaches of academia, industry, and government and non-governmental organizations to cybersecurity challenges.","author":[{"dropping-particle":"","family":"Craigen","given":"Dan","non-dropping-particle":"","parse-names":false,"suffix":""},{"dropping-particle":"","family":"Diakun-Thibault","given":"Nadia","non-dropping-particle":"","parse-names":false,"suffix":""},{"dropping-particle":"","family":"Purse","given":"Randy","non-dropping-particle":"","parse-names":false,"suffix":""}],"container-title":"Technology Innovation Management Review","id":"ITEM-1","issue":"10","issued":{"date-parts":[["2014"]]},"page":"13-21","title":"Defining Cybersecurity","type":"article-journal","volume":"4"},"uris":["http://www.mendeley.com/documents/?uuid=27906316-f7d6-46e6-9e4b-20a562868d52"]}],"mendeley":{"formattedCitation":"[3]","plainTextFormattedCitation":"[3]","previouslyFormattedCitation":"[3]"},"properties":{"noteIndex":0},"schema":"https://github.com/citation-style-language/schema/raw/master/csl-citation.json"}</w:instrText>
      </w:r>
      <w:r w:rsidRPr="00015972">
        <w:rPr>
          <w:rFonts w:ascii="Calibri" w:hAnsi="Calibri" w:cs="Calibri"/>
          <w:sz w:val="22"/>
          <w:szCs w:val="22"/>
          <w:lang w:val="en-US"/>
        </w:rPr>
        <w:fldChar w:fldCharType="separate"/>
      </w:r>
      <w:r w:rsidRPr="00015972">
        <w:rPr>
          <w:rFonts w:ascii="Calibri" w:hAnsi="Calibri" w:cs="Calibri"/>
          <w:noProof/>
          <w:sz w:val="22"/>
          <w:szCs w:val="22"/>
          <w:lang w:val="en-US"/>
        </w:rPr>
        <w:t>[3]</w:t>
      </w:r>
      <w:r w:rsidRPr="00015972">
        <w:rPr>
          <w:rFonts w:ascii="Calibri" w:hAnsi="Calibri" w:cs="Calibri"/>
          <w:sz w:val="22"/>
          <w:szCs w:val="22"/>
          <w:lang w:val="en-US"/>
        </w:rPr>
        <w:fldChar w:fldCharType="end"/>
      </w:r>
      <w:r w:rsidRPr="00015972">
        <w:rPr>
          <w:rFonts w:ascii="Calibri" w:hAnsi="Calibri" w:cs="Calibri"/>
          <w:sz w:val="22"/>
          <w:szCs w:val="22"/>
          <w:lang w:val="en-US"/>
        </w:rPr>
        <w:t xml:space="preserve"> </w:t>
      </w:r>
      <w:r w:rsidR="009714E0" w:rsidRPr="00015972">
        <w:rPr>
          <w:rFonts w:ascii="Calibri" w:hAnsi="Calibri" w:cs="Calibri"/>
          <w:sz w:val="22"/>
          <w:szCs w:val="22"/>
          <w:lang w:val="en-US"/>
        </w:rPr>
        <w:t xml:space="preserve">Since acceptable use policies forbid using unapproved software and specify connection penalties, they must be explicit about how employees should behave when using the system. Wu and Zhang suggest that MFA should be used in conjunction with minimal privilege access control rules to improve identity verification. </w:t>
      </w:r>
      <w:r w:rsidR="009714E0" w:rsidRPr="00015972">
        <w:rPr>
          <w:rFonts w:ascii="Calibri" w:hAnsi="Calibri" w:cs="Calibri"/>
          <w:sz w:val="22"/>
          <w:szCs w:val="22"/>
          <w:lang w:val="en-US"/>
        </w:rPr>
        <w:fldChar w:fldCharType="begin" w:fldLock="1"/>
      </w:r>
      <w:r w:rsidR="009C4148" w:rsidRPr="00015972">
        <w:rPr>
          <w:rFonts w:ascii="Calibri" w:hAnsi="Calibri" w:cs="Calibri"/>
          <w:sz w:val="22"/>
          <w:szCs w:val="22"/>
          <w:lang w:val="en-US"/>
        </w:rPr>
        <w:instrText>ADDIN CSL_CITATION {"citationItems":[{"id":"ITEM-1","itemData":{"DOI":"10.1080/10919392.2019.1611528","ISSN":"10919392","abstract":"To help employees recognize and change their computing security behavior, organizations need to invest in cybersecurity training and awareness programs to encourage their employees’ active engagement in complying with their security policies. However, many organizations’ cybersecurity training and awareness programs fail to achieve their goals as employees feel bored with such training programs and lack enthusiasm to participate in them. Highlighting the criticality of the success of cybersecurity training and awareness programs in organizations, this paper identifies best practices and provides actionable insights (relating cyber awareness to employees’ personal life, reinforcing security procedures and guidelines, instilling a “relaxed alert” state of employees, and minimizing security fatigue for employees) that will help enterprises develop and implement economical, effective, and engaging cybersecurity training and awareness programs.","author":[{"dropping-particle":"","family":"He","given":"Wu","non-dropping-particle":"","parse-names":false,"suffix":""},{"dropping-particle":"","family":"Zhang","given":"Zuopeng","non-dropping-particle":"","parse-names":false,"suffix":""}],"container-title":"Journal of Organizational Computing and Electronic Commerce","id":"ITEM-1","issue":"4","issued":{"date-parts":[["2019"]]},"page":"249-257","title":"Enterprise cybersecurity training and awareness programs: Recommendations for success","type":"article-journal","volume":"29"},"uris":["http://www.mendeley.com/documents/?uuid=a284aa87-77a4-430f-94f1-8814194364ae"]}],"mendeley":{"formattedCitation":"[6]","plainTextFormattedCitation":"[6]","previouslyFormattedCitation":"[6]"},"properties":{"noteIndex":0},"schema":"https://github.com/citation-style-language/schema/raw/master/csl-citation.json"}</w:instrText>
      </w:r>
      <w:r w:rsidR="009714E0" w:rsidRPr="00015972">
        <w:rPr>
          <w:rFonts w:ascii="Calibri" w:hAnsi="Calibri" w:cs="Calibri"/>
          <w:sz w:val="22"/>
          <w:szCs w:val="22"/>
          <w:lang w:val="en-US"/>
        </w:rPr>
        <w:fldChar w:fldCharType="separate"/>
      </w:r>
      <w:r w:rsidR="009714E0" w:rsidRPr="00015972">
        <w:rPr>
          <w:rFonts w:ascii="Calibri" w:hAnsi="Calibri" w:cs="Calibri"/>
          <w:noProof/>
          <w:sz w:val="22"/>
          <w:szCs w:val="22"/>
          <w:lang w:val="en-US"/>
        </w:rPr>
        <w:t>[6]</w:t>
      </w:r>
      <w:r w:rsidR="009714E0" w:rsidRPr="00015972">
        <w:rPr>
          <w:rFonts w:ascii="Calibri" w:hAnsi="Calibri" w:cs="Calibri"/>
          <w:sz w:val="22"/>
          <w:szCs w:val="22"/>
          <w:lang w:val="en-US"/>
        </w:rPr>
        <w:fldChar w:fldCharType="end"/>
      </w:r>
      <w:r w:rsidR="009714E0" w:rsidRPr="00015972">
        <w:rPr>
          <w:rFonts w:ascii="Calibri" w:hAnsi="Calibri" w:cs="Calibri"/>
          <w:sz w:val="22"/>
          <w:szCs w:val="22"/>
          <w:lang w:val="en-US"/>
        </w:rPr>
        <w:t xml:space="preserve"> </w:t>
      </w:r>
      <w:r w:rsidR="00215EAA" w:rsidRPr="00015972">
        <w:rPr>
          <w:rFonts w:ascii="Calibri" w:hAnsi="Calibri" w:cs="Calibri"/>
          <w:sz w:val="22"/>
          <w:szCs w:val="22"/>
          <w:lang w:val="en-US"/>
        </w:rPr>
        <w:t xml:space="preserve">Data sensitivity levels and particular handling protocols for storage and transmission methods will be assigned by FSL's data categorization and handling policy. </w:t>
      </w:r>
      <w:r w:rsidR="009C4148" w:rsidRPr="00015972">
        <w:rPr>
          <w:rFonts w:ascii="Calibri" w:hAnsi="Calibri" w:cs="Calibri"/>
          <w:sz w:val="22"/>
          <w:szCs w:val="22"/>
          <w:lang w:val="en-US"/>
        </w:rPr>
        <w:t xml:space="preserve">For personal devices connecting to company resources, FSL must provide a bring-your-own-device (BYOD) policy that offers encryption technology, monitoring capabilities, and remote device-wiping procedures. </w:t>
      </w:r>
      <w:r w:rsidR="009C4148" w:rsidRPr="00015972">
        <w:rPr>
          <w:rFonts w:ascii="Calibri" w:hAnsi="Calibri" w:cs="Calibri"/>
          <w:sz w:val="22"/>
          <w:szCs w:val="22"/>
          <w:lang w:val="en-US"/>
        </w:rPr>
        <w:fldChar w:fldCharType="begin" w:fldLock="1"/>
      </w:r>
      <w:r w:rsidR="00D4599C">
        <w:rPr>
          <w:rFonts w:ascii="Calibri" w:hAnsi="Calibri" w:cs="Calibri"/>
          <w:sz w:val="22"/>
          <w:szCs w:val="22"/>
          <w:lang w:val="en-US"/>
        </w:rPr>
        <w:instrText>ADDIN CSL_CITATION {"citationItems":[{"id":"ITEM-1","itemData":{"DOI":"10.22215/timreview835","abstract":"Cybersecurity is a broadly used term, whose definitions are highly variable, often subject- ive, and at times, uninformative. The absence of a concise, broadly acceptable definition that captures the multidimensionality of cybersecurity impedes technological and scientific advances by reinforcing the predominantly technical view of cybersecurity while separating disciplines that should be acting in concert to resolve complex cybersecurity challenges. In conjunction with an in-depth literature review, we led multiple discussions on cybersecur- ity with a diverse group of practitioners, academics, and graduate students to examine mul- tiple perspectives of what should be included in a definition of cybersecurity. In this article, we propose a resulting new definition: \"Cybersecurity is the organization and collection of resources, processes, and structures used to protect cyberspace and cyberspace-enabled systems from occurrences that misalign de jure from de facto property rights.\" Articulating a concise, inclusive, meaningful, and unifying definition will enable an enhanced and en- riched focus on interdisciplinary cybersecurity dialectics and thereby will influence the ap- proaches of academia, industry, and government and non-governmental organizations to cybersecurity challenges.","author":[{"dropping-particle":"","family":"Craigen","given":"Dan","non-dropping-particle":"","parse-names":false,"suffix":""},{"dropping-particle":"","family":"Diakun-Thibault","given":"Nadia","non-dropping-particle":"","parse-names":false,"suffix":""},{"dropping-particle":"","family":"Purse","given":"Randy","non-dropping-particle":"","parse-names":false,"suffix":""}],"container-title":"Technology Innovation Management Review","id":"ITEM-1","issue":"10","issued":{"date-parts":[["2014"]]},"page":"13-21","title":"Defining Cybersecurity","type":"article-journal","volume":"4"},"uris":["http://www.mendeley.com/documents/?uuid=27906316-f7d6-46e6-9e4b-20a562868d52"]}],"mendeley":{"formattedCitation":"[3]","plainTextFormattedCitation":"[3]","previouslyFormattedCitation":"[3]"},"properties":{"noteIndex":0},"schema":"https://github.com/citation-style-language/schema/raw/master/csl-citation.json"}</w:instrText>
      </w:r>
      <w:r w:rsidR="009C4148" w:rsidRPr="00015972">
        <w:rPr>
          <w:rFonts w:ascii="Calibri" w:hAnsi="Calibri" w:cs="Calibri"/>
          <w:sz w:val="22"/>
          <w:szCs w:val="22"/>
          <w:lang w:val="en-US"/>
        </w:rPr>
        <w:fldChar w:fldCharType="separate"/>
      </w:r>
      <w:r w:rsidR="009C4148" w:rsidRPr="00015972">
        <w:rPr>
          <w:rFonts w:ascii="Calibri" w:hAnsi="Calibri" w:cs="Calibri"/>
          <w:noProof/>
          <w:sz w:val="22"/>
          <w:szCs w:val="22"/>
          <w:lang w:val="en-US"/>
        </w:rPr>
        <w:t>[3]</w:t>
      </w:r>
      <w:r w:rsidR="009C4148" w:rsidRPr="00015972">
        <w:rPr>
          <w:rFonts w:ascii="Calibri" w:hAnsi="Calibri" w:cs="Calibri"/>
          <w:sz w:val="22"/>
          <w:szCs w:val="22"/>
          <w:lang w:val="en-US"/>
        </w:rPr>
        <w:fldChar w:fldCharType="end"/>
      </w:r>
      <w:r w:rsidR="009C4148" w:rsidRPr="00015972">
        <w:rPr>
          <w:rFonts w:ascii="Calibri" w:hAnsi="Calibri" w:cs="Calibri"/>
          <w:sz w:val="22"/>
          <w:szCs w:val="22"/>
          <w:lang w:val="en-US"/>
        </w:rPr>
        <w:t xml:space="preserve"> </w:t>
      </w:r>
      <w:r w:rsidR="00015972" w:rsidRPr="00015972">
        <w:rPr>
          <w:rFonts w:ascii="Calibri" w:hAnsi="Calibri" w:cs="Calibri"/>
          <w:sz w:val="22"/>
          <w:szCs w:val="22"/>
          <w:lang w:val="en-US"/>
        </w:rPr>
        <w:t xml:space="preserve">The steps for identifying security problems, reporting them, and taking mitigation action should all be outlined in a written incident response policy. Through regular monitoring, logging, and internal audits, the audit and compliance policy creates responsibility while protecting consumer data in accordance with GDPR regulations to prevent fines. Integrating rules to preserve operational stability and cybersecurity security was the cornerstone of FSL's defense architecture. </w:t>
      </w:r>
    </w:p>
    <w:p w14:paraId="33C86B7F" w14:textId="77777777" w:rsidR="00015972" w:rsidRDefault="00015972" w:rsidP="00015972">
      <w:pPr>
        <w:spacing w:line="360" w:lineRule="auto"/>
        <w:jc w:val="both"/>
        <w:rPr>
          <w:rFonts w:ascii="Calibri" w:hAnsi="Calibri" w:cs="Calibri"/>
          <w:sz w:val="22"/>
          <w:szCs w:val="22"/>
          <w:lang w:val="en-US"/>
        </w:rPr>
      </w:pPr>
    </w:p>
    <w:p w14:paraId="5C8F6168" w14:textId="77777777" w:rsidR="002B0525" w:rsidRDefault="002B0525" w:rsidP="002B0525">
      <w:pPr>
        <w:pStyle w:val="Heading1"/>
        <w:rPr>
          <w:lang w:val="en-US"/>
        </w:rPr>
      </w:pPr>
      <w:bookmarkStart w:id="5" w:name="_Toc197276577"/>
      <w:r w:rsidRPr="002B0525">
        <w:rPr>
          <w:lang w:val="en-US"/>
        </w:rPr>
        <w:t>Mitigation Measures and Controls</w:t>
      </w:r>
      <w:bookmarkEnd w:id="5"/>
    </w:p>
    <w:p w14:paraId="1DAA52CB" w14:textId="77777777" w:rsidR="002B0525" w:rsidRDefault="002B0525" w:rsidP="002B0525">
      <w:pPr>
        <w:rPr>
          <w:lang w:val="en-US"/>
        </w:rPr>
      </w:pPr>
    </w:p>
    <w:p w14:paraId="27D594A2" w14:textId="02500A88" w:rsidR="002B0525" w:rsidRPr="00A81949" w:rsidRDefault="00D4599C" w:rsidP="00A81949">
      <w:pPr>
        <w:spacing w:line="360" w:lineRule="auto"/>
        <w:jc w:val="both"/>
        <w:rPr>
          <w:rFonts w:ascii="Calibri" w:hAnsi="Calibri" w:cs="Calibri"/>
          <w:sz w:val="22"/>
          <w:szCs w:val="22"/>
          <w:lang w:val="en-US"/>
        </w:rPr>
      </w:pPr>
      <w:r w:rsidRPr="00A81949">
        <w:rPr>
          <w:rFonts w:ascii="Calibri" w:hAnsi="Calibri" w:cs="Calibri"/>
          <w:sz w:val="22"/>
          <w:szCs w:val="22"/>
          <w:lang w:val="en-US"/>
        </w:rPr>
        <w:t xml:space="preserve">To reduce cybersecurity threats, FinSecure Ltd (FSL) needs to set up a defense framework that includes administrative, physical, and technical components. Firewalls, intrusion detection and prevention systems (IDPS), antivirus software, and endpoint detection and response (EDR) platforms are all necessary for the real-time protection of technical defenses. </w:t>
      </w:r>
      <w:r w:rsidRPr="00A81949">
        <w:rPr>
          <w:rFonts w:ascii="Calibri" w:hAnsi="Calibri" w:cs="Calibri"/>
          <w:sz w:val="22"/>
          <w:szCs w:val="22"/>
          <w:lang w:val="en-US"/>
        </w:rPr>
        <w:fldChar w:fldCharType="begin" w:fldLock="1"/>
      </w:r>
      <w:r w:rsidRPr="00A81949">
        <w:rPr>
          <w:rFonts w:ascii="Calibri" w:hAnsi="Calibri" w:cs="Calibri"/>
          <w:sz w:val="22"/>
          <w:szCs w:val="22"/>
          <w:lang w:val="en-US"/>
        </w:rPr>
        <w:instrText>ADDIN CSL_CITATION {"citationItems":[{"id":"ITEM-1","itemData":{"DOI":"10.52866/ijcsm.2024.05.03.004","ISSN":"27887421","abstract":"The fourth industrial revolution has seen the evolution and wide adoption of game-changing and disruptive innovation \"financial technologies (FinTech)\" around the globe. However, the security of FinTech systems and networks remains critical. This paper comprehensively reviews the evolving landscape of cybersecurity issues within the FinTech sector and explores effective mitigation measures. Four independent researchers reviewed relevant literature from IEEE Xplore Digital Library, ScienceDirect, Taylor &amp; Francis, Emerald Insight, Springer, SAGE, Wiley Online Library, Hindawi, MDPI, ACM Digital Library, IGI Global, and Google Scholar. The research paper begins by examining the history and evolution of FinTech, drivers for the growth of FinTech, segments of the FinTech industry, FinTech ecosystem, FinTech business model, and FinTech application. Subsequently, it then delves into an analysis of the most pressing cybersecurity issues confronting FinTech firms, such as privacy concerns, data breaches, malware attacks, hacking, insider threats, identity theft, social engineering attacks, distributed denial-of-service attacks, and others. In response to these cybersecurity issues, the paper evaluates various mitigation strategies and best practices adopted by FinTech firms and regulatory bodies globally. These measures include technological solutions such as authentication and access control mechanisms, cryptography, big data analytics, intrusion detection/prevention systems, regular data backup, artificial intelligence and machine learning, cloud computing technologies, blockchain technologies, and fraud detection and prevention systems. The paper also emphasizes the importance of FinTech regulatory sandboxes, regulatory compliance, basic security training, continuous monitoring of threats, zero-trust policy, robust cybersecurity culture, regular testing, and stringent security policies to strengthen the FinTech ecosystem's cyber resilience. Based on empirical research, industry reports, and regulatory guidelines, this review brings together existing information and highlights upcoming trends in FinTech cybersecurity. It emphasizes the importance of a collaborative strategy combining industry stakeholders, regulators, legislators, and cybersecurity specialists to address the growing cyber threat situation successfully. Ultimately, this research will help develop robust security mechanisms for FinTech systems and networks to achieve sustainable financial inclu…","author":[{"dropping-particle":"","family":"Ali","given":"Guma","non-dropping-particle":"","parse-names":false,"suffix":""},{"dropping-particle":"","family":"Mijwil","given":"Maad M.","non-dropping-particle":"","parse-names":false,"suffix":""},{"dropping-particle":"","family":"Buruga","given":"Bosco Apparatus","non-dropping-particle":"","parse-names":false,"suffix":""},{"dropping-particle":"","family":"Abotaleb","given":"Mostafa","non-dropping-particle":"","parse-names":false,"suffix":""}],"container-title":"Iraqi Journal for Computer Science and Mathematics","id":"ITEM-1","issue":"3","issued":{"date-parts":[["2024"]]},"page":"45-91","title":"A Comprehensive Review on Cybersecurity Issues and Their Mitigation Measures in FinTech","type":"article-journal","volume":"5"},"uris":["http://www.mendeley.com/documents/?uuid=0813aa04-7a82-4639-a015-33055e0c78ea"]}],"mendeley":{"formattedCitation":"[4]","plainTextFormattedCitation":"[4]","previouslyFormattedCitation":"[4]"},"properties":{"noteIndex":0},"schema":"https://github.com/citation-style-language/schema/raw/master/csl-citation.json"}</w:instrText>
      </w:r>
      <w:r w:rsidRPr="00A81949">
        <w:rPr>
          <w:rFonts w:ascii="Calibri" w:hAnsi="Calibri" w:cs="Calibri"/>
          <w:sz w:val="22"/>
          <w:szCs w:val="22"/>
          <w:lang w:val="en-US"/>
        </w:rPr>
        <w:fldChar w:fldCharType="separate"/>
      </w:r>
      <w:r w:rsidRPr="00A81949">
        <w:rPr>
          <w:rFonts w:ascii="Calibri" w:hAnsi="Calibri" w:cs="Calibri"/>
          <w:noProof/>
          <w:sz w:val="22"/>
          <w:szCs w:val="22"/>
          <w:lang w:val="en-US"/>
        </w:rPr>
        <w:t>[4]</w:t>
      </w:r>
      <w:r w:rsidRPr="00A81949">
        <w:rPr>
          <w:rFonts w:ascii="Calibri" w:hAnsi="Calibri" w:cs="Calibri"/>
          <w:sz w:val="22"/>
          <w:szCs w:val="22"/>
          <w:lang w:val="en-US"/>
        </w:rPr>
        <w:fldChar w:fldCharType="end"/>
      </w:r>
      <w:r w:rsidRPr="00A81949">
        <w:rPr>
          <w:rFonts w:ascii="Calibri" w:hAnsi="Calibri" w:cs="Calibri"/>
          <w:sz w:val="22"/>
          <w:szCs w:val="22"/>
          <w:lang w:val="en-US"/>
        </w:rPr>
        <w:t xml:space="preserve"> All important system access points, </w:t>
      </w:r>
      <w:r w:rsidRPr="00A81949">
        <w:rPr>
          <w:rFonts w:ascii="Calibri" w:hAnsi="Calibri" w:cs="Calibri"/>
          <w:sz w:val="22"/>
          <w:szCs w:val="22"/>
          <w:lang w:val="en-US"/>
        </w:rPr>
        <w:lastRenderedPageBreak/>
        <w:t xml:space="preserve">especially financial and consumer data platforms, need to implement MFA authentication. Data encryption solutions must simultaneously protect data while it is being transmitted and stored. </w:t>
      </w:r>
      <w:r w:rsidRPr="00A81949">
        <w:rPr>
          <w:rFonts w:ascii="Calibri" w:hAnsi="Calibri" w:cs="Calibri"/>
          <w:sz w:val="22"/>
          <w:szCs w:val="22"/>
          <w:lang w:val="en-US"/>
        </w:rPr>
        <w:fldChar w:fldCharType="begin" w:fldLock="1"/>
      </w:r>
      <w:r w:rsidRPr="00A81949">
        <w:rPr>
          <w:rFonts w:ascii="Calibri" w:hAnsi="Calibri" w:cs="Calibri"/>
          <w:sz w:val="22"/>
          <w:szCs w:val="22"/>
          <w:lang w:val="en-US"/>
        </w:rPr>
        <w:instrText>ADDIN CSL_CITATION {"citationItems":[{"id":"ITEM-1","itemData":{"DOI":"10.1109/CSCloud.2015.71","ISBN":"9781467392990","abstract":"Cyber security has been used interchangeably for information security, where later considers the role of the human in the security process while former consider this as an additional dimension and also, focus person has a potential target. However, such discussion on cyber security has important implication as it focuses on the ethical part of the society as a whole. To address the issue of cyber security, various frameworks and models have been developed. It also introduces the concepts of cyber security in terms of its framework, workforces and information related to protecting personal information in the computer. This paper reviews these models along with their limitations and review the past techniques used to mitigate these threats. Furthermore, the report also provides recommendations for future research.","author":[{"dropping-particle":"","family":"Thakur","given":"Kutub","non-dropping-particle":"","parse-names":false,"suffix":""},{"dropping-particle":"","family":"Qiu","given":"Meikang","non-dropping-particle":"","parse-names":false,"suffix":""},{"dropping-particle":"","family":"Gai","given":"Keke","non-dropping-particle":"","parse-names":false,"suffix":""},{"dropping-particle":"","family":"Ali","given":"Md Liakat","non-dropping-particle":"","parse-names":false,"suffix":""}],"container-title":"Proceedings - 2nd IEEE International Conference on Cyber Security and Cloud Computing, CSCloud 2015 - IEEE International Symposium of Smart Cloud, IEEE SSC 2015","id":"ITEM-1","issued":{"date-parts":[["2016"]]},"page":"307-311","publisher":"IEEE","title":"An Investigation on Cyber Security Threats and Security Models","type":"article-journal"},"uris":["http://www.mendeley.com/documents/?uuid=506cde9f-687e-4f9c-9886-936528c1c522"]}],"mendeley":{"formattedCitation":"[5]","plainTextFormattedCitation":"[5]","previouslyFormattedCitation":"[5]"},"properties":{"noteIndex":0},"schema":"https://github.com/citation-style-language/schema/raw/master/csl-citation.json"}</w:instrText>
      </w:r>
      <w:r w:rsidRPr="00A81949">
        <w:rPr>
          <w:rFonts w:ascii="Calibri" w:hAnsi="Calibri" w:cs="Calibri"/>
          <w:sz w:val="22"/>
          <w:szCs w:val="22"/>
          <w:lang w:val="en-US"/>
        </w:rPr>
        <w:fldChar w:fldCharType="separate"/>
      </w:r>
      <w:r w:rsidRPr="00A81949">
        <w:rPr>
          <w:rFonts w:ascii="Calibri" w:hAnsi="Calibri" w:cs="Calibri"/>
          <w:noProof/>
          <w:sz w:val="22"/>
          <w:szCs w:val="22"/>
          <w:lang w:val="en-US"/>
        </w:rPr>
        <w:t>[5]</w:t>
      </w:r>
      <w:r w:rsidRPr="00A81949">
        <w:rPr>
          <w:rFonts w:ascii="Calibri" w:hAnsi="Calibri" w:cs="Calibri"/>
          <w:sz w:val="22"/>
          <w:szCs w:val="22"/>
          <w:lang w:val="en-US"/>
        </w:rPr>
        <w:fldChar w:fldCharType="end"/>
      </w:r>
      <w:r w:rsidRPr="00A81949">
        <w:rPr>
          <w:rFonts w:ascii="Calibri" w:hAnsi="Calibri" w:cs="Calibri"/>
          <w:sz w:val="22"/>
          <w:szCs w:val="22"/>
          <w:lang w:val="en-US"/>
        </w:rPr>
        <w:t xml:space="preserve"> To defend the organization against cyberattacks, security measures rely on technical work and administrative duties. Important administrative strategies include frequent patch management, limiting user access in accordance with low privilege policies, and conducting ongoing vulnerability assessments using the Common Vulnerability Scoring System (CVSS). </w:t>
      </w:r>
      <w:r w:rsidRPr="00A81949">
        <w:rPr>
          <w:rFonts w:ascii="Calibri" w:hAnsi="Calibri" w:cs="Calibri"/>
          <w:sz w:val="22"/>
          <w:szCs w:val="22"/>
          <w:lang w:val="en-US"/>
        </w:rPr>
        <w:fldChar w:fldCharType="begin" w:fldLock="1"/>
      </w:r>
      <w:r w:rsidR="00541829" w:rsidRPr="00A81949">
        <w:rPr>
          <w:rFonts w:ascii="Calibri" w:hAnsi="Calibri" w:cs="Calibri"/>
          <w:sz w:val="22"/>
          <w:szCs w:val="22"/>
          <w:lang w:val="en-US"/>
        </w:rPr>
        <w:instrText>ADDIN CSL_CITATION {"citationItems":[{"id":"ITEM-1","itemData":{"DOI":"10.1134/S1019331614060033","ISSN":"15556492","abstract":"Scientific and technological progress generates two interrelated trends: new machinery and technologies, on the one hand, open unprecedented opportunities in all practical spheres and, on the other, provoke numerous negative consequences that are often impossible to predict in advance. This is also true of information and communication technologies, whose rapid development in the past decades has called into existence the dangerous phenomena of cyberterrorism and cyberwars. As is the case with other threats associated with the use of scientific and technological achievements, society responds with technological improvements. A specific example of such improvements within a pan-European research project with the participation of Russian scientists is given below.","author":[{"dropping-particle":"","family":"Kotenko","given":"Igor Vital’evich","non-dropping-particle":"","parse-names":false,"suffix":""},{"dropping-particle":"","family":"Saenko","given":"Igor Borisovich","non-dropping-particle":"","parse-names":false,"suffix":""}],"container-title":"Herald of the Russian Academy of Sciences","id":"ITEM-1","issue":"6","issued":{"date-parts":[["2014"]]},"page":"424-431","title":"Creating new-generation cybersecurity monitoring and management systems","type":"article-journal","volume":"84"},"uris":["http://www.mendeley.com/documents/?uuid=878c573a-3a6b-4ae0-ad0d-98c16178f779"]}],"mendeley":{"formattedCitation":"[1]","plainTextFormattedCitation":"[1]","previouslyFormattedCitation":"[1]"},"properties":{"noteIndex":0},"schema":"https://github.com/citation-style-language/schema/raw/master/csl-citation.json"}</w:instrText>
      </w:r>
      <w:r w:rsidRPr="00A81949">
        <w:rPr>
          <w:rFonts w:ascii="Calibri" w:hAnsi="Calibri" w:cs="Calibri"/>
          <w:sz w:val="22"/>
          <w:szCs w:val="22"/>
          <w:lang w:val="en-US"/>
        </w:rPr>
        <w:fldChar w:fldCharType="separate"/>
      </w:r>
      <w:r w:rsidRPr="00A81949">
        <w:rPr>
          <w:rFonts w:ascii="Calibri" w:hAnsi="Calibri" w:cs="Calibri"/>
          <w:noProof/>
          <w:sz w:val="22"/>
          <w:szCs w:val="22"/>
          <w:lang w:val="en-US"/>
        </w:rPr>
        <w:t>[1]</w:t>
      </w:r>
      <w:r w:rsidRPr="00A81949">
        <w:rPr>
          <w:rFonts w:ascii="Calibri" w:hAnsi="Calibri" w:cs="Calibri"/>
          <w:sz w:val="22"/>
          <w:szCs w:val="22"/>
          <w:lang w:val="en-US"/>
        </w:rPr>
        <w:fldChar w:fldCharType="end"/>
      </w:r>
      <w:r w:rsidRPr="00A81949">
        <w:rPr>
          <w:rFonts w:ascii="Calibri" w:hAnsi="Calibri" w:cs="Calibri"/>
          <w:sz w:val="22"/>
          <w:szCs w:val="22"/>
          <w:lang w:val="en-US"/>
        </w:rPr>
        <w:t xml:space="preserve"> </w:t>
      </w:r>
      <w:r w:rsidR="00541829" w:rsidRPr="00A81949">
        <w:rPr>
          <w:rFonts w:ascii="Calibri" w:hAnsi="Calibri" w:cs="Calibri"/>
          <w:sz w:val="22"/>
          <w:szCs w:val="22"/>
          <w:lang w:val="en-US"/>
        </w:rPr>
        <w:t xml:space="preserve">Employee access permissions should be recorded, usage should be tracked, and system configuration audits should be conducted on a regular basis to look for configuration errors that could constitute attack points. </w:t>
      </w:r>
    </w:p>
    <w:p w14:paraId="4A6BA64B" w14:textId="5F4D20A2" w:rsidR="00541829" w:rsidRPr="00A81949" w:rsidRDefault="00541829" w:rsidP="00A81949">
      <w:pPr>
        <w:spacing w:line="360" w:lineRule="auto"/>
        <w:jc w:val="both"/>
        <w:rPr>
          <w:rFonts w:ascii="Calibri" w:hAnsi="Calibri" w:cs="Calibri"/>
          <w:sz w:val="22"/>
          <w:szCs w:val="22"/>
          <w:lang w:val="en-US"/>
        </w:rPr>
      </w:pPr>
      <w:r w:rsidRPr="00A81949">
        <w:rPr>
          <w:rFonts w:ascii="Calibri" w:hAnsi="Calibri" w:cs="Calibri"/>
          <w:sz w:val="22"/>
          <w:szCs w:val="22"/>
          <w:lang w:val="en-US"/>
        </w:rPr>
        <w:t>Controlled facility layouts, biometric authentication techniques, and ID badges should be provided to responsible staff who are authorized to enter vital infrastructure locations. These required verification procedures at the access points, along with a zero trust architecture, will prevent unauthorized lateral movement on FSL's network.</w:t>
      </w:r>
      <w:r w:rsidRPr="00A81949">
        <w:rPr>
          <w:rFonts w:ascii="Calibri" w:hAnsi="Calibri" w:cs="Calibri"/>
          <w:sz w:val="22"/>
          <w:szCs w:val="22"/>
          <w:lang w:val="en-US"/>
        </w:rPr>
        <w:fldChar w:fldCharType="begin" w:fldLock="1"/>
      </w:r>
      <w:r w:rsidR="0084232E">
        <w:rPr>
          <w:rFonts w:ascii="Calibri" w:hAnsi="Calibri" w:cs="Calibri"/>
          <w:sz w:val="22"/>
          <w:szCs w:val="22"/>
          <w:lang w:val="en-US"/>
        </w:rPr>
        <w:instrText>ADDIN CSL_CITATION {"citationItems":[{"id":"ITEM-1","itemData":{"DOI":"10.1080/10919392.2019.1611528","ISSN":"10919392","abstract":"To help employees recognize and change their computing security behavior, organizations need to invest in cybersecurity training and awareness programs to encourage their employees’ active engagement in complying with their security policies. However, many organizations’ cybersecurity training and awareness programs fail to achieve their goals as employees feel bored with such training programs and lack enthusiasm to participate in them. Highlighting the criticality of the success of cybersecurity training and awareness programs in organizations, this paper identifies best practices and provides actionable insights (relating cyber awareness to employees’ personal life, reinforcing security procedures and guidelines, instilling a “relaxed alert” state of employees, and minimizing security fatigue for employees) that will help enterprises develop and implement economical, effective, and engaging cybersecurity training and awareness programs.","author":[{"dropping-particle":"","family":"He","given":"Wu","non-dropping-particle":"","parse-names":false,"suffix":""},{"dropping-particle":"","family":"Zhang","given":"Zuopeng","non-dropping-particle":"","parse-names":false,"suffix":""}],"container-title":"Journal of Organizational Computing and Electronic Commerce","id":"ITEM-1","issue":"4","issued":{"date-parts":[["2019"]]},"page":"249-257","title":"Enterprise cybersecurity training and awareness programs: Recommendations for success","type":"article-journal","volume":"29"},"uris":["http://www.mendeley.com/documents/?uuid=a284aa87-77a4-430f-94f1-8814194364ae"]}],"mendeley":{"formattedCitation":"[6]","plainTextFormattedCitation":"[6]","previouslyFormattedCitation":"[6]"},"properties":{"noteIndex":0},"schema":"https://github.com/citation-style-language/schema/raw/master/csl-citation.json"}</w:instrText>
      </w:r>
      <w:r w:rsidRPr="00A81949">
        <w:rPr>
          <w:rFonts w:ascii="Calibri" w:hAnsi="Calibri" w:cs="Calibri"/>
          <w:sz w:val="22"/>
          <w:szCs w:val="22"/>
          <w:lang w:val="en-US"/>
        </w:rPr>
        <w:fldChar w:fldCharType="separate"/>
      </w:r>
      <w:r w:rsidRPr="00A81949">
        <w:rPr>
          <w:rFonts w:ascii="Calibri" w:hAnsi="Calibri" w:cs="Calibri"/>
          <w:noProof/>
          <w:sz w:val="22"/>
          <w:szCs w:val="22"/>
          <w:lang w:val="en-US"/>
        </w:rPr>
        <w:t>[6]</w:t>
      </w:r>
      <w:r w:rsidRPr="00A81949">
        <w:rPr>
          <w:rFonts w:ascii="Calibri" w:hAnsi="Calibri" w:cs="Calibri"/>
          <w:sz w:val="22"/>
          <w:szCs w:val="22"/>
          <w:lang w:val="en-US"/>
        </w:rPr>
        <w:fldChar w:fldCharType="end"/>
      </w:r>
      <w:r w:rsidRPr="00A81949">
        <w:rPr>
          <w:rFonts w:ascii="Calibri" w:hAnsi="Calibri" w:cs="Calibri"/>
          <w:sz w:val="22"/>
          <w:szCs w:val="22"/>
          <w:lang w:val="en-US"/>
        </w:rPr>
        <w:t xml:space="preserve"> </w:t>
      </w:r>
      <w:r w:rsidR="00FB05D9" w:rsidRPr="00A81949">
        <w:rPr>
          <w:rFonts w:ascii="Calibri" w:hAnsi="Calibri" w:cs="Calibri"/>
          <w:sz w:val="22"/>
          <w:szCs w:val="22"/>
          <w:lang w:val="en-US"/>
        </w:rPr>
        <w:t>To increase the accuracy of threat detection, machine learning and artificial intelligence technologies should be used for real-time anomaly assessment of the threat. When combined, these security measures meet data protection standards, lessen the possibility of cyberattacks, and strengthen FSL's system's resilience.</w:t>
      </w:r>
    </w:p>
    <w:p w14:paraId="7665C0D2" w14:textId="77777777" w:rsidR="00FB05D9" w:rsidRDefault="00FB05D9" w:rsidP="002B0525">
      <w:pPr>
        <w:rPr>
          <w:lang w:val="en-US"/>
        </w:rPr>
      </w:pPr>
    </w:p>
    <w:p w14:paraId="7BBB230B" w14:textId="77777777" w:rsidR="00FB05D9" w:rsidRDefault="00FB05D9" w:rsidP="00FB05D9">
      <w:pPr>
        <w:pStyle w:val="Heading1"/>
        <w:rPr>
          <w:lang w:val="en-US"/>
        </w:rPr>
      </w:pPr>
      <w:bookmarkStart w:id="6" w:name="_Toc197276578"/>
      <w:r w:rsidRPr="00FB05D9">
        <w:rPr>
          <w:lang w:val="en-US"/>
        </w:rPr>
        <w:t>Monitoring and Incident Response Plan</w:t>
      </w:r>
      <w:bookmarkEnd w:id="6"/>
    </w:p>
    <w:p w14:paraId="5913C84B" w14:textId="77777777" w:rsidR="003F293F" w:rsidRPr="003F293F" w:rsidRDefault="003F293F" w:rsidP="003F293F">
      <w:pPr>
        <w:rPr>
          <w:lang w:val="en-US"/>
        </w:rPr>
      </w:pPr>
    </w:p>
    <w:p w14:paraId="2645BFF5" w14:textId="79E02C69" w:rsidR="00015972" w:rsidRPr="003F293F" w:rsidRDefault="0084232E" w:rsidP="003F293F">
      <w:pPr>
        <w:spacing w:line="360" w:lineRule="auto"/>
        <w:jc w:val="both"/>
        <w:rPr>
          <w:rFonts w:ascii="Calibri" w:hAnsi="Calibri" w:cs="Calibri"/>
          <w:sz w:val="22"/>
          <w:szCs w:val="22"/>
          <w:lang w:val="en-US"/>
        </w:rPr>
      </w:pPr>
      <w:r w:rsidRPr="003F293F">
        <w:rPr>
          <w:rFonts w:ascii="Calibri" w:hAnsi="Calibri" w:cs="Calibri"/>
          <w:sz w:val="22"/>
          <w:szCs w:val="22"/>
          <w:lang w:val="en-US"/>
        </w:rPr>
        <w:t xml:space="preserve">For FinSecure Ltd (FSL) to successfully secure its cybersecurity, it needs ongoing system surveillance and a well-designed incident response plan. Constant system monitoring makes it easier to spot anomalous activity, security concerns, and data breaches early on before they cause the organization to collapse. Because logs from various endpoints, servers, and applications may be analyzed and aggregated in real time to provide information on the occurrences, FSL places a strong focus on the use of Security Information and Event Management (SIEM) systems. </w:t>
      </w:r>
      <w:r w:rsidRPr="003F293F">
        <w:rPr>
          <w:rFonts w:ascii="Calibri" w:hAnsi="Calibri" w:cs="Calibri"/>
          <w:sz w:val="22"/>
          <w:szCs w:val="22"/>
          <w:lang w:val="en-US"/>
        </w:rPr>
        <w:fldChar w:fldCharType="begin" w:fldLock="1"/>
      </w:r>
      <w:r w:rsidRPr="003F293F">
        <w:rPr>
          <w:rFonts w:ascii="Calibri" w:hAnsi="Calibri" w:cs="Calibri"/>
          <w:sz w:val="22"/>
          <w:szCs w:val="22"/>
          <w:lang w:val="en-US"/>
        </w:rPr>
        <w:instrText>ADDIN CSL_CITATION {"citationItems":[{"id":"ITEM-1","itemData":{"DOI":"10.52866/ijcsm.2024.05.03.004","ISSN":"27887421","abstract":"The fourth industrial revolution has seen the evolution and wide adoption of game-changing and disruptive innovation \"financial technologies (FinTech)\" around the globe. However, the security of FinTech systems and networks remains critical. This paper comprehensively reviews the evolving landscape of cybersecurity issues within the FinTech sector and explores effective mitigation measures. Four independent researchers reviewed relevant literature from IEEE Xplore Digital Library, ScienceDirect, Taylor &amp; Francis, Emerald Insight, Springer, SAGE, Wiley Online Library, Hindawi, MDPI, ACM Digital Library, IGI Global, and Google Scholar. The research paper begins by examining the history and evolution of FinTech, drivers for the growth of FinTech, segments of the FinTech industry, FinTech ecosystem, FinTech business model, and FinTech application. Subsequently, it then delves into an analysis of the most pressing cybersecurity issues confronting FinTech firms, such as privacy concerns, data breaches, malware attacks, hacking, insider threats, identity theft, social engineering attacks, distributed denial-of-service attacks, and others. In response to these cybersecurity issues, the paper evaluates various mitigation strategies and best practices adopted by FinTech firms and regulatory bodies globally. These measures include technological solutions such as authentication and access control mechanisms, cryptography, big data analytics, intrusion detection/prevention systems, regular data backup, artificial intelligence and machine learning, cloud computing technologies, blockchain technologies, and fraud detection and prevention systems. The paper also emphasizes the importance of FinTech regulatory sandboxes, regulatory compliance, basic security training, continuous monitoring of threats, zero-trust policy, robust cybersecurity culture, regular testing, and stringent security policies to strengthen the FinTech ecosystem's cyber resilience. Based on empirical research, industry reports, and regulatory guidelines, this review brings together existing information and highlights upcoming trends in FinTech cybersecurity. It emphasizes the importance of a collaborative strategy combining industry stakeholders, regulators, legislators, and cybersecurity specialists to address the growing cyber threat situation successfully. Ultimately, this research will help develop robust security mechanisms for FinTech systems and networks to achieve sustainable financial inclu…","author":[{"dropping-particle":"","family":"Ali","given":"Guma","non-dropping-particle":"","parse-names":false,"suffix":""},{"dropping-particle":"","family":"Mijwil","given":"Maad M.","non-dropping-particle":"","parse-names":false,"suffix":""},{"dropping-particle":"","family":"Buruga","given":"Bosco Apparatus","non-dropping-particle":"","parse-names":false,"suffix":""},{"dropping-particle":"","family":"Abotaleb","given":"Mostafa","non-dropping-particle":"","parse-names":false,"suffix":""}],"container-title":"Iraqi Journal for Computer Science and Mathematics","id":"ITEM-1","issue":"3","issued":{"date-parts":[["2024"]]},"page":"45-91","title":"A Comprehensive Review on Cybersecurity Issues and Their Mitigation Measures in FinTech","type":"article-journal","volume":"5"},"uris":["http://www.mendeley.com/documents/?uuid=0813aa04-7a82-4639-a015-33055e0c78ea"]}],"mendeley":{"formattedCitation":"[4]","plainTextFormattedCitation":"[4]","previouslyFormattedCitation":"[4]"},"properties":{"noteIndex":0},"schema":"https://github.com/citation-style-language/schema/raw/master/csl-citation.json"}</w:instrText>
      </w:r>
      <w:r w:rsidRPr="003F293F">
        <w:rPr>
          <w:rFonts w:ascii="Calibri" w:hAnsi="Calibri" w:cs="Calibri"/>
          <w:sz w:val="22"/>
          <w:szCs w:val="22"/>
          <w:lang w:val="en-US"/>
        </w:rPr>
        <w:fldChar w:fldCharType="separate"/>
      </w:r>
      <w:r w:rsidRPr="003F293F">
        <w:rPr>
          <w:rFonts w:ascii="Calibri" w:hAnsi="Calibri" w:cs="Calibri"/>
          <w:noProof/>
          <w:sz w:val="22"/>
          <w:szCs w:val="22"/>
          <w:lang w:val="en-US"/>
        </w:rPr>
        <w:t>[4]</w:t>
      </w:r>
      <w:r w:rsidRPr="003F293F">
        <w:rPr>
          <w:rFonts w:ascii="Calibri" w:hAnsi="Calibri" w:cs="Calibri"/>
          <w:sz w:val="22"/>
          <w:szCs w:val="22"/>
          <w:lang w:val="en-US"/>
        </w:rPr>
        <w:fldChar w:fldCharType="end"/>
      </w:r>
      <w:r w:rsidRPr="003F293F">
        <w:rPr>
          <w:rFonts w:ascii="Calibri" w:hAnsi="Calibri" w:cs="Calibri"/>
          <w:sz w:val="22"/>
          <w:szCs w:val="22"/>
          <w:lang w:val="en-US"/>
        </w:rPr>
        <w:t xml:space="preserve"> These systems use machine learning algorithms to identify unexpected user behaviors, such as sudden changes in login location, strange file transfer, and unusual access patterns, which typically indicate internal threats and phishing situations. FSL significantly enhances monitoring capabilities, speeds up the identification of compromised systems, and halts assaults that move between network devices by providing endpoint detection and response (EDR) at the device level. FSL must choose which issue to tackle first using a risk-based methodology. Using the MASSIF (Management of Security Information and Events in Service Infrastructures) architecture, which complies with data protection regulations and business demands, organizations can create proactive monitoring systems. </w:t>
      </w:r>
      <w:r w:rsidRPr="003F293F">
        <w:rPr>
          <w:rFonts w:ascii="Calibri" w:hAnsi="Calibri" w:cs="Calibri"/>
          <w:sz w:val="22"/>
          <w:szCs w:val="22"/>
          <w:lang w:val="en-US"/>
        </w:rPr>
        <w:fldChar w:fldCharType="begin" w:fldLock="1"/>
      </w:r>
      <w:r w:rsidRPr="003F293F">
        <w:rPr>
          <w:rFonts w:ascii="Calibri" w:hAnsi="Calibri" w:cs="Calibri"/>
          <w:sz w:val="22"/>
          <w:szCs w:val="22"/>
          <w:lang w:val="en-US"/>
        </w:rPr>
        <w:instrText>ADDIN CSL_CITATION {"citationItems":[{"id":"ITEM-1","itemData":{"DOI":"10.1109/HPCC-CSS-ICESS.2015.224","ISBN":"9781479989362","abstract":"The dynamic and increasingly stealthy techniques used by cyber criminals to target critical computing infrastructure of an organization requires appropriate response mechanism on the part of the organization. Government agencies and regulatory bodies are imposing the requirements of risk assessments on a continuous basis. One important aspect of continuous risk monitoring is using a suitable risk scoring algorithm, which could help determine a risk score more efficiently. The existing risk scoring mechanism involves subjective and human-based qualitative inputs that are both labour intensive, and result in ambiguous and inconclusive results. We propose a new metric for measuring risk based on objective parameters extracted from real-time traffic logs. The metric has been validated using malicious traffic data pertaining to seven most frequently occurring threats in a network environment. We demonstrate and discuss the suitability of the metric for continuous monitoring of risk bycomparing with a snapshot based risk monitoring mechanism.","author":[{"dropping-particle":"","family":"Awan","given":"Malik Shahzad Kaleem","non-dropping-particle":"","parse-names":false,"suffix":""},{"dropping-particle":"","family":"Burnap","given":"Peter","non-dropping-particle":"","parse-names":false,"suffix":""},{"dropping-particle":"","family":"Rana","given":"Omer","non-dropping-particle":"","parse-names":false,"suffix":""},{"dropping-particle":"","family":"Javed","given":"Amir","non-dropping-particle":"","parse-names":false,"suffix":""}],"container-title":"Proceedings - 2015 IEEE 17th International Conference on High Performance Computing and Communications, 2015 IEEE 7th International Symposium on Cyberspace Safety and Security and 2015 IEEE 12th International Conference on Embedded Software and Systems, H","id":"ITEM-1","issued":{"date-parts":[["2015"]]},"page":"1442-1447","publisher":"IEEE","title":"Continuous monitoring and assessment of cybersecurity risks in large computing infrastructures","type":"article-journal"},"uris":["http://www.mendeley.com/documents/?uuid=50407da0-faf8-406e-b362-dec9f88351e9"]}],"mendeley":{"formattedCitation":"[7]","plainTextFormattedCitation":"[7]","previouslyFormattedCitation":"[7]"},"properties":{"noteIndex":0},"schema":"https://github.com/citation-style-language/schema/raw/master/csl-citation.json"}</w:instrText>
      </w:r>
      <w:r w:rsidRPr="003F293F">
        <w:rPr>
          <w:rFonts w:ascii="Calibri" w:hAnsi="Calibri" w:cs="Calibri"/>
          <w:sz w:val="22"/>
          <w:szCs w:val="22"/>
          <w:lang w:val="en-US"/>
        </w:rPr>
        <w:fldChar w:fldCharType="separate"/>
      </w:r>
      <w:r w:rsidRPr="003F293F">
        <w:rPr>
          <w:rFonts w:ascii="Calibri" w:hAnsi="Calibri" w:cs="Calibri"/>
          <w:noProof/>
          <w:sz w:val="22"/>
          <w:szCs w:val="22"/>
          <w:lang w:val="en-US"/>
        </w:rPr>
        <w:t>[7]</w:t>
      </w:r>
      <w:r w:rsidRPr="003F293F">
        <w:rPr>
          <w:rFonts w:ascii="Calibri" w:hAnsi="Calibri" w:cs="Calibri"/>
          <w:sz w:val="22"/>
          <w:szCs w:val="22"/>
          <w:lang w:val="en-US"/>
        </w:rPr>
        <w:fldChar w:fldCharType="end"/>
      </w:r>
      <w:r w:rsidRPr="003F293F">
        <w:rPr>
          <w:rFonts w:ascii="Calibri" w:hAnsi="Calibri" w:cs="Calibri"/>
          <w:sz w:val="22"/>
          <w:szCs w:val="22"/>
          <w:lang w:val="en-US"/>
        </w:rPr>
        <w:t xml:space="preserve"> Organizations utilize severity scores, which are based on the Common Vulnerability Scoring System (CVSS) paradigm, to evaluate the potential and </w:t>
      </w:r>
      <w:r w:rsidRPr="003F293F">
        <w:rPr>
          <w:rFonts w:ascii="Calibri" w:hAnsi="Calibri" w:cs="Calibri"/>
          <w:sz w:val="22"/>
          <w:szCs w:val="22"/>
          <w:lang w:val="en-US"/>
        </w:rPr>
        <w:lastRenderedPageBreak/>
        <w:t xml:space="preserve">impact of risks. In order to allocate resources and minimize system outages during critical events, FSL uses the defined metrics to conduct efficient incident triages. </w:t>
      </w:r>
    </w:p>
    <w:p w14:paraId="07977A36" w14:textId="05538672" w:rsidR="0084232E" w:rsidRPr="003F293F" w:rsidRDefault="0084232E" w:rsidP="003F293F">
      <w:pPr>
        <w:spacing w:line="360" w:lineRule="auto"/>
        <w:jc w:val="both"/>
        <w:rPr>
          <w:rFonts w:ascii="Calibri" w:hAnsi="Calibri" w:cs="Calibri"/>
          <w:sz w:val="22"/>
          <w:szCs w:val="22"/>
          <w:lang w:val="en-US"/>
        </w:rPr>
      </w:pPr>
      <w:r w:rsidRPr="003F293F">
        <w:rPr>
          <w:rFonts w:ascii="Calibri" w:hAnsi="Calibri" w:cs="Calibri"/>
          <w:sz w:val="22"/>
          <w:szCs w:val="22"/>
          <w:lang w:val="en-US"/>
        </w:rPr>
        <w:t xml:space="preserve">Preparation, Detection &amp; Analysis, Containment &amp; Eradication, and Recovery are the four stages of the structured response technique that FSL uses when an event happens. Assigning roles, setting up response tools, and creating communication protocols are all part of the preparation phase. After the detection stage's alert processing is finished, incident confirmation takes place. While eradication is eliminating malware from systems or fixing exploit vulnerabilities, containment involves isolating systems to help prevent the spread of threats. </w:t>
      </w:r>
      <w:r w:rsidRPr="003F293F">
        <w:rPr>
          <w:rFonts w:ascii="Calibri" w:hAnsi="Calibri" w:cs="Calibri"/>
          <w:sz w:val="22"/>
          <w:szCs w:val="22"/>
          <w:lang w:val="en-US"/>
        </w:rPr>
        <w:fldChar w:fldCharType="begin" w:fldLock="1"/>
      </w:r>
      <w:r w:rsidR="003F293F" w:rsidRPr="003F293F">
        <w:rPr>
          <w:rFonts w:ascii="Calibri" w:hAnsi="Calibri" w:cs="Calibri"/>
          <w:sz w:val="22"/>
          <w:szCs w:val="22"/>
          <w:lang w:val="en-US"/>
        </w:rPr>
        <w:instrText>ADDIN CSL_CITATION {"citationItems":[{"id":"ITEM-1","itemData":{"abstract":"Security Education Training and Awareness plays a dynamic role for organizations in endorsing resources' thoughtfulness and accessibility. This paper determines the importance of security awareness training in dealing with cyber threats. This research uses the Technology Acceptance Model (TAM), indicating that at-risk employees' behavior and information security awareness training execution are successful interventions. Yet, those investigations did not examine Artificial Intelligence (AI) enabled training, so this study fills that literature gap. This analysis used a qualitative research design. The article examines employees' behavior and the effectiveness of AI-based security awareness training programs. The study here helps analyze information security awareness training in the workplace, encouraging behavioral transformations that would restrain data breaches by incorporating the users' exposure and the stringency of coercion and the retort to peril in prophesying behavior discretions.","author":[{"dropping-particle":"","family":"Ansari","given":"Meraj Farheen","non-dropping-particle":"","parse-names":false,"suffix":""}],"container-title":"International Research Journal of Engineering and Technology (IRJET)","id":"ITEM-1","issue":"4","issued":{"date-parts":[["2022"]]},"page":"1-6","title":"An Effective Cybersecurity Awareness Training Model: First Defense of an Organizational Security Strategy","type":"article-journal","volume":"9"},"uris":["http://www.mendeley.com/documents/?uuid=54447263-7807-4e04-9641-1928f7062f03"]}],"mendeley":{"formattedCitation":"[8]","plainTextFormattedCitation":"[8]","previouslyFormattedCitation":"[8]"},"properties":{"noteIndex":0},"schema":"https://github.com/citation-style-language/schema/raw/master/csl-citation.json"}</w:instrText>
      </w:r>
      <w:r w:rsidRPr="003F293F">
        <w:rPr>
          <w:rFonts w:ascii="Calibri" w:hAnsi="Calibri" w:cs="Calibri"/>
          <w:sz w:val="22"/>
          <w:szCs w:val="22"/>
          <w:lang w:val="en-US"/>
        </w:rPr>
        <w:fldChar w:fldCharType="separate"/>
      </w:r>
      <w:r w:rsidRPr="003F293F">
        <w:rPr>
          <w:rFonts w:ascii="Calibri" w:hAnsi="Calibri" w:cs="Calibri"/>
          <w:noProof/>
          <w:sz w:val="22"/>
          <w:szCs w:val="22"/>
          <w:lang w:val="en-US"/>
        </w:rPr>
        <w:t>[8]</w:t>
      </w:r>
      <w:r w:rsidRPr="003F293F">
        <w:rPr>
          <w:rFonts w:ascii="Calibri" w:hAnsi="Calibri" w:cs="Calibri"/>
          <w:sz w:val="22"/>
          <w:szCs w:val="22"/>
          <w:lang w:val="en-US"/>
        </w:rPr>
        <w:fldChar w:fldCharType="end"/>
      </w:r>
      <w:r w:rsidRPr="003F293F">
        <w:rPr>
          <w:rFonts w:ascii="Calibri" w:hAnsi="Calibri" w:cs="Calibri"/>
          <w:sz w:val="22"/>
          <w:szCs w:val="22"/>
          <w:lang w:val="en-US"/>
        </w:rPr>
        <w:t xml:space="preserve"> </w:t>
      </w:r>
      <w:r w:rsidR="006863FD" w:rsidRPr="003F293F">
        <w:rPr>
          <w:rFonts w:ascii="Calibri" w:hAnsi="Calibri" w:cs="Calibri"/>
          <w:sz w:val="22"/>
          <w:szCs w:val="22"/>
          <w:lang w:val="en-US"/>
        </w:rPr>
        <w:t>Recovery prevents future incidents by deploying updates and monitoring features that protect system restoration.</w:t>
      </w:r>
    </w:p>
    <w:p w14:paraId="45B0FF61" w14:textId="31025026" w:rsidR="006863FD" w:rsidRPr="003F293F" w:rsidRDefault="003F293F" w:rsidP="003F293F">
      <w:pPr>
        <w:spacing w:line="360" w:lineRule="auto"/>
        <w:jc w:val="both"/>
        <w:rPr>
          <w:rFonts w:ascii="Calibri" w:hAnsi="Calibri" w:cs="Calibri"/>
          <w:sz w:val="22"/>
          <w:szCs w:val="22"/>
          <w:lang w:val="en-US"/>
        </w:rPr>
      </w:pPr>
      <w:r w:rsidRPr="003F293F">
        <w:rPr>
          <w:rFonts w:ascii="Calibri" w:hAnsi="Calibri" w:cs="Calibri"/>
          <w:sz w:val="22"/>
          <w:szCs w:val="22"/>
          <w:lang w:val="en-US"/>
        </w:rPr>
        <w:t xml:space="preserve">In order to improve resilience and strengthen its policies, FSL must evaluate learning experiences following incidents to ascertain reaction outcomes. Cybersecurity becomes an active procedural system as a result of organizations developing the capacity to handle new security threats and response processes being improved through ongoing feedback. </w:t>
      </w:r>
      <w:r w:rsidRPr="003F293F">
        <w:rPr>
          <w:rFonts w:ascii="Calibri" w:hAnsi="Calibri" w:cs="Calibri"/>
          <w:sz w:val="22"/>
          <w:szCs w:val="22"/>
          <w:lang w:val="en-US"/>
        </w:rPr>
        <w:fldChar w:fldCharType="begin" w:fldLock="1"/>
      </w:r>
      <w:r w:rsidR="00AB65D5">
        <w:rPr>
          <w:rFonts w:ascii="Calibri" w:hAnsi="Calibri" w:cs="Calibri"/>
          <w:sz w:val="22"/>
          <w:szCs w:val="22"/>
          <w:lang w:val="en-US"/>
        </w:rPr>
        <w:instrText>ADDIN CSL_CITATION {"citationItems":[{"id":"ITEM-1","itemData":{"DOI":"10.1080/10919392.2019.1611528","ISSN":"10919392","abstract":"To help employees recognize and change their computing security behavior, organizations need to invest in cybersecurity training and awareness programs to encourage their employees’ active engagement in complying with their security policies. However, many organizations’ cybersecurity training and awareness programs fail to achieve their goals as employees feel bored with such training programs and lack enthusiasm to participate in them. Highlighting the criticality of the success of cybersecurity training and awareness programs in organizations, this paper identifies best practices and provides actionable insights (relating cyber awareness to employees’ personal life, reinforcing security procedures and guidelines, instilling a “relaxed alert” state of employees, and minimizing security fatigue for employees) that will help enterprises develop and implement economical, effective, and engaging cybersecurity training and awareness programs.","author":[{"dropping-particle":"","family":"He","given":"Wu","non-dropping-particle":"","parse-names":false,"suffix":""},{"dropping-particle":"","family":"Zhang","given":"Zuopeng","non-dropping-particle":"","parse-names":false,"suffix":""}],"container-title":"Journal of Organizational Computing and Electronic Commerce","id":"ITEM-1","issue":"4","issued":{"date-parts":[["2019"]]},"page":"249-257","title":"Enterprise cybersecurity training and awareness programs: Recommendations for success","type":"article-journal","volume":"29"},"uris":["http://www.mendeley.com/documents/?uuid=a284aa87-77a4-430f-94f1-8814194364ae"]}],"mendeley":{"formattedCitation":"[6]","plainTextFormattedCitation":"[6]","previouslyFormattedCitation":"[6]"},"properties":{"noteIndex":0},"schema":"https://github.com/citation-style-language/schema/raw/master/csl-citation.json"}</w:instrText>
      </w:r>
      <w:r w:rsidRPr="003F293F">
        <w:rPr>
          <w:rFonts w:ascii="Calibri" w:hAnsi="Calibri" w:cs="Calibri"/>
          <w:sz w:val="22"/>
          <w:szCs w:val="22"/>
          <w:lang w:val="en-US"/>
        </w:rPr>
        <w:fldChar w:fldCharType="separate"/>
      </w:r>
      <w:r w:rsidRPr="003F293F">
        <w:rPr>
          <w:rFonts w:ascii="Calibri" w:hAnsi="Calibri" w:cs="Calibri"/>
          <w:noProof/>
          <w:sz w:val="22"/>
          <w:szCs w:val="22"/>
          <w:lang w:val="en-US"/>
        </w:rPr>
        <w:t>[6]</w:t>
      </w:r>
      <w:r w:rsidRPr="003F293F">
        <w:rPr>
          <w:rFonts w:ascii="Calibri" w:hAnsi="Calibri" w:cs="Calibri"/>
          <w:sz w:val="22"/>
          <w:szCs w:val="22"/>
          <w:lang w:val="en-US"/>
        </w:rPr>
        <w:fldChar w:fldCharType="end"/>
      </w:r>
      <w:r w:rsidRPr="003F293F">
        <w:rPr>
          <w:rFonts w:ascii="Calibri" w:hAnsi="Calibri" w:cs="Calibri"/>
          <w:sz w:val="22"/>
          <w:szCs w:val="22"/>
          <w:lang w:val="en-US"/>
        </w:rPr>
        <w:t xml:space="preserve"> Regular tabletop exercises, or predictable simulations, are necessary to acquaint staff members especially executive leaders with their crisis responsibilities and decision-making procedures.</w:t>
      </w:r>
    </w:p>
    <w:p w14:paraId="1CC712B2" w14:textId="77777777" w:rsidR="003F293F" w:rsidRDefault="003F293F" w:rsidP="0084232E">
      <w:pPr>
        <w:rPr>
          <w:lang w:val="en-US"/>
        </w:rPr>
      </w:pPr>
    </w:p>
    <w:p w14:paraId="56707913" w14:textId="77777777" w:rsidR="003F293F" w:rsidRDefault="003F293F" w:rsidP="003F293F">
      <w:pPr>
        <w:pStyle w:val="Heading1"/>
        <w:rPr>
          <w:lang w:val="en-US"/>
        </w:rPr>
      </w:pPr>
      <w:bookmarkStart w:id="7" w:name="_Toc197276579"/>
      <w:r w:rsidRPr="003F293F">
        <w:rPr>
          <w:lang w:val="en-US"/>
        </w:rPr>
        <w:t>Training and Awareness</w:t>
      </w:r>
      <w:bookmarkEnd w:id="7"/>
    </w:p>
    <w:p w14:paraId="4A3F3718" w14:textId="77777777" w:rsidR="003F293F" w:rsidRDefault="003F293F" w:rsidP="003F293F">
      <w:pPr>
        <w:rPr>
          <w:lang w:val="en-US"/>
        </w:rPr>
      </w:pPr>
    </w:p>
    <w:p w14:paraId="617E5608" w14:textId="634728C3" w:rsidR="003F293F" w:rsidRPr="00295C3C" w:rsidRDefault="00AB65D5" w:rsidP="00295C3C">
      <w:pPr>
        <w:spacing w:line="360" w:lineRule="auto"/>
        <w:jc w:val="both"/>
        <w:rPr>
          <w:rFonts w:ascii="Calibri" w:hAnsi="Calibri" w:cs="Calibri"/>
          <w:sz w:val="22"/>
          <w:szCs w:val="22"/>
          <w:lang w:val="en-US"/>
        </w:rPr>
      </w:pPr>
      <w:r w:rsidRPr="00295C3C">
        <w:rPr>
          <w:rFonts w:ascii="Calibri" w:hAnsi="Calibri" w:cs="Calibri"/>
          <w:sz w:val="22"/>
          <w:szCs w:val="22"/>
          <w:lang w:val="en-US"/>
        </w:rPr>
        <w:t xml:space="preserve">FinSecure Ltd. (FSL) is not protected from impending cyberthreats by technical solutions. Because human error is the main cause of security breaches, phishing and social engineering assaults proliferate throughout the financial industry. </w:t>
      </w:r>
      <w:r w:rsidRPr="00295C3C">
        <w:rPr>
          <w:rFonts w:ascii="Calibri" w:hAnsi="Calibri" w:cs="Calibri"/>
          <w:sz w:val="22"/>
          <w:szCs w:val="22"/>
          <w:lang w:val="en-US"/>
        </w:rPr>
        <w:fldChar w:fldCharType="begin" w:fldLock="1"/>
      </w:r>
      <w:r w:rsidR="00880D15" w:rsidRPr="00295C3C">
        <w:rPr>
          <w:rFonts w:ascii="Calibri" w:hAnsi="Calibri" w:cs="Calibri"/>
          <w:sz w:val="22"/>
          <w:szCs w:val="22"/>
          <w:lang w:val="en-US"/>
        </w:rPr>
        <w:instrText>ADDIN CSL_CITATION {"citationItems":[{"id":"ITEM-1","itemData":{"abstract":"Security Education Training and Awareness plays a dynamic role for organizations in endorsing resources' thoughtfulness and accessibility. This paper determines the importance of security awareness training in dealing with cyber threats. This research uses the Technology Acceptance Model (TAM), indicating that at-risk employees' behavior and information security awareness training execution are successful interventions. Yet, those investigations did not examine Artificial Intelligence (AI) enabled training, so this study fills that literature gap. This analysis used a qualitative research design. The article examines employees' behavior and the effectiveness of AI-based security awareness training programs. The study here helps analyze information security awareness training in the workplace, encouraging behavioral transformations that would restrain data breaches by incorporating the users' exposure and the stringency of coercion and the retort to peril in prophesying behavior discretions.","author":[{"dropping-particle":"","family":"Ansari","given":"Meraj Farheen","non-dropping-particle":"","parse-names":false,"suffix":""}],"container-title":"International Research Journal of Engineering and Technology (IRJET)","id":"ITEM-1","issue":"4","issued":{"date-parts":[["2022"]]},"page":"1-6","title":"An Effective Cybersecurity Awareness Training Model: First Defense of an Organizational Security Strategy","type":"article-journal","volume":"9"},"uris":["http://www.mendeley.com/documents/?uuid=54447263-7807-4e04-9641-1928f7062f03"]}],"mendeley":{"formattedCitation":"[8]","plainTextFormattedCitation":"[8]","previouslyFormattedCitation":"[8]"},"properties":{"noteIndex":0},"schema":"https://github.com/citation-style-language/schema/raw/master/csl-citation.json"}</w:instrText>
      </w:r>
      <w:r w:rsidRPr="00295C3C">
        <w:rPr>
          <w:rFonts w:ascii="Calibri" w:hAnsi="Calibri" w:cs="Calibri"/>
          <w:sz w:val="22"/>
          <w:szCs w:val="22"/>
          <w:lang w:val="en-US"/>
        </w:rPr>
        <w:fldChar w:fldCharType="separate"/>
      </w:r>
      <w:r w:rsidRPr="00295C3C">
        <w:rPr>
          <w:rFonts w:ascii="Calibri" w:hAnsi="Calibri" w:cs="Calibri"/>
          <w:noProof/>
          <w:sz w:val="22"/>
          <w:szCs w:val="22"/>
          <w:lang w:val="en-US"/>
        </w:rPr>
        <w:t>[8]</w:t>
      </w:r>
      <w:r w:rsidRPr="00295C3C">
        <w:rPr>
          <w:rFonts w:ascii="Calibri" w:hAnsi="Calibri" w:cs="Calibri"/>
          <w:sz w:val="22"/>
          <w:szCs w:val="22"/>
          <w:lang w:val="en-US"/>
        </w:rPr>
        <w:fldChar w:fldCharType="end"/>
      </w:r>
      <w:r w:rsidRPr="00295C3C">
        <w:rPr>
          <w:rFonts w:ascii="Calibri" w:hAnsi="Calibri" w:cs="Calibri"/>
          <w:sz w:val="22"/>
          <w:szCs w:val="22"/>
          <w:lang w:val="en-US"/>
        </w:rPr>
        <w:t xml:space="preserve"> </w:t>
      </w:r>
      <w:r w:rsidR="00880D15" w:rsidRPr="00295C3C">
        <w:rPr>
          <w:rFonts w:ascii="Calibri" w:hAnsi="Calibri" w:cs="Calibri"/>
          <w:sz w:val="22"/>
          <w:szCs w:val="22"/>
          <w:lang w:val="en-US"/>
        </w:rPr>
        <w:t xml:space="preserve">An organized, thorough cybersecurity training program ought to be put in place by FSL as the cornerstone of its risk mitigation plan. </w:t>
      </w:r>
    </w:p>
    <w:p w14:paraId="06AF0ECC" w14:textId="369063B5" w:rsidR="00880D15" w:rsidRPr="00295C3C" w:rsidRDefault="00880D15" w:rsidP="00295C3C">
      <w:pPr>
        <w:spacing w:line="360" w:lineRule="auto"/>
        <w:jc w:val="both"/>
        <w:rPr>
          <w:rFonts w:ascii="Calibri" w:hAnsi="Calibri" w:cs="Calibri"/>
          <w:sz w:val="22"/>
          <w:szCs w:val="22"/>
          <w:lang w:val="en-US"/>
        </w:rPr>
      </w:pPr>
      <w:r w:rsidRPr="00295C3C">
        <w:rPr>
          <w:rFonts w:ascii="Calibri" w:hAnsi="Calibri" w:cs="Calibri"/>
          <w:sz w:val="22"/>
          <w:szCs w:val="22"/>
          <w:lang w:val="en-US"/>
        </w:rPr>
        <w:t xml:space="preserve">FSL ought to embrace the Security Education Training and Awareness (SETA) paradigm as a preferred framework. The approach helps employees fully comprehend the hazards, carry out the procedure, and secure the incident by combining formal training with practical experience. </w:t>
      </w:r>
      <w:r w:rsidRPr="00295C3C">
        <w:rPr>
          <w:rFonts w:ascii="Calibri" w:hAnsi="Calibri" w:cs="Calibri"/>
          <w:sz w:val="22"/>
          <w:szCs w:val="22"/>
          <w:lang w:val="en-US"/>
        </w:rPr>
        <w:fldChar w:fldCharType="begin" w:fldLock="1"/>
      </w:r>
      <w:r w:rsidR="00400256" w:rsidRPr="00295C3C">
        <w:rPr>
          <w:rFonts w:ascii="Calibri" w:hAnsi="Calibri" w:cs="Calibri"/>
          <w:sz w:val="22"/>
          <w:szCs w:val="22"/>
          <w:lang w:val="en-US"/>
        </w:rPr>
        <w:instrText>ADDIN CSL_CITATION {"citationItems":[{"id":"ITEM-1","itemData":{"DOI":"10.1080/10919392.2019.1611528","ISSN":"10919392","abstract":"To help employees recognize and change their computing security behavior, organizations need to invest in cybersecurity training and awareness programs to encourage their employees’ active engagement in complying with their security policies. However, many organizations’ cybersecurity training and awareness programs fail to achieve their goals as employees feel bored with such training programs and lack enthusiasm to participate in them. Highlighting the criticality of the success of cybersecurity training and awareness programs in organizations, this paper identifies best practices and provides actionable insights (relating cyber awareness to employees’ personal life, reinforcing security procedures and guidelines, instilling a “relaxed alert” state of employees, and minimizing security fatigue for employees) that will help enterprises develop and implement economical, effective, and engaging cybersecurity training and awareness programs.","author":[{"dropping-particle":"","family":"He","given":"Wu","non-dropping-particle":"","parse-names":false,"suffix":""},{"dropping-particle":"","family":"Zhang","given":"Zuopeng","non-dropping-particle":"","parse-names":false,"suffix":""}],"container-title":"Journal of Organizational Computing and Electronic Commerce","id":"ITEM-1","issue":"4","issued":{"date-parts":[["2019"]]},"page":"249-257","title":"Enterprise cybersecurity training and awareness programs: Recommendations for success","type":"article-journal","volume":"29"},"uris":["http://www.mendeley.com/documents/?uuid=a284aa87-77a4-430f-94f1-8814194364ae"]}],"mendeley":{"formattedCitation":"[6]","plainTextFormattedCitation":"[6]","previouslyFormattedCitation":"[6]"},"properties":{"noteIndex":0},"schema":"https://github.com/citation-style-language/schema/raw/master/csl-citation.json"}</w:instrText>
      </w:r>
      <w:r w:rsidRPr="00295C3C">
        <w:rPr>
          <w:rFonts w:ascii="Calibri" w:hAnsi="Calibri" w:cs="Calibri"/>
          <w:sz w:val="22"/>
          <w:szCs w:val="22"/>
          <w:lang w:val="en-US"/>
        </w:rPr>
        <w:fldChar w:fldCharType="separate"/>
      </w:r>
      <w:r w:rsidRPr="00295C3C">
        <w:rPr>
          <w:rFonts w:ascii="Calibri" w:hAnsi="Calibri" w:cs="Calibri"/>
          <w:noProof/>
          <w:sz w:val="22"/>
          <w:szCs w:val="22"/>
          <w:lang w:val="en-US"/>
        </w:rPr>
        <w:t>[6]</w:t>
      </w:r>
      <w:r w:rsidRPr="00295C3C">
        <w:rPr>
          <w:rFonts w:ascii="Calibri" w:hAnsi="Calibri" w:cs="Calibri"/>
          <w:sz w:val="22"/>
          <w:szCs w:val="22"/>
          <w:lang w:val="en-US"/>
        </w:rPr>
        <w:fldChar w:fldCharType="end"/>
      </w:r>
      <w:r w:rsidR="003D3600" w:rsidRPr="00295C3C">
        <w:rPr>
          <w:rFonts w:ascii="Calibri" w:hAnsi="Calibri" w:cs="Calibri"/>
          <w:sz w:val="22"/>
          <w:szCs w:val="22"/>
          <w:lang w:val="en-US"/>
        </w:rPr>
        <w:t xml:space="preserve"> SETA yields superior results because it combines highly interactive and engaging activities with individualized training approaches that improve learning retention and result in beneficial behavioral changes.</w:t>
      </w:r>
    </w:p>
    <w:p w14:paraId="7CE94999" w14:textId="2200356C" w:rsidR="003D3600" w:rsidRDefault="004D6095" w:rsidP="00295C3C">
      <w:pPr>
        <w:spacing w:line="360" w:lineRule="auto"/>
        <w:jc w:val="both"/>
        <w:rPr>
          <w:rFonts w:ascii="Calibri" w:hAnsi="Calibri" w:cs="Calibri"/>
          <w:sz w:val="22"/>
          <w:szCs w:val="22"/>
          <w:lang w:val="en-US"/>
        </w:rPr>
      </w:pPr>
      <w:r w:rsidRPr="00295C3C">
        <w:rPr>
          <w:rFonts w:ascii="Calibri" w:hAnsi="Calibri" w:cs="Calibri"/>
          <w:sz w:val="22"/>
          <w:szCs w:val="22"/>
          <w:lang w:val="en-US"/>
        </w:rPr>
        <w:t xml:space="preserve">The training program must use interactive scenario-based learning, gamified teaching tools, and repetitive phishing simulations to help staff members improve their abilities to spot suspicious emails, safeguard devices, report breaches, and more. Monthly newsletters and microlearning courses are examples of continual reinforcement techniques that ought to be used in conjunction with them. AI solutions like viCyber enable adaptive role-based learning that changes with new security threats throughout the year. </w:t>
      </w:r>
      <w:r w:rsidR="00400256" w:rsidRPr="00295C3C">
        <w:rPr>
          <w:rFonts w:ascii="Calibri" w:hAnsi="Calibri" w:cs="Calibri"/>
          <w:sz w:val="22"/>
          <w:szCs w:val="22"/>
          <w:lang w:val="en-US"/>
        </w:rPr>
        <w:fldChar w:fldCharType="begin" w:fldLock="1"/>
      </w:r>
      <w:r w:rsidR="005465C7">
        <w:rPr>
          <w:rFonts w:ascii="Calibri" w:hAnsi="Calibri" w:cs="Calibri"/>
          <w:sz w:val="22"/>
          <w:szCs w:val="22"/>
          <w:lang w:val="en-US"/>
        </w:rPr>
        <w:instrText>ADDIN CSL_CITATION {"citationItems":[{"id":"ITEM-1","itemData":{"DOI":"10.52866/ijcsm.2024.05.03.004","ISSN":"27887421","abstract":"The fourth industrial revolution has seen the evolution and wide adoption of game-changing and disruptive innovation \"financial technologies (FinTech)\" around the globe. However, the security of FinTech systems and networks remains critical. This paper comprehensively reviews the evolving landscape of cybersecurity issues within the FinTech sector and explores effective mitigation measures. Four independent researchers reviewed relevant literature from IEEE Xplore Digital Library, ScienceDirect, Taylor &amp; Francis, Emerald Insight, Springer, SAGE, Wiley Online Library, Hindawi, MDPI, ACM Digital Library, IGI Global, and Google Scholar. The research paper begins by examining the history and evolution of FinTech, drivers for the growth of FinTech, segments of the FinTech industry, FinTech ecosystem, FinTech business model, and FinTech application. Subsequently, it then delves into an analysis of the most pressing cybersecurity issues confronting FinTech firms, such as privacy concerns, data breaches, malware attacks, hacking, insider threats, identity theft, social engineering attacks, distributed denial-of-service attacks, and others. In response to these cybersecurity issues, the paper evaluates various mitigation strategies and best practices adopted by FinTech firms and regulatory bodies globally. These measures include technological solutions such as authentication and access control mechanisms, cryptography, big data analytics, intrusion detection/prevention systems, regular data backup, artificial intelligence and machine learning, cloud computing technologies, blockchain technologies, and fraud detection and prevention systems. The paper also emphasizes the importance of FinTech regulatory sandboxes, regulatory compliance, basic security training, continuous monitoring of threats, zero-trust policy, robust cybersecurity culture, regular testing, and stringent security policies to strengthen the FinTech ecosystem's cyber resilience. Based on empirical research, industry reports, and regulatory guidelines, this review brings together existing information and highlights upcoming trends in FinTech cybersecurity. It emphasizes the importance of a collaborative strategy combining industry stakeholders, regulators, legislators, and cybersecurity specialists to address the growing cyber threat situation successfully. Ultimately, this research will help develop robust security mechanisms for FinTech systems and networks to achieve sustainable financial inclu…","author":[{"dropping-particle":"","family":"Ali","given":"Guma","non-dropping-particle":"","parse-names":false,"suffix":""},{"dropping-particle":"","family":"Mijwil","given":"Maad M.","non-dropping-particle":"","parse-names":false,"suffix":""},{"dropping-particle":"","family":"Buruga","given":"Bosco Apparatus","non-dropping-particle":"","parse-names":false,"suffix":""},{"dropping-particle":"","family":"Abotaleb","given":"Mostafa","non-dropping-particle":"","parse-names":false,"suffix":""}],"container-title":"Iraqi Journal for Computer Science and Mathematics","id":"ITEM-1","issue":"3","issued":{"date-parts":[["2024"]]},"page":"45-91","title":"A Comprehensive Review on Cybersecurity Issues and Their Mitigation Measures in FinTech","type":"article-journal","volume":"5"},"uris":["http://www.mendeley.com/documents/?uuid=0813aa04-7a82-4639-a015-33055e0c78ea"]}],"mendeley":{"formattedCitation":"[4]","plainTextFormattedCitation":"[4]","previouslyFormattedCitation":"[4]"},"properties":{"noteIndex":0},"schema":"https://github.com/citation-style-language/schema/raw/master/csl-citation.json"}</w:instrText>
      </w:r>
      <w:r w:rsidR="00400256" w:rsidRPr="00295C3C">
        <w:rPr>
          <w:rFonts w:ascii="Calibri" w:hAnsi="Calibri" w:cs="Calibri"/>
          <w:sz w:val="22"/>
          <w:szCs w:val="22"/>
          <w:lang w:val="en-US"/>
        </w:rPr>
        <w:fldChar w:fldCharType="separate"/>
      </w:r>
      <w:r w:rsidR="00400256" w:rsidRPr="00295C3C">
        <w:rPr>
          <w:rFonts w:ascii="Calibri" w:hAnsi="Calibri" w:cs="Calibri"/>
          <w:noProof/>
          <w:sz w:val="22"/>
          <w:szCs w:val="22"/>
          <w:lang w:val="en-US"/>
        </w:rPr>
        <w:t>[4]</w:t>
      </w:r>
      <w:r w:rsidR="00400256" w:rsidRPr="00295C3C">
        <w:rPr>
          <w:rFonts w:ascii="Calibri" w:hAnsi="Calibri" w:cs="Calibri"/>
          <w:sz w:val="22"/>
          <w:szCs w:val="22"/>
          <w:lang w:val="en-US"/>
        </w:rPr>
        <w:fldChar w:fldCharType="end"/>
      </w:r>
      <w:r w:rsidR="00400256" w:rsidRPr="00295C3C">
        <w:rPr>
          <w:rFonts w:ascii="Calibri" w:hAnsi="Calibri" w:cs="Calibri"/>
          <w:sz w:val="22"/>
          <w:szCs w:val="22"/>
          <w:lang w:val="en-US"/>
        </w:rPr>
        <w:t xml:space="preserve"> </w:t>
      </w:r>
      <w:r w:rsidR="00D81EA4" w:rsidRPr="00295C3C">
        <w:rPr>
          <w:rFonts w:ascii="Calibri" w:hAnsi="Calibri" w:cs="Calibri"/>
          <w:sz w:val="22"/>
          <w:szCs w:val="22"/>
          <w:lang w:val="en-US"/>
        </w:rPr>
        <w:t>Employees of all seniority levels are trained by the system to actively promote the development of a robust cybersecurity culture.</w:t>
      </w:r>
    </w:p>
    <w:p w14:paraId="5C014DBA" w14:textId="77777777" w:rsidR="00295C3C" w:rsidRDefault="00295C3C" w:rsidP="00295C3C">
      <w:pPr>
        <w:pStyle w:val="Heading1"/>
        <w:rPr>
          <w:lang w:val="en-US"/>
        </w:rPr>
      </w:pPr>
      <w:bookmarkStart w:id="8" w:name="_Toc197276580"/>
      <w:r w:rsidRPr="00295C3C">
        <w:rPr>
          <w:lang w:val="en-US"/>
        </w:rPr>
        <w:lastRenderedPageBreak/>
        <w:t>Conclusion</w:t>
      </w:r>
      <w:bookmarkEnd w:id="8"/>
    </w:p>
    <w:p w14:paraId="7AF4CAC1" w14:textId="77777777" w:rsidR="00295C3C" w:rsidRDefault="00295C3C" w:rsidP="00295C3C">
      <w:pPr>
        <w:rPr>
          <w:lang w:val="en-US"/>
        </w:rPr>
      </w:pPr>
    </w:p>
    <w:p w14:paraId="2854D1C5" w14:textId="12E1A10C" w:rsidR="00295C3C" w:rsidRDefault="00295C3C" w:rsidP="00295C3C">
      <w:pPr>
        <w:spacing w:line="360" w:lineRule="auto"/>
        <w:jc w:val="both"/>
        <w:rPr>
          <w:rFonts w:ascii="Calibri" w:hAnsi="Calibri" w:cs="Calibri"/>
          <w:sz w:val="22"/>
          <w:szCs w:val="22"/>
          <w:lang w:val="en-US"/>
        </w:rPr>
      </w:pPr>
      <w:r w:rsidRPr="00295C3C">
        <w:rPr>
          <w:rFonts w:ascii="Calibri" w:hAnsi="Calibri" w:cs="Calibri"/>
          <w:sz w:val="22"/>
          <w:szCs w:val="22"/>
          <w:lang w:val="en-US"/>
        </w:rPr>
        <w:t>To protect against the increasing number of cyberattacks, FinSecure Ltd. (FSL) must strengthen its digital security posture. Through the deployment of technological and administrative controls, a comprehensive cybersecurity strategy, and the development of security awareness, FSL maintains safe data and complies with legislation in order to safeguard client confidence. FinSecure Ltd. needs to keep an eye on the current risks, have efficient reaction strategies, and implement ongoing staff training programs. For FSL to maintain its short- and long-term operations, it needs a complex, multi-layered approach to make its cybersecurity resilient.</w:t>
      </w:r>
    </w:p>
    <w:p w14:paraId="28AD4950" w14:textId="77777777" w:rsidR="00025B4E" w:rsidRDefault="00025B4E" w:rsidP="00295C3C">
      <w:pPr>
        <w:spacing w:line="360" w:lineRule="auto"/>
        <w:jc w:val="both"/>
        <w:rPr>
          <w:rFonts w:ascii="Calibri" w:hAnsi="Calibri" w:cs="Calibri"/>
          <w:sz w:val="22"/>
          <w:szCs w:val="22"/>
          <w:lang w:val="en-US"/>
        </w:rPr>
      </w:pPr>
    </w:p>
    <w:p w14:paraId="789EF915" w14:textId="77777777" w:rsidR="00025B4E" w:rsidRPr="00295C3C" w:rsidRDefault="00025B4E" w:rsidP="00295C3C">
      <w:pPr>
        <w:spacing w:line="360" w:lineRule="auto"/>
        <w:jc w:val="both"/>
        <w:rPr>
          <w:rFonts w:ascii="Calibri" w:hAnsi="Calibri" w:cs="Calibri"/>
          <w:sz w:val="22"/>
          <w:szCs w:val="22"/>
          <w:lang w:val="en-US"/>
        </w:rPr>
      </w:pPr>
    </w:p>
    <w:p w14:paraId="41790491" w14:textId="77777777" w:rsidR="00295C3C" w:rsidRPr="00295C3C" w:rsidRDefault="00295C3C" w:rsidP="00295C3C">
      <w:pPr>
        <w:spacing w:line="360" w:lineRule="auto"/>
        <w:jc w:val="both"/>
        <w:rPr>
          <w:rFonts w:ascii="Calibri" w:hAnsi="Calibri" w:cs="Calibri"/>
          <w:sz w:val="22"/>
          <w:szCs w:val="22"/>
          <w:lang w:val="en-US"/>
        </w:rPr>
      </w:pPr>
    </w:p>
    <w:p w14:paraId="11CB294B" w14:textId="77777777" w:rsidR="00295C3C" w:rsidRDefault="00295C3C" w:rsidP="003F293F">
      <w:pPr>
        <w:rPr>
          <w:lang w:val="en-US"/>
        </w:rPr>
      </w:pPr>
    </w:p>
    <w:p w14:paraId="0EA19C1B" w14:textId="77777777" w:rsidR="00295C3C" w:rsidRPr="003F293F" w:rsidRDefault="00295C3C" w:rsidP="003F293F">
      <w:pPr>
        <w:rPr>
          <w:lang w:val="en-US"/>
        </w:rPr>
      </w:pPr>
    </w:p>
    <w:p w14:paraId="5A954457" w14:textId="77777777" w:rsidR="003F293F" w:rsidRDefault="003F293F" w:rsidP="0084232E">
      <w:pPr>
        <w:rPr>
          <w:lang w:val="en-US"/>
        </w:rPr>
      </w:pPr>
    </w:p>
    <w:p w14:paraId="3CEA8BAA" w14:textId="77777777" w:rsidR="003F293F" w:rsidRPr="0084232E" w:rsidRDefault="003F293F" w:rsidP="0084232E">
      <w:pPr>
        <w:rPr>
          <w:lang w:val="en-US"/>
        </w:rPr>
      </w:pPr>
    </w:p>
    <w:p w14:paraId="5A1E79D4" w14:textId="77777777" w:rsidR="009C7C94" w:rsidRDefault="009C7C94" w:rsidP="009C7C94">
      <w:pPr>
        <w:spacing w:line="360" w:lineRule="auto"/>
        <w:jc w:val="both"/>
        <w:rPr>
          <w:rFonts w:ascii="Calibri" w:hAnsi="Calibri" w:cs="Calibri"/>
          <w:sz w:val="22"/>
          <w:szCs w:val="22"/>
          <w:lang w:val="en-US"/>
        </w:rPr>
      </w:pPr>
    </w:p>
    <w:p w14:paraId="72648900" w14:textId="77777777" w:rsidR="005465C7" w:rsidRDefault="005465C7" w:rsidP="009C7C94">
      <w:pPr>
        <w:spacing w:line="360" w:lineRule="auto"/>
        <w:jc w:val="both"/>
        <w:rPr>
          <w:rFonts w:ascii="Calibri" w:hAnsi="Calibri" w:cs="Calibri"/>
          <w:sz w:val="22"/>
          <w:szCs w:val="22"/>
          <w:lang w:val="en-US"/>
        </w:rPr>
      </w:pPr>
    </w:p>
    <w:p w14:paraId="17B7A1CC" w14:textId="77777777" w:rsidR="005465C7" w:rsidRDefault="005465C7" w:rsidP="009C7C94">
      <w:pPr>
        <w:spacing w:line="360" w:lineRule="auto"/>
        <w:jc w:val="both"/>
        <w:rPr>
          <w:rFonts w:ascii="Calibri" w:hAnsi="Calibri" w:cs="Calibri"/>
          <w:sz w:val="22"/>
          <w:szCs w:val="22"/>
          <w:lang w:val="en-US"/>
        </w:rPr>
      </w:pPr>
    </w:p>
    <w:p w14:paraId="38BEA829" w14:textId="77777777" w:rsidR="005465C7" w:rsidRDefault="005465C7" w:rsidP="009C7C94">
      <w:pPr>
        <w:spacing w:line="360" w:lineRule="auto"/>
        <w:jc w:val="both"/>
        <w:rPr>
          <w:rFonts w:ascii="Calibri" w:hAnsi="Calibri" w:cs="Calibri"/>
          <w:sz w:val="22"/>
          <w:szCs w:val="22"/>
          <w:lang w:val="en-US"/>
        </w:rPr>
      </w:pPr>
    </w:p>
    <w:p w14:paraId="6AE4A750" w14:textId="77777777" w:rsidR="005465C7" w:rsidRDefault="005465C7" w:rsidP="009C7C94">
      <w:pPr>
        <w:spacing w:line="360" w:lineRule="auto"/>
        <w:jc w:val="both"/>
        <w:rPr>
          <w:rFonts w:ascii="Calibri" w:hAnsi="Calibri" w:cs="Calibri"/>
          <w:sz w:val="22"/>
          <w:szCs w:val="22"/>
          <w:lang w:val="en-US"/>
        </w:rPr>
      </w:pPr>
    </w:p>
    <w:p w14:paraId="797D84A5" w14:textId="77777777" w:rsidR="005465C7" w:rsidRDefault="005465C7" w:rsidP="009C7C94">
      <w:pPr>
        <w:spacing w:line="360" w:lineRule="auto"/>
        <w:jc w:val="both"/>
        <w:rPr>
          <w:rFonts w:ascii="Calibri" w:hAnsi="Calibri" w:cs="Calibri"/>
          <w:sz w:val="22"/>
          <w:szCs w:val="22"/>
          <w:lang w:val="en-US"/>
        </w:rPr>
      </w:pPr>
    </w:p>
    <w:p w14:paraId="18921394" w14:textId="77777777" w:rsidR="005465C7" w:rsidRDefault="005465C7" w:rsidP="009C7C94">
      <w:pPr>
        <w:spacing w:line="360" w:lineRule="auto"/>
        <w:jc w:val="both"/>
        <w:rPr>
          <w:rFonts w:ascii="Calibri" w:hAnsi="Calibri" w:cs="Calibri"/>
          <w:sz w:val="22"/>
          <w:szCs w:val="22"/>
          <w:lang w:val="en-US"/>
        </w:rPr>
      </w:pPr>
    </w:p>
    <w:p w14:paraId="7397E76D" w14:textId="77777777" w:rsidR="005465C7" w:rsidRDefault="005465C7" w:rsidP="009C7C94">
      <w:pPr>
        <w:spacing w:line="360" w:lineRule="auto"/>
        <w:jc w:val="both"/>
        <w:rPr>
          <w:rFonts w:ascii="Calibri" w:hAnsi="Calibri" w:cs="Calibri"/>
          <w:sz w:val="22"/>
          <w:szCs w:val="22"/>
          <w:lang w:val="en-US"/>
        </w:rPr>
      </w:pPr>
    </w:p>
    <w:p w14:paraId="0E60BFBF" w14:textId="77777777" w:rsidR="005465C7" w:rsidRDefault="005465C7" w:rsidP="009C7C94">
      <w:pPr>
        <w:spacing w:line="360" w:lineRule="auto"/>
        <w:jc w:val="both"/>
        <w:rPr>
          <w:rFonts w:ascii="Calibri" w:hAnsi="Calibri" w:cs="Calibri"/>
          <w:sz w:val="22"/>
          <w:szCs w:val="22"/>
          <w:lang w:val="en-US"/>
        </w:rPr>
      </w:pPr>
    </w:p>
    <w:p w14:paraId="52EB55BE" w14:textId="77777777" w:rsidR="005465C7" w:rsidRDefault="005465C7" w:rsidP="009C7C94">
      <w:pPr>
        <w:spacing w:line="360" w:lineRule="auto"/>
        <w:jc w:val="both"/>
        <w:rPr>
          <w:rFonts w:ascii="Calibri" w:hAnsi="Calibri" w:cs="Calibri"/>
          <w:sz w:val="22"/>
          <w:szCs w:val="22"/>
          <w:lang w:val="en-US"/>
        </w:rPr>
      </w:pPr>
    </w:p>
    <w:p w14:paraId="5EACD96A" w14:textId="77777777" w:rsidR="005465C7" w:rsidRDefault="005465C7" w:rsidP="009C7C94">
      <w:pPr>
        <w:spacing w:line="360" w:lineRule="auto"/>
        <w:jc w:val="both"/>
        <w:rPr>
          <w:rFonts w:ascii="Calibri" w:hAnsi="Calibri" w:cs="Calibri"/>
          <w:sz w:val="22"/>
          <w:szCs w:val="22"/>
          <w:lang w:val="en-US"/>
        </w:rPr>
      </w:pPr>
    </w:p>
    <w:p w14:paraId="1188F311" w14:textId="77777777" w:rsidR="005465C7" w:rsidRDefault="005465C7" w:rsidP="009C7C94">
      <w:pPr>
        <w:spacing w:line="360" w:lineRule="auto"/>
        <w:jc w:val="both"/>
        <w:rPr>
          <w:rFonts w:ascii="Calibri" w:hAnsi="Calibri" w:cs="Calibri"/>
          <w:sz w:val="22"/>
          <w:szCs w:val="22"/>
          <w:lang w:val="en-US"/>
        </w:rPr>
      </w:pPr>
    </w:p>
    <w:p w14:paraId="62224D61" w14:textId="77777777" w:rsidR="005465C7" w:rsidRDefault="005465C7" w:rsidP="009C7C94">
      <w:pPr>
        <w:spacing w:line="360" w:lineRule="auto"/>
        <w:jc w:val="both"/>
        <w:rPr>
          <w:rFonts w:ascii="Calibri" w:hAnsi="Calibri" w:cs="Calibri"/>
          <w:sz w:val="22"/>
          <w:szCs w:val="22"/>
          <w:lang w:val="en-US"/>
        </w:rPr>
      </w:pPr>
    </w:p>
    <w:p w14:paraId="58F4CBFF" w14:textId="77777777" w:rsidR="005465C7" w:rsidRDefault="005465C7" w:rsidP="009C7C94">
      <w:pPr>
        <w:spacing w:line="360" w:lineRule="auto"/>
        <w:jc w:val="both"/>
        <w:rPr>
          <w:rFonts w:ascii="Calibri" w:hAnsi="Calibri" w:cs="Calibri"/>
          <w:sz w:val="22"/>
          <w:szCs w:val="22"/>
          <w:lang w:val="en-US"/>
        </w:rPr>
      </w:pPr>
    </w:p>
    <w:p w14:paraId="17A2B28E" w14:textId="77777777" w:rsidR="005465C7" w:rsidRDefault="005465C7" w:rsidP="009C7C94">
      <w:pPr>
        <w:spacing w:line="360" w:lineRule="auto"/>
        <w:jc w:val="both"/>
        <w:rPr>
          <w:rFonts w:ascii="Calibri" w:hAnsi="Calibri" w:cs="Calibri"/>
          <w:sz w:val="22"/>
          <w:szCs w:val="22"/>
          <w:lang w:val="en-US"/>
        </w:rPr>
      </w:pPr>
    </w:p>
    <w:p w14:paraId="7F4F2043" w14:textId="77777777" w:rsidR="005465C7" w:rsidRDefault="005465C7" w:rsidP="009C7C94">
      <w:pPr>
        <w:spacing w:line="360" w:lineRule="auto"/>
        <w:jc w:val="both"/>
        <w:rPr>
          <w:rFonts w:ascii="Calibri" w:hAnsi="Calibri" w:cs="Calibri"/>
          <w:sz w:val="22"/>
          <w:szCs w:val="22"/>
          <w:lang w:val="en-US"/>
        </w:rPr>
      </w:pPr>
    </w:p>
    <w:p w14:paraId="1B5263FA" w14:textId="77777777" w:rsidR="005465C7" w:rsidRDefault="005465C7" w:rsidP="009C7C94">
      <w:pPr>
        <w:spacing w:line="360" w:lineRule="auto"/>
        <w:jc w:val="both"/>
        <w:rPr>
          <w:rFonts w:ascii="Calibri" w:hAnsi="Calibri" w:cs="Calibri"/>
          <w:sz w:val="22"/>
          <w:szCs w:val="22"/>
          <w:lang w:val="en-US"/>
        </w:rPr>
      </w:pPr>
    </w:p>
    <w:p w14:paraId="12CFCCB9" w14:textId="77777777" w:rsidR="005465C7" w:rsidRDefault="005465C7" w:rsidP="009C7C94">
      <w:pPr>
        <w:spacing w:line="360" w:lineRule="auto"/>
        <w:jc w:val="both"/>
        <w:rPr>
          <w:rFonts w:ascii="Calibri" w:hAnsi="Calibri" w:cs="Calibri"/>
          <w:sz w:val="22"/>
          <w:szCs w:val="22"/>
          <w:lang w:val="en-US"/>
        </w:rPr>
      </w:pPr>
    </w:p>
    <w:p w14:paraId="36EACFB2" w14:textId="77777777" w:rsidR="005465C7" w:rsidRDefault="005465C7" w:rsidP="009C7C94">
      <w:pPr>
        <w:spacing w:line="360" w:lineRule="auto"/>
        <w:jc w:val="both"/>
        <w:rPr>
          <w:rFonts w:ascii="Calibri" w:hAnsi="Calibri" w:cs="Calibri"/>
          <w:sz w:val="22"/>
          <w:szCs w:val="22"/>
          <w:lang w:val="en-US"/>
        </w:rPr>
      </w:pPr>
    </w:p>
    <w:p w14:paraId="5DC0BACD" w14:textId="77777777" w:rsidR="005465C7" w:rsidRDefault="005465C7" w:rsidP="009C7C94">
      <w:pPr>
        <w:spacing w:line="360" w:lineRule="auto"/>
        <w:jc w:val="both"/>
        <w:rPr>
          <w:rFonts w:ascii="Calibri" w:hAnsi="Calibri" w:cs="Calibri"/>
          <w:sz w:val="22"/>
          <w:szCs w:val="22"/>
          <w:lang w:val="en-US"/>
        </w:rPr>
      </w:pPr>
    </w:p>
    <w:p w14:paraId="212DD558" w14:textId="4FC69E52" w:rsidR="005465C7" w:rsidRDefault="005465C7" w:rsidP="005465C7">
      <w:pPr>
        <w:pStyle w:val="Heading1"/>
        <w:rPr>
          <w:lang w:val="en-US"/>
        </w:rPr>
      </w:pPr>
      <w:bookmarkStart w:id="9" w:name="_Toc197276581"/>
      <w:r>
        <w:rPr>
          <w:lang w:val="en-US"/>
        </w:rPr>
        <w:lastRenderedPageBreak/>
        <w:t>Reference</w:t>
      </w:r>
      <w:r w:rsidR="0046383B">
        <w:rPr>
          <w:lang w:val="en-US"/>
        </w:rPr>
        <w:t>s</w:t>
      </w:r>
      <w:bookmarkEnd w:id="9"/>
    </w:p>
    <w:p w14:paraId="08F227C7" w14:textId="208FDD63" w:rsidR="005465C7" w:rsidRPr="005465C7" w:rsidRDefault="005465C7" w:rsidP="005465C7">
      <w:pPr>
        <w:widowControl w:val="0"/>
        <w:autoSpaceDE w:val="0"/>
        <w:autoSpaceDN w:val="0"/>
        <w:adjustRightInd w:val="0"/>
        <w:spacing w:line="360" w:lineRule="auto"/>
        <w:ind w:left="640" w:hanging="640"/>
        <w:rPr>
          <w:rFonts w:ascii="Calibri" w:hAnsi="Calibri" w:cs="Calibri"/>
          <w:noProof/>
          <w:sz w:val="22"/>
        </w:rPr>
      </w:pPr>
      <w:r>
        <w:rPr>
          <w:rFonts w:ascii="Calibri" w:hAnsi="Calibri" w:cs="Calibri"/>
          <w:sz w:val="22"/>
          <w:szCs w:val="22"/>
          <w:lang w:val="en-US"/>
        </w:rPr>
        <w:fldChar w:fldCharType="begin" w:fldLock="1"/>
      </w:r>
      <w:r>
        <w:rPr>
          <w:rFonts w:ascii="Calibri" w:hAnsi="Calibri" w:cs="Calibri"/>
          <w:sz w:val="22"/>
          <w:szCs w:val="22"/>
          <w:lang w:val="en-US"/>
        </w:rPr>
        <w:instrText xml:space="preserve">ADDIN Mendeley Bibliography CSL_BIBLIOGRAPHY </w:instrText>
      </w:r>
      <w:r>
        <w:rPr>
          <w:rFonts w:ascii="Calibri" w:hAnsi="Calibri" w:cs="Calibri"/>
          <w:sz w:val="22"/>
          <w:szCs w:val="22"/>
          <w:lang w:val="en-US"/>
        </w:rPr>
        <w:fldChar w:fldCharType="separate"/>
      </w:r>
      <w:r w:rsidRPr="005465C7">
        <w:rPr>
          <w:rFonts w:ascii="Calibri" w:hAnsi="Calibri" w:cs="Calibri"/>
          <w:noProof/>
          <w:sz w:val="22"/>
        </w:rPr>
        <w:t>[1]</w:t>
      </w:r>
      <w:r w:rsidRPr="005465C7">
        <w:rPr>
          <w:rFonts w:ascii="Calibri" w:hAnsi="Calibri" w:cs="Calibri"/>
          <w:noProof/>
          <w:sz w:val="22"/>
        </w:rPr>
        <w:tab/>
        <w:t xml:space="preserve">I. V. Kotenko and I. B. Saenko, “Creating new-generation cybersecurity monitoring and management systems,” </w:t>
      </w:r>
      <w:r w:rsidRPr="005465C7">
        <w:rPr>
          <w:rFonts w:ascii="Calibri" w:hAnsi="Calibri" w:cs="Calibri"/>
          <w:i/>
          <w:iCs/>
          <w:noProof/>
          <w:sz w:val="22"/>
        </w:rPr>
        <w:t>Her. Russ. Acad. Sci.</w:t>
      </w:r>
      <w:r w:rsidRPr="005465C7">
        <w:rPr>
          <w:rFonts w:ascii="Calibri" w:hAnsi="Calibri" w:cs="Calibri"/>
          <w:noProof/>
          <w:sz w:val="22"/>
        </w:rPr>
        <w:t>, vol. 84, no. 6, pp. 424–431, 2014, doi: 10.1134/S1019331614060033.</w:t>
      </w:r>
    </w:p>
    <w:p w14:paraId="4CECA17C" w14:textId="77777777" w:rsidR="005465C7" w:rsidRPr="005465C7" w:rsidRDefault="005465C7" w:rsidP="005465C7">
      <w:pPr>
        <w:widowControl w:val="0"/>
        <w:autoSpaceDE w:val="0"/>
        <w:autoSpaceDN w:val="0"/>
        <w:adjustRightInd w:val="0"/>
        <w:spacing w:line="360" w:lineRule="auto"/>
        <w:ind w:left="640" w:hanging="640"/>
        <w:rPr>
          <w:rFonts w:ascii="Calibri" w:hAnsi="Calibri" w:cs="Calibri"/>
          <w:noProof/>
          <w:sz w:val="22"/>
        </w:rPr>
      </w:pPr>
      <w:r w:rsidRPr="005465C7">
        <w:rPr>
          <w:rFonts w:ascii="Calibri" w:hAnsi="Calibri" w:cs="Calibri"/>
          <w:noProof/>
          <w:sz w:val="22"/>
        </w:rPr>
        <w:t>[2]</w:t>
      </w:r>
      <w:r w:rsidRPr="005465C7">
        <w:rPr>
          <w:rFonts w:ascii="Calibri" w:hAnsi="Calibri" w:cs="Calibri"/>
          <w:noProof/>
          <w:sz w:val="22"/>
        </w:rPr>
        <w:tab/>
        <w:t xml:space="preserve">Olukunle Oladipupo Amoo, Femi Osasona, Akoh Atadoga, Benjamin Samson Ayinla, Oluwatoyin Ajoke Farayola, and Temitayo Oluwaseun Abrahams, “Cybersecurity threats in the age of IoT: A review of protective measures,” </w:t>
      </w:r>
      <w:r w:rsidRPr="005465C7">
        <w:rPr>
          <w:rFonts w:ascii="Calibri" w:hAnsi="Calibri" w:cs="Calibri"/>
          <w:i/>
          <w:iCs/>
          <w:noProof/>
          <w:sz w:val="22"/>
        </w:rPr>
        <w:t>Int. J. Sci. Res. Arch.</w:t>
      </w:r>
      <w:r w:rsidRPr="005465C7">
        <w:rPr>
          <w:rFonts w:ascii="Calibri" w:hAnsi="Calibri" w:cs="Calibri"/>
          <w:noProof/>
          <w:sz w:val="22"/>
        </w:rPr>
        <w:t>, vol. 11, no. 1, pp. 1304–1310, 2024, doi: 10.30574/ijsra.2024.11.1.0217.</w:t>
      </w:r>
    </w:p>
    <w:p w14:paraId="2CFBE19F" w14:textId="77777777" w:rsidR="005465C7" w:rsidRPr="005465C7" w:rsidRDefault="005465C7" w:rsidP="005465C7">
      <w:pPr>
        <w:widowControl w:val="0"/>
        <w:autoSpaceDE w:val="0"/>
        <w:autoSpaceDN w:val="0"/>
        <w:adjustRightInd w:val="0"/>
        <w:spacing w:line="360" w:lineRule="auto"/>
        <w:ind w:left="640" w:hanging="640"/>
        <w:rPr>
          <w:rFonts w:ascii="Calibri" w:hAnsi="Calibri" w:cs="Calibri"/>
          <w:noProof/>
          <w:sz w:val="22"/>
        </w:rPr>
      </w:pPr>
      <w:r w:rsidRPr="005465C7">
        <w:rPr>
          <w:rFonts w:ascii="Calibri" w:hAnsi="Calibri" w:cs="Calibri"/>
          <w:noProof/>
          <w:sz w:val="22"/>
        </w:rPr>
        <w:t>[3]</w:t>
      </w:r>
      <w:r w:rsidRPr="005465C7">
        <w:rPr>
          <w:rFonts w:ascii="Calibri" w:hAnsi="Calibri" w:cs="Calibri"/>
          <w:noProof/>
          <w:sz w:val="22"/>
        </w:rPr>
        <w:tab/>
        <w:t xml:space="preserve">D. Craigen, N. Diakun-Thibault, and R. Purse, “Defining Cybersecurity,” </w:t>
      </w:r>
      <w:r w:rsidRPr="005465C7">
        <w:rPr>
          <w:rFonts w:ascii="Calibri" w:hAnsi="Calibri" w:cs="Calibri"/>
          <w:i/>
          <w:iCs/>
          <w:noProof/>
          <w:sz w:val="22"/>
        </w:rPr>
        <w:t>Technol. Innov. Manag. Rev.</w:t>
      </w:r>
      <w:r w:rsidRPr="005465C7">
        <w:rPr>
          <w:rFonts w:ascii="Calibri" w:hAnsi="Calibri" w:cs="Calibri"/>
          <w:noProof/>
          <w:sz w:val="22"/>
        </w:rPr>
        <w:t>, vol. 4, no. 10, pp. 13–21, 2014, doi: 10.22215/timreview835.</w:t>
      </w:r>
    </w:p>
    <w:p w14:paraId="560B66DA" w14:textId="77777777" w:rsidR="005465C7" w:rsidRPr="005465C7" w:rsidRDefault="005465C7" w:rsidP="005465C7">
      <w:pPr>
        <w:widowControl w:val="0"/>
        <w:autoSpaceDE w:val="0"/>
        <w:autoSpaceDN w:val="0"/>
        <w:adjustRightInd w:val="0"/>
        <w:spacing w:line="360" w:lineRule="auto"/>
        <w:ind w:left="640" w:hanging="640"/>
        <w:rPr>
          <w:rFonts w:ascii="Calibri" w:hAnsi="Calibri" w:cs="Calibri"/>
          <w:noProof/>
          <w:sz w:val="22"/>
        </w:rPr>
      </w:pPr>
      <w:r w:rsidRPr="005465C7">
        <w:rPr>
          <w:rFonts w:ascii="Calibri" w:hAnsi="Calibri" w:cs="Calibri"/>
          <w:noProof/>
          <w:sz w:val="22"/>
        </w:rPr>
        <w:t>[4]</w:t>
      </w:r>
      <w:r w:rsidRPr="005465C7">
        <w:rPr>
          <w:rFonts w:ascii="Calibri" w:hAnsi="Calibri" w:cs="Calibri"/>
          <w:noProof/>
          <w:sz w:val="22"/>
        </w:rPr>
        <w:tab/>
        <w:t xml:space="preserve">G. Ali, M. M. Mijwil, B. A. Buruga, and M. Abotaleb, “A Comprehensive Review on Cybersecurity Issues and Their Mitigation Measures in FinTech,” </w:t>
      </w:r>
      <w:r w:rsidRPr="005465C7">
        <w:rPr>
          <w:rFonts w:ascii="Calibri" w:hAnsi="Calibri" w:cs="Calibri"/>
          <w:i/>
          <w:iCs/>
          <w:noProof/>
          <w:sz w:val="22"/>
        </w:rPr>
        <w:t>Iraqi J. Comput. Sci. Math.</w:t>
      </w:r>
      <w:r w:rsidRPr="005465C7">
        <w:rPr>
          <w:rFonts w:ascii="Calibri" w:hAnsi="Calibri" w:cs="Calibri"/>
          <w:noProof/>
          <w:sz w:val="22"/>
        </w:rPr>
        <w:t>, vol. 5, no. 3, pp. 45–91, 2024, doi: 10.52866/ijcsm.2024.05.03.004.</w:t>
      </w:r>
    </w:p>
    <w:p w14:paraId="0E75AE16" w14:textId="77777777" w:rsidR="005465C7" w:rsidRPr="005465C7" w:rsidRDefault="005465C7" w:rsidP="005465C7">
      <w:pPr>
        <w:widowControl w:val="0"/>
        <w:autoSpaceDE w:val="0"/>
        <w:autoSpaceDN w:val="0"/>
        <w:adjustRightInd w:val="0"/>
        <w:spacing w:line="360" w:lineRule="auto"/>
        <w:ind w:left="640" w:hanging="640"/>
        <w:rPr>
          <w:rFonts w:ascii="Calibri" w:hAnsi="Calibri" w:cs="Calibri"/>
          <w:noProof/>
          <w:sz w:val="22"/>
        </w:rPr>
      </w:pPr>
      <w:r w:rsidRPr="005465C7">
        <w:rPr>
          <w:rFonts w:ascii="Calibri" w:hAnsi="Calibri" w:cs="Calibri"/>
          <w:noProof/>
          <w:sz w:val="22"/>
        </w:rPr>
        <w:t>[5]</w:t>
      </w:r>
      <w:r w:rsidRPr="005465C7">
        <w:rPr>
          <w:rFonts w:ascii="Calibri" w:hAnsi="Calibri" w:cs="Calibri"/>
          <w:noProof/>
          <w:sz w:val="22"/>
        </w:rPr>
        <w:tab/>
        <w:t xml:space="preserve">K. Thakur, M. Qiu, K. Gai, and M. L. Ali, “An Investigation on Cyber Security Threats and Security Models,” </w:t>
      </w:r>
      <w:r w:rsidRPr="005465C7">
        <w:rPr>
          <w:rFonts w:ascii="Calibri" w:hAnsi="Calibri" w:cs="Calibri"/>
          <w:i/>
          <w:iCs/>
          <w:noProof/>
          <w:sz w:val="22"/>
        </w:rPr>
        <w:t>Proc. - 2nd IEEE Int. Conf. Cyber Secur. Cloud Comput. CSCloud 2015 - IEEE Int. Symp. Smart Cloud, IEEE SSC 2015</w:t>
      </w:r>
      <w:r w:rsidRPr="005465C7">
        <w:rPr>
          <w:rFonts w:ascii="Calibri" w:hAnsi="Calibri" w:cs="Calibri"/>
          <w:noProof/>
          <w:sz w:val="22"/>
        </w:rPr>
        <w:t>, pp. 307–311, 2016, doi: 10.1109/CSCloud.2015.71.</w:t>
      </w:r>
    </w:p>
    <w:p w14:paraId="53A44341" w14:textId="77777777" w:rsidR="005465C7" w:rsidRPr="005465C7" w:rsidRDefault="005465C7" w:rsidP="005465C7">
      <w:pPr>
        <w:widowControl w:val="0"/>
        <w:autoSpaceDE w:val="0"/>
        <w:autoSpaceDN w:val="0"/>
        <w:adjustRightInd w:val="0"/>
        <w:spacing w:line="360" w:lineRule="auto"/>
        <w:ind w:left="640" w:hanging="640"/>
        <w:rPr>
          <w:rFonts w:ascii="Calibri" w:hAnsi="Calibri" w:cs="Calibri"/>
          <w:noProof/>
          <w:sz w:val="22"/>
        </w:rPr>
      </w:pPr>
      <w:r w:rsidRPr="005465C7">
        <w:rPr>
          <w:rFonts w:ascii="Calibri" w:hAnsi="Calibri" w:cs="Calibri"/>
          <w:noProof/>
          <w:sz w:val="22"/>
        </w:rPr>
        <w:t>[6]</w:t>
      </w:r>
      <w:r w:rsidRPr="005465C7">
        <w:rPr>
          <w:rFonts w:ascii="Calibri" w:hAnsi="Calibri" w:cs="Calibri"/>
          <w:noProof/>
          <w:sz w:val="22"/>
        </w:rPr>
        <w:tab/>
        <w:t xml:space="preserve">W. He and Z. Zhang, “Enterprise cybersecurity training and awareness programs: Recommendations for success,” </w:t>
      </w:r>
      <w:r w:rsidRPr="005465C7">
        <w:rPr>
          <w:rFonts w:ascii="Calibri" w:hAnsi="Calibri" w:cs="Calibri"/>
          <w:i/>
          <w:iCs/>
          <w:noProof/>
          <w:sz w:val="22"/>
        </w:rPr>
        <w:t>J. Organ. Comput. Electron. Commer.</w:t>
      </w:r>
      <w:r w:rsidRPr="005465C7">
        <w:rPr>
          <w:rFonts w:ascii="Calibri" w:hAnsi="Calibri" w:cs="Calibri"/>
          <w:noProof/>
          <w:sz w:val="22"/>
        </w:rPr>
        <w:t>, vol. 29, no. 4, pp. 249–257, 2019, doi: 10.1080/10919392.2019.1611528.</w:t>
      </w:r>
    </w:p>
    <w:p w14:paraId="5FB4F678" w14:textId="77777777" w:rsidR="005465C7" w:rsidRPr="005465C7" w:rsidRDefault="005465C7" w:rsidP="005465C7">
      <w:pPr>
        <w:widowControl w:val="0"/>
        <w:autoSpaceDE w:val="0"/>
        <w:autoSpaceDN w:val="0"/>
        <w:adjustRightInd w:val="0"/>
        <w:spacing w:line="360" w:lineRule="auto"/>
        <w:ind w:left="640" w:hanging="640"/>
        <w:rPr>
          <w:rFonts w:ascii="Calibri" w:hAnsi="Calibri" w:cs="Calibri"/>
          <w:noProof/>
          <w:sz w:val="22"/>
        </w:rPr>
      </w:pPr>
      <w:r w:rsidRPr="005465C7">
        <w:rPr>
          <w:rFonts w:ascii="Calibri" w:hAnsi="Calibri" w:cs="Calibri"/>
          <w:noProof/>
          <w:sz w:val="22"/>
        </w:rPr>
        <w:t>[7]</w:t>
      </w:r>
      <w:r w:rsidRPr="005465C7">
        <w:rPr>
          <w:rFonts w:ascii="Calibri" w:hAnsi="Calibri" w:cs="Calibri"/>
          <w:noProof/>
          <w:sz w:val="22"/>
        </w:rPr>
        <w:tab/>
        <w:t xml:space="preserve">M. S. K. Awan, P. Burnap, O. Rana, and A. Javed, “Continuous monitoring and assessment of cybersecurity risks in large computing infrastructures,” </w:t>
      </w:r>
      <w:r w:rsidRPr="005465C7">
        <w:rPr>
          <w:rFonts w:ascii="Calibri" w:hAnsi="Calibri" w:cs="Calibri"/>
          <w:i/>
          <w:iCs/>
          <w:noProof/>
          <w:sz w:val="22"/>
        </w:rPr>
        <w:t>Proc. - 2015 IEEE 17th Int. Conf. High Perform. Comput. Commun. 2015 IEEE 7th Int. Symp. Cybersp. Saf. Secur. 2015 IEEE 12th Int. Conf. Embed. Softw. Syst. H</w:t>
      </w:r>
      <w:r w:rsidRPr="005465C7">
        <w:rPr>
          <w:rFonts w:ascii="Calibri" w:hAnsi="Calibri" w:cs="Calibri"/>
          <w:noProof/>
          <w:sz w:val="22"/>
        </w:rPr>
        <w:t>, pp. 1442–1447, 2015, doi: 10.1109/HPCC-CSS-ICESS.2015.224.</w:t>
      </w:r>
    </w:p>
    <w:p w14:paraId="3C603BFA" w14:textId="77777777" w:rsidR="005465C7" w:rsidRPr="005465C7" w:rsidRDefault="005465C7" w:rsidP="005465C7">
      <w:pPr>
        <w:widowControl w:val="0"/>
        <w:autoSpaceDE w:val="0"/>
        <w:autoSpaceDN w:val="0"/>
        <w:adjustRightInd w:val="0"/>
        <w:spacing w:line="360" w:lineRule="auto"/>
        <w:ind w:left="640" w:hanging="640"/>
        <w:rPr>
          <w:rFonts w:ascii="Calibri" w:hAnsi="Calibri" w:cs="Calibri"/>
          <w:noProof/>
          <w:sz w:val="22"/>
        </w:rPr>
      </w:pPr>
      <w:r w:rsidRPr="005465C7">
        <w:rPr>
          <w:rFonts w:ascii="Calibri" w:hAnsi="Calibri" w:cs="Calibri"/>
          <w:noProof/>
          <w:sz w:val="22"/>
        </w:rPr>
        <w:t>[8]</w:t>
      </w:r>
      <w:r w:rsidRPr="005465C7">
        <w:rPr>
          <w:rFonts w:ascii="Calibri" w:hAnsi="Calibri" w:cs="Calibri"/>
          <w:noProof/>
          <w:sz w:val="22"/>
        </w:rPr>
        <w:tab/>
        <w:t xml:space="preserve">M. F. Ansari, “An Effective Cybersecurity Awareness Training Model: First Defense of an Organizational Security Strategy,” </w:t>
      </w:r>
      <w:r w:rsidRPr="005465C7">
        <w:rPr>
          <w:rFonts w:ascii="Calibri" w:hAnsi="Calibri" w:cs="Calibri"/>
          <w:i/>
          <w:iCs/>
          <w:noProof/>
          <w:sz w:val="22"/>
        </w:rPr>
        <w:t>Int. Res. J. Eng. Technol.</w:t>
      </w:r>
      <w:r w:rsidRPr="005465C7">
        <w:rPr>
          <w:rFonts w:ascii="Calibri" w:hAnsi="Calibri" w:cs="Calibri"/>
          <w:noProof/>
          <w:sz w:val="22"/>
        </w:rPr>
        <w:t>, vol. 9, no. 4, pp. 1–6, 2022.</w:t>
      </w:r>
    </w:p>
    <w:p w14:paraId="1B156856" w14:textId="3CB5ABE2" w:rsidR="005465C7" w:rsidRPr="009C7C94" w:rsidRDefault="005465C7" w:rsidP="009C7C94">
      <w:pPr>
        <w:spacing w:line="360" w:lineRule="auto"/>
        <w:jc w:val="both"/>
        <w:rPr>
          <w:rFonts w:ascii="Calibri" w:hAnsi="Calibri" w:cs="Calibri"/>
          <w:sz w:val="22"/>
          <w:szCs w:val="22"/>
          <w:lang w:val="en-US"/>
        </w:rPr>
      </w:pPr>
      <w:r>
        <w:rPr>
          <w:rFonts w:ascii="Calibri" w:hAnsi="Calibri" w:cs="Calibri"/>
          <w:sz w:val="22"/>
          <w:szCs w:val="22"/>
          <w:lang w:val="en-US"/>
        </w:rPr>
        <w:fldChar w:fldCharType="end"/>
      </w:r>
    </w:p>
    <w:p w14:paraId="13ED0875" w14:textId="77777777" w:rsidR="008F4228" w:rsidRPr="00A54177" w:rsidRDefault="008F4228" w:rsidP="00A54177">
      <w:pPr>
        <w:rPr>
          <w:rFonts w:ascii="Calibri" w:hAnsi="Calibri" w:cs="Calibri"/>
          <w:sz w:val="22"/>
          <w:szCs w:val="22"/>
        </w:rPr>
      </w:pPr>
    </w:p>
    <w:p w14:paraId="2A99D8BD" w14:textId="77777777" w:rsidR="00A54177" w:rsidRDefault="00A54177" w:rsidP="00A54177"/>
    <w:p w14:paraId="424BE1DA" w14:textId="77777777" w:rsidR="00A54177" w:rsidRDefault="00A54177" w:rsidP="00A54177"/>
    <w:sectPr w:rsidR="00A54177" w:rsidSect="00A54177">
      <w:footerReference w:type="default" r:id="rId8"/>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EE8328" w14:textId="77777777" w:rsidR="00656084" w:rsidRDefault="00656084" w:rsidP="00A54177">
      <w:r>
        <w:separator/>
      </w:r>
    </w:p>
  </w:endnote>
  <w:endnote w:type="continuationSeparator" w:id="0">
    <w:p w14:paraId="1E13ABCA" w14:textId="77777777" w:rsidR="00656084" w:rsidRDefault="00656084" w:rsidP="00A541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adea">
    <w:altName w:val="Cambria"/>
    <w:charset w:val="01"/>
    <w:family w:val="roman"/>
    <w:pitch w:val="variable"/>
  </w:font>
  <w:font w:name="Calibri">
    <w:panose1 w:val="020F0502020204030204"/>
    <w:charset w:val="EE"/>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8975424"/>
      <w:docPartObj>
        <w:docPartGallery w:val="Page Numbers (Bottom of Page)"/>
        <w:docPartUnique/>
      </w:docPartObj>
    </w:sdtPr>
    <w:sdtContent>
      <w:p w14:paraId="6E9AC349" w14:textId="170BEBDA" w:rsidR="00A54177" w:rsidRDefault="00A54177">
        <w:pPr>
          <w:pStyle w:val="Footer"/>
          <w:jc w:val="center"/>
        </w:pPr>
        <w:r>
          <w:fldChar w:fldCharType="begin"/>
        </w:r>
        <w:r>
          <w:instrText>PAGE   \* MERGEFORMAT</w:instrText>
        </w:r>
        <w:r>
          <w:fldChar w:fldCharType="separate"/>
        </w:r>
        <w:r>
          <w:rPr>
            <w:lang w:val="pl-PL"/>
          </w:rPr>
          <w:t>2</w:t>
        </w:r>
        <w:r>
          <w:fldChar w:fldCharType="end"/>
        </w:r>
      </w:p>
    </w:sdtContent>
  </w:sdt>
  <w:p w14:paraId="61014026" w14:textId="77777777" w:rsidR="00A54177" w:rsidRDefault="00A541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AFB891" w14:textId="77777777" w:rsidR="00656084" w:rsidRDefault="00656084" w:rsidP="00A54177">
      <w:r>
        <w:separator/>
      </w:r>
    </w:p>
  </w:footnote>
  <w:footnote w:type="continuationSeparator" w:id="0">
    <w:p w14:paraId="089F914A" w14:textId="77777777" w:rsidR="00656084" w:rsidRDefault="00656084" w:rsidP="00A5417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177"/>
    <w:rsid w:val="00015972"/>
    <w:rsid w:val="00025B4E"/>
    <w:rsid w:val="000E6628"/>
    <w:rsid w:val="00133655"/>
    <w:rsid w:val="0019123F"/>
    <w:rsid w:val="001F706C"/>
    <w:rsid w:val="00215EAA"/>
    <w:rsid w:val="00295C3C"/>
    <w:rsid w:val="002B0525"/>
    <w:rsid w:val="002C78A2"/>
    <w:rsid w:val="003D3600"/>
    <w:rsid w:val="003F293F"/>
    <w:rsid w:val="00400256"/>
    <w:rsid w:val="0046383B"/>
    <w:rsid w:val="004D6095"/>
    <w:rsid w:val="00541829"/>
    <w:rsid w:val="005465C7"/>
    <w:rsid w:val="0055156C"/>
    <w:rsid w:val="00554205"/>
    <w:rsid w:val="005979C9"/>
    <w:rsid w:val="005E18FB"/>
    <w:rsid w:val="00654719"/>
    <w:rsid w:val="00656084"/>
    <w:rsid w:val="0068367B"/>
    <w:rsid w:val="006863FD"/>
    <w:rsid w:val="00822A2D"/>
    <w:rsid w:val="0084232E"/>
    <w:rsid w:val="00880D15"/>
    <w:rsid w:val="008F4228"/>
    <w:rsid w:val="00914FCB"/>
    <w:rsid w:val="009714E0"/>
    <w:rsid w:val="009C4148"/>
    <w:rsid w:val="009C7C94"/>
    <w:rsid w:val="00A54177"/>
    <w:rsid w:val="00A81949"/>
    <w:rsid w:val="00AB65D5"/>
    <w:rsid w:val="00B407B8"/>
    <w:rsid w:val="00B845FA"/>
    <w:rsid w:val="00BB7968"/>
    <w:rsid w:val="00C034F9"/>
    <w:rsid w:val="00D4599C"/>
    <w:rsid w:val="00D81EA4"/>
    <w:rsid w:val="00E2335A"/>
    <w:rsid w:val="00E346C8"/>
    <w:rsid w:val="00E50CA2"/>
    <w:rsid w:val="00F655A3"/>
    <w:rsid w:val="00F72C55"/>
    <w:rsid w:val="00F72DBF"/>
    <w:rsid w:val="00FB05D9"/>
    <w:rsid w:val="00FB30B8"/>
    <w:rsid w:val="00FE730D"/>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123194"/>
  <w15:chartTrackingRefBased/>
  <w15:docId w15:val="{13571737-FCC6-45A6-8E94-2D5615D07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pl-P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177"/>
    <w:pPr>
      <w:spacing w:after="0" w:line="240" w:lineRule="auto"/>
    </w:pPr>
    <w:rPr>
      <w:rFonts w:ascii="Times New Roman" w:eastAsia="Times New Roman" w:hAnsi="Times New Roman" w:cs="Times New Roman"/>
      <w:sz w:val="20"/>
      <w:szCs w:val="20"/>
      <w:lang w:val="en-GB" w:eastAsia="en-GB"/>
      <w14:ligatures w14:val="none"/>
    </w:rPr>
  </w:style>
  <w:style w:type="paragraph" w:styleId="Heading1">
    <w:name w:val="heading 1"/>
    <w:basedOn w:val="Normal"/>
    <w:next w:val="Normal"/>
    <w:link w:val="Heading1Char"/>
    <w:uiPriority w:val="9"/>
    <w:qFormat/>
    <w:rsid w:val="00A541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41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1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1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1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17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17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17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17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1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41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41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41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41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41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1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1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177"/>
    <w:rPr>
      <w:rFonts w:eastAsiaTheme="majorEastAsia" w:cstheme="majorBidi"/>
      <w:color w:val="272727" w:themeColor="text1" w:themeTint="D8"/>
    </w:rPr>
  </w:style>
  <w:style w:type="paragraph" w:styleId="Title">
    <w:name w:val="Title"/>
    <w:basedOn w:val="Normal"/>
    <w:next w:val="Normal"/>
    <w:link w:val="TitleChar"/>
    <w:uiPriority w:val="10"/>
    <w:qFormat/>
    <w:rsid w:val="00A5417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1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1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1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177"/>
    <w:pPr>
      <w:spacing w:before="160"/>
      <w:jc w:val="center"/>
    </w:pPr>
    <w:rPr>
      <w:i/>
      <w:iCs/>
      <w:color w:val="404040" w:themeColor="text1" w:themeTint="BF"/>
    </w:rPr>
  </w:style>
  <w:style w:type="character" w:customStyle="1" w:styleId="QuoteChar">
    <w:name w:val="Quote Char"/>
    <w:basedOn w:val="DefaultParagraphFont"/>
    <w:link w:val="Quote"/>
    <w:uiPriority w:val="29"/>
    <w:rsid w:val="00A54177"/>
    <w:rPr>
      <w:i/>
      <w:iCs/>
      <w:color w:val="404040" w:themeColor="text1" w:themeTint="BF"/>
    </w:rPr>
  </w:style>
  <w:style w:type="paragraph" w:styleId="ListParagraph">
    <w:name w:val="List Paragraph"/>
    <w:basedOn w:val="Normal"/>
    <w:uiPriority w:val="34"/>
    <w:qFormat/>
    <w:rsid w:val="00A54177"/>
    <w:pPr>
      <w:ind w:left="720"/>
      <w:contextualSpacing/>
    </w:pPr>
  </w:style>
  <w:style w:type="character" w:styleId="IntenseEmphasis">
    <w:name w:val="Intense Emphasis"/>
    <w:basedOn w:val="DefaultParagraphFont"/>
    <w:uiPriority w:val="21"/>
    <w:qFormat/>
    <w:rsid w:val="00A54177"/>
    <w:rPr>
      <w:i/>
      <w:iCs/>
      <w:color w:val="0F4761" w:themeColor="accent1" w:themeShade="BF"/>
    </w:rPr>
  </w:style>
  <w:style w:type="paragraph" w:styleId="IntenseQuote">
    <w:name w:val="Intense Quote"/>
    <w:basedOn w:val="Normal"/>
    <w:next w:val="Normal"/>
    <w:link w:val="IntenseQuoteChar"/>
    <w:uiPriority w:val="30"/>
    <w:qFormat/>
    <w:rsid w:val="00A541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4177"/>
    <w:rPr>
      <w:i/>
      <w:iCs/>
      <w:color w:val="0F4761" w:themeColor="accent1" w:themeShade="BF"/>
    </w:rPr>
  </w:style>
  <w:style w:type="character" w:styleId="IntenseReference">
    <w:name w:val="Intense Reference"/>
    <w:basedOn w:val="DefaultParagraphFont"/>
    <w:uiPriority w:val="32"/>
    <w:qFormat/>
    <w:rsid w:val="00A54177"/>
    <w:rPr>
      <w:b/>
      <w:bCs/>
      <w:smallCaps/>
      <w:color w:val="0F4761" w:themeColor="accent1" w:themeShade="BF"/>
      <w:spacing w:val="5"/>
    </w:rPr>
  </w:style>
  <w:style w:type="paragraph" w:styleId="Header">
    <w:name w:val="header"/>
    <w:basedOn w:val="Normal"/>
    <w:link w:val="HeaderChar"/>
    <w:uiPriority w:val="99"/>
    <w:unhideWhenUsed/>
    <w:rsid w:val="00A54177"/>
    <w:pPr>
      <w:tabs>
        <w:tab w:val="center" w:pos="4536"/>
        <w:tab w:val="right" w:pos="9072"/>
      </w:tabs>
    </w:pPr>
  </w:style>
  <w:style w:type="character" w:customStyle="1" w:styleId="HeaderChar">
    <w:name w:val="Header Char"/>
    <w:basedOn w:val="DefaultParagraphFont"/>
    <w:link w:val="Header"/>
    <w:uiPriority w:val="99"/>
    <w:rsid w:val="00A54177"/>
    <w:rPr>
      <w:rFonts w:ascii="Times New Roman" w:eastAsia="Times New Roman" w:hAnsi="Times New Roman" w:cs="Times New Roman"/>
      <w:sz w:val="20"/>
      <w:szCs w:val="20"/>
      <w:lang w:val="en-GB" w:eastAsia="en-GB"/>
      <w14:ligatures w14:val="none"/>
    </w:rPr>
  </w:style>
  <w:style w:type="paragraph" w:styleId="Footer">
    <w:name w:val="footer"/>
    <w:basedOn w:val="Normal"/>
    <w:link w:val="FooterChar"/>
    <w:uiPriority w:val="99"/>
    <w:unhideWhenUsed/>
    <w:rsid w:val="00A54177"/>
    <w:pPr>
      <w:tabs>
        <w:tab w:val="center" w:pos="4536"/>
        <w:tab w:val="right" w:pos="9072"/>
      </w:tabs>
    </w:pPr>
  </w:style>
  <w:style w:type="character" w:customStyle="1" w:styleId="FooterChar">
    <w:name w:val="Footer Char"/>
    <w:basedOn w:val="DefaultParagraphFont"/>
    <w:link w:val="Footer"/>
    <w:uiPriority w:val="99"/>
    <w:rsid w:val="00A54177"/>
    <w:rPr>
      <w:rFonts w:ascii="Times New Roman" w:eastAsia="Times New Roman" w:hAnsi="Times New Roman" w:cs="Times New Roman"/>
      <w:sz w:val="20"/>
      <w:szCs w:val="20"/>
      <w:lang w:val="en-GB" w:eastAsia="en-GB"/>
      <w14:ligatures w14:val="none"/>
    </w:rPr>
  </w:style>
  <w:style w:type="paragraph" w:styleId="NormalWeb">
    <w:name w:val="Normal (Web)"/>
    <w:basedOn w:val="Normal"/>
    <w:uiPriority w:val="99"/>
    <w:unhideWhenUsed/>
    <w:rsid w:val="00025B4E"/>
    <w:pPr>
      <w:spacing w:before="100" w:beforeAutospacing="1" w:after="100" w:afterAutospacing="1"/>
    </w:pPr>
    <w:rPr>
      <w:sz w:val="24"/>
      <w:szCs w:val="24"/>
    </w:rPr>
  </w:style>
  <w:style w:type="paragraph" w:styleId="TOCHeading">
    <w:name w:val="TOC Heading"/>
    <w:basedOn w:val="Heading1"/>
    <w:next w:val="Normal"/>
    <w:uiPriority w:val="39"/>
    <w:unhideWhenUsed/>
    <w:qFormat/>
    <w:rsid w:val="00E2335A"/>
    <w:pPr>
      <w:spacing w:before="240" w:after="0" w:line="259" w:lineRule="auto"/>
      <w:outlineLvl w:val="9"/>
    </w:pPr>
    <w:rPr>
      <w:sz w:val="32"/>
      <w:szCs w:val="32"/>
      <w:lang w:val="pl-PL" w:eastAsia="pl-PL"/>
    </w:rPr>
  </w:style>
  <w:style w:type="paragraph" w:styleId="TOC1">
    <w:name w:val="toc 1"/>
    <w:basedOn w:val="Normal"/>
    <w:next w:val="Normal"/>
    <w:autoRedefine/>
    <w:uiPriority w:val="39"/>
    <w:unhideWhenUsed/>
    <w:rsid w:val="00E2335A"/>
    <w:pPr>
      <w:spacing w:after="100"/>
    </w:pPr>
  </w:style>
  <w:style w:type="paragraph" w:styleId="TOC2">
    <w:name w:val="toc 2"/>
    <w:basedOn w:val="Normal"/>
    <w:next w:val="Normal"/>
    <w:autoRedefine/>
    <w:uiPriority w:val="39"/>
    <w:unhideWhenUsed/>
    <w:rsid w:val="00E2335A"/>
    <w:pPr>
      <w:spacing w:after="100"/>
      <w:ind w:left="200"/>
    </w:pPr>
  </w:style>
  <w:style w:type="character" w:styleId="Hyperlink">
    <w:name w:val="Hyperlink"/>
    <w:basedOn w:val="DefaultParagraphFont"/>
    <w:uiPriority w:val="99"/>
    <w:unhideWhenUsed/>
    <w:rsid w:val="00E2335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279980">
      <w:bodyDiv w:val="1"/>
      <w:marLeft w:val="0"/>
      <w:marRight w:val="0"/>
      <w:marTop w:val="0"/>
      <w:marBottom w:val="0"/>
      <w:divBdr>
        <w:top w:val="none" w:sz="0" w:space="0" w:color="auto"/>
        <w:left w:val="none" w:sz="0" w:space="0" w:color="auto"/>
        <w:bottom w:val="none" w:sz="0" w:space="0" w:color="auto"/>
        <w:right w:val="none" w:sz="0" w:space="0" w:color="auto"/>
      </w:divBdr>
    </w:div>
    <w:div w:id="201676118">
      <w:bodyDiv w:val="1"/>
      <w:marLeft w:val="0"/>
      <w:marRight w:val="0"/>
      <w:marTop w:val="0"/>
      <w:marBottom w:val="0"/>
      <w:divBdr>
        <w:top w:val="none" w:sz="0" w:space="0" w:color="auto"/>
        <w:left w:val="none" w:sz="0" w:space="0" w:color="auto"/>
        <w:bottom w:val="none" w:sz="0" w:space="0" w:color="auto"/>
        <w:right w:val="none" w:sz="0" w:space="0" w:color="auto"/>
      </w:divBdr>
    </w:div>
    <w:div w:id="206794840">
      <w:bodyDiv w:val="1"/>
      <w:marLeft w:val="0"/>
      <w:marRight w:val="0"/>
      <w:marTop w:val="0"/>
      <w:marBottom w:val="0"/>
      <w:divBdr>
        <w:top w:val="none" w:sz="0" w:space="0" w:color="auto"/>
        <w:left w:val="none" w:sz="0" w:space="0" w:color="auto"/>
        <w:bottom w:val="none" w:sz="0" w:space="0" w:color="auto"/>
        <w:right w:val="none" w:sz="0" w:space="0" w:color="auto"/>
      </w:divBdr>
    </w:div>
    <w:div w:id="432676126">
      <w:bodyDiv w:val="1"/>
      <w:marLeft w:val="0"/>
      <w:marRight w:val="0"/>
      <w:marTop w:val="0"/>
      <w:marBottom w:val="0"/>
      <w:divBdr>
        <w:top w:val="none" w:sz="0" w:space="0" w:color="auto"/>
        <w:left w:val="none" w:sz="0" w:space="0" w:color="auto"/>
        <w:bottom w:val="none" w:sz="0" w:space="0" w:color="auto"/>
        <w:right w:val="none" w:sz="0" w:space="0" w:color="auto"/>
      </w:divBdr>
    </w:div>
    <w:div w:id="720638864">
      <w:bodyDiv w:val="1"/>
      <w:marLeft w:val="0"/>
      <w:marRight w:val="0"/>
      <w:marTop w:val="0"/>
      <w:marBottom w:val="0"/>
      <w:divBdr>
        <w:top w:val="none" w:sz="0" w:space="0" w:color="auto"/>
        <w:left w:val="none" w:sz="0" w:space="0" w:color="auto"/>
        <w:bottom w:val="none" w:sz="0" w:space="0" w:color="auto"/>
        <w:right w:val="none" w:sz="0" w:space="0" w:color="auto"/>
      </w:divBdr>
    </w:div>
    <w:div w:id="856426825">
      <w:bodyDiv w:val="1"/>
      <w:marLeft w:val="0"/>
      <w:marRight w:val="0"/>
      <w:marTop w:val="0"/>
      <w:marBottom w:val="0"/>
      <w:divBdr>
        <w:top w:val="none" w:sz="0" w:space="0" w:color="auto"/>
        <w:left w:val="none" w:sz="0" w:space="0" w:color="auto"/>
        <w:bottom w:val="none" w:sz="0" w:space="0" w:color="auto"/>
        <w:right w:val="none" w:sz="0" w:space="0" w:color="auto"/>
      </w:divBdr>
    </w:div>
    <w:div w:id="891384391">
      <w:bodyDiv w:val="1"/>
      <w:marLeft w:val="0"/>
      <w:marRight w:val="0"/>
      <w:marTop w:val="0"/>
      <w:marBottom w:val="0"/>
      <w:divBdr>
        <w:top w:val="none" w:sz="0" w:space="0" w:color="auto"/>
        <w:left w:val="none" w:sz="0" w:space="0" w:color="auto"/>
        <w:bottom w:val="none" w:sz="0" w:space="0" w:color="auto"/>
        <w:right w:val="none" w:sz="0" w:space="0" w:color="auto"/>
      </w:divBdr>
    </w:div>
    <w:div w:id="1151487901">
      <w:bodyDiv w:val="1"/>
      <w:marLeft w:val="0"/>
      <w:marRight w:val="0"/>
      <w:marTop w:val="0"/>
      <w:marBottom w:val="0"/>
      <w:divBdr>
        <w:top w:val="none" w:sz="0" w:space="0" w:color="auto"/>
        <w:left w:val="none" w:sz="0" w:space="0" w:color="auto"/>
        <w:bottom w:val="none" w:sz="0" w:space="0" w:color="auto"/>
        <w:right w:val="none" w:sz="0" w:space="0" w:color="auto"/>
      </w:divBdr>
    </w:div>
    <w:div w:id="1291933789">
      <w:bodyDiv w:val="1"/>
      <w:marLeft w:val="0"/>
      <w:marRight w:val="0"/>
      <w:marTop w:val="0"/>
      <w:marBottom w:val="0"/>
      <w:divBdr>
        <w:top w:val="none" w:sz="0" w:space="0" w:color="auto"/>
        <w:left w:val="none" w:sz="0" w:space="0" w:color="auto"/>
        <w:bottom w:val="none" w:sz="0" w:space="0" w:color="auto"/>
        <w:right w:val="none" w:sz="0" w:space="0" w:color="auto"/>
      </w:divBdr>
    </w:div>
    <w:div w:id="1331639302">
      <w:bodyDiv w:val="1"/>
      <w:marLeft w:val="0"/>
      <w:marRight w:val="0"/>
      <w:marTop w:val="0"/>
      <w:marBottom w:val="0"/>
      <w:divBdr>
        <w:top w:val="none" w:sz="0" w:space="0" w:color="auto"/>
        <w:left w:val="none" w:sz="0" w:space="0" w:color="auto"/>
        <w:bottom w:val="none" w:sz="0" w:space="0" w:color="auto"/>
        <w:right w:val="none" w:sz="0" w:space="0" w:color="auto"/>
      </w:divBdr>
    </w:div>
    <w:div w:id="1443648828">
      <w:bodyDiv w:val="1"/>
      <w:marLeft w:val="0"/>
      <w:marRight w:val="0"/>
      <w:marTop w:val="0"/>
      <w:marBottom w:val="0"/>
      <w:divBdr>
        <w:top w:val="none" w:sz="0" w:space="0" w:color="auto"/>
        <w:left w:val="none" w:sz="0" w:space="0" w:color="auto"/>
        <w:bottom w:val="none" w:sz="0" w:space="0" w:color="auto"/>
        <w:right w:val="none" w:sz="0" w:space="0" w:color="auto"/>
      </w:divBdr>
    </w:div>
    <w:div w:id="1598365944">
      <w:bodyDiv w:val="1"/>
      <w:marLeft w:val="0"/>
      <w:marRight w:val="0"/>
      <w:marTop w:val="0"/>
      <w:marBottom w:val="0"/>
      <w:divBdr>
        <w:top w:val="none" w:sz="0" w:space="0" w:color="auto"/>
        <w:left w:val="none" w:sz="0" w:space="0" w:color="auto"/>
        <w:bottom w:val="none" w:sz="0" w:space="0" w:color="auto"/>
        <w:right w:val="none" w:sz="0" w:space="0" w:color="auto"/>
      </w:divBdr>
    </w:div>
    <w:div w:id="1652980804">
      <w:bodyDiv w:val="1"/>
      <w:marLeft w:val="0"/>
      <w:marRight w:val="0"/>
      <w:marTop w:val="0"/>
      <w:marBottom w:val="0"/>
      <w:divBdr>
        <w:top w:val="none" w:sz="0" w:space="0" w:color="auto"/>
        <w:left w:val="none" w:sz="0" w:space="0" w:color="auto"/>
        <w:bottom w:val="none" w:sz="0" w:space="0" w:color="auto"/>
        <w:right w:val="none" w:sz="0" w:space="0" w:color="auto"/>
      </w:divBdr>
    </w:div>
    <w:div w:id="1685671726">
      <w:bodyDiv w:val="1"/>
      <w:marLeft w:val="0"/>
      <w:marRight w:val="0"/>
      <w:marTop w:val="0"/>
      <w:marBottom w:val="0"/>
      <w:divBdr>
        <w:top w:val="none" w:sz="0" w:space="0" w:color="auto"/>
        <w:left w:val="none" w:sz="0" w:space="0" w:color="auto"/>
        <w:bottom w:val="none" w:sz="0" w:space="0" w:color="auto"/>
        <w:right w:val="none" w:sz="0" w:space="0" w:color="auto"/>
      </w:divBdr>
    </w:div>
    <w:div w:id="1880513258">
      <w:bodyDiv w:val="1"/>
      <w:marLeft w:val="0"/>
      <w:marRight w:val="0"/>
      <w:marTop w:val="0"/>
      <w:marBottom w:val="0"/>
      <w:divBdr>
        <w:top w:val="none" w:sz="0" w:space="0" w:color="auto"/>
        <w:left w:val="none" w:sz="0" w:space="0" w:color="auto"/>
        <w:bottom w:val="none" w:sz="0" w:space="0" w:color="auto"/>
        <w:right w:val="none" w:sz="0" w:space="0" w:color="auto"/>
      </w:divBdr>
    </w:div>
    <w:div w:id="1927836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895BB3-1A90-4A00-9FB1-39E0F6E69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9</Pages>
  <Words>8692</Words>
  <Characters>53806</Characters>
  <Application>Microsoft Office Word</Application>
  <DocSecurity>0</DocSecurity>
  <Lines>1454</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 C</dc:creator>
  <cp:keywords/>
  <dc:description/>
  <cp:lastModifiedBy>Gab C</cp:lastModifiedBy>
  <cp:revision>41</cp:revision>
  <dcterms:created xsi:type="dcterms:W3CDTF">2025-05-04T16:13:00Z</dcterms:created>
  <dcterms:modified xsi:type="dcterms:W3CDTF">2025-05-12T10:35:00Z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94b4dfee-4dc5-4a8e-9881-e62fddbd8ddd</vt:lpwstr>
  </property>
  <property fmtid="{D5CDD505-2E9C-101B-9397-08002B2CF9AE}" pid="3" name="Mendeley Document_1">
    <vt:lpwstr>True</vt:lpwstr>
  </property>
  <property fmtid="{D5CDD505-2E9C-101B-9397-08002B2CF9AE}" pid="4" name="Mendeley Unique User Id_1">
    <vt:lpwstr>e6a58c96-d959-3a3d-9917-9819bb5bdc67</vt:lpwstr>
  </property>
  <property fmtid="{D5CDD505-2E9C-101B-9397-08002B2CF9AE}" pid="5" name="Mendeley Citation Style_1">
    <vt:lpwstr>http://www.zotero.org/styles/ieee</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 11th edition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7th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 6th edition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17th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12th edition - Harvard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9th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