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FA2CF6" w14:textId="592DD9E4" w:rsidR="006543C4" w:rsidRPr="00837FEC" w:rsidRDefault="001745E6" w:rsidP="008A3081">
      <w:pPr>
        <w:spacing w:line="360" w:lineRule="auto"/>
        <w:jc w:val="center"/>
        <w:rPr>
          <w:sz w:val="32"/>
          <w:szCs w:val="32"/>
        </w:rPr>
      </w:pPr>
      <w:r w:rsidRPr="00837FEC">
        <w:rPr>
          <w:sz w:val="32"/>
          <w:szCs w:val="32"/>
        </w:rPr>
        <w:t>Module Name: Introduction to Physiology</w:t>
      </w:r>
    </w:p>
    <w:p w14:paraId="3A243103" w14:textId="75FA033F" w:rsidR="001745E6" w:rsidRPr="00837FEC" w:rsidRDefault="001745E6" w:rsidP="008A3081">
      <w:pPr>
        <w:spacing w:line="360" w:lineRule="auto"/>
        <w:jc w:val="center"/>
        <w:rPr>
          <w:sz w:val="32"/>
          <w:szCs w:val="32"/>
        </w:rPr>
      </w:pPr>
      <w:r w:rsidRPr="00837FEC">
        <w:rPr>
          <w:sz w:val="32"/>
          <w:szCs w:val="32"/>
        </w:rPr>
        <w:t>Module Code: BMHP5023</w:t>
      </w:r>
    </w:p>
    <w:p w14:paraId="7198FF7C" w14:textId="7420204D" w:rsidR="00837FEC" w:rsidRDefault="000624AD" w:rsidP="008A3081">
      <w:pPr>
        <w:spacing w:line="360" w:lineRule="auto"/>
        <w:jc w:val="center"/>
        <w:rPr>
          <w:sz w:val="32"/>
          <w:szCs w:val="32"/>
        </w:rPr>
      </w:pPr>
      <w:r w:rsidRPr="00837FEC">
        <w:rPr>
          <w:sz w:val="32"/>
          <w:szCs w:val="32"/>
        </w:rPr>
        <w:t>Assignment Title: Component 1: Written Assignment (Case Study Report)</w:t>
      </w:r>
    </w:p>
    <w:p w14:paraId="7C389F0E" w14:textId="77777777" w:rsidR="00E26457" w:rsidRDefault="00E26457" w:rsidP="008A3081">
      <w:pPr>
        <w:spacing w:line="360" w:lineRule="auto"/>
        <w:jc w:val="center"/>
        <w:rPr>
          <w:sz w:val="32"/>
          <w:szCs w:val="32"/>
        </w:rPr>
      </w:pPr>
    </w:p>
    <w:p w14:paraId="249A8F33" w14:textId="77777777" w:rsidR="00E26457" w:rsidRDefault="00E26457" w:rsidP="008A3081">
      <w:pPr>
        <w:spacing w:line="360" w:lineRule="auto"/>
        <w:jc w:val="center"/>
        <w:rPr>
          <w:sz w:val="32"/>
          <w:szCs w:val="32"/>
        </w:rPr>
      </w:pPr>
    </w:p>
    <w:p w14:paraId="0436EB75" w14:textId="38E35B32" w:rsidR="00A03E85" w:rsidRDefault="00E26457" w:rsidP="00E26457">
      <w:pPr>
        <w:spacing w:line="360" w:lineRule="auto"/>
        <w:jc w:val="left"/>
        <w:rPr>
          <w:sz w:val="32"/>
          <w:szCs w:val="32"/>
        </w:rPr>
      </w:pPr>
      <w:r>
        <w:rPr>
          <w:sz w:val="32"/>
          <w:szCs w:val="32"/>
        </w:rPr>
        <w:t>Student Name:</w:t>
      </w:r>
      <w:r w:rsidR="00947A94">
        <w:rPr>
          <w:sz w:val="32"/>
          <w:szCs w:val="32"/>
        </w:rPr>
        <w:t xml:space="preserve"> mehnaz </w:t>
      </w:r>
      <w:proofErr w:type="spellStart"/>
      <w:r w:rsidR="00947A94">
        <w:rPr>
          <w:sz w:val="32"/>
          <w:szCs w:val="32"/>
        </w:rPr>
        <w:t>iqbal</w:t>
      </w:r>
      <w:proofErr w:type="spellEnd"/>
      <w:r>
        <w:rPr>
          <w:sz w:val="32"/>
          <w:szCs w:val="32"/>
        </w:rPr>
        <w:br/>
        <w:t>Student ID:</w:t>
      </w:r>
      <w:r w:rsidR="00947A94">
        <w:rPr>
          <w:sz w:val="32"/>
          <w:szCs w:val="32"/>
        </w:rPr>
        <w:t xml:space="preserve"> 2511940</w:t>
      </w:r>
    </w:p>
    <w:p w14:paraId="6D8DA9FF" w14:textId="77777777" w:rsidR="00A03E85" w:rsidRDefault="00A03E85">
      <w:pPr>
        <w:jc w:val="left"/>
        <w:rPr>
          <w:sz w:val="32"/>
          <w:szCs w:val="32"/>
        </w:rPr>
      </w:pPr>
      <w:r>
        <w:rPr>
          <w:sz w:val="32"/>
          <w:szCs w:val="32"/>
        </w:rPr>
        <w:br w:type="page"/>
      </w:r>
    </w:p>
    <w:sdt>
      <w:sdtPr>
        <w:rPr>
          <w:rFonts w:ascii="Times New Roman" w:eastAsiaTheme="minorHAnsi" w:hAnsi="Times New Roman" w:cstheme="minorBidi"/>
          <w:color w:val="auto"/>
          <w:kern w:val="2"/>
          <w:sz w:val="24"/>
          <w:szCs w:val="24"/>
          <w14:ligatures w14:val="standardContextual"/>
        </w:rPr>
        <w:id w:val="-393581959"/>
        <w:docPartObj>
          <w:docPartGallery w:val="Table of Contents"/>
          <w:docPartUnique/>
        </w:docPartObj>
      </w:sdtPr>
      <w:sdtEndPr>
        <w:rPr>
          <w:b/>
          <w:bCs/>
          <w:noProof/>
        </w:rPr>
      </w:sdtEndPr>
      <w:sdtContent>
        <w:p w14:paraId="26C21114" w14:textId="4447098A" w:rsidR="00A03E85" w:rsidRDefault="00A03E85">
          <w:pPr>
            <w:pStyle w:val="TOCHeading"/>
          </w:pPr>
          <w:r>
            <w:t>Contents</w:t>
          </w:r>
        </w:p>
        <w:p w14:paraId="29F4BDB0" w14:textId="77777777" w:rsidR="00434E69" w:rsidRDefault="00A03E85">
          <w:pPr>
            <w:pStyle w:val="TOC1"/>
            <w:tabs>
              <w:tab w:val="right" w:leader="dot" w:pos="9350"/>
            </w:tabs>
            <w:rPr>
              <w:rFonts w:asciiTheme="minorHAnsi" w:eastAsiaTheme="minorEastAsia" w:hAnsiTheme="minorHAnsi"/>
              <w:noProof/>
              <w:kern w:val="0"/>
              <w:sz w:val="22"/>
              <w:szCs w:val="22"/>
              <w14:ligatures w14:val="none"/>
            </w:rPr>
          </w:pPr>
          <w:r>
            <w:rPr>
              <w:b/>
              <w:bCs/>
              <w:noProof/>
            </w:rPr>
            <w:fldChar w:fldCharType="begin"/>
          </w:r>
          <w:r>
            <w:rPr>
              <w:b/>
              <w:bCs/>
              <w:noProof/>
            </w:rPr>
            <w:instrText xml:space="preserve"> TOC \o "1-3" \h \z \u </w:instrText>
          </w:r>
          <w:r>
            <w:rPr>
              <w:b/>
              <w:bCs/>
              <w:noProof/>
            </w:rPr>
            <w:fldChar w:fldCharType="separate"/>
          </w:r>
          <w:hyperlink w:anchor="_Toc243380756" w:history="1">
            <w:r w:rsidR="00434E69" w:rsidRPr="00C53C61">
              <w:rPr>
                <w:rStyle w:val="Hyperlink"/>
                <w:noProof/>
              </w:rPr>
              <w:t>1. Introduction</w:t>
            </w:r>
            <w:r w:rsidR="00434E69">
              <w:rPr>
                <w:noProof/>
                <w:webHidden/>
              </w:rPr>
              <w:tab/>
            </w:r>
            <w:r w:rsidR="00434E69">
              <w:rPr>
                <w:noProof/>
                <w:webHidden/>
              </w:rPr>
              <w:fldChar w:fldCharType="begin"/>
            </w:r>
            <w:r w:rsidR="00434E69">
              <w:rPr>
                <w:noProof/>
                <w:webHidden/>
              </w:rPr>
              <w:instrText xml:space="preserve"> PAGEREF _Toc243380756 \h </w:instrText>
            </w:r>
            <w:r w:rsidR="00434E69">
              <w:rPr>
                <w:noProof/>
                <w:webHidden/>
              </w:rPr>
            </w:r>
            <w:r w:rsidR="00434E69">
              <w:rPr>
                <w:noProof/>
                <w:webHidden/>
              </w:rPr>
              <w:fldChar w:fldCharType="separate"/>
            </w:r>
            <w:r w:rsidR="00434E69">
              <w:rPr>
                <w:noProof/>
                <w:webHidden/>
              </w:rPr>
              <w:t>3</w:t>
            </w:r>
            <w:r w:rsidR="00434E69">
              <w:rPr>
                <w:noProof/>
                <w:webHidden/>
              </w:rPr>
              <w:fldChar w:fldCharType="end"/>
            </w:r>
          </w:hyperlink>
        </w:p>
        <w:p w14:paraId="2D1DE553" w14:textId="77777777" w:rsidR="00434E69" w:rsidRDefault="00434E69">
          <w:pPr>
            <w:pStyle w:val="TOC1"/>
            <w:tabs>
              <w:tab w:val="right" w:leader="dot" w:pos="9350"/>
            </w:tabs>
            <w:rPr>
              <w:rFonts w:asciiTheme="minorHAnsi" w:eastAsiaTheme="minorEastAsia" w:hAnsiTheme="minorHAnsi"/>
              <w:noProof/>
              <w:kern w:val="0"/>
              <w:sz w:val="22"/>
              <w:szCs w:val="22"/>
              <w14:ligatures w14:val="none"/>
            </w:rPr>
          </w:pPr>
          <w:hyperlink w:anchor="_Toc243380757" w:history="1">
            <w:r w:rsidRPr="00C53C61">
              <w:rPr>
                <w:rStyle w:val="Hyperlink"/>
                <w:noProof/>
              </w:rPr>
              <w:t>2. Regulation of Blood Glucose and Homeostasis</w:t>
            </w:r>
            <w:r>
              <w:rPr>
                <w:noProof/>
                <w:webHidden/>
              </w:rPr>
              <w:tab/>
            </w:r>
            <w:r>
              <w:rPr>
                <w:noProof/>
                <w:webHidden/>
              </w:rPr>
              <w:fldChar w:fldCharType="begin"/>
            </w:r>
            <w:r>
              <w:rPr>
                <w:noProof/>
                <w:webHidden/>
              </w:rPr>
              <w:instrText xml:space="preserve"> PAGEREF _Toc243380757 \h </w:instrText>
            </w:r>
            <w:r>
              <w:rPr>
                <w:noProof/>
                <w:webHidden/>
              </w:rPr>
            </w:r>
            <w:r>
              <w:rPr>
                <w:noProof/>
                <w:webHidden/>
              </w:rPr>
              <w:fldChar w:fldCharType="separate"/>
            </w:r>
            <w:r>
              <w:rPr>
                <w:noProof/>
                <w:webHidden/>
              </w:rPr>
              <w:t>3</w:t>
            </w:r>
            <w:r>
              <w:rPr>
                <w:noProof/>
                <w:webHidden/>
              </w:rPr>
              <w:fldChar w:fldCharType="end"/>
            </w:r>
          </w:hyperlink>
        </w:p>
        <w:p w14:paraId="6EF37991" w14:textId="77777777" w:rsidR="00434E69" w:rsidRDefault="00434E69">
          <w:pPr>
            <w:pStyle w:val="TOC1"/>
            <w:tabs>
              <w:tab w:val="right" w:leader="dot" w:pos="9350"/>
            </w:tabs>
            <w:rPr>
              <w:rFonts w:asciiTheme="minorHAnsi" w:eastAsiaTheme="minorEastAsia" w:hAnsiTheme="minorHAnsi"/>
              <w:noProof/>
              <w:kern w:val="0"/>
              <w:sz w:val="22"/>
              <w:szCs w:val="22"/>
              <w14:ligatures w14:val="none"/>
            </w:rPr>
          </w:pPr>
          <w:hyperlink w:anchor="_Toc243380758" w:history="1">
            <w:r w:rsidRPr="00C53C61">
              <w:rPr>
                <w:rStyle w:val="Hyperlink"/>
                <w:noProof/>
              </w:rPr>
              <w:t>3. Glucose, Oxygen and Cellular Energy Production</w:t>
            </w:r>
            <w:r>
              <w:rPr>
                <w:noProof/>
                <w:webHidden/>
              </w:rPr>
              <w:tab/>
            </w:r>
            <w:r>
              <w:rPr>
                <w:noProof/>
                <w:webHidden/>
              </w:rPr>
              <w:fldChar w:fldCharType="begin"/>
            </w:r>
            <w:r>
              <w:rPr>
                <w:noProof/>
                <w:webHidden/>
              </w:rPr>
              <w:instrText xml:space="preserve"> PAGEREF _Toc243380758 \h </w:instrText>
            </w:r>
            <w:r>
              <w:rPr>
                <w:noProof/>
                <w:webHidden/>
              </w:rPr>
            </w:r>
            <w:r>
              <w:rPr>
                <w:noProof/>
                <w:webHidden/>
              </w:rPr>
              <w:fldChar w:fldCharType="separate"/>
            </w:r>
            <w:r>
              <w:rPr>
                <w:noProof/>
                <w:webHidden/>
              </w:rPr>
              <w:t>5</w:t>
            </w:r>
            <w:r>
              <w:rPr>
                <w:noProof/>
                <w:webHidden/>
              </w:rPr>
              <w:fldChar w:fldCharType="end"/>
            </w:r>
          </w:hyperlink>
        </w:p>
        <w:p w14:paraId="0D8B9668" w14:textId="77777777" w:rsidR="00434E69" w:rsidRDefault="00434E69">
          <w:pPr>
            <w:pStyle w:val="TOC1"/>
            <w:tabs>
              <w:tab w:val="right" w:leader="dot" w:pos="9350"/>
            </w:tabs>
            <w:rPr>
              <w:rFonts w:asciiTheme="minorHAnsi" w:eastAsiaTheme="minorEastAsia" w:hAnsiTheme="minorHAnsi"/>
              <w:noProof/>
              <w:kern w:val="0"/>
              <w:sz w:val="22"/>
              <w:szCs w:val="22"/>
              <w14:ligatures w14:val="none"/>
            </w:rPr>
          </w:pPr>
          <w:hyperlink w:anchor="_Toc243380759" w:history="1">
            <w:r w:rsidRPr="00C53C61">
              <w:rPr>
                <w:rStyle w:val="Hyperlink"/>
                <w:noProof/>
              </w:rPr>
              <w:t>4. Monitoring Blood Glucose and Use of Routine Health Data</w:t>
            </w:r>
            <w:r>
              <w:rPr>
                <w:noProof/>
                <w:webHidden/>
              </w:rPr>
              <w:tab/>
            </w:r>
            <w:r>
              <w:rPr>
                <w:noProof/>
                <w:webHidden/>
              </w:rPr>
              <w:fldChar w:fldCharType="begin"/>
            </w:r>
            <w:r>
              <w:rPr>
                <w:noProof/>
                <w:webHidden/>
              </w:rPr>
              <w:instrText xml:space="preserve"> PAGEREF _Toc243380759 \h </w:instrText>
            </w:r>
            <w:r>
              <w:rPr>
                <w:noProof/>
                <w:webHidden/>
              </w:rPr>
            </w:r>
            <w:r>
              <w:rPr>
                <w:noProof/>
                <w:webHidden/>
              </w:rPr>
              <w:fldChar w:fldCharType="separate"/>
            </w:r>
            <w:r>
              <w:rPr>
                <w:noProof/>
                <w:webHidden/>
              </w:rPr>
              <w:t>6</w:t>
            </w:r>
            <w:r>
              <w:rPr>
                <w:noProof/>
                <w:webHidden/>
              </w:rPr>
              <w:fldChar w:fldCharType="end"/>
            </w:r>
          </w:hyperlink>
        </w:p>
        <w:p w14:paraId="3F15C875" w14:textId="77777777" w:rsidR="00434E69" w:rsidRDefault="00434E69">
          <w:pPr>
            <w:pStyle w:val="TOC1"/>
            <w:tabs>
              <w:tab w:val="right" w:leader="dot" w:pos="9350"/>
            </w:tabs>
            <w:rPr>
              <w:rFonts w:asciiTheme="minorHAnsi" w:eastAsiaTheme="minorEastAsia" w:hAnsiTheme="minorHAnsi"/>
              <w:noProof/>
              <w:kern w:val="0"/>
              <w:sz w:val="22"/>
              <w:szCs w:val="22"/>
              <w14:ligatures w14:val="none"/>
            </w:rPr>
          </w:pPr>
          <w:hyperlink w:anchor="_Toc243380760" w:history="1">
            <w:r w:rsidRPr="00C53C61">
              <w:rPr>
                <w:rStyle w:val="Hyperlink"/>
                <w:noProof/>
              </w:rPr>
              <w:t>5. Evidence-Based Lifestyle Management of Type 2 Diabetes</w:t>
            </w:r>
            <w:r>
              <w:rPr>
                <w:noProof/>
                <w:webHidden/>
              </w:rPr>
              <w:tab/>
            </w:r>
            <w:r>
              <w:rPr>
                <w:noProof/>
                <w:webHidden/>
              </w:rPr>
              <w:fldChar w:fldCharType="begin"/>
            </w:r>
            <w:r>
              <w:rPr>
                <w:noProof/>
                <w:webHidden/>
              </w:rPr>
              <w:instrText xml:space="preserve"> PAGEREF _Toc243380760 \h </w:instrText>
            </w:r>
            <w:r>
              <w:rPr>
                <w:noProof/>
                <w:webHidden/>
              </w:rPr>
            </w:r>
            <w:r>
              <w:rPr>
                <w:noProof/>
                <w:webHidden/>
              </w:rPr>
              <w:fldChar w:fldCharType="separate"/>
            </w:r>
            <w:r>
              <w:rPr>
                <w:noProof/>
                <w:webHidden/>
              </w:rPr>
              <w:t>7</w:t>
            </w:r>
            <w:r>
              <w:rPr>
                <w:noProof/>
                <w:webHidden/>
              </w:rPr>
              <w:fldChar w:fldCharType="end"/>
            </w:r>
          </w:hyperlink>
        </w:p>
        <w:p w14:paraId="41B7FE94" w14:textId="77777777" w:rsidR="00434E69" w:rsidRDefault="00434E69">
          <w:pPr>
            <w:pStyle w:val="TOC1"/>
            <w:tabs>
              <w:tab w:val="right" w:leader="dot" w:pos="9350"/>
            </w:tabs>
            <w:rPr>
              <w:rFonts w:asciiTheme="minorHAnsi" w:eastAsiaTheme="minorEastAsia" w:hAnsiTheme="minorHAnsi"/>
              <w:noProof/>
              <w:kern w:val="0"/>
              <w:sz w:val="22"/>
              <w:szCs w:val="22"/>
              <w14:ligatures w14:val="none"/>
            </w:rPr>
          </w:pPr>
          <w:hyperlink w:anchor="_Toc243380761" w:history="1">
            <w:r w:rsidRPr="00C53C61">
              <w:rPr>
                <w:rStyle w:val="Hyperlink"/>
                <w:noProof/>
              </w:rPr>
              <w:t>6. Conclusion</w:t>
            </w:r>
            <w:r>
              <w:rPr>
                <w:noProof/>
                <w:webHidden/>
              </w:rPr>
              <w:tab/>
            </w:r>
            <w:r>
              <w:rPr>
                <w:noProof/>
                <w:webHidden/>
              </w:rPr>
              <w:fldChar w:fldCharType="begin"/>
            </w:r>
            <w:r>
              <w:rPr>
                <w:noProof/>
                <w:webHidden/>
              </w:rPr>
              <w:instrText xml:space="preserve"> PAGEREF _Toc243380761 \h </w:instrText>
            </w:r>
            <w:r>
              <w:rPr>
                <w:noProof/>
                <w:webHidden/>
              </w:rPr>
            </w:r>
            <w:r>
              <w:rPr>
                <w:noProof/>
                <w:webHidden/>
              </w:rPr>
              <w:fldChar w:fldCharType="separate"/>
            </w:r>
            <w:r>
              <w:rPr>
                <w:noProof/>
                <w:webHidden/>
              </w:rPr>
              <w:t>9</w:t>
            </w:r>
            <w:r>
              <w:rPr>
                <w:noProof/>
                <w:webHidden/>
              </w:rPr>
              <w:fldChar w:fldCharType="end"/>
            </w:r>
          </w:hyperlink>
        </w:p>
        <w:p w14:paraId="4AAE57F2" w14:textId="77777777" w:rsidR="00434E69" w:rsidRDefault="00434E69">
          <w:pPr>
            <w:pStyle w:val="TOC1"/>
            <w:tabs>
              <w:tab w:val="right" w:leader="dot" w:pos="9350"/>
            </w:tabs>
            <w:rPr>
              <w:rFonts w:asciiTheme="minorHAnsi" w:eastAsiaTheme="minorEastAsia" w:hAnsiTheme="minorHAnsi"/>
              <w:noProof/>
              <w:kern w:val="0"/>
              <w:sz w:val="22"/>
              <w:szCs w:val="22"/>
              <w14:ligatures w14:val="none"/>
            </w:rPr>
          </w:pPr>
          <w:hyperlink w:anchor="_Toc243380762" w:history="1">
            <w:r w:rsidRPr="00C53C61">
              <w:rPr>
                <w:rStyle w:val="Hyperlink"/>
                <w:noProof/>
              </w:rPr>
              <w:t>References</w:t>
            </w:r>
            <w:r>
              <w:rPr>
                <w:noProof/>
                <w:webHidden/>
              </w:rPr>
              <w:tab/>
            </w:r>
            <w:r>
              <w:rPr>
                <w:noProof/>
                <w:webHidden/>
              </w:rPr>
              <w:fldChar w:fldCharType="begin"/>
            </w:r>
            <w:r>
              <w:rPr>
                <w:noProof/>
                <w:webHidden/>
              </w:rPr>
              <w:instrText xml:space="preserve"> PAGEREF _Toc243380762 \h </w:instrText>
            </w:r>
            <w:r>
              <w:rPr>
                <w:noProof/>
                <w:webHidden/>
              </w:rPr>
            </w:r>
            <w:r>
              <w:rPr>
                <w:noProof/>
                <w:webHidden/>
              </w:rPr>
              <w:fldChar w:fldCharType="separate"/>
            </w:r>
            <w:r>
              <w:rPr>
                <w:noProof/>
                <w:webHidden/>
              </w:rPr>
              <w:t>10</w:t>
            </w:r>
            <w:r>
              <w:rPr>
                <w:noProof/>
                <w:webHidden/>
              </w:rPr>
              <w:fldChar w:fldCharType="end"/>
            </w:r>
          </w:hyperlink>
        </w:p>
        <w:p w14:paraId="7E15EF40" w14:textId="0FF1A4AC" w:rsidR="00A03E85" w:rsidRDefault="00A03E85">
          <w:r>
            <w:rPr>
              <w:b/>
              <w:bCs/>
              <w:noProof/>
            </w:rPr>
            <w:fldChar w:fldCharType="end"/>
          </w:r>
        </w:p>
      </w:sdtContent>
    </w:sdt>
    <w:p w14:paraId="06B52B00" w14:textId="77777777" w:rsidR="00E26457" w:rsidRDefault="00E26457" w:rsidP="00E26457">
      <w:pPr>
        <w:spacing w:line="360" w:lineRule="auto"/>
        <w:jc w:val="left"/>
        <w:rPr>
          <w:sz w:val="32"/>
          <w:szCs w:val="32"/>
        </w:rPr>
      </w:pPr>
    </w:p>
    <w:p w14:paraId="0F8425FB" w14:textId="77777777" w:rsidR="00837FEC" w:rsidRDefault="00837FEC" w:rsidP="008A3081">
      <w:pPr>
        <w:spacing w:line="360" w:lineRule="auto"/>
        <w:rPr>
          <w:sz w:val="32"/>
          <w:szCs w:val="32"/>
        </w:rPr>
      </w:pPr>
      <w:r>
        <w:rPr>
          <w:sz w:val="32"/>
          <w:szCs w:val="32"/>
        </w:rPr>
        <w:br w:type="page"/>
      </w:r>
    </w:p>
    <w:p w14:paraId="4F85D3AC" w14:textId="3698B9AC" w:rsidR="00C22484" w:rsidRDefault="00C22484" w:rsidP="00E26457">
      <w:pPr>
        <w:pStyle w:val="Heading1"/>
      </w:pPr>
      <w:bookmarkStart w:id="0" w:name="_Toc243380756"/>
      <w:r w:rsidRPr="00E26457">
        <w:lastRenderedPageBreak/>
        <w:t>1.</w:t>
      </w:r>
      <w:r w:rsidR="008A3081" w:rsidRPr="00E26457">
        <w:t xml:space="preserve"> </w:t>
      </w:r>
      <w:r w:rsidRPr="00E26457">
        <w:t>Introduction</w:t>
      </w:r>
      <w:bookmarkEnd w:id="0"/>
      <w:r w:rsidRPr="00E26457">
        <w:t xml:space="preserve"> </w:t>
      </w:r>
    </w:p>
    <w:p w14:paraId="4CEF44CA" w14:textId="42F8C5D2" w:rsidR="00A03E85" w:rsidRPr="00A03E85" w:rsidRDefault="00A03E85" w:rsidP="00A03E85">
      <w:pPr>
        <w:spacing w:line="360" w:lineRule="auto"/>
      </w:pPr>
      <w:r w:rsidRPr="00A03E85">
        <w:t xml:space="preserve">Diabetes mellitus is a metabolic disorder </w:t>
      </w:r>
      <w:proofErr w:type="spellStart"/>
      <w:r w:rsidRPr="00A03E85">
        <w:t>characterised</w:t>
      </w:r>
      <w:proofErr w:type="spellEnd"/>
      <w:r w:rsidRPr="00A03E85">
        <w:t xml:space="preserve"> by elevated levels of glucose in the blood due to an insufficient amount of insulin or inability to use insulin in the body. The main cause of type 1 diabetes involves the destruction of pancreatic beta cells due to an autoimmune response. In type 2 diabetes, there is a gradual decrease in insulin production by the pancreas in conjunction with insulin resistance. Type 2 diabetes is the most common and is caused by various risk factors, including those that are modifiable and non-modifiable. Increased age, family history of diabetes and genetics can elevate risk for type 2 diabetes, while increased weight, sedentary lifestyle, poor eating habits, and smoking can worsen the situation (</w:t>
      </w:r>
      <w:proofErr w:type="spellStart"/>
      <w:r w:rsidRPr="00A03E85">
        <w:t>Nakrani</w:t>
      </w:r>
      <w:proofErr w:type="spellEnd"/>
      <w:r w:rsidRPr="00A03E85">
        <w:t>, Wineland and Anjum, 2023). Overweight or obesity is more significant since it can lower insulin sensitivity and increase the workload of beta-cells in the pancreas. This paper looks at blood glucose control, energy production in the cell, blood glucose measurement, and lifestyle interventions for managing type 2 diabetes</w:t>
      </w:r>
    </w:p>
    <w:p w14:paraId="2E8D0C5D" w14:textId="5DEC81AD" w:rsidR="00C00712" w:rsidRPr="00E26457" w:rsidRDefault="00901A3A" w:rsidP="00E26457">
      <w:pPr>
        <w:pStyle w:val="Heading1"/>
      </w:pPr>
      <w:bookmarkStart w:id="1" w:name="_Toc243380757"/>
      <w:r w:rsidRPr="00E26457">
        <w:t>2</w:t>
      </w:r>
      <w:r w:rsidR="00A77438" w:rsidRPr="00E26457">
        <w:t>. Regulation of Blood Glucose and Homeostasis</w:t>
      </w:r>
      <w:bookmarkEnd w:id="1"/>
    </w:p>
    <w:p w14:paraId="37EBE450" w14:textId="3ECB9936" w:rsidR="002B5624" w:rsidRDefault="002B5624" w:rsidP="008A3081">
      <w:pPr>
        <w:spacing w:line="360" w:lineRule="auto"/>
      </w:pPr>
      <w:r w:rsidRPr="002B5624">
        <w:t xml:space="preserve">Glucose in the blood is controlled using homeostasis. This enables the body to maintain a relatively stable internal environment regardless of the changes resulting from feeding, fasting, and exercise. Glucose is one of the main sources of energy for body cells; therefore, it should be kept under control. The pancreas is one of the vital organs involved in controlling glucose. In the pancreas, the islets of Langerhans contain beta cells that </w:t>
      </w:r>
      <w:proofErr w:type="spellStart"/>
      <w:r w:rsidRPr="002B5624">
        <w:t>synthesi</w:t>
      </w:r>
      <w:r w:rsidR="008A3081">
        <w:t>s</w:t>
      </w:r>
      <w:r w:rsidRPr="002B5624">
        <w:t>e</w:t>
      </w:r>
      <w:proofErr w:type="spellEnd"/>
      <w:r w:rsidRPr="002B5624">
        <w:t xml:space="preserve"> insulin and alpha cells that </w:t>
      </w:r>
      <w:proofErr w:type="spellStart"/>
      <w:r w:rsidRPr="002B5624">
        <w:t>synthesi</w:t>
      </w:r>
      <w:r w:rsidR="008A3081">
        <w:t>s</w:t>
      </w:r>
      <w:r w:rsidRPr="002B5624">
        <w:t>e</w:t>
      </w:r>
      <w:proofErr w:type="spellEnd"/>
      <w:r w:rsidRPr="002B5624">
        <w:t xml:space="preserve"> glucagon. The two hormones have opposite effects on the body and help regulate blood glucose levels physiologically (</w:t>
      </w:r>
      <w:r w:rsidR="00E85B7B">
        <w:rPr>
          <w:shd w:val="clear" w:color="auto" w:fill="FFFFFF"/>
        </w:rPr>
        <w:t>Röder et al., 2016</w:t>
      </w:r>
      <w:r w:rsidRPr="002B5624">
        <w:t>).</w:t>
      </w:r>
    </w:p>
    <w:p w14:paraId="3BC293B0" w14:textId="0B1A7087" w:rsidR="001619DE" w:rsidRDefault="001619DE" w:rsidP="008A3081">
      <w:pPr>
        <w:spacing w:line="360" w:lineRule="auto"/>
      </w:pPr>
      <w:r w:rsidRPr="001619DE">
        <w:t>Glucose is produced from the digestion of carbohydrates in a meal. Glucose causes an increase in blood glucose, prompting the pancreas to release insulin from the pancreatic beta cells. The hormone aids in transferring the glucose from the blood to the body parts that use it as fuel, such as skeletal muscles and adipose tissues</w:t>
      </w:r>
      <w:r w:rsidR="001403B7">
        <w:t xml:space="preserve"> (</w:t>
      </w:r>
      <w:r w:rsidR="001403B7">
        <w:rPr>
          <w:shd w:val="clear" w:color="auto" w:fill="FFFFFF"/>
        </w:rPr>
        <w:t>De la Cruz-Concepción et al., 2023)</w:t>
      </w:r>
      <w:r w:rsidRPr="001619DE">
        <w:t>. In addition, it stimulates glycogenesis in the liver and muscles, a process that leads to glucose storage in the form of glycogen. This reduces the levels of glucose in the blood to a normal value, after which insulin production is reduced due to negative feedback</w:t>
      </w:r>
      <w:r w:rsidR="003F7CA7">
        <w:t xml:space="preserve"> (Davis, 2026)</w:t>
      </w:r>
      <w:r w:rsidRPr="001619DE">
        <w:t>.</w:t>
      </w:r>
    </w:p>
    <w:p w14:paraId="15A32C10" w14:textId="24811C20" w:rsidR="00027E6A" w:rsidRDefault="00027E6A" w:rsidP="008A3081">
      <w:pPr>
        <w:spacing w:line="360" w:lineRule="auto"/>
      </w:pPr>
      <w:r w:rsidRPr="00027E6A">
        <w:lastRenderedPageBreak/>
        <w:t>Glucose levels in the blood might drop during fasting and exercise. This causes the secretion of glucagon by alpha cells in the pancreas. Glucagon targets the liver, causing glycogenolysis, which is the breakdown of glycogen to glucose, and gluconeogenesis, which is the formation of glucose from non-carbohydrates. The liver then secretes glucose into the blood. In this way, glucagon becomes a vital hormone that counteracts insulin (</w:t>
      </w:r>
      <w:r w:rsidR="00384640">
        <w:rPr>
          <w:shd w:val="clear" w:color="auto" w:fill="FFFFFF"/>
        </w:rPr>
        <w:t>Brown and Tzanakakis, 2023</w:t>
      </w:r>
      <w:r w:rsidRPr="00027E6A">
        <w:t>).</w:t>
      </w:r>
    </w:p>
    <w:p w14:paraId="1DF5BC29" w14:textId="11B4F85A" w:rsidR="00CA6889" w:rsidRPr="00434E69" w:rsidRDefault="00817581" w:rsidP="008A3081">
      <w:pPr>
        <w:spacing w:line="360" w:lineRule="auto"/>
        <w:rPr>
          <w:rFonts w:eastAsia="Times New Roman" w:cs="Times New Roman"/>
          <w:kern w:val="0"/>
          <w14:ligatures w14:val="none"/>
        </w:rPr>
      </w:pPr>
      <w:r w:rsidRPr="00817581">
        <w:rPr>
          <w:rFonts w:eastAsia="Times New Roman" w:cs="Times New Roman"/>
          <w:kern w:val="0"/>
          <w14:ligatures w14:val="none"/>
        </w:rPr>
        <w:t>In the case of Type 2 diabetes, this normal control process is compromised. The body tissues resist insulin, which means that a high amount of insulin is needed to keep glucose levels at normal levels</w:t>
      </w:r>
      <w:r w:rsidR="00434E69">
        <w:rPr>
          <w:rFonts w:eastAsia="Times New Roman" w:cs="Times New Roman"/>
          <w:kern w:val="0"/>
          <w14:ligatures w14:val="none"/>
        </w:rPr>
        <w:t xml:space="preserve"> </w:t>
      </w:r>
      <w:r w:rsidR="00434E69" w:rsidRPr="003B4596">
        <w:t>(</w:t>
      </w:r>
      <w:r w:rsidR="00434E69">
        <w:rPr>
          <w:shd w:val="clear" w:color="auto" w:fill="FFFFFF"/>
        </w:rPr>
        <w:t>Perreault et al.</w:t>
      </w:r>
      <w:r w:rsidR="00434E69" w:rsidRPr="003B4596">
        <w:t>, 20</w:t>
      </w:r>
      <w:r w:rsidR="00434E69">
        <w:t>16</w:t>
      </w:r>
      <w:r w:rsidR="00434E69" w:rsidRPr="003B4596">
        <w:t>)</w:t>
      </w:r>
      <w:r w:rsidRPr="00817581">
        <w:rPr>
          <w:rFonts w:eastAsia="Times New Roman" w:cs="Times New Roman"/>
          <w:kern w:val="0"/>
          <w14:ligatures w14:val="none"/>
        </w:rPr>
        <w:t xml:space="preserve">. Pancreatic beta cells may increase the production of insulin to cope with this problem, but they may lose the capacity to do so over time. Therefore, there will be high levels of glucose in the bloodstream. One of the features of Type 2 diabetes, according to the American Diabetes Association, is gradual loss of beta cell insulin secretion, usually accompanied by insulin resistance </w:t>
      </w:r>
      <w:r w:rsidR="00352340" w:rsidRPr="00A03C52">
        <w:rPr>
          <w:rFonts w:eastAsia="Times New Roman" w:cs="Times New Roman"/>
          <w:kern w:val="0"/>
          <w14:ligatures w14:val="none"/>
        </w:rPr>
        <w:t>(</w:t>
      </w:r>
      <w:r w:rsidR="00352340">
        <w:rPr>
          <w:shd w:val="clear" w:color="auto" w:fill="FFFFFF"/>
        </w:rPr>
        <w:t>Committee, 2025</w:t>
      </w:r>
      <w:r w:rsidRPr="00817581">
        <w:rPr>
          <w:rFonts w:eastAsia="Times New Roman" w:cs="Times New Roman"/>
          <w:kern w:val="0"/>
          <w14:ligatures w14:val="none"/>
        </w:rPr>
        <w:t>). This clearly shows that Type 2 diabetes is not a result</w:t>
      </w:r>
      <w:r w:rsidR="00434E69">
        <w:rPr>
          <w:rFonts w:eastAsia="Times New Roman" w:cs="Times New Roman"/>
          <w:kern w:val="0"/>
          <w14:ligatures w14:val="none"/>
        </w:rPr>
        <w:t xml:space="preserve"> of excessive sugar consumption </w:t>
      </w:r>
      <w:r w:rsidR="00AE59A8">
        <w:t>(Harvard T.H. Chan School of Public Health, 2026)</w:t>
      </w:r>
      <w:r w:rsidR="00CA6889" w:rsidRPr="00CA6889">
        <w:t xml:space="preserve">. </w:t>
      </w:r>
    </w:p>
    <w:p w14:paraId="03AD5DE0" w14:textId="2B301BC7" w:rsidR="00D03584" w:rsidRDefault="00D03584" w:rsidP="008A3081">
      <w:pPr>
        <w:spacing w:line="360" w:lineRule="auto"/>
      </w:pPr>
      <w:r w:rsidRPr="00D03584">
        <w:t>In conditions of fasting or prolonged exercise, there can be a drop in blood glucose levels. In this case, the pancreas secretes glucagon, which acts primarily on the liver. Glucagon promotes glycogenolysis, that is, the conversion of glycogen to glucose, and gluconeogenesis, which is the formation of glucose from non-carbohydrates</w:t>
      </w:r>
      <w:r w:rsidR="00A03C52">
        <w:t xml:space="preserve"> (</w:t>
      </w:r>
      <w:r w:rsidR="00A03C52" w:rsidRPr="00D03584">
        <w:t>Rix et al., 20</w:t>
      </w:r>
      <w:r w:rsidR="00AE59A8">
        <w:t>24</w:t>
      </w:r>
      <w:r w:rsidR="00A03C52">
        <w:t>)</w:t>
      </w:r>
      <w:r w:rsidRPr="00D03584">
        <w:t xml:space="preserve">. The liver secretes glucose into the blood, thus ensuring the provision of sufficient glucose in periods of glucose absence in food. Thus, glucagon is an important counter-regulator of insulin </w:t>
      </w:r>
      <w:r w:rsidR="00AE59A8">
        <w:t>(</w:t>
      </w:r>
      <w:proofErr w:type="spellStart"/>
      <w:r w:rsidR="00AE59A8">
        <w:t>Nakrani</w:t>
      </w:r>
      <w:proofErr w:type="spellEnd"/>
      <w:r w:rsidR="00AE59A8">
        <w:t>, Wineland and Anjum, 2023)</w:t>
      </w:r>
      <w:r w:rsidRPr="00D03584">
        <w:t>.</w:t>
      </w:r>
    </w:p>
    <w:p w14:paraId="70A98D13" w14:textId="1B9E1176" w:rsidR="00201DB7" w:rsidRDefault="00201DB7" w:rsidP="00201DB7">
      <w:pPr>
        <w:spacing w:line="360" w:lineRule="auto"/>
        <w:jc w:val="center"/>
      </w:pPr>
      <w:r>
        <w:rPr>
          <w:noProof/>
        </w:rPr>
        <w:lastRenderedPageBreak/>
        <w:drawing>
          <wp:inline distT="0" distB="0" distL="0" distR="0" wp14:anchorId="1A108E5F" wp14:editId="125ACDBF">
            <wp:extent cx="5943600" cy="40493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lucagon.jpg"/>
                    <pic:cNvPicPr/>
                  </pic:nvPicPr>
                  <pic:blipFill>
                    <a:blip r:embed="rId8">
                      <a:extLst>
                        <a:ext uri="{28A0092B-C50C-407E-A947-70E740481C1C}">
                          <a14:useLocalDpi xmlns:a14="http://schemas.microsoft.com/office/drawing/2010/main" val="0"/>
                        </a:ext>
                      </a:extLst>
                    </a:blip>
                    <a:stretch>
                      <a:fillRect/>
                    </a:stretch>
                  </pic:blipFill>
                  <pic:spPr>
                    <a:xfrm>
                      <a:off x="0" y="0"/>
                      <a:ext cx="5943600" cy="4049395"/>
                    </a:xfrm>
                    <a:prstGeom prst="rect">
                      <a:avLst/>
                    </a:prstGeom>
                  </pic:spPr>
                </pic:pic>
              </a:graphicData>
            </a:graphic>
          </wp:inline>
        </w:drawing>
      </w:r>
    </w:p>
    <w:p w14:paraId="4093E3B1" w14:textId="1194E602" w:rsidR="00201DB7" w:rsidRPr="00201DB7" w:rsidRDefault="00201DB7" w:rsidP="00201DB7">
      <w:pPr>
        <w:spacing w:line="360" w:lineRule="auto"/>
        <w:jc w:val="center"/>
        <w:rPr>
          <w:b/>
        </w:rPr>
      </w:pPr>
      <w:r w:rsidRPr="00201DB7">
        <w:rPr>
          <w:b/>
        </w:rPr>
        <w:t>Figure: Chemical Glucagon</w:t>
      </w:r>
    </w:p>
    <w:p w14:paraId="3FB80497" w14:textId="25B7D322" w:rsidR="00201DB7" w:rsidRPr="00201DB7" w:rsidRDefault="00201DB7" w:rsidP="00201DB7">
      <w:pPr>
        <w:spacing w:line="360" w:lineRule="auto"/>
        <w:jc w:val="center"/>
        <w:rPr>
          <w:b/>
        </w:rPr>
      </w:pPr>
      <w:r w:rsidRPr="00201DB7">
        <w:rPr>
          <w:b/>
        </w:rPr>
        <w:t>Source: (Rix et al., 2024)</w:t>
      </w:r>
    </w:p>
    <w:p w14:paraId="6A048C60" w14:textId="2AB15032" w:rsidR="008A3081" w:rsidRDefault="00A03C52" w:rsidP="008A3081">
      <w:pPr>
        <w:spacing w:line="360" w:lineRule="auto"/>
      </w:pPr>
      <w:r w:rsidRPr="00A03C52">
        <w:rPr>
          <w:rFonts w:eastAsia="Times New Roman" w:cs="Times New Roman"/>
          <w:kern w:val="0"/>
          <w14:ligatures w14:val="none"/>
        </w:rPr>
        <w:t>In Type 2 diabetes, however, the normal feedback system begins to lose its effectiveness. Tissues in the body start to resist the effects of insulin, a condition referred to as insulin resistance. Initially, there might be an increase in insulin secretion by the pancreatic beta cells in order to counter this effect</w:t>
      </w:r>
      <w:r w:rsidR="005E1DD9">
        <w:rPr>
          <w:rFonts w:eastAsia="Times New Roman" w:cs="Times New Roman"/>
          <w:kern w:val="0"/>
          <w14:ligatures w14:val="none"/>
        </w:rPr>
        <w:t xml:space="preserve"> </w:t>
      </w:r>
      <w:r w:rsidR="005E1DD9" w:rsidRPr="003B4596">
        <w:t>(</w:t>
      </w:r>
      <w:r w:rsidR="005E1DD9">
        <w:rPr>
          <w:shd w:val="clear" w:color="auto" w:fill="FFFFFF"/>
        </w:rPr>
        <w:t>Perreault et al.</w:t>
      </w:r>
      <w:r w:rsidR="005E1DD9" w:rsidRPr="003B4596">
        <w:t>, 20</w:t>
      </w:r>
      <w:r w:rsidR="005E1DD9">
        <w:t>16</w:t>
      </w:r>
      <w:r w:rsidR="005E1DD9" w:rsidRPr="003B4596">
        <w:t>)</w:t>
      </w:r>
      <w:r w:rsidRPr="00A03C52">
        <w:rPr>
          <w:rFonts w:eastAsia="Times New Roman" w:cs="Times New Roman"/>
          <w:kern w:val="0"/>
          <w14:ligatures w14:val="none"/>
        </w:rPr>
        <w:t xml:space="preserve">. The problem is that the capacity of these beta cells to sustain this process decreases over time. Consequently, glucose is not regulated efficiently and continues to be high in the bloodstream. According to current diabetes recommendations, Type 2 diabetes is </w:t>
      </w:r>
      <w:proofErr w:type="spellStart"/>
      <w:r w:rsidRPr="00A03C52">
        <w:rPr>
          <w:rFonts w:eastAsia="Times New Roman" w:cs="Times New Roman"/>
          <w:kern w:val="0"/>
          <w14:ligatures w14:val="none"/>
        </w:rPr>
        <w:t>characteri</w:t>
      </w:r>
      <w:r w:rsidR="008A3081">
        <w:rPr>
          <w:rFonts w:eastAsia="Times New Roman" w:cs="Times New Roman"/>
          <w:kern w:val="0"/>
          <w14:ligatures w14:val="none"/>
        </w:rPr>
        <w:t>s</w:t>
      </w:r>
      <w:r w:rsidRPr="00A03C52">
        <w:rPr>
          <w:rFonts w:eastAsia="Times New Roman" w:cs="Times New Roman"/>
          <w:kern w:val="0"/>
          <w14:ligatures w14:val="none"/>
        </w:rPr>
        <w:t>ed</w:t>
      </w:r>
      <w:proofErr w:type="spellEnd"/>
      <w:r w:rsidRPr="00A03C52">
        <w:rPr>
          <w:rFonts w:eastAsia="Times New Roman" w:cs="Times New Roman"/>
          <w:kern w:val="0"/>
          <w14:ligatures w14:val="none"/>
        </w:rPr>
        <w:t xml:space="preserve"> by the progressive loss of the capacity of the beta-cells to secrete insulin, normally in the presence of insulin resistance </w:t>
      </w:r>
      <w:r w:rsidR="001B30D0" w:rsidRPr="00901A3A">
        <w:t>(</w:t>
      </w:r>
      <w:proofErr w:type="spellStart"/>
      <w:r w:rsidR="001B30D0" w:rsidRPr="00901A3A">
        <w:t>Nakrani</w:t>
      </w:r>
      <w:proofErr w:type="spellEnd"/>
      <w:r w:rsidR="001B30D0" w:rsidRPr="00901A3A">
        <w:t>, Wineland and Anjum, 2023)</w:t>
      </w:r>
      <w:r w:rsidR="008A3081">
        <w:t>.</w:t>
      </w:r>
    </w:p>
    <w:p w14:paraId="2DD30D18" w14:textId="2131442F" w:rsidR="00117CE4" w:rsidRPr="00E26457" w:rsidRDefault="00AD410D" w:rsidP="00E26457">
      <w:pPr>
        <w:pStyle w:val="Heading1"/>
      </w:pPr>
      <w:bookmarkStart w:id="2" w:name="_Toc243380758"/>
      <w:r>
        <w:t>3</w:t>
      </w:r>
      <w:r w:rsidR="00117CE4" w:rsidRPr="00E26457">
        <w:t>. Glucose, Oxygen and Cellular Energy Production</w:t>
      </w:r>
      <w:bookmarkEnd w:id="2"/>
    </w:p>
    <w:p w14:paraId="0ABFA67A" w14:textId="35B14DEA" w:rsidR="00513AC7" w:rsidRDefault="00513AC7" w:rsidP="008A3081">
      <w:pPr>
        <w:spacing w:line="360" w:lineRule="auto"/>
      </w:pPr>
      <w:r>
        <w:t xml:space="preserve">Energy is required by body cells in a continuous manner to enable them to perform their normal activities such as locomotion, growth, repairs, and active transport. Adenosine triphosphate (ATP) </w:t>
      </w:r>
      <w:r>
        <w:lastRenderedPageBreak/>
        <w:t xml:space="preserve">is the main immediate source of cellular energy. Glucose is one of the fuels </w:t>
      </w:r>
      <w:proofErr w:type="spellStart"/>
      <w:r>
        <w:t>utili</w:t>
      </w:r>
      <w:r w:rsidR="008A3081">
        <w:t>s</w:t>
      </w:r>
      <w:r>
        <w:t>ed</w:t>
      </w:r>
      <w:proofErr w:type="spellEnd"/>
      <w:r>
        <w:t xml:space="preserve"> in the production of ATP in a process referred to as cellular respiration. Once glucose enters the cell, it can be </w:t>
      </w:r>
      <w:proofErr w:type="spellStart"/>
      <w:r>
        <w:t>metaboli</w:t>
      </w:r>
      <w:r w:rsidR="008A3081">
        <w:t>s</w:t>
      </w:r>
      <w:r>
        <w:t>ed</w:t>
      </w:r>
      <w:proofErr w:type="spellEnd"/>
      <w:r>
        <w:t xml:space="preserve"> to generate energy required </w:t>
      </w:r>
      <w:r w:rsidR="008A3081">
        <w:t>for</w:t>
      </w:r>
      <w:r>
        <w:t xml:space="preserve"> physiological functions </w:t>
      </w:r>
      <w:r w:rsidR="00482DE7" w:rsidRPr="00373587">
        <w:rPr>
          <w:rFonts w:eastAsia="Times New Roman" w:cs="Times New Roman"/>
          <w:kern w:val="0"/>
          <w14:ligatures w14:val="none"/>
        </w:rPr>
        <w:t>(</w:t>
      </w:r>
      <w:r w:rsidR="00482DE7">
        <w:rPr>
          <w:shd w:val="clear" w:color="auto" w:fill="FFFFFF"/>
        </w:rPr>
        <w:t>Hulett, Scalzo and Reusch, 2022</w:t>
      </w:r>
      <w:r w:rsidR="00482DE7">
        <w:rPr>
          <w:rFonts w:eastAsia="Times New Roman" w:cs="Times New Roman"/>
          <w:kern w:val="0"/>
          <w14:ligatures w14:val="none"/>
        </w:rPr>
        <w:t>)</w:t>
      </w:r>
      <w:r>
        <w:t>.</w:t>
      </w:r>
    </w:p>
    <w:p w14:paraId="496E5C57" w14:textId="69F3D969" w:rsidR="00513AC7" w:rsidRDefault="00513AC7" w:rsidP="008A3081">
      <w:pPr>
        <w:spacing w:line="360" w:lineRule="auto"/>
      </w:pPr>
      <w:r>
        <w:t xml:space="preserve">The first step in glucose metabolism is glycolysis, which takes place in the cytoplasm of the cell. In the process of glycolysis, one molecule of glucose is split to produce two molecules of pyruvate. Glycolysis yields some ATP without requiring oxygen. If oxygen is present, pyruvate is </w:t>
      </w:r>
      <w:proofErr w:type="spellStart"/>
      <w:r>
        <w:t>metaboli</w:t>
      </w:r>
      <w:r w:rsidR="00F74A41">
        <w:t>s</w:t>
      </w:r>
      <w:r>
        <w:t>ed</w:t>
      </w:r>
      <w:proofErr w:type="spellEnd"/>
      <w:r>
        <w:t xml:space="preserve"> in the mitochondria to yield much energy (</w:t>
      </w:r>
      <w:proofErr w:type="spellStart"/>
      <w:r w:rsidR="008442FC">
        <w:rPr>
          <w:shd w:val="clear" w:color="auto" w:fill="FFFFFF"/>
        </w:rPr>
        <w:t>Yiew</w:t>
      </w:r>
      <w:proofErr w:type="spellEnd"/>
      <w:r w:rsidR="008442FC">
        <w:rPr>
          <w:shd w:val="clear" w:color="auto" w:fill="FFFFFF"/>
        </w:rPr>
        <w:t xml:space="preserve"> and Finck, 2022</w:t>
      </w:r>
      <w:r>
        <w:t>).</w:t>
      </w:r>
    </w:p>
    <w:p w14:paraId="64C3B35A" w14:textId="4D812C72" w:rsidR="002034D3" w:rsidRDefault="002034D3" w:rsidP="008A3081">
      <w:pPr>
        <w:spacing w:line="360" w:lineRule="auto"/>
      </w:pPr>
      <w:r w:rsidRPr="002034D3">
        <w:t xml:space="preserve">In the mitochondria, the compounds derived from pyruvate undergo the citric acid cycle, which is alternatively called the Krebs cycle. This cycle produces </w:t>
      </w:r>
      <w:r w:rsidR="00F74A41">
        <w:t>high-</w:t>
      </w:r>
      <w:r w:rsidRPr="002034D3">
        <w:t>energy compounds which provide the electrons for the electron transport chain. Oxygen plays an important role in the last phase of aerobic respiration because it makes it possible for oxidative phosphorylation to occur, thus producing ATP. This process may be simplified into:</w:t>
      </w:r>
    </w:p>
    <w:p w14:paraId="7B3D4886" w14:textId="09001F76" w:rsidR="00117CE4" w:rsidRDefault="00117CE4" w:rsidP="008A3081">
      <w:pPr>
        <w:spacing w:line="360" w:lineRule="auto"/>
      </w:pPr>
      <w:r>
        <w:rPr>
          <w:rStyle w:val="Strong"/>
        </w:rPr>
        <w:t>Glucose + oxygen → carbon dioxide + water + ATP</w:t>
      </w:r>
    </w:p>
    <w:p w14:paraId="6F1720F2" w14:textId="520B72DD" w:rsidR="00C00712" w:rsidRDefault="002034D3" w:rsidP="008A3081">
      <w:pPr>
        <w:spacing w:line="360" w:lineRule="auto"/>
        <w:rPr>
          <w:rFonts w:eastAsia="Times New Roman" w:cs="Times New Roman"/>
          <w:kern w:val="0"/>
          <w14:ligatures w14:val="none"/>
        </w:rPr>
      </w:pPr>
      <w:r w:rsidRPr="002034D3">
        <w:rPr>
          <w:rFonts w:eastAsia="Times New Roman" w:cs="Times New Roman"/>
          <w:kern w:val="0"/>
          <w14:ligatures w14:val="none"/>
        </w:rPr>
        <w:t>Thus, oxygen enables the cell to harvest more usable energy from glucose than glycolysis alone.</w:t>
      </w:r>
      <w:r w:rsidR="000F3BFB">
        <w:rPr>
          <w:rFonts w:eastAsia="Times New Roman" w:cs="Times New Roman"/>
          <w:kern w:val="0"/>
          <w14:ligatures w14:val="none"/>
        </w:rPr>
        <w:t xml:space="preserve"> </w:t>
      </w:r>
      <w:r w:rsidRPr="002034D3">
        <w:rPr>
          <w:rFonts w:eastAsia="Times New Roman" w:cs="Times New Roman"/>
          <w:kern w:val="0"/>
          <w14:ligatures w14:val="none"/>
        </w:rPr>
        <w:t>The relevance of this process can be seen in cases of Type 2 diabetes. In such a case, insulin resistance leads to reduced glucose uptake stimulated by insulin in the body</w:t>
      </w:r>
      <w:r w:rsidR="000F3BFB">
        <w:rPr>
          <w:rFonts w:eastAsia="Times New Roman" w:cs="Times New Roman"/>
          <w:kern w:val="0"/>
          <w14:ligatures w14:val="none"/>
        </w:rPr>
        <w:t xml:space="preserve"> </w:t>
      </w:r>
      <w:r w:rsidR="000F3BFB" w:rsidRPr="00373587">
        <w:rPr>
          <w:rFonts w:eastAsia="Times New Roman" w:cs="Times New Roman"/>
          <w:kern w:val="0"/>
          <w14:ligatures w14:val="none"/>
        </w:rPr>
        <w:t>(</w:t>
      </w:r>
      <w:r w:rsidR="000F3BFB">
        <w:rPr>
          <w:shd w:val="clear" w:color="auto" w:fill="FFFFFF"/>
        </w:rPr>
        <w:t>Hulett, Scalzo and Reusch, 2022</w:t>
      </w:r>
      <w:r w:rsidR="000F3BFB">
        <w:rPr>
          <w:rFonts w:eastAsia="Times New Roman" w:cs="Times New Roman"/>
          <w:kern w:val="0"/>
          <w14:ligatures w14:val="none"/>
        </w:rPr>
        <w:t>)</w:t>
      </w:r>
      <w:r w:rsidRPr="002034D3">
        <w:rPr>
          <w:rFonts w:eastAsia="Times New Roman" w:cs="Times New Roman"/>
          <w:kern w:val="0"/>
          <w14:ligatures w14:val="none"/>
        </w:rPr>
        <w:t xml:space="preserve">. This results in the presence of glucose in high amounts in the blood despite its reduced uptake and </w:t>
      </w:r>
      <w:proofErr w:type="spellStart"/>
      <w:r w:rsidRPr="002034D3">
        <w:rPr>
          <w:rFonts w:eastAsia="Times New Roman" w:cs="Times New Roman"/>
          <w:kern w:val="0"/>
          <w14:ligatures w14:val="none"/>
        </w:rPr>
        <w:t>utili</w:t>
      </w:r>
      <w:r w:rsidR="005E5AA8">
        <w:rPr>
          <w:rFonts w:eastAsia="Times New Roman" w:cs="Times New Roman"/>
          <w:kern w:val="0"/>
          <w14:ligatures w14:val="none"/>
        </w:rPr>
        <w:t>s</w:t>
      </w:r>
      <w:r w:rsidRPr="002034D3">
        <w:rPr>
          <w:rFonts w:eastAsia="Times New Roman" w:cs="Times New Roman"/>
          <w:kern w:val="0"/>
          <w14:ligatures w14:val="none"/>
        </w:rPr>
        <w:t>ation</w:t>
      </w:r>
      <w:proofErr w:type="spellEnd"/>
      <w:r w:rsidRPr="002034D3">
        <w:rPr>
          <w:rFonts w:eastAsia="Times New Roman" w:cs="Times New Roman"/>
          <w:kern w:val="0"/>
          <w14:ligatures w14:val="none"/>
        </w:rPr>
        <w:t>. Skeletal muscle is one of the tissues that take up glucose, and thus a reduction in glucose uptake by muscles is a contributor to uncontrolled glucose in Type 2 diabetes</w:t>
      </w:r>
      <w:r w:rsidR="00373587">
        <w:rPr>
          <w:rFonts w:eastAsia="Times New Roman" w:cs="Times New Roman"/>
          <w:kern w:val="0"/>
          <w14:ligatures w14:val="none"/>
        </w:rPr>
        <w:t xml:space="preserve"> </w:t>
      </w:r>
      <w:r w:rsidR="00373587" w:rsidRPr="00373587">
        <w:rPr>
          <w:rFonts w:eastAsia="Times New Roman" w:cs="Times New Roman"/>
          <w:kern w:val="0"/>
          <w14:ligatures w14:val="none"/>
        </w:rPr>
        <w:t>(</w:t>
      </w:r>
      <w:r w:rsidR="00161D9B">
        <w:rPr>
          <w:shd w:val="clear" w:color="auto" w:fill="FFFFFF"/>
        </w:rPr>
        <w:t>van Gerwen, Shun-Shion and Fazakerley, 2023</w:t>
      </w:r>
      <w:r w:rsidR="00373587" w:rsidRPr="00373587">
        <w:rPr>
          <w:rFonts w:eastAsia="Times New Roman" w:cs="Times New Roman"/>
          <w:kern w:val="0"/>
          <w14:ligatures w14:val="none"/>
        </w:rPr>
        <w:t>)</w:t>
      </w:r>
      <w:r w:rsidRPr="002034D3">
        <w:rPr>
          <w:rFonts w:eastAsia="Times New Roman" w:cs="Times New Roman"/>
          <w:kern w:val="0"/>
          <w14:ligatures w14:val="none"/>
        </w:rPr>
        <w:t>.</w:t>
      </w:r>
    </w:p>
    <w:p w14:paraId="5EE98F7B" w14:textId="0CC001BD" w:rsidR="0041741F" w:rsidRPr="00E26457" w:rsidRDefault="00AD410D" w:rsidP="00E26457">
      <w:pPr>
        <w:pStyle w:val="Heading1"/>
      </w:pPr>
      <w:bookmarkStart w:id="3" w:name="_Toc243380759"/>
      <w:r>
        <w:t>4</w:t>
      </w:r>
      <w:r w:rsidR="0041741F" w:rsidRPr="00E26457">
        <w:t>. Monitoring Blood Glucose and Use of Routine Health Data</w:t>
      </w:r>
      <w:bookmarkEnd w:id="3"/>
    </w:p>
    <w:p w14:paraId="4CD367BC" w14:textId="3AD20AC1" w:rsidR="00E42045" w:rsidRDefault="00E42045" w:rsidP="008A3081">
      <w:pPr>
        <w:spacing w:line="360" w:lineRule="auto"/>
      </w:pPr>
      <w:r w:rsidRPr="00E42045">
        <w:t>Measuring blood glucose is essential in the management of type 2 diabetes since it helps determine the level of control of glucose. Measuring blood glucose is done to understand what happens at one particular moment</w:t>
      </w:r>
      <w:r w:rsidR="005E5AA8">
        <w:t>,</w:t>
      </w:r>
      <w:r w:rsidRPr="00E42045">
        <w:t xml:space="preserve"> while multiple measurements can be used to track any changes over a few days or even a week. It can indicate changes after food, exercise, and medicine use. Therefore, </w:t>
      </w:r>
      <w:r w:rsidRPr="00E42045">
        <w:lastRenderedPageBreak/>
        <w:t>self-monitoring structured measurement</w:t>
      </w:r>
      <w:r w:rsidR="005E5AA8">
        <w:t>s</w:t>
      </w:r>
      <w:r w:rsidRPr="00E42045">
        <w:t xml:space="preserve"> can give useful information for patients and healthcare providers (Holmes-Truscott et al., 2023).</w:t>
      </w:r>
    </w:p>
    <w:p w14:paraId="1146A172" w14:textId="606C89E4" w:rsidR="004F717B" w:rsidRDefault="004F717B" w:rsidP="008A3081">
      <w:pPr>
        <w:spacing w:line="360" w:lineRule="auto"/>
      </w:pPr>
      <w:r w:rsidRPr="004F717B">
        <w:t xml:space="preserve">Recording blood glucose levels on a regular basis might be useful for spotting any chronic </w:t>
      </w:r>
      <w:proofErr w:type="spellStart"/>
      <w:r w:rsidRPr="004F717B">
        <w:t>hyperglycaemia</w:t>
      </w:r>
      <w:proofErr w:type="spellEnd"/>
      <w:r w:rsidRPr="004F717B">
        <w:t xml:space="preserve"> or </w:t>
      </w:r>
      <w:proofErr w:type="spellStart"/>
      <w:r w:rsidRPr="004F717B">
        <w:t>hypoglycaemia</w:t>
      </w:r>
      <w:proofErr w:type="spellEnd"/>
      <w:r w:rsidRPr="004F717B">
        <w:t>. For instance, if there are cons</w:t>
      </w:r>
      <w:r w:rsidR="005E5AA8">
        <w:t>iste</w:t>
      </w:r>
      <w:r w:rsidRPr="004F717B">
        <w:t>ntly high levels, this might imply that medication, diet, and exercise currently being used are insufficient to manage blood glucose. This data could be reviewed with health professionals and the care plan updated accordingly. In a systematic review conducted by Zou et al. (2023), it was established that self-monitoring of blood glucose was linked to better HbA1c in patients with non-insulin-dependent Type 2 diabetes.</w:t>
      </w:r>
    </w:p>
    <w:p w14:paraId="04097901" w14:textId="77777777" w:rsidR="00566DEF" w:rsidRPr="00566DEF" w:rsidRDefault="00566DEF" w:rsidP="008A3081">
      <w:pPr>
        <w:spacing w:line="360" w:lineRule="auto"/>
        <w:rPr>
          <w:rStyle w:val="Strong"/>
          <w:b w:val="0"/>
          <w:bCs w:val="0"/>
        </w:rPr>
      </w:pPr>
      <w:r w:rsidRPr="00566DEF">
        <w:rPr>
          <w:rStyle w:val="Strong"/>
          <w:b w:val="0"/>
          <w:bCs w:val="0"/>
        </w:rPr>
        <w:t>The HbA1c is yet another significant routine measurement. Unlike a finger-prick glucose test, which reflects the current blood glucose levels, the HbA1c reflects the average glycaemia of the last two to three months. For this reason, HbA1c is widely used for measuring long-term glucose control, response to treatment, and the risk of complications due to diabetes (Thompson, 2025).</w:t>
      </w:r>
    </w:p>
    <w:p w14:paraId="530498E6" w14:textId="7A73D056" w:rsidR="0041741F" w:rsidRDefault="00566DEF" w:rsidP="008A3081">
      <w:pPr>
        <w:spacing w:line="360" w:lineRule="auto"/>
        <w:rPr>
          <w:rStyle w:val="Strong"/>
          <w:b w:val="0"/>
          <w:bCs w:val="0"/>
        </w:rPr>
      </w:pPr>
      <w:r w:rsidRPr="00566DEF">
        <w:rPr>
          <w:rStyle w:val="Strong"/>
          <w:b w:val="0"/>
          <w:bCs w:val="0"/>
        </w:rPr>
        <w:t xml:space="preserve">Routine measurements could also help patients manage their disease as they learn how the intake of food, physical activity and medication affect their glucose levels. However, the frequency and mode of testing should be </w:t>
      </w:r>
      <w:proofErr w:type="spellStart"/>
      <w:r w:rsidRPr="00566DEF">
        <w:rPr>
          <w:rStyle w:val="Strong"/>
          <w:b w:val="0"/>
          <w:bCs w:val="0"/>
        </w:rPr>
        <w:t>individualised</w:t>
      </w:r>
      <w:proofErr w:type="spellEnd"/>
      <w:r w:rsidRPr="00566DEF">
        <w:rPr>
          <w:rStyle w:val="Strong"/>
          <w:b w:val="0"/>
          <w:bCs w:val="0"/>
        </w:rPr>
        <w:t xml:space="preserve"> since not all Type 2 diabetic patients need to monitor their disease regularly. Routine data become more meaningful when they are considered in connection with individual treatment requirements (Holmes-Truscott et al., 2023).</w:t>
      </w:r>
    </w:p>
    <w:p w14:paraId="0413815B" w14:textId="14D36AF0" w:rsidR="006C13E7" w:rsidRPr="00E26457" w:rsidRDefault="00AD410D" w:rsidP="00E26457">
      <w:pPr>
        <w:pStyle w:val="Heading1"/>
      </w:pPr>
      <w:bookmarkStart w:id="4" w:name="_Toc243380760"/>
      <w:r>
        <w:t>5</w:t>
      </w:r>
      <w:r w:rsidR="006C13E7" w:rsidRPr="00E26457">
        <w:t>. Evidence-Based Lifestyle Management of Type 2 Diabetes</w:t>
      </w:r>
      <w:bookmarkEnd w:id="4"/>
    </w:p>
    <w:p w14:paraId="3B040AEB" w14:textId="489A9F92" w:rsidR="00FA1AA0" w:rsidRDefault="00FA1AA0" w:rsidP="008A3081">
      <w:pPr>
        <w:pStyle w:val="NormalWeb"/>
        <w:spacing w:line="360" w:lineRule="auto"/>
      </w:pPr>
      <w:r>
        <w:t xml:space="preserve">Changes in lifestyle play an important role in the treatment of type 2 diabetes as they will help achieve proper regulation of blood glucose and prevent complications. </w:t>
      </w:r>
      <w:r w:rsidR="005E5AA8">
        <w:t>A</w:t>
      </w:r>
      <w:r>
        <w:t xml:space="preserve"> healthy diet will involve eating balanced meals, appropriate amounts of food, vegetables, whole grains, and foods containing </w:t>
      </w:r>
      <w:proofErr w:type="spellStart"/>
      <w:r>
        <w:t>fibre</w:t>
      </w:r>
      <w:proofErr w:type="spellEnd"/>
      <w:r>
        <w:t xml:space="preserve">. Foods with refined carbohydrates and free sugars should be eaten in moderation because they may lead to </w:t>
      </w:r>
      <w:r w:rsidR="005E5AA8">
        <w:t>a</w:t>
      </w:r>
      <w:r>
        <w:t xml:space="preserve"> quick increase in blood glucose. Recent research shows that increased consumption of whole grains may improve fasting blood glucose and </w:t>
      </w:r>
      <w:proofErr w:type="spellStart"/>
      <w:r>
        <w:t>glycaemic</w:t>
      </w:r>
      <w:proofErr w:type="spellEnd"/>
      <w:r>
        <w:t xml:space="preserve"> control (Ying et al., 2024).</w:t>
      </w:r>
    </w:p>
    <w:p w14:paraId="3F826229" w14:textId="74667111" w:rsidR="00DE72D6" w:rsidRDefault="00FA1AA0" w:rsidP="008A3081">
      <w:pPr>
        <w:pStyle w:val="NormalWeb"/>
        <w:spacing w:line="360" w:lineRule="auto"/>
      </w:pPr>
      <w:r>
        <w:lastRenderedPageBreak/>
        <w:t>Another aspect of diabetes management is physical exercise. During exercise, the body uses more glucose for energy</w:t>
      </w:r>
      <w:r w:rsidR="005E5AA8">
        <w:t>,</w:t>
      </w:r>
      <w:r>
        <w:t xml:space="preserve"> which results in reduced levels of blood glucose. Physical exercise may also increase insulin sensitivity, thus improving the ability of body cells to respond to insulin. This, in turn, may have positive effects on HbA1c and cardiovascular health. According to a systematic review of </w:t>
      </w:r>
      <w:proofErr w:type="spellStart"/>
      <w:r>
        <w:t>randomised</w:t>
      </w:r>
      <w:proofErr w:type="spellEnd"/>
      <w:r>
        <w:t xml:space="preserve"> controlled trials, different types of physical exercise may positively affect </w:t>
      </w:r>
      <w:proofErr w:type="spellStart"/>
      <w:r>
        <w:t>glycaemic</w:t>
      </w:r>
      <w:proofErr w:type="spellEnd"/>
      <w:r>
        <w:t xml:space="preserve"> control in patients with Type 2 diabetes (Hou et al., 2023).</w:t>
      </w:r>
    </w:p>
    <w:p w14:paraId="0D6762A9" w14:textId="190C90D7" w:rsidR="00DE72D6" w:rsidRDefault="00DE72D6" w:rsidP="008A3081">
      <w:pPr>
        <w:pStyle w:val="NormalWeb"/>
        <w:spacing w:line="360" w:lineRule="auto"/>
      </w:pPr>
      <w:r w:rsidRPr="00DE72D6">
        <w:t xml:space="preserve">Healthy weight management is especially vital for obese and overweight patients. Insulin resistance occurs due to an excess of body fat; therefore, weight loss will increase the ability of the body to manage insulin. According to a systematic review by </w:t>
      </w:r>
      <w:proofErr w:type="spellStart"/>
      <w:r w:rsidRPr="00DE72D6">
        <w:t>Jayedi</w:t>
      </w:r>
      <w:proofErr w:type="spellEnd"/>
      <w:r w:rsidRPr="00DE72D6">
        <w:t xml:space="preserve"> et al. (2023), calorie restriction diets have shown a positive effect on body weight and HbA1c, as well as improved chances for Type 2 diabetes remission.</w:t>
      </w:r>
    </w:p>
    <w:p w14:paraId="1537F585" w14:textId="77777777" w:rsidR="00652651" w:rsidRDefault="00DE72D6" w:rsidP="008A3081">
      <w:pPr>
        <w:pStyle w:val="NormalWeb"/>
        <w:spacing w:line="360" w:lineRule="auto"/>
      </w:pPr>
      <w:r w:rsidRPr="00DE72D6">
        <w:t xml:space="preserve">Quitting smoking is another intervention that needs to be promoted. Diabetes and smoking may lead to complications such as myocardial infarction, </w:t>
      </w:r>
      <w:proofErr w:type="spellStart"/>
      <w:r w:rsidRPr="00DE72D6">
        <w:t>ischaemic</w:t>
      </w:r>
      <w:proofErr w:type="spellEnd"/>
      <w:r w:rsidRPr="00DE72D6">
        <w:t xml:space="preserve"> stroke, and diabetic nephropathy. These risks were decreased by quitting smoking in patients with diabetes (Walicka et al., 2024).</w:t>
      </w:r>
      <w:r w:rsidR="008D3C7E">
        <w:t xml:space="preserve"> </w:t>
      </w:r>
    </w:p>
    <w:p w14:paraId="10527D6D" w14:textId="06FC4F5F" w:rsidR="00DE72D6" w:rsidRDefault="00DE72D6" w:rsidP="008A3081">
      <w:pPr>
        <w:pStyle w:val="NormalWeb"/>
        <w:spacing w:line="360" w:lineRule="auto"/>
      </w:pPr>
      <w:r w:rsidRPr="00DE72D6">
        <w:t xml:space="preserve">Lifestyle modification recommendations should be feasible, </w:t>
      </w:r>
      <w:proofErr w:type="spellStart"/>
      <w:r w:rsidRPr="00DE72D6">
        <w:t>individualised</w:t>
      </w:r>
      <w:proofErr w:type="spellEnd"/>
      <w:r w:rsidRPr="00DE72D6">
        <w:t xml:space="preserve">, and culturally sensitive. Practically, the patient is more likely to follow dietary, exercise and smoking habits only if they are part of a </w:t>
      </w:r>
      <w:proofErr w:type="spellStart"/>
      <w:r w:rsidRPr="00DE72D6">
        <w:t>personali</w:t>
      </w:r>
      <w:r w:rsidR="00E26457">
        <w:t>s</w:t>
      </w:r>
      <w:r w:rsidRPr="00DE72D6">
        <w:t>ed</w:t>
      </w:r>
      <w:proofErr w:type="spellEnd"/>
      <w:r w:rsidRPr="00DE72D6">
        <w:t xml:space="preserve"> treatment program.</w:t>
      </w:r>
    </w:p>
    <w:p w14:paraId="7FC36048" w14:textId="77777777" w:rsidR="00201DB7" w:rsidRPr="00201DB7" w:rsidRDefault="00201DB7" w:rsidP="00201DB7">
      <w:pPr>
        <w:spacing w:before="100" w:beforeAutospacing="1" w:after="100" w:afterAutospacing="1" w:line="240" w:lineRule="auto"/>
        <w:jc w:val="left"/>
        <w:rPr>
          <w:rFonts w:eastAsia="Times New Roman" w:cs="Times New Roman"/>
          <w:b/>
          <w:kern w:val="0"/>
          <w14:ligatures w14:val="none"/>
        </w:rPr>
      </w:pPr>
      <w:r w:rsidRPr="00201DB7">
        <w:rPr>
          <w:rFonts w:eastAsia="Times New Roman" w:cs="Times New Roman"/>
          <w:b/>
          <w:kern w:val="0"/>
          <w14:ligatures w14:val="none"/>
        </w:rPr>
        <w:t>Table 1: Lifestyle interventions and their physiological effects in Type 2 Diabetes Mellitus</w:t>
      </w:r>
    </w:p>
    <w:tbl>
      <w:tblPr>
        <w:tblStyle w:val="TableGridLight"/>
        <w:tblW w:w="0" w:type="auto"/>
        <w:tblLook w:val="04A0" w:firstRow="1" w:lastRow="0" w:firstColumn="1" w:lastColumn="0" w:noHBand="0" w:noVBand="1"/>
      </w:tblPr>
      <w:tblGrid>
        <w:gridCol w:w="2118"/>
        <w:gridCol w:w="3830"/>
        <w:gridCol w:w="3402"/>
      </w:tblGrid>
      <w:tr w:rsidR="00201DB7" w:rsidRPr="00201DB7" w14:paraId="7C6DD2CC" w14:textId="77777777" w:rsidTr="00201DB7">
        <w:tc>
          <w:tcPr>
            <w:tcW w:w="0" w:type="auto"/>
            <w:hideMark/>
          </w:tcPr>
          <w:p w14:paraId="0551A7F7" w14:textId="77777777" w:rsidR="00201DB7" w:rsidRPr="00201DB7" w:rsidRDefault="00201DB7" w:rsidP="00201DB7">
            <w:pPr>
              <w:spacing w:before="100" w:beforeAutospacing="1" w:after="100" w:afterAutospacing="1" w:line="360" w:lineRule="auto"/>
              <w:jc w:val="center"/>
              <w:rPr>
                <w:rFonts w:eastAsia="Times New Roman" w:cs="Times New Roman"/>
                <w:b/>
                <w:bCs/>
                <w:kern w:val="0"/>
                <w14:ligatures w14:val="none"/>
              </w:rPr>
            </w:pPr>
            <w:r w:rsidRPr="00201DB7">
              <w:rPr>
                <w:rFonts w:eastAsia="Times New Roman" w:cs="Times New Roman"/>
                <w:b/>
                <w:bCs/>
                <w:kern w:val="0"/>
                <w14:ligatures w14:val="none"/>
              </w:rPr>
              <w:t>INTERVENTION</w:t>
            </w:r>
          </w:p>
        </w:tc>
        <w:tc>
          <w:tcPr>
            <w:tcW w:w="0" w:type="auto"/>
            <w:hideMark/>
          </w:tcPr>
          <w:p w14:paraId="28A5614F" w14:textId="77777777" w:rsidR="00201DB7" w:rsidRPr="00201DB7" w:rsidRDefault="00201DB7" w:rsidP="00201DB7">
            <w:pPr>
              <w:spacing w:before="100" w:beforeAutospacing="1" w:after="100" w:afterAutospacing="1" w:line="360" w:lineRule="auto"/>
              <w:jc w:val="center"/>
              <w:rPr>
                <w:rFonts w:eastAsia="Times New Roman" w:cs="Times New Roman"/>
                <w:b/>
                <w:bCs/>
                <w:kern w:val="0"/>
                <w14:ligatures w14:val="none"/>
              </w:rPr>
            </w:pPr>
            <w:r w:rsidRPr="00201DB7">
              <w:rPr>
                <w:rFonts w:eastAsia="Times New Roman" w:cs="Times New Roman"/>
                <w:b/>
                <w:bCs/>
                <w:kern w:val="0"/>
                <w14:ligatures w14:val="none"/>
              </w:rPr>
              <w:t>RECOMMENDATION</w:t>
            </w:r>
          </w:p>
        </w:tc>
        <w:tc>
          <w:tcPr>
            <w:tcW w:w="0" w:type="auto"/>
            <w:hideMark/>
          </w:tcPr>
          <w:p w14:paraId="6B92DE7A" w14:textId="77777777" w:rsidR="00201DB7" w:rsidRPr="00201DB7" w:rsidRDefault="00201DB7" w:rsidP="00201DB7">
            <w:pPr>
              <w:spacing w:before="100" w:beforeAutospacing="1" w:after="100" w:afterAutospacing="1" w:line="360" w:lineRule="auto"/>
              <w:jc w:val="center"/>
              <w:rPr>
                <w:rFonts w:eastAsia="Times New Roman" w:cs="Times New Roman"/>
                <w:b/>
                <w:bCs/>
                <w:kern w:val="0"/>
                <w14:ligatures w14:val="none"/>
              </w:rPr>
            </w:pPr>
            <w:r w:rsidRPr="00201DB7">
              <w:rPr>
                <w:rFonts w:eastAsia="Times New Roman" w:cs="Times New Roman"/>
                <w:b/>
                <w:bCs/>
                <w:kern w:val="0"/>
                <w14:ligatures w14:val="none"/>
              </w:rPr>
              <w:t>PHYSIOLOGICAL RESULT ON BODY</w:t>
            </w:r>
          </w:p>
        </w:tc>
      </w:tr>
      <w:tr w:rsidR="00201DB7" w:rsidRPr="00201DB7" w14:paraId="71E767A9" w14:textId="77777777" w:rsidTr="00201DB7">
        <w:tc>
          <w:tcPr>
            <w:tcW w:w="0" w:type="auto"/>
            <w:hideMark/>
          </w:tcPr>
          <w:p w14:paraId="1C3CCC48" w14:textId="77777777" w:rsidR="00201DB7" w:rsidRPr="00201DB7" w:rsidRDefault="00201DB7" w:rsidP="00201DB7">
            <w:pPr>
              <w:spacing w:before="100" w:beforeAutospacing="1" w:after="100" w:afterAutospacing="1" w:line="360" w:lineRule="auto"/>
              <w:jc w:val="left"/>
              <w:rPr>
                <w:rFonts w:eastAsia="Times New Roman" w:cs="Times New Roman"/>
                <w:kern w:val="0"/>
                <w14:ligatures w14:val="none"/>
              </w:rPr>
            </w:pPr>
            <w:r w:rsidRPr="00201DB7">
              <w:rPr>
                <w:rFonts w:eastAsia="Times New Roman" w:cs="Times New Roman"/>
                <w:kern w:val="0"/>
                <w14:ligatures w14:val="none"/>
              </w:rPr>
              <w:t>Diet</w:t>
            </w:r>
          </w:p>
        </w:tc>
        <w:tc>
          <w:tcPr>
            <w:tcW w:w="0" w:type="auto"/>
            <w:hideMark/>
          </w:tcPr>
          <w:p w14:paraId="6375967C" w14:textId="77777777" w:rsidR="00201DB7" w:rsidRPr="00201DB7" w:rsidRDefault="00201DB7" w:rsidP="00201DB7">
            <w:pPr>
              <w:spacing w:before="100" w:beforeAutospacing="1" w:after="100" w:afterAutospacing="1" w:line="360" w:lineRule="auto"/>
              <w:jc w:val="left"/>
              <w:rPr>
                <w:rFonts w:eastAsia="Times New Roman" w:cs="Times New Roman"/>
                <w:kern w:val="0"/>
                <w14:ligatures w14:val="none"/>
              </w:rPr>
            </w:pPr>
            <w:r w:rsidRPr="00201DB7">
              <w:rPr>
                <w:rFonts w:eastAsia="Times New Roman" w:cs="Times New Roman"/>
                <w:kern w:val="0"/>
                <w14:ligatures w14:val="none"/>
              </w:rPr>
              <w:t xml:space="preserve">Eat a balanced diet rich in whole grains, vegetables and </w:t>
            </w:r>
            <w:proofErr w:type="spellStart"/>
            <w:r w:rsidRPr="00201DB7">
              <w:rPr>
                <w:rFonts w:eastAsia="Times New Roman" w:cs="Times New Roman"/>
                <w:kern w:val="0"/>
                <w14:ligatures w14:val="none"/>
              </w:rPr>
              <w:t>fibre</w:t>
            </w:r>
            <w:proofErr w:type="spellEnd"/>
            <w:r w:rsidRPr="00201DB7">
              <w:rPr>
                <w:rFonts w:eastAsia="Times New Roman" w:cs="Times New Roman"/>
                <w:kern w:val="0"/>
                <w14:ligatures w14:val="none"/>
              </w:rPr>
              <w:t>. Limit refined carbohydrates and added sugars. Maintain appropriate portion sizes (Ying et al., 2024).</w:t>
            </w:r>
          </w:p>
        </w:tc>
        <w:tc>
          <w:tcPr>
            <w:tcW w:w="0" w:type="auto"/>
            <w:hideMark/>
          </w:tcPr>
          <w:p w14:paraId="311AF2F5" w14:textId="77777777" w:rsidR="00201DB7" w:rsidRPr="00201DB7" w:rsidRDefault="00201DB7" w:rsidP="00201DB7">
            <w:pPr>
              <w:spacing w:before="100" w:beforeAutospacing="1" w:after="100" w:afterAutospacing="1" w:line="360" w:lineRule="auto"/>
              <w:jc w:val="left"/>
              <w:rPr>
                <w:rFonts w:eastAsia="Times New Roman" w:cs="Times New Roman"/>
                <w:kern w:val="0"/>
                <w14:ligatures w14:val="none"/>
              </w:rPr>
            </w:pPr>
            <w:r w:rsidRPr="00201DB7">
              <w:rPr>
                <w:rFonts w:eastAsia="Times New Roman" w:cs="Times New Roman"/>
                <w:kern w:val="0"/>
                <w14:ligatures w14:val="none"/>
              </w:rPr>
              <w:t xml:space="preserve">Improves </w:t>
            </w:r>
            <w:proofErr w:type="spellStart"/>
            <w:r w:rsidRPr="00201DB7">
              <w:rPr>
                <w:rFonts w:eastAsia="Times New Roman" w:cs="Times New Roman"/>
                <w:kern w:val="0"/>
                <w14:ligatures w14:val="none"/>
              </w:rPr>
              <w:t>glycaemic</w:t>
            </w:r>
            <w:proofErr w:type="spellEnd"/>
            <w:r w:rsidRPr="00201DB7">
              <w:rPr>
                <w:rFonts w:eastAsia="Times New Roman" w:cs="Times New Roman"/>
                <w:kern w:val="0"/>
                <w14:ligatures w14:val="none"/>
              </w:rPr>
              <w:t xml:space="preserve"> control, reduces rapid increases in blood glucose and supports weight management and insulin sensitivity.</w:t>
            </w:r>
          </w:p>
        </w:tc>
      </w:tr>
      <w:tr w:rsidR="00201DB7" w:rsidRPr="00201DB7" w14:paraId="0371F65D" w14:textId="77777777" w:rsidTr="00201DB7">
        <w:tc>
          <w:tcPr>
            <w:tcW w:w="0" w:type="auto"/>
            <w:hideMark/>
          </w:tcPr>
          <w:p w14:paraId="5580A33F" w14:textId="77777777" w:rsidR="00201DB7" w:rsidRPr="00201DB7" w:rsidRDefault="00201DB7" w:rsidP="00201DB7">
            <w:pPr>
              <w:spacing w:before="100" w:beforeAutospacing="1" w:after="100" w:afterAutospacing="1" w:line="360" w:lineRule="auto"/>
              <w:jc w:val="left"/>
              <w:rPr>
                <w:rFonts w:eastAsia="Times New Roman" w:cs="Times New Roman"/>
                <w:kern w:val="0"/>
                <w14:ligatures w14:val="none"/>
              </w:rPr>
            </w:pPr>
            <w:r w:rsidRPr="00201DB7">
              <w:rPr>
                <w:rFonts w:eastAsia="Times New Roman" w:cs="Times New Roman"/>
                <w:kern w:val="0"/>
                <w14:ligatures w14:val="none"/>
              </w:rPr>
              <w:t>Physical Exercise</w:t>
            </w:r>
          </w:p>
        </w:tc>
        <w:tc>
          <w:tcPr>
            <w:tcW w:w="0" w:type="auto"/>
            <w:hideMark/>
          </w:tcPr>
          <w:p w14:paraId="4303949C" w14:textId="77777777" w:rsidR="00201DB7" w:rsidRPr="00201DB7" w:rsidRDefault="00201DB7" w:rsidP="00201DB7">
            <w:pPr>
              <w:spacing w:before="100" w:beforeAutospacing="1" w:after="100" w:afterAutospacing="1" w:line="360" w:lineRule="auto"/>
              <w:jc w:val="left"/>
              <w:rPr>
                <w:rFonts w:eastAsia="Times New Roman" w:cs="Times New Roman"/>
                <w:kern w:val="0"/>
                <w14:ligatures w14:val="none"/>
              </w:rPr>
            </w:pPr>
            <w:r w:rsidRPr="00201DB7">
              <w:rPr>
                <w:rFonts w:eastAsia="Times New Roman" w:cs="Times New Roman"/>
                <w:kern w:val="0"/>
                <w14:ligatures w14:val="none"/>
              </w:rPr>
              <w:t xml:space="preserve">Perform at least 150 minutes of moderate-intensity aerobic exercise per week, alongside resistance </w:t>
            </w:r>
            <w:r w:rsidRPr="00201DB7">
              <w:rPr>
                <w:rFonts w:eastAsia="Times New Roman" w:cs="Times New Roman"/>
                <w:kern w:val="0"/>
                <w14:ligatures w14:val="none"/>
              </w:rPr>
              <w:lastRenderedPageBreak/>
              <w:t>training where appropriate (Hou et al., 2023).</w:t>
            </w:r>
          </w:p>
        </w:tc>
        <w:tc>
          <w:tcPr>
            <w:tcW w:w="0" w:type="auto"/>
            <w:hideMark/>
          </w:tcPr>
          <w:p w14:paraId="7B68EDA6" w14:textId="77777777" w:rsidR="00201DB7" w:rsidRPr="00201DB7" w:rsidRDefault="00201DB7" w:rsidP="00201DB7">
            <w:pPr>
              <w:spacing w:before="100" w:beforeAutospacing="1" w:after="100" w:afterAutospacing="1" w:line="360" w:lineRule="auto"/>
              <w:jc w:val="left"/>
              <w:rPr>
                <w:rFonts w:eastAsia="Times New Roman" w:cs="Times New Roman"/>
                <w:kern w:val="0"/>
                <w14:ligatures w14:val="none"/>
              </w:rPr>
            </w:pPr>
            <w:r w:rsidRPr="00201DB7">
              <w:rPr>
                <w:rFonts w:eastAsia="Times New Roman" w:cs="Times New Roman"/>
                <w:kern w:val="0"/>
                <w14:ligatures w14:val="none"/>
              </w:rPr>
              <w:lastRenderedPageBreak/>
              <w:t xml:space="preserve">Increases insulin sensitivity, promotes glucose uptake by skeletal muscles, reduces blood </w:t>
            </w:r>
            <w:r w:rsidRPr="00201DB7">
              <w:rPr>
                <w:rFonts w:eastAsia="Times New Roman" w:cs="Times New Roman"/>
                <w:kern w:val="0"/>
                <w14:ligatures w14:val="none"/>
              </w:rPr>
              <w:lastRenderedPageBreak/>
              <w:t>glucose and improves cardiovascular health.</w:t>
            </w:r>
          </w:p>
        </w:tc>
      </w:tr>
      <w:tr w:rsidR="00201DB7" w:rsidRPr="00201DB7" w14:paraId="59ED4A89" w14:textId="77777777" w:rsidTr="00201DB7">
        <w:tc>
          <w:tcPr>
            <w:tcW w:w="0" w:type="auto"/>
            <w:hideMark/>
          </w:tcPr>
          <w:p w14:paraId="46050768" w14:textId="77777777" w:rsidR="00201DB7" w:rsidRPr="00201DB7" w:rsidRDefault="00201DB7" w:rsidP="00201DB7">
            <w:pPr>
              <w:spacing w:before="100" w:beforeAutospacing="1" w:after="100" w:afterAutospacing="1" w:line="360" w:lineRule="auto"/>
              <w:jc w:val="left"/>
              <w:rPr>
                <w:rFonts w:eastAsia="Times New Roman" w:cs="Times New Roman"/>
                <w:kern w:val="0"/>
                <w14:ligatures w14:val="none"/>
              </w:rPr>
            </w:pPr>
            <w:r w:rsidRPr="00201DB7">
              <w:rPr>
                <w:rFonts w:eastAsia="Times New Roman" w:cs="Times New Roman"/>
                <w:kern w:val="0"/>
                <w14:ligatures w14:val="none"/>
              </w:rPr>
              <w:lastRenderedPageBreak/>
              <w:t>Controlled substances</w:t>
            </w:r>
          </w:p>
        </w:tc>
        <w:tc>
          <w:tcPr>
            <w:tcW w:w="0" w:type="auto"/>
            <w:hideMark/>
          </w:tcPr>
          <w:p w14:paraId="49F9EE68" w14:textId="77777777" w:rsidR="00201DB7" w:rsidRPr="00201DB7" w:rsidRDefault="00201DB7" w:rsidP="00201DB7">
            <w:pPr>
              <w:spacing w:before="100" w:beforeAutospacing="1" w:after="100" w:afterAutospacing="1" w:line="360" w:lineRule="auto"/>
              <w:jc w:val="left"/>
              <w:rPr>
                <w:rFonts w:eastAsia="Times New Roman" w:cs="Times New Roman"/>
                <w:kern w:val="0"/>
                <w14:ligatures w14:val="none"/>
              </w:rPr>
            </w:pPr>
            <w:r w:rsidRPr="00201DB7">
              <w:rPr>
                <w:rFonts w:eastAsia="Times New Roman" w:cs="Times New Roman"/>
                <w:kern w:val="0"/>
                <w14:ligatures w14:val="none"/>
              </w:rPr>
              <w:t>Stop smoking, avoid tobacco products and limit alcohol consumption in accordance with individual medical advice (Walicka et al., 2024).</w:t>
            </w:r>
          </w:p>
        </w:tc>
        <w:tc>
          <w:tcPr>
            <w:tcW w:w="0" w:type="auto"/>
            <w:hideMark/>
          </w:tcPr>
          <w:p w14:paraId="143BEC84" w14:textId="77777777" w:rsidR="00201DB7" w:rsidRPr="00201DB7" w:rsidRDefault="00201DB7" w:rsidP="00201DB7">
            <w:pPr>
              <w:spacing w:before="100" w:beforeAutospacing="1" w:after="100" w:afterAutospacing="1" w:line="360" w:lineRule="auto"/>
              <w:jc w:val="left"/>
              <w:rPr>
                <w:rFonts w:eastAsia="Times New Roman" w:cs="Times New Roman"/>
                <w:kern w:val="0"/>
                <w14:ligatures w14:val="none"/>
              </w:rPr>
            </w:pPr>
            <w:r w:rsidRPr="00201DB7">
              <w:rPr>
                <w:rFonts w:eastAsia="Times New Roman" w:cs="Times New Roman"/>
                <w:kern w:val="0"/>
                <w14:ligatures w14:val="none"/>
              </w:rPr>
              <w:t>Reduces cardiovascular and vascular complications, including the risk of myocardial infarction, stroke and diabetic nephropathy associated with smoking.</w:t>
            </w:r>
          </w:p>
        </w:tc>
      </w:tr>
    </w:tbl>
    <w:p w14:paraId="2B008960" w14:textId="77777777" w:rsidR="00201DB7" w:rsidRDefault="00201DB7" w:rsidP="00201DB7">
      <w:pPr>
        <w:pStyle w:val="NormalWeb"/>
        <w:spacing w:line="360" w:lineRule="auto"/>
      </w:pPr>
      <w:r>
        <w:t xml:space="preserve">Type 2 diabetes mellitus is a condition that must be managed with lifestyle changes. Maintaining blood glucose through a balanced diet, keeping active and quitting smoking will help reduce the risk of diabetes-related complications. These interventions should be tailored to the patient's needs and should be aimed to maximize the </w:t>
      </w:r>
      <w:proofErr w:type="spellStart"/>
      <w:r>
        <w:t>longterm</w:t>
      </w:r>
      <w:proofErr w:type="spellEnd"/>
      <w:r>
        <w:t xml:space="preserve"> health effects of the patient.</w:t>
      </w:r>
    </w:p>
    <w:p w14:paraId="0C06E38E" w14:textId="2E13EFD3" w:rsidR="00901A3A" w:rsidRPr="00E26457" w:rsidRDefault="00AD410D" w:rsidP="00E26457">
      <w:pPr>
        <w:pStyle w:val="Heading1"/>
      </w:pPr>
      <w:bookmarkStart w:id="5" w:name="_Toc243380761"/>
      <w:r>
        <w:t>6. C</w:t>
      </w:r>
      <w:r w:rsidR="00901A3A" w:rsidRPr="00E26457">
        <w:t>onclusion</w:t>
      </w:r>
      <w:bookmarkEnd w:id="5"/>
      <w:r w:rsidR="00901A3A" w:rsidRPr="00E26457">
        <w:t xml:space="preserve"> </w:t>
      </w:r>
    </w:p>
    <w:p w14:paraId="6821EC66" w14:textId="280A211B" w:rsidR="00774A66" w:rsidRDefault="00774A66" w:rsidP="008A3081">
      <w:pPr>
        <w:spacing w:line="360" w:lineRule="auto"/>
      </w:pPr>
      <w:r w:rsidRPr="00774A66">
        <w:t xml:space="preserve">Type 2 diabetes mellitus occurs when the normal balance </w:t>
      </w:r>
      <w:r w:rsidR="00E26457">
        <w:t>of</w:t>
      </w:r>
      <w:r w:rsidRPr="00774A66">
        <w:t xml:space="preserve"> glucose control is affected by developing insulin resistance. Normally, there is a balance between insulin and glucagon in the body</w:t>
      </w:r>
      <w:r w:rsidR="00E26457">
        <w:t>,</w:t>
      </w:r>
      <w:r w:rsidRPr="00774A66">
        <w:t xml:space="preserve"> where they play an important role in maintaining the glucose levels within the body. Moreover, glucose and oxygen are </w:t>
      </w:r>
      <w:proofErr w:type="spellStart"/>
      <w:r w:rsidRPr="00774A66">
        <w:t>oxidi</w:t>
      </w:r>
      <w:r w:rsidR="00E26457">
        <w:t>s</w:t>
      </w:r>
      <w:r w:rsidRPr="00774A66">
        <w:t>ed</w:t>
      </w:r>
      <w:proofErr w:type="spellEnd"/>
      <w:r w:rsidRPr="00774A66">
        <w:t xml:space="preserve"> in the process of cellular respiration to form ATP required for the functioning of the body. If there is impairment of the system above, there could be persistence of high glucose levels in the blood. Monitoring the blood glucose and HbA1c gives important information about short- and long-term </w:t>
      </w:r>
      <w:proofErr w:type="spellStart"/>
      <w:r w:rsidRPr="00774A66">
        <w:t>glycaemic</w:t>
      </w:r>
      <w:proofErr w:type="spellEnd"/>
      <w:r w:rsidRPr="00774A66">
        <w:t xml:space="preserve"> control. Moreover, change</w:t>
      </w:r>
      <w:r w:rsidR="00E26457">
        <w:t>s</w:t>
      </w:r>
      <w:r w:rsidRPr="00774A66">
        <w:t xml:space="preserve"> in lifestyle may also help to decrease the impact of Type 2 diabetes. There should be </w:t>
      </w:r>
      <w:r w:rsidR="00E26457">
        <w:t xml:space="preserve">a </w:t>
      </w:r>
      <w:r w:rsidRPr="00774A66">
        <w:t>balanced diet, physical activit</w:t>
      </w:r>
      <w:r w:rsidR="00E26457">
        <w:t>y</w:t>
      </w:r>
      <w:r w:rsidRPr="00774A66">
        <w:t>, weight management and cessation of smoking.</w:t>
      </w:r>
    </w:p>
    <w:p w14:paraId="407CD591" w14:textId="77777777" w:rsidR="00774A66" w:rsidRDefault="00774A66" w:rsidP="008A3081">
      <w:pPr>
        <w:spacing w:line="360" w:lineRule="auto"/>
        <w:jc w:val="left"/>
      </w:pPr>
      <w:r>
        <w:br w:type="page"/>
      </w:r>
    </w:p>
    <w:p w14:paraId="4F320024" w14:textId="177C1511" w:rsidR="00774A66" w:rsidRDefault="00774A66" w:rsidP="00E26457">
      <w:pPr>
        <w:pStyle w:val="Heading1"/>
      </w:pPr>
      <w:bookmarkStart w:id="6" w:name="_Toc243380762"/>
      <w:r>
        <w:lastRenderedPageBreak/>
        <w:t>References</w:t>
      </w:r>
      <w:bookmarkEnd w:id="6"/>
      <w:r>
        <w:t xml:space="preserve"> </w:t>
      </w:r>
    </w:p>
    <w:p w14:paraId="479DD6C9"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American Diabetes Association Professional Practice Committee (2026) ‘2. Diagnosis and classification of diabetes: Standards of Care in Diabetes—2026’, </w:t>
      </w:r>
      <w:r w:rsidRPr="00774A66">
        <w:rPr>
          <w:rFonts w:eastAsia="Times New Roman" w:cs="Times New Roman"/>
          <w:i/>
          <w:iCs/>
          <w:kern w:val="0"/>
          <w14:ligatures w14:val="none"/>
        </w:rPr>
        <w:t>Diabetes Care</w:t>
      </w:r>
      <w:r w:rsidRPr="00774A66">
        <w:rPr>
          <w:rFonts w:eastAsia="Times New Roman" w:cs="Times New Roman"/>
          <w:kern w:val="0"/>
          <w14:ligatures w14:val="none"/>
        </w:rPr>
        <w:t>, 49(Suppl. 1), pp. S27–S49.</w:t>
      </w:r>
    </w:p>
    <w:p w14:paraId="0D45A8B3"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Brown, A. and Tzanakakis, E.S. (2023) ‘Mathematical modeling clarifies the paracrine roles of insulin and glucagon on the glucose-stimulated hormonal secretion of pancreatic alpha- and beta-cells’, </w:t>
      </w:r>
      <w:r w:rsidRPr="00774A66">
        <w:rPr>
          <w:rFonts w:eastAsia="Times New Roman" w:cs="Times New Roman"/>
          <w:i/>
          <w:iCs/>
          <w:kern w:val="0"/>
          <w14:ligatures w14:val="none"/>
        </w:rPr>
        <w:t>Frontiers in Endocrinology</w:t>
      </w:r>
      <w:r w:rsidRPr="00774A66">
        <w:rPr>
          <w:rFonts w:eastAsia="Times New Roman" w:cs="Times New Roman"/>
          <w:kern w:val="0"/>
          <w14:ligatures w14:val="none"/>
        </w:rPr>
        <w:t>, 14, p. 1212749.</w:t>
      </w:r>
    </w:p>
    <w:p w14:paraId="4465A009"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Davis, H. (2026) ‘Blood glucose homeostasis: How your body regulates glucose levels’, </w:t>
      </w:r>
      <w:proofErr w:type="spellStart"/>
      <w:r w:rsidRPr="00774A66">
        <w:rPr>
          <w:rFonts w:eastAsia="Times New Roman" w:cs="Times New Roman"/>
          <w:i/>
          <w:iCs/>
          <w:kern w:val="0"/>
          <w14:ligatures w14:val="none"/>
        </w:rPr>
        <w:t>Nutrisense</w:t>
      </w:r>
      <w:proofErr w:type="spellEnd"/>
      <w:r w:rsidRPr="00774A66">
        <w:rPr>
          <w:rFonts w:eastAsia="Times New Roman" w:cs="Times New Roman"/>
          <w:i/>
          <w:iCs/>
          <w:kern w:val="0"/>
          <w14:ligatures w14:val="none"/>
        </w:rPr>
        <w:t xml:space="preserve"> Journal</w:t>
      </w:r>
      <w:r w:rsidRPr="00774A66">
        <w:rPr>
          <w:rFonts w:eastAsia="Times New Roman" w:cs="Times New Roman"/>
          <w:kern w:val="0"/>
          <w14:ligatures w14:val="none"/>
        </w:rPr>
        <w:t xml:space="preserve">, 22 April. Available at: </w:t>
      </w:r>
      <w:hyperlink r:id="rId9" w:history="1">
        <w:r w:rsidRPr="00774A66">
          <w:rPr>
            <w:rFonts w:eastAsia="Times New Roman" w:cs="Times New Roman"/>
            <w:color w:val="0000FF"/>
            <w:kern w:val="0"/>
            <w:u w:val="single"/>
            <w14:ligatures w14:val="none"/>
          </w:rPr>
          <w:t>https://www.nutrisense.io/blog/blood-glucose-homeostasis</w:t>
        </w:r>
      </w:hyperlink>
      <w:r w:rsidRPr="00774A66">
        <w:rPr>
          <w:rFonts w:eastAsia="Times New Roman" w:cs="Times New Roman"/>
          <w:kern w:val="0"/>
          <w14:ligatures w14:val="none"/>
        </w:rPr>
        <w:t xml:space="preserve"> (Accessed: 6 October 2026).</w:t>
      </w:r>
    </w:p>
    <w:p w14:paraId="09B95E47"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De la Cruz-Concepción, B., Flores-Cortez, Y.A., Barragán-Bonilla, M.I., Mendoza-Bello, J.M. and Espinoza-Rojo, M. (2023) ‘Insulin: A connection between pancreatic β cells and the hypothalamus’, </w:t>
      </w:r>
      <w:r w:rsidRPr="00774A66">
        <w:rPr>
          <w:rFonts w:eastAsia="Times New Roman" w:cs="Times New Roman"/>
          <w:i/>
          <w:iCs/>
          <w:kern w:val="0"/>
          <w14:ligatures w14:val="none"/>
        </w:rPr>
        <w:t>World Journal of Diabetes</w:t>
      </w:r>
      <w:r w:rsidRPr="00774A66">
        <w:rPr>
          <w:rFonts w:eastAsia="Times New Roman" w:cs="Times New Roman"/>
          <w:kern w:val="0"/>
          <w14:ligatures w14:val="none"/>
        </w:rPr>
        <w:t>, 14(2), pp. 76–88.</w:t>
      </w:r>
    </w:p>
    <w:p w14:paraId="27627793"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Harvard T.H. Chan School of Public Health (2026) ‘Carbohydrates and blood sugar’, </w:t>
      </w:r>
      <w:r w:rsidRPr="00774A66">
        <w:rPr>
          <w:rFonts w:eastAsia="Times New Roman" w:cs="Times New Roman"/>
          <w:i/>
          <w:iCs/>
          <w:kern w:val="0"/>
          <w14:ligatures w14:val="none"/>
        </w:rPr>
        <w:t>The Nutrition Source</w:t>
      </w:r>
      <w:r w:rsidRPr="00774A66">
        <w:rPr>
          <w:rFonts w:eastAsia="Times New Roman" w:cs="Times New Roman"/>
          <w:kern w:val="0"/>
          <w14:ligatures w14:val="none"/>
        </w:rPr>
        <w:t xml:space="preserve">. Available at: </w:t>
      </w:r>
      <w:hyperlink r:id="rId10" w:history="1">
        <w:r w:rsidRPr="00774A66">
          <w:rPr>
            <w:rFonts w:eastAsia="Times New Roman" w:cs="Times New Roman"/>
            <w:color w:val="0000FF"/>
            <w:kern w:val="0"/>
            <w:u w:val="single"/>
            <w14:ligatures w14:val="none"/>
          </w:rPr>
          <w:t>https://nutritionsource.hsph.harvard.edu/carbohydrates/carbohydrates-and-blood-sugar/</w:t>
        </w:r>
      </w:hyperlink>
      <w:r w:rsidRPr="00774A66">
        <w:rPr>
          <w:rFonts w:eastAsia="Times New Roman" w:cs="Times New Roman"/>
          <w:kern w:val="0"/>
          <w14:ligatures w14:val="none"/>
        </w:rPr>
        <w:t xml:space="preserve"> (Accessed: 6 October 2026).</w:t>
      </w:r>
    </w:p>
    <w:p w14:paraId="07921B92"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Holmes-Truscott, E., Baptista, S., Ling, M., Collins, E., Ekinci, E.I., Furler, J., Hagger, V., Manski-Nankervis, J.A., Wells, C. and Speight, J. (2023) ‘The impact of structured self-monitoring of blood glucose on clinical, behavioral, and psychosocial outcomes among adults with non-insulin-treated type 2 diabetes: A systematic review and meta-analysis’, </w:t>
      </w:r>
      <w:r w:rsidRPr="00774A66">
        <w:rPr>
          <w:rFonts w:eastAsia="Times New Roman" w:cs="Times New Roman"/>
          <w:i/>
          <w:iCs/>
          <w:kern w:val="0"/>
          <w14:ligatures w14:val="none"/>
        </w:rPr>
        <w:t>Frontiers in Clinical Diabetes and Healthcare</w:t>
      </w:r>
      <w:r w:rsidRPr="00774A66">
        <w:rPr>
          <w:rFonts w:eastAsia="Times New Roman" w:cs="Times New Roman"/>
          <w:kern w:val="0"/>
          <w14:ligatures w14:val="none"/>
        </w:rPr>
        <w:t>, 4, p. 1177030.</w:t>
      </w:r>
    </w:p>
    <w:p w14:paraId="0B38695D"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Hou, L., Wang, Q., Pan, B., Li, R., Li, Y., He, J., Qin, T., Cao, L., Zhang, N., Cao, C. and Ge, L. (2023) ‘Exercise modalities for type 2 diabetes: A systematic review and network meta-analysis of randomized trials’, </w:t>
      </w:r>
      <w:r w:rsidRPr="00774A66">
        <w:rPr>
          <w:rFonts w:eastAsia="Times New Roman" w:cs="Times New Roman"/>
          <w:i/>
          <w:iCs/>
          <w:kern w:val="0"/>
          <w14:ligatures w14:val="none"/>
        </w:rPr>
        <w:t>Diabetes/Metabolism Research and Reviews</w:t>
      </w:r>
      <w:r w:rsidRPr="00774A66">
        <w:rPr>
          <w:rFonts w:eastAsia="Times New Roman" w:cs="Times New Roman"/>
          <w:kern w:val="0"/>
          <w14:ligatures w14:val="none"/>
        </w:rPr>
        <w:t>, 39(1), e3591.</w:t>
      </w:r>
    </w:p>
    <w:p w14:paraId="0E2EC68A"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lastRenderedPageBreak/>
        <w:t xml:space="preserve">Hulett, N.A., Scalzo, R.L. and Reusch, J.E. (2022) ‘Glucose uptake by skeletal muscle within the contexts of type 2 diabetes and exercise: An integrated approach’, </w:t>
      </w:r>
      <w:r w:rsidRPr="00774A66">
        <w:rPr>
          <w:rFonts w:eastAsia="Times New Roman" w:cs="Times New Roman"/>
          <w:i/>
          <w:iCs/>
          <w:kern w:val="0"/>
          <w14:ligatures w14:val="none"/>
        </w:rPr>
        <w:t>Nutrients</w:t>
      </w:r>
      <w:r w:rsidRPr="00774A66">
        <w:rPr>
          <w:rFonts w:eastAsia="Times New Roman" w:cs="Times New Roman"/>
          <w:kern w:val="0"/>
          <w14:ligatures w14:val="none"/>
        </w:rPr>
        <w:t>, 14(3), p. 647.</w:t>
      </w:r>
    </w:p>
    <w:p w14:paraId="338366FD"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Jayedi, A., </w:t>
      </w:r>
      <w:proofErr w:type="spellStart"/>
      <w:r w:rsidRPr="00774A66">
        <w:rPr>
          <w:rFonts w:eastAsia="Times New Roman" w:cs="Times New Roman"/>
          <w:kern w:val="0"/>
          <w14:ligatures w14:val="none"/>
        </w:rPr>
        <w:t>Zeraattalab</w:t>
      </w:r>
      <w:proofErr w:type="spellEnd"/>
      <w:r w:rsidRPr="00774A66">
        <w:rPr>
          <w:rFonts w:eastAsia="Times New Roman" w:cs="Times New Roman"/>
          <w:kern w:val="0"/>
          <w14:ligatures w14:val="none"/>
        </w:rPr>
        <w:t xml:space="preserve">-Motlagh, S., Shahinfar, H., Gregg, E.W. and Shab-Bidar, S. (2023) ‘Effect of calorie restriction in comparison to usual diet or usual care on remission of type 2 diabetes: A systematic review and meta-analysis of randomized controlled trials’, </w:t>
      </w:r>
      <w:r w:rsidRPr="00774A66">
        <w:rPr>
          <w:rFonts w:eastAsia="Times New Roman" w:cs="Times New Roman"/>
          <w:i/>
          <w:iCs/>
          <w:kern w:val="0"/>
          <w14:ligatures w14:val="none"/>
        </w:rPr>
        <w:t>The American Journal of Clinical Nutrition</w:t>
      </w:r>
      <w:r w:rsidRPr="00774A66">
        <w:rPr>
          <w:rFonts w:eastAsia="Times New Roman" w:cs="Times New Roman"/>
          <w:kern w:val="0"/>
          <w14:ligatures w14:val="none"/>
        </w:rPr>
        <w:t>, 117(5), pp. 870–882.</w:t>
      </w:r>
    </w:p>
    <w:p w14:paraId="5312BCFE"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proofErr w:type="spellStart"/>
      <w:r w:rsidRPr="00774A66">
        <w:rPr>
          <w:rFonts w:eastAsia="Times New Roman" w:cs="Times New Roman"/>
          <w:kern w:val="0"/>
          <w14:ligatures w14:val="none"/>
        </w:rPr>
        <w:t>Nakrani</w:t>
      </w:r>
      <w:proofErr w:type="spellEnd"/>
      <w:r w:rsidRPr="00774A66">
        <w:rPr>
          <w:rFonts w:eastAsia="Times New Roman" w:cs="Times New Roman"/>
          <w:kern w:val="0"/>
          <w14:ligatures w14:val="none"/>
        </w:rPr>
        <w:t xml:space="preserve">, M.N., Wineland, R.H. and Anjum, F. (2023) ‘Physiology, glucose metabolism’, in </w:t>
      </w:r>
      <w:proofErr w:type="spellStart"/>
      <w:r w:rsidRPr="00774A66">
        <w:rPr>
          <w:rFonts w:eastAsia="Times New Roman" w:cs="Times New Roman"/>
          <w:i/>
          <w:iCs/>
          <w:kern w:val="0"/>
          <w14:ligatures w14:val="none"/>
        </w:rPr>
        <w:t>StatPearls</w:t>
      </w:r>
      <w:proofErr w:type="spellEnd"/>
      <w:r w:rsidRPr="00774A66">
        <w:rPr>
          <w:rFonts w:eastAsia="Times New Roman" w:cs="Times New Roman"/>
          <w:i/>
          <w:iCs/>
          <w:kern w:val="0"/>
          <w14:ligatures w14:val="none"/>
        </w:rPr>
        <w:t xml:space="preserve"> [Internet]</w:t>
      </w:r>
      <w:r w:rsidRPr="00774A66">
        <w:rPr>
          <w:rFonts w:eastAsia="Times New Roman" w:cs="Times New Roman"/>
          <w:kern w:val="0"/>
          <w14:ligatures w14:val="none"/>
        </w:rPr>
        <w:t xml:space="preserve">. Treasure Island, FL: </w:t>
      </w:r>
      <w:proofErr w:type="spellStart"/>
      <w:r w:rsidRPr="00774A66">
        <w:rPr>
          <w:rFonts w:eastAsia="Times New Roman" w:cs="Times New Roman"/>
          <w:kern w:val="0"/>
          <w14:ligatures w14:val="none"/>
        </w:rPr>
        <w:t>StatPearls</w:t>
      </w:r>
      <w:proofErr w:type="spellEnd"/>
      <w:r w:rsidRPr="00774A66">
        <w:rPr>
          <w:rFonts w:eastAsia="Times New Roman" w:cs="Times New Roman"/>
          <w:kern w:val="0"/>
          <w14:ligatures w14:val="none"/>
        </w:rPr>
        <w:t xml:space="preserve"> Publishing. Available at: </w:t>
      </w:r>
      <w:hyperlink r:id="rId11" w:history="1">
        <w:r w:rsidRPr="00774A66">
          <w:rPr>
            <w:rFonts w:eastAsia="Times New Roman" w:cs="Times New Roman"/>
            <w:color w:val="0000FF"/>
            <w:kern w:val="0"/>
            <w:u w:val="single"/>
            <w14:ligatures w14:val="none"/>
          </w:rPr>
          <w:t>https://www.ncbi.nlm.nih.gov/books/NBK560599/</w:t>
        </w:r>
      </w:hyperlink>
      <w:r w:rsidRPr="00774A66">
        <w:rPr>
          <w:rFonts w:eastAsia="Times New Roman" w:cs="Times New Roman"/>
          <w:kern w:val="0"/>
          <w14:ligatures w14:val="none"/>
        </w:rPr>
        <w:t xml:space="preserve"> (Accessed: 6 October 2026).</w:t>
      </w:r>
    </w:p>
    <w:p w14:paraId="10E94840"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Perreault, K., </w:t>
      </w:r>
      <w:proofErr w:type="spellStart"/>
      <w:r w:rsidRPr="00774A66">
        <w:rPr>
          <w:rFonts w:eastAsia="Times New Roman" w:cs="Times New Roman"/>
          <w:kern w:val="0"/>
          <w14:ligatures w14:val="none"/>
        </w:rPr>
        <w:t>Lagacé</w:t>
      </w:r>
      <w:proofErr w:type="spellEnd"/>
      <w:r w:rsidRPr="00774A66">
        <w:rPr>
          <w:rFonts w:eastAsia="Times New Roman" w:cs="Times New Roman"/>
          <w:kern w:val="0"/>
          <w14:ligatures w14:val="none"/>
        </w:rPr>
        <w:t xml:space="preserve">, J.C., Brochu, M. and Dionne, I.J. (2016) ‘Association between fat-free mass and glucose homeostasis: Common knowledge revisited’, </w:t>
      </w:r>
      <w:r w:rsidRPr="00774A66">
        <w:rPr>
          <w:rFonts w:eastAsia="Times New Roman" w:cs="Times New Roman"/>
          <w:i/>
          <w:iCs/>
          <w:kern w:val="0"/>
          <w14:ligatures w14:val="none"/>
        </w:rPr>
        <w:t>Ageing Research Reviews</w:t>
      </w:r>
      <w:r w:rsidRPr="00774A66">
        <w:rPr>
          <w:rFonts w:eastAsia="Times New Roman" w:cs="Times New Roman"/>
          <w:kern w:val="0"/>
          <w14:ligatures w14:val="none"/>
        </w:rPr>
        <w:t>, 28, pp. 46–61.</w:t>
      </w:r>
    </w:p>
    <w:p w14:paraId="608568E9"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Rix, I., Johansen, M.L., Lund, A., </w:t>
      </w:r>
      <w:proofErr w:type="spellStart"/>
      <w:r w:rsidRPr="00774A66">
        <w:rPr>
          <w:rFonts w:eastAsia="Times New Roman" w:cs="Times New Roman"/>
          <w:kern w:val="0"/>
          <w14:ligatures w14:val="none"/>
        </w:rPr>
        <w:t>Suppli</w:t>
      </w:r>
      <w:proofErr w:type="spellEnd"/>
      <w:r w:rsidRPr="00774A66">
        <w:rPr>
          <w:rFonts w:eastAsia="Times New Roman" w:cs="Times New Roman"/>
          <w:kern w:val="0"/>
          <w14:ligatures w14:val="none"/>
        </w:rPr>
        <w:t>, M.P., Chabanova, E., van Hall, G., Holst, J.J., Wewer Albrechtsen, N.J., Kistorp, C. and Knop, F.K. (2024) ‘</w:t>
      </w:r>
      <w:proofErr w:type="spellStart"/>
      <w:r w:rsidRPr="00774A66">
        <w:rPr>
          <w:rFonts w:eastAsia="Times New Roman" w:cs="Times New Roman"/>
          <w:kern w:val="0"/>
          <w14:ligatures w14:val="none"/>
        </w:rPr>
        <w:t>Hyperglucagonaemia</w:t>
      </w:r>
      <w:proofErr w:type="spellEnd"/>
      <w:r w:rsidRPr="00774A66">
        <w:rPr>
          <w:rFonts w:eastAsia="Times New Roman" w:cs="Times New Roman"/>
          <w:kern w:val="0"/>
          <w14:ligatures w14:val="none"/>
        </w:rPr>
        <w:t xml:space="preserve"> and amino acid alterations in individuals with type 2 diabetes and non-alcoholic fatty liver disease’, </w:t>
      </w:r>
      <w:r w:rsidRPr="00774A66">
        <w:rPr>
          <w:rFonts w:eastAsia="Times New Roman" w:cs="Times New Roman"/>
          <w:i/>
          <w:iCs/>
          <w:kern w:val="0"/>
          <w14:ligatures w14:val="none"/>
        </w:rPr>
        <w:t>Endocrine Connections</w:t>
      </w:r>
      <w:r w:rsidRPr="00774A66">
        <w:rPr>
          <w:rFonts w:eastAsia="Times New Roman" w:cs="Times New Roman"/>
          <w:kern w:val="0"/>
          <w14:ligatures w14:val="none"/>
        </w:rPr>
        <w:t>, 13(1).</w:t>
      </w:r>
    </w:p>
    <w:p w14:paraId="79168C2E"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Röder, P.V., Wu, B., Liu, Y. and Han, W. (2016) ‘Pancreatic regulation of glucose homeostasis’, </w:t>
      </w:r>
      <w:r w:rsidRPr="00774A66">
        <w:rPr>
          <w:rFonts w:eastAsia="Times New Roman" w:cs="Times New Roman"/>
          <w:i/>
          <w:iCs/>
          <w:kern w:val="0"/>
          <w14:ligatures w14:val="none"/>
        </w:rPr>
        <w:t>Experimental &amp; Molecular Medicine</w:t>
      </w:r>
      <w:r w:rsidRPr="00774A66">
        <w:rPr>
          <w:rFonts w:eastAsia="Times New Roman" w:cs="Times New Roman"/>
          <w:kern w:val="0"/>
          <w14:ligatures w14:val="none"/>
        </w:rPr>
        <w:t>, 48(3), e219.</w:t>
      </w:r>
    </w:p>
    <w:p w14:paraId="710CC33C"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Thompson, A.R. (2025) ‘Diagnosis and classification’, in </w:t>
      </w:r>
      <w:r w:rsidRPr="00774A66">
        <w:rPr>
          <w:rFonts w:eastAsia="Times New Roman" w:cs="Times New Roman"/>
          <w:i/>
          <w:iCs/>
          <w:kern w:val="0"/>
          <w14:ligatures w14:val="none"/>
        </w:rPr>
        <w:t>Care and Management of Type 2 Diabetes in Adults: A Handbook for Nurse Practitioners and Advanced Practice Providers</w:t>
      </w:r>
      <w:r w:rsidRPr="00774A66">
        <w:rPr>
          <w:rFonts w:eastAsia="Times New Roman" w:cs="Times New Roman"/>
          <w:kern w:val="0"/>
          <w14:ligatures w14:val="none"/>
        </w:rPr>
        <w:t>, p. 1.</w:t>
      </w:r>
    </w:p>
    <w:p w14:paraId="11AABED3"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van Gerwen, J., Shun-Shion, A.S. and Fazakerley, D.J. (2023) ‘Insulin </w:t>
      </w:r>
      <w:proofErr w:type="spellStart"/>
      <w:r w:rsidRPr="00774A66">
        <w:rPr>
          <w:rFonts w:eastAsia="Times New Roman" w:cs="Times New Roman"/>
          <w:kern w:val="0"/>
          <w14:ligatures w14:val="none"/>
        </w:rPr>
        <w:t>signalling</w:t>
      </w:r>
      <w:proofErr w:type="spellEnd"/>
      <w:r w:rsidRPr="00774A66">
        <w:rPr>
          <w:rFonts w:eastAsia="Times New Roman" w:cs="Times New Roman"/>
          <w:kern w:val="0"/>
          <w14:ligatures w14:val="none"/>
        </w:rPr>
        <w:t xml:space="preserve"> and GLUT4 trafficking in insulin resistance’, </w:t>
      </w:r>
      <w:r w:rsidRPr="00774A66">
        <w:rPr>
          <w:rFonts w:eastAsia="Times New Roman" w:cs="Times New Roman"/>
          <w:i/>
          <w:iCs/>
          <w:kern w:val="0"/>
          <w14:ligatures w14:val="none"/>
        </w:rPr>
        <w:t>Biochemical Society Transactions</w:t>
      </w:r>
      <w:r w:rsidRPr="00774A66">
        <w:rPr>
          <w:rFonts w:eastAsia="Times New Roman" w:cs="Times New Roman"/>
          <w:kern w:val="0"/>
          <w14:ligatures w14:val="none"/>
        </w:rPr>
        <w:t>, 51(3), pp. 1057–1069.</w:t>
      </w:r>
    </w:p>
    <w:p w14:paraId="5E675907"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Walicka, M., Krysiński, A., La Rosa, G.R.M., Sun, A., Campagna, D., Di Ciaula, A., Dugal, T., Kengne, A., Le Dinh, P., Misra, A. and </w:t>
      </w:r>
      <w:proofErr w:type="spellStart"/>
      <w:r w:rsidRPr="00774A66">
        <w:rPr>
          <w:rFonts w:eastAsia="Times New Roman" w:cs="Times New Roman"/>
          <w:kern w:val="0"/>
          <w14:ligatures w14:val="none"/>
        </w:rPr>
        <w:t>Polosa</w:t>
      </w:r>
      <w:proofErr w:type="spellEnd"/>
      <w:r w:rsidRPr="00774A66">
        <w:rPr>
          <w:rFonts w:eastAsia="Times New Roman" w:cs="Times New Roman"/>
          <w:kern w:val="0"/>
          <w14:ligatures w14:val="none"/>
        </w:rPr>
        <w:t xml:space="preserve">, R. (2024) ‘Influence of quitting smoking on diabetes-related complications: A scoping review with a systematic search strategy’, </w:t>
      </w:r>
      <w:r w:rsidRPr="00774A66">
        <w:rPr>
          <w:rFonts w:eastAsia="Times New Roman" w:cs="Times New Roman"/>
          <w:i/>
          <w:iCs/>
          <w:kern w:val="0"/>
          <w14:ligatures w14:val="none"/>
        </w:rPr>
        <w:t>Diabetes &amp; Metabolic Syndrome: Clinical Research &amp; Reviews</w:t>
      </w:r>
      <w:r w:rsidRPr="00774A66">
        <w:rPr>
          <w:rFonts w:eastAsia="Times New Roman" w:cs="Times New Roman"/>
          <w:kern w:val="0"/>
          <w14:ligatures w14:val="none"/>
        </w:rPr>
        <w:t>, 18(5), p. 103044.</w:t>
      </w:r>
    </w:p>
    <w:p w14:paraId="3DCF3A1C"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proofErr w:type="spellStart"/>
      <w:r w:rsidRPr="00774A66">
        <w:rPr>
          <w:rFonts w:eastAsia="Times New Roman" w:cs="Times New Roman"/>
          <w:kern w:val="0"/>
          <w14:ligatures w14:val="none"/>
        </w:rPr>
        <w:lastRenderedPageBreak/>
        <w:t>Yiew</w:t>
      </w:r>
      <w:proofErr w:type="spellEnd"/>
      <w:r w:rsidRPr="00774A66">
        <w:rPr>
          <w:rFonts w:eastAsia="Times New Roman" w:cs="Times New Roman"/>
          <w:kern w:val="0"/>
          <w14:ligatures w14:val="none"/>
        </w:rPr>
        <w:t xml:space="preserve">, N.K. and Finck, B.N. (2022) ‘The mitochondrial pyruvate carrier at the crossroads of intermediary metabolism’, </w:t>
      </w:r>
      <w:r w:rsidRPr="00774A66">
        <w:rPr>
          <w:rFonts w:eastAsia="Times New Roman" w:cs="Times New Roman"/>
          <w:i/>
          <w:iCs/>
          <w:kern w:val="0"/>
          <w14:ligatures w14:val="none"/>
        </w:rPr>
        <w:t>American Journal of Physiology-Endocrinology and Metabolism</w:t>
      </w:r>
      <w:r w:rsidRPr="00774A66">
        <w:rPr>
          <w:rFonts w:eastAsia="Times New Roman" w:cs="Times New Roman"/>
          <w:kern w:val="0"/>
          <w14:ligatures w14:val="none"/>
        </w:rPr>
        <w:t>, 323(1), pp. E33–E52.</w:t>
      </w:r>
    </w:p>
    <w:p w14:paraId="51F51279"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Ying, T., Zheng, J., Kan, J., Li, W., Xue, K., Du, J., Liu, Y. and He, G. (2024) ‘Effects of whole grains on glycemic control: A systematic review and dose-response meta-analysis of prospective cohort studies and randomized controlled trials’, </w:t>
      </w:r>
      <w:r w:rsidRPr="00774A66">
        <w:rPr>
          <w:rFonts w:eastAsia="Times New Roman" w:cs="Times New Roman"/>
          <w:i/>
          <w:iCs/>
          <w:kern w:val="0"/>
          <w14:ligatures w14:val="none"/>
        </w:rPr>
        <w:t>Nutrition Journal</w:t>
      </w:r>
      <w:r w:rsidRPr="00774A66">
        <w:rPr>
          <w:rFonts w:eastAsia="Times New Roman" w:cs="Times New Roman"/>
          <w:kern w:val="0"/>
          <w14:ligatures w14:val="none"/>
        </w:rPr>
        <w:t>, 23(1), p. 47.</w:t>
      </w:r>
    </w:p>
    <w:p w14:paraId="41D27EAE" w14:textId="77777777" w:rsidR="00774A66" w:rsidRPr="00774A66" w:rsidRDefault="00774A66" w:rsidP="008A3081">
      <w:pPr>
        <w:spacing w:before="100" w:beforeAutospacing="1" w:after="100" w:afterAutospacing="1" w:line="360" w:lineRule="auto"/>
        <w:jc w:val="left"/>
        <w:rPr>
          <w:rFonts w:eastAsia="Times New Roman" w:cs="Times New Roman"/>
          <w:kern w:val="0"/>
          <w14:ligatures w14:val="none"/>
        </w:rPr>
      </w:pPr>
      <w:r w:rsidRPr="00774A66">
        <w:rPr>
          <w:rFonts w:eastAsia="Times New Roman" w:cs="Times New Roman"/>
          <w:kern w:val="0"/>
          <w14:ligatures w14:val="none"/>
        </w:rPr>
        <w:t xml:space="preserve">Zou, Y., Zhao, S., Li, G. and Zhang, C. (2023) ‘The efficacy and frequency of self-monitoring of blood glucose in non-insulin-treated T2D patients: A systematic review and meta-analysis’, </w:t>
      </w:r>
      <w:r w:rsidRPr="00774A66">
        <w:rPr>
          <w:rFonts w:eastAsia="Times New Roman" w:cs="Times New Roman"/>
          <w:i/>
          <w:iCs/>
          <w:kern w:val="0"/>
          <w14:ligatures w14:val="none"/>
        </w:rPr>
        <w:t>Journal of General Internal Medicine</w:t>
      </w:r>
      <w:r w:rsidRPr="00774A66">
        <w:rPr>
          <w:rFonts w:eastAsia="Times New Roman" w:cs="Times New Roman"/>
          <w:kern w:val="0"/>
          <w14:ligatures w14:val="none"/>
        </w:rPr>
        <w:t>, 38(3), pp. 755–764.</w:t>
      </w:r>
    </w:p>
    <w:p w14:paraId="6E699C21" w14:textId="77777777" w:rsidR="00774A66" w:rsidRPr="00774A66" w:rsidRDefault="00774A66" w:rsidP="008A3081">
      <w:pPr>
        <w:spacing w:line="360" w:lineRule="auto"/>
      </w:pPr>
    </w:p>
    <w:p w14:paraId="6A66FEF5" w14:textId="1EDACD24" w:rsidR="000624AD" w:rsidRPr="000E08F5" w:rsidRDefault="000624AD" w:rsidP="008A3081">
      <w:pPr>
        <w:spacing w:line="360" w:lineRule="auto"/>
        <w:rPr>
          <w:rFonts w:eastAsiaTheme="majorEastAsia" w:cstheme="majorBidi"/>
          <w:color w:val="2F5496" w:themeColor="accent1" w:themeShade="BF"/>
          <w:sz w:val="28"/>
          <w:szCs w:val="28"/>
        </w:rPr>
      </w:pPr>
    </w:p>
    <w:sectPr w:rsidR="000624AD" w:rsidRPr="000E08F5" w:rsidSect="00E26457">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0AD44C1" w14:textId="77777777" w:rsidR="00293AD5" w:rsidRDefault="00293AD5" w:rsidP="00E26457">
      <w:pPr>
        <w:spacing w:after="0" w:line="240" w:lineRule="auto"/>
      </w:pPr>
      <w:r>
        <w:separator/>
      </w:r>
    </w:p>
  </w:endnote>
  <w:endnote w:type="continuationSeparator" w:id="0">
    <w:p w14:paraId="0C980EC8" w14:textId="77777777" w:rsidR="00293AD5" w:rsidRDefault="00293AD5" w:rsidP="00E26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7BD860" w14:textId="77777777" w:rsidR="00E26457" w:rsidRDefault="00E264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86118855"/>
      <w:docPartObj>
        <w:docPartGallery w:val="Page Numbers (Bottom of Page)"/>
        <w:docPartUnique/>
      </w:docPartObj>
    </w:sdtPr>
    <w:sdtEndPr>
      <w:rPr>
        <w:noProof/>
      </w:rPr>
    </w:sdtEndPr>
    <w:sdtContent>
      <w:p w14:paraId="62AB2BCF" w14:textId="29707100" w:rsidR="00E26457" w:rsidRDefault="00E26457">
        <w:pPr>
          <w:pStyle w:val="Footer"/>
          <w:jc w:val="center"/>
        </w:pPr>
        <w:r>
          <w:fldChar w:fldCharType="begin"/>
        </w:r>
        <w:r>
          <w:instrText xml:space="preserve"> PAGE   \* MERGEFORMAT </w:instrText>
        </w:r>
        <w:r>
          <w:fldChar w:fldCharType="separate"/>
        </w:r>
        <w:r w:rsidR="00434E69">
          <w:rPr>
            <w:noProof/>
          </w:rPr>
          <w:t>12</w:t>
        </w:r>
        <w:r>
          <w:rPr>
            <w:noProof/>
          </w:rPr>
          <w:fldChar w:fldCharType="end"/>
        </w:r>
      </w:p>
    </w:sdtContent>
  </w:sdt>
  <w:p w14:paraId="474E7FD7" w14:textId="77777777" w:rsidR="00E26457" w:rsidRDefault="00E264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E54C40" w14:textId="77777777" w:rsidR="00E26457" w:rsidRDefault="00E26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8A2553" w14:textId="77777777" w:rsidR="00293AD5" w:rsidRDefault="00293AD5" w:rsidP="00E26457">
      <w:pPr>
        <w:spacing w:after="0" w:line="240" w:lineRule="auto"/>
      </w:pPr>
      <w:r>
        <w:separator/>
      </w:r>
    </w:p>
  </w:footnote>
  <w:footnote w:type="continuationSeparator" w:id="0">
    <w:p w14:paraId="4359E6F5" w14:textId="77777777" w:rsidR="00293AD5" w:rsidRDefault="00293AD5" w:rsidP="00E264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9432CF" w14:textId="77777777" w:rsidR="00E26457" w:rsidRDefault="00E264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74C0C7" w14:textId="77777777" w:rsidR="00E26457" w:rsidRDefault="00E264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CE2A53" w14:textId="77777777" w:rsidR="00E26457" w:rsidRDefault="00E264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30D6E53"/>
    <w:multiLevelType w:val="hybridMultilevel"/>
    <w:tmpl w:val="5C68814C"/>
    <w:lvl w:ilvl="0" w:tplc="33CA35A4">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4B1C55"/>
    <w:multiLevelType w:val="hybridMultilevel"/>
    <w:tmpl w:val="220EC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D2265C"/>
    <w:multiLevelType w:val="hybridMultilevel"/>
    <w:tmpl w:val="FADA4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9653111">
    <w:abstractNumId w:val="2"/>
  </w:num>
  <w:num w:numId="2" w16cid:durableId="424689155">
    <w:abstractNumId w:val="0"/>
  </w:num>
  <w:num w:numId="3" w16cid:durableId="179844928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UzNzIzMjMwszA1MzVV0lEKTi0uzszPAykwrAUAf8Ez+iwAAAA="/>
  </w:docVars>
  <w:rsids>
    <w:rsidRoot w:val="00BA01F7"/>
    <w:rsid w:val="00027E6A"/>
    <w:rsid w:val="0006074B"/>
    <w:rsid w:val="000624AD"/>
    <w:rsid w:val="000B79D3"/>
    <w:rsid w:val="000E08F5"/>
    <w:rsid w:val="000F3BFB"/>
    <w:rsid w:val="00117CE4"/>
    <w:rsid w:val="001403B7"/>
    <w:rsid w:val="00155068"/>
    <w:rsid w:val="001619DE"/>
    <w:rsid w:val="00161D9B"/>
    <w:rsid w:val="001745E6"/>
    <w:rsid w:val="001B30D0"/>
    <w:rsid w:val="00201DB7"/>
    <w:rsid w:val="002034D3"/>
    <w:rsid w:val="0021382A"/>
    <w:rsid w:val="00293AD5"/>
    <w:rsid w:val="002B5624"/>
    <w:rsid w:val="0031449F"/>
    <w:rsid w:val="00352340"/>
    <w:rsid w:val="00373587"/>
    <w:rsid w:val="00384640"/>
    <w:rsid w:val="003B4596"/>
    <w:rsid w:val="003E561B"/>
    <w:rsid w:val="003F7CA7"/>
    <w:rsid w:val="00406B42"/>
    <w:rsid w:val="0041741F"/>
    <w:rsid w:val="00434E69"/>
    <w:rsid w:val="00453DBB"/>
    <w:rsid w:val="00482DE7"/>
    <w:rsid w:val="004B2D05"/>
    <w:rsid w:val="004F717B"/>
    <w:rsid w:val="00513AC7"/>
    <w:rsid w:val="00545F75"/>
    <w:rsid w:val="00566DEF"/>
    <w:rsid w:val="00584D99"/>
    <w:rsid w:val="005E1DD9"/>
    <w:rsid w:val="005E5AA8"/>
    <w:rsid w:val="00652651"/>
    <w:rsid w:val="006543C4"/>
    <w:rsid w:val="00656270"/>
    <w:rsid w:val="00675531"/>
    <w:rsid w:val="006C13E7"/>
    <w:rsid w:val="00754BBB"/>
    <w:rsid w:val="0076348D"/>
    <w:rsid w:val="00774A66"/>
    <w:rsid w:val="00817581"/>
    <w:rsid w:val="00837FEC"/>
    <w:rsid w:val="008442FC"/>
    <w:rsid w:val="00876859"/>
    <w:rsid w:val="008A3081"/>
    <w:rsid w:val="008D3C7E"/>
    <w:rsid w:val="008F7FEC"/>
    <w:rsid w:val="00901A3A"/>
    <w:rsid w:val="00947A94"/>
    <w:rsid w:val="009F1D89"/>
    <w:rsid w:val="00A03C52"/>
    <w:rsid w:val="00A03E85"/>
    <w:rsid w:val="00A77438"/>
    <w:rsid w:val="00AC3423"/>
    <w:rsid w:val="00AD410D"/>
    <w:rsid w:val="00AE59A8"/>
    <w:rsid w:val="00BA01F7"/>
    <w:rsid w:val="00C00712"/>
    <w:rsid w:val="00C22484"/>
    <w:rsid w:val="00CA6889"/>
    <w:rsid w:val="00D03584"/>
    <w:rsid w:val="00DE72D6"/>
    <w:rsid w:val="00E26457"/>
    <w:rsid w:val="00E42045"/>
    <w:rsid w:val="00E85B7B"/>
    <w:rsid w:val="00EC5CF2"/>
    <w:rsid w:val="00F74A41"/>
    <w:rsid w:val="00FA1AA0"/>
    <w:rsid w:val="00FE1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28578"/>
  <w15:chartTrackingRefBased/>
  <w15:docId w15:val="{D46062FB-EB3B-478B-A72B-2A25FB0FF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2FC"/>
    <w:pPr>
      <w:jc w:val="both"/>
    </w:pPr>
    <w:rPr>
      <w:rFonts w:ascii="Times New Roman" w:hAnsi="Times New Roman"/>
    </w:rPr>
  </w:style>
  <w:style w:type="paragraph" w:styleId="Heading1">
    <w:name w:val="heading 1"/>
    <w:basedOn w:val="Normal"/>
    <w:next w:val="Normal"/>
    <w:link w:val="Heading1Char"/>
    <w:uiPriority w:val="9"/>
    <w:qFormat/>
    <w:rsid w:val="008442FC"/>
    <w:pPr>
      <w:keepNext/>
      <w:keepLines/>
      <w:spacing w:before="360" w:after="80"/>
      <w:outlineLvl w:val="0"/>
    </w:pPr>
    <w:rPr>
      <w:rFonts w:eastAsiaTheme="majorEastAsia" w:cstheme="majorBidi"/>
      <w:color w:val="000000" w:themeColor="text1"/>
      <w:sz w:val="40"/>
      <w:szCs w:val="40"/>
    </w:rPr>
  </w:style>
  <w:style w:type="paragraph" w:styleId="Heading2">
    <w:name w:val="heading 2"/>
    <w:basedOn w:val="Normal"/>
    <w:next w:val="Normal"/>
    <w:link w:val="Heading2Char"/>
    <w:uiPriority w:val="9"/>
    <w:semiHidden/>
    <w:unhideWhenUsed/>
    <w:qFormat/>
    <w:rsid w:val="00BA01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A01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01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01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01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01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01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01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2FC"/>
    <w:rPr>
      <w:rFonts w:ascii="Times New Roman" w:eastAsiaTheme="majorEastAsia" w:hAnsi="Times New Roman" w:cstheme="majorBidi"/>
      <w:color w:val="000000" w:themeColor="text1"/>
      <w:sz w:val="40"/>
      <w:szCs w:val="40"/>
    </w:rPr>
  </w:style>
  <w:style w:type="character" w:customStyle="1" w:styleId="Heading2Char">
    <w:name w:val="Heading 2 Char"/>
    <w:basedOn w:val="DefaultParagraphFont"/>
    <w:link w:val="Heading2"/>
    <w:uiPriority w:val="9"/>
    <w:semiHidden/>
    <w:rsid w:val="00BA01F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A01F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01F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01F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01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01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01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01F7"/>
    <w:rPr>
      <w:rFonts w:eastAsiaTheme="majorEastAsia" w:cstheme="majorBidi"/>
      <w:color w:val="272727" w:themeColor="text1" w:themeTint="D8"/>
    </w:rPr>
  </w:style>
  <w:style w:type="paragraph" w:styleId="Title">
    <w:name w:val="Title"/>
    <w:basedOn w:val="Normal"/>
    <w:next w:val="Normal"/>
    <w:link w:val="TitleChar"/>
    <w:uiPriority w:val="10"/>
    <w:qFormat/>
    <w:rsid w:val="00BA01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01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01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01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01F7"/>
    <w:pPr>
      <w:spacing w:before="160"/>
      <w:jc w:val="center"/>
    </w:pPr>
    <w:rPr>
      <w:i/>
      <w:iCs/>
      <w:color w:val="404040" w:themeColor="text1" w:themeTint="BF"/>
    </w:rPr>
  </w:style>
  <w:style w:type="character" w:customStyle="1" w:styleId="QuoteChar">
    <w:name w:val="Quote Char"/>
    <w:basedOn w:val="DefaultParagraphFont"/>
    <w:link w:val="Quote"/>
    <w:uiPriority w:val="29"/>
    <w:rsid w:val="00BA01F7"/>
    <w:rPr>
      <w:i/>
      <w:iCs/>
      <w:color w:val="404040" w:themeColor="text1" w:themeTint="BF"/>
    </w:rPr>
  </w:style>
  <w:style w:type="paragraph" w:styleId="ListParagraph">
    <w:name w:val="List Paragraph"/>
    <w:basedOn w:val="Normal"/>
    <w:uiPriority w:val="34"/>
    <w:qFormat/>
    <w:rsid w:val="00BA01F7"/>
    <w:pPr>
      <w:ind w:left="720"/>
      <w:contextualSpacing/>
    </w:pPr>
  </w:style>
  <w:style w:type="character" w:styleId="IntenseEmphasis">
    <w:name w:val="Intense Emphasis"/>
    <w:basedOn w:val="DefaultParagraphFont"/>
    <w:uiPriority w:val="21"/>
    <w:qFormat/>
    <w:rsid w:val="00BA01F7"/>
    <w:rPr>
      <w:i/>
      <w:iCs/>
      <w:color w:val="2F5496" w:themeColor="accent1" w:themeShade="BF"/>
    </w:rPr>
  </w:style>
  <w:style w:type="paragraph" w:styleId="IntenseQuote">
    <w:name w:val="Intense Quote"/>
    <w:basedOn w:val="Normal"/>
    <w:next w:val="Normal"/>
    <w:link w:val="IntenseQuoteChar"/>
    <w:uiPriority w:val="30"/>
    <w:qFormat/>
    <w:rsid w:val="00BA01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01F7"/>
    <w:rPr>
      <w:i/>
      <w:iCs/>
      <w:color w:val="2F5496" w:themeColor="accent1" w:themeShade="BF"/>
    </w:rPr>
  </w:style>
  <w:style w:type="character" w:styleId="IntenseReference">
    <w:name w:val="Intense Reference"/>
    <w:basedOn w:val="DefaultParagraphFont"/>
    <w:uiPriority w:val="32"/>
    <w:qFormat/>
    <w:rsid w:val="00BA01F7"/>
    <w:rPr>
      <w:b/>
      <w:bCs/>
      <w:smallCaps/>
      <w:color w:val="2F5496" w:themeColor="accent1" w:themeShade="BF"/>
      <w:spacing w:val="5"/>
    </w:rPr>
  </w:style>
  <w:style w:type="character" w:styleId="Emphasis">
    <w:name w:val="Emphasis"/>
    <w:basedOn w:val="DefaultParagraphFont"/>
    <w:uiPriority w:val="20"/>
    <w:qFormat/>
    <w:rsid w:val="00BA01F7"/>
    <w:rPr>
      <w:i/>
      <w:iCs/>
    </w:rPr>
  </w:style>
  <w:style w:type="character" w:styleId="Hyperlink">
    <w:name w:val="Hyperlink"/>
    <w:basedOn w:val="DefaultParagraphFont"/>
    <w:uiPriority w:val="99"/>
    <w:unhideWhenUsed/>
    <w:rsid w:val="00BA01F7"/>
    <w:rPr>
      <w:color w:val="0000FF"/>
      <w:u w:val="single"/>
    </w:rPr>
  </w:style>
  <w:style w:type="paragraph" w:styleId="NormalWeb">
    <w:name w:val="Normal (Web)"/>
    <w:basedOn w:val="Normal"/>
    <w:uiPriority w:val="99"/>
    <w:unhideWhenUsed/>
    <w:rsid w:val="00BA01F7"/>
    <w:pPr>
      <w:spacing w:before="100" w:beforeAutospacing="1" w:after="100" w:afterAutospacing="1" w:line="240" w:lineRule="auto"/>
    </w:pPr>
    <w:rPr>
      <w:rFonts w:eastAsia="Times New Roman" w:cs="Times New Roman"/>
      <w:kern w:val="0"/>
      <w14:ligatures w14:val="none"/>
    </w:rPr>
  </w:style>
  <w:style w:type="character" w:styleId="Strong">
    <w:name w:val="Strong"/>
    <w:basedOn w:val="DefaultParagraphFont"/>
    <w:uiPriority w:val="22"/>
    <w:qFormat/>
    <w:rsid w:val="009F1D89"/>
    <w:rPr>
      <w:b/>
      <w:bCs/>
    </w:rPr>
  </w:style>
  <w:style w:type="paragraph" w:styleId="Header">
    <w:name w:val="header"/>
    <w:basedOn w:val="Normal"/>
    <w:link w:val="HeaderChar"/>
    <w:uiPriority w:val="99"/>
    <w:unhideWhenUsed/>
    <w:rsid w:val="00E264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6457"/>
    <w:rPr>
      <w:rFonts w:ascii="Times New Roman" w:hAnsi="Times New Roman"/>
    </w:rPr>
  </w:style>
  <w:style w:type="paragraph" w:styleId="Footer">
    <w:name w:val="footer"/>
    <w:basedOn w:val="Normal"/>
    <w:link w:val="FooterChar"/>
    <w:uiPriority w:val="99"/>
    <w:unhideWhenUsed/>
    <w:rsid w:val="00E264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6457"/>
    <w:rPr>
      <w:rFonts w:ascii="Times New Roman" w:hAnsi="Times New Roman"/>
    </w:rPr>
  </w:style>
  <w:style w:type="table" w:styleId="TableGridLight">
    <w:name w:val="Grid Table Light"/>
    <w:basedOn w:val="TableNormal"/>
    <w:uiPriority w:val="40"/>
    <w:rsid w:val="00201DB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A03E85"/>
    <w:pPr>
      <w:spacing w:before="240" w:after="0" w:line="259" w:lineRule="auto"/>
      <w:jc w:val="left"/>
      <w:outlineLvl w:val="9"/>
    </w:pPr>
    <w:rPr>
      <w:rFonts w:asciiTheme="majorHAnsi" w:hAnsiTheme="majorHAnsi"/>
      <w:color w:val="2F5496" w:themeColor="accent1" w:themeShade="BF"/>
      <w:kern w:val="0"/>
      <w:sz w:val="32"/>
      <w:szCs w:val="32"/>
      <w14:ligatures w14:val="none"/>
    </w:rPr>
  </w:style>
  <w:style w:type="paragraph" w:styleId="TOC1">
    <w:name w:val="toc 1"/>
    <w:basedOn w:val="Normal"/>
    <w:next w:val="Normal"/>
    <w:autoRedefine/>
    <w:uiPriority w:val="39"/>
    <w:unhideWhenUsed/>
    <w:rsid w:val="00A03E8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4054006">
      <w:bodyDiv w:val="1"/>
      <w:marLeft w:val="0"/>
      <w:marRight w:val="0"/>
      <w:marTop w:val="0"/>
      <w:marBottom w:val="0"/>
      <w:divBdr>
        <w:top w:val="none" w:sz="0" w:space="0" w:color="auto"/>
        <w:left w:val="none" w:sz="0" w:space="0" w:color="auto"/>
        <w:bottom w:val="none" w:sz="0" w:space="0" w:color="auto"/>
        <w:right w:val="none" w:sz="0" w:space="0" w:color="auto"/>
      </w:divBdr>
      <w:divsChild>
        <w:div w:id="667631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books/NBK560599/"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nutritionsource.hsph.harvard.edu/carbohydrates/carbohydrates-and-blood-suga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utrisense.io/blog/blood-glucose-homeostasi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3DB29-69BF-4909-B066-63CEB5CE0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2890</Words>
  <Characters>16474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 Azad</dc:creator>
  <cp:keywords/>
  <dc:description/>
  <cp:lastModifiedBy>Mehnaz Iqbal (2511940)</cp:lastModifiedBy>
  <cp:revision>2</cp:revision>
  <dcterms:created xsi:type="dcterms:W3CDTF">2026-10-25T22:25:00Z</dcterms:created>
  <dcterms:modified xsi:type="dcterms:W3CDTF">2026-10-25T22:25:00Z</dcterms:modified>
</cp:coreProperties>
</file>