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5364B" w14:textId="77777777" w:rsidR="00F45E42" w:rsidRDefault="00D7624F" w:rsidP="00B168AB">
      <w:pPr>
        <w:rPr>
          <w:rFonts w:ascii="Calibri" w:hAnsi="Calibri" w:cs="Calibri"/>
          <w:b/>
          <w:bCs/>
        </w:rPr>
      </w:pPr>
      <w:r w:rsidRPr="00D7624F">
        <w:rPr>
          <w:rFonts w:ascii="Calibri" w:hAnsi="Calibri" w:cs="Calibri"/>
          <w:b/>
          <w:bCs/>
        </w:rPr>
        <w:t>5OS01 Specialist employment law</w:t>
      </w:r>
      <w:r w:rsidR="00F45E42">
        <w:rPr>
          <w:rFonts w:ascii="Calibri" w:hAnsi="Calibri" w:cs="Calibri"/>
          <w:b/>
          <w:bCs/>
        </w:rPr>
        <w:t xml:space="preserve"> </w:t>
      </w:r>
    </w:p>
    <w:p w14:paraId="44A7F3E3" w14:textId="5B6AD93B" w:rsidR="00892D99" w:rsidRPr="00D7624F" w:rsidRDefault="00F45E42" w:rsidP="00B168AB">
      <w:pPr>
        <w:rPr>
          <w:rFonts w:ascii="Calibri" w:hAnsi="Calibri" w:cs="Calibri"/>
          <w:b/>
          <w:bCs/>
          <w:lang w:val="en-GB"/>
        </w:rPr>
      </w:pPr>
      <w:r>
        <w:rPr>
          <w:rFonts w:ascii="Calibri" w:hAnsi="Calibri" w:cs="Calibri"/>
          <w:b/>
          <w:bCs/>
        </w:rPr>
        <w:t>Melanie Warne</w:t>
      </w:r>
      <w:r w:rsidR="00503EF3">
        <w:rPr>
          <w:rFonts w:ascii="Calibri" w:hAnsi="Calibri" w:cs="Calibri"/>
          <w:b/>
          <w:bCs/>
        </w:rPr>
        <w:t xml:space="preserve"> – Cohort 10 UWTSD</w:t>
      </w:r>
    </w:p>
    <w:p w14:paraId="2457C780" w14:textId="77777777" w:rsidR="00892D99" w:rsidRDefault="00892D99" w:rsidP="00B168AB">
      <w:pPr>
        <w:rPr>
          <w:rFonts w:ascii="Calibri" w:hAnsi="Calibri" w:cs="Calibri"/>
          <w:lang w:val="en-GB"/>
        </w:rPr>
      </w:pPr>
    </w:p>
    <w:p w14:paraId="178C8CFF" w14:textId="7A442BF8" w:rsidR="00B168AB" w:rsidRPr="00892D99" w:rsidRDefault="00B168AB" w:rsidP="00B168AB">
      <w:pPr>
        <w:rPr>
          <w:rFonts w:ascii="Calibri" w:hAnsi="Calibri" w:cs="Calibri"/>
          <w:lang w:val="en-GB"/>
        </w:rPr>
      </w:pPr>
      <w:r w:rsidRPr="00892D99">
        <w:rPr>
          <w:rFonts w:ascii="Calibri" w:hAnsi="Calibri" w:cs="Calibri"/>
          <w:lang w:val="en-GB"/>
        </w:rPr>
        <w:t>AC 1.1</w:t>
      </w:r>
    </w:p>
    <w:p w14:paraId="12E88F8E" w14:textId="2511DF39" w:rsidR="002A0631" w:rsidRDefault="002A0631" w:rsidP="002A0631">
      <w:pPr>
        <w:rPr>
          <w:rFonts w:ascii="Calibri" w:hAnsi="Calibri" w:cs="Calibri"/>
          <w:lang w:val="en-GB"/>
        </w:rPr>
      </w:pPr>
    </w:p>
    <w:p w14:paraId="6FC23020" w14:textId="77777777" w:rsidR="002A0631" w:rsidRPr="002A0631" w:rsidRDefault="002A0631" w:rsidP="002A0631">
      <w:pPr>
        <w:rPr>
          <w:rFonts w:ascii="Calibri" w:hAnsi="Calibri" w:cs="Calibri"/>
          <w:lang w:val="en-GB"/>
        </w:rPr>
      </w:pPr>
      <w:r w:rsidRPr="002A0631">
        <w:rPr>
          <w:rFonts w:ascii="Calibri" w:hAnsi="Calibri" w:cs="Calibri"/>
          <w:b/>
          <w:bCs/>
          <w:lang w:val="en-GB"/>
        </w:rPr>
        <w:t>Subject: The Strategic Value of Employment Regulation in People Practice</w:t>
      </w:r>
    </w:p>
    <w:p w14:paraId="07BD3F21" w14:textId="77777777" w:rsidR="002A0631" w:rsidRDefault="002A0631" w:rsidP="002A0631">
      <w:pPr>
        <w:rPr>
          <w:rFonts w:ascii="Calibri" w:hAnsi="Calibri" w:cs="Calibri"/>
          <w:lang w:val="en-GB"/>
        </w:rPr>
      </w:pPr>
      <w:r w:rsidRPr="002A0631">
        <w:rPr>
          <w:rFonts w:ascii="Calibri" w:hAnsi="Calibri" w:cs="Calibri"/>
          <w:lang w:val="en-GB"/>
        </w:rPr>
        <w:t>Dear Leaha,</w:t>
      </w:r>
    </w:p>
    <w:p w14:paraId="126841EB" w14:textId="77777777" w:rsidR="002A0631" w:rsidRPr="002A0631" w:rsidRDefault="002A0631" w:rsidP="002A0631">
      <w:pPr>
        <w:rPr>
          <w:rFonts w:ascii="Calibri" w:hAnsi="Calibri" w:cs="Calibri"/>
          <w:lang w:val="en-GB"/>
        </w:rPr>
      </w:pPr>
    </w:p>
    <w:p w14:paraId="022B8013" w14:textId="77777777" w:rsidR="002A0631" w:rsidRDefault="002A0631" w:rsidP="002A0631">
      <w:pPr>
        <w:rPr>
          <w:rFonts w:ascii="Calibri" w:hAnsi="Calibri" w:cs="Calibri"/>
          <w:lang w:val="en-GB"/>
        </w:rPr>
      </w:pPr>
      <w:r w:rsidRPr="002A0631">
        <w:rPr>
          <w:rFonts w:ascii="Calibri" w:hAnsi="Calibri" w:cs="Calibri"/>
          <w:lang w:val="en-GB"/>
        </w:rPr>
        <w:t>Thank you for sharing your reflections on the time dedicated to employment regulation. I completely understand your desire to prioritise initiatives that enhance the employee experience. However, it’s important to recognise that robust regulatory frameworks are not in opposition to a positive work environment — they are often what make it possible in the first place.</w:t>
      </w:r>
    </w:p>
    <w:p w14:paraId="04939136" w14:textId="77777777" w:rsidR="002A0631" w:rsidRPr="002A0631" w:rsidRDefault="002A0631" w:rsidP="002A0631">
      <w:pPr>
        <w:rPr>
          <w:rFonts w:ascii="Calibri" w:hAnsi="Calibri" w:cs="Calibri"/>
          <w:lang w:val="en-GB"/>
        </w:rPr>
      </w:pPr>
    </w:p>
    <w:p w14:paraId="59DD1D63" w14:textId="77777777" w:rsidR="002A0631" w:rsidRDefault="002A0631" w:rsidP="002A0631">
      <w:pPr>
        <w:rPr>
          <w:rFonts w:ascii="Calibri" w:hAnsi="Calibri" w:cs="Calibri"/>
          <w:lang w:val="en-GB"/>
        </w:rPr>
      </w:pPr>
      <w:r w:rsidRPr="002A0631">
        <w:rPr>
          <w:rFonts w:ascii="Calibri" w:hAnsi="Calibri" w:cs="Calibri"/>
          <w:lang w:val="en-GB"/>
        </w:rPr>
        <w:t>Employment law provides the essential foundation that shapes fair and consistent people practices. It defines the minimum standards that protect both the rights of employees and the interests of the organisation (Daniels, 2022). Without clear legal guidance, we would risk inconsistent practices, which can lead to employee dissatisfaction, reputational harm, and costly tribunal claims.</w:t>
      </w:r>
    </w:p>
    <w:p w14:paraId="4344E463" w14:textId="77777777" w:rsidR="002A0631" w:rsidRPr="002A0631" w:rsidRDefault="002A0631" w:rsidP="002A0631">
      <w:pPr>
        <w:rPr>
          <w:rFonts w:ascii="Calibri" w:hAnsi="Calibri" w:cs="Calibri"/>
          <w:lang w:val="en-GB"/>
        </w:rPr>
      </w:pPr>
    </w:p>
    <w:p w14:paraId="12BD398F" w14:textId="77777777" w:rsidR="002A0631" w:rsidRDefault="002A0631" w:rsidP="002A0631">
      <w:pPr>
        <w:rPr>
          <w:rFonts w:ascii="Calibri" w:hAnsi="Calibri" w:cs="Calibri"/>
          <w:lang w:val="en-GB"/>
        </w:rPr>
      </w:pPr>
      <w:r w:rsidRPr="002A0631">
        <w:rPr>
          <w:rFonts w:ascii="Calibri" w:hAnsi="Calibri" w:cs="Calibri"/>
          <w:lang w:val="en-GB"/>
        </w:rPr>
        <w:t>According to the CIPD (2023), employment regulation is not simply about avoiding legal pitfalls — it’s also about ensuring dignity, respect, and equality in the workplace. These principles contribute to building inclusive and psychologically safe cultures where employees feel secure and valued. That in itself is a powerful driver of employee engagement and organisational loyalty.</w:t>
      </w:r>
    </w:p>
    <w:p w14:paraId="5A01031C" w14:textId="77777777" w:rsidR="002A0631" w:rsidRPr="002A0631" w:rsidRDefault="002A0631" w:rsidP="002A0631">
      <w:pPr>
        <w:rPr>
          <w:rFonts w:ascii="Calibri" w:hAnsi="Calibri" w:cs="Calibri"/>
          <w:lang w:val="en-GB"/>
        </w:rPr>
      </w:pPr>
    </w:p>
    <w:p w14:paraId="0055DE39" w14:textId="77777777" w:rsidR="002A0631" w:rsidRDefault="002A0631" w:rsidP="002A0631">
      <w:pPr>
        <w:rPr>
          <w:rFonts w:ascii="Calibri" w:hAnsi="Calibri" w:cs="Calibri"/>
          <w:lang w:val="en-GB"/>
        </w:rPr>
      </w:pPr>
      <w:r w:rsidRPr="002A0631">
        <w:rPr>
          <w:rFonts w:ascii="Calibri" w:hAnsi="Calibri" w:cs="Calibri"/>
          <w:lang w:val="en-GB"/>
        </w:rPr>
        <w:t>Armstrong and Taylor (2023) explain that regulation also plays a strategic role, guiding leaders to embed ethical practices into core HR activities such as flexible working, fair treatment, safe environments, and equal opportunity. These processes may sometimes feel procedural, but they provide a strong foundation for long-term workforce stability and performance.</w:t>
      </w:r>
    </w:p>
    <w:p w14:paraId="20F76585" w14:textId="77777777" w:rsidR="002A0631" w:rsidRPr="002A0631" w:rsidRDefault="002A0631" w:rsidP="002A0631">
      <w:pPr>
        <w:rPr>
          <w:rFonts w:ascii="Calibri" w:hAnsi="Calibri" w:cs="Calibri"/>
          <w:lang w:val="en-GB"/>
        </w:rPr>
      </w:pPr>
    </w:p>
    <w:p w14:paraId="793AD7D1" w14:textId="77777777" w:rsidR="002A0631" w:rsidRDefault="002A0631" w:rsidP="002A0631">
      <w:pPr>
        <w:rPr>
          <w:rFonts w:ascii="Calibri" w:hAnsi="Calibri" w:cs="Calibri"/>
          <w:lang w:val="en-GB"/>
        </w:rPr>
      </w:pPr>
      <w:r w:rsidRPr="002A0631">
        <w:rPr>
          <w:rFonts w:ascii="Calibri" w:hAnsi="Calibri" w:cs="Calibri"/>
          <w:lang w:val="en-GB"/>
        </w:rPr>
        <w:t>As a practical example, a structured disciplinary process not only ensures we meet legal obligations but also protects both the employee and employer by ensuring transparency and fairness. Similarly, the correct application of maternity or flexible working rights allows us to support diverse employee needs while remaining compliant with statutory expectations.</w:t>
      </w:r>
    </w:p>
    <w:p w14:paraId="33B1E547" w14:textId="77777777" w:rsidR="002A0631" w:rsidRPr="002A0631" w:rsidRDefault="002A0631" w:rsidP="002A0631">
      <w:pPr>
        <w:rPr>
          <w:rFonts w:ascii="Calibri" w:hAnsi="Calibri" w:cs="Calibri"/>
          <w:lang w:val="en-GB"/>
        </w:rPr>
      </w:pPr>
    </w:p>
    <w:p w14:paraId="61766616" w14:textId="77777777" w:rsidR="002A0631" w:rsidRDefault="002A0631" w:rsidP="002A0631">
      <w:pPr>
        <w:rPr>
          <w:rFonts w:ascii="Calibri" w:hAnsi="Calibri" w:cs="Calibri"/>
          <w:lang w:val="en-GB"/>
        </w:rPr>
      </w:pPr>
      <w:r w:rsidRPr="002A0631">
        <w:rPr>
          <w:rFonts w:ascii="Calibri" w:hAnsi="Calibri" w:cs="Calibri"/>
          <w:lang w:val="en-GB"/>
        </w:rPr>
        <w:t>It’s also worth remembering that employment law is constantly evolving. Legislative updates, new case law, and societal trends all impact the legal landscape. By staying informed, we can proactively manage risk and ensure we act as credible, trusted partners to our leaders and staff.</w:t>
      </w:r>
    </w:p>
    <w:p w14:paraId="34D72719" w14:textId="77777777" w:rsidR="002A0631" w:rsidRPr="002A0631" w:rsidRDefault="002A0631" w:rsidP="002A0631">
      <w:pPr>
        <w:rPr>
          <w:rFonts w:ascii="Calibri" w:hAnsi="Calibri" w:cs="Calibri"/>
          <w:lang w:val="en-GB"/>
        </w:rPr>
      </w:pPr>
    </w:p>
    <w:p w14:paraId="16373748" w14:textId="77777777" w:rsidR="002A0631" w:rsidRDefault="002A0631" w:rsidP="002A0631">
      <w:pPr>
        <w:rPr>
          <w:rFonts w:ascii="Calibri" w:hAnsi="Calibri" w:cs="Calibri"/>
          <w:lang w:val="en-GB"/>
        </w:rPr>
      </w:pPr>
      <w:r w:rsidRPr="002A0631">
        <w:rPr>
          <w:rFonts w:ascii="Calibri" w:hAnsi="Calibri" w:cs="Calibri"/>
          <w:lang w:val="en-GB"/>
        </w:rPr>
        <w:t>I hope this gives you a broader view of the importance of employment regulation in our roles. Rather than seeing it as a barrier, we can use it to reinforce trust, fairness, and consistency — the very things that help us create an exceptional employee experience.</w:t>
      </w:r>
    </w:p>
    <w:p w14:paraId="510AAE3D" w14:textId="77777777" w:rsidR="002A0631" w:rsidRPr="002A0631" w:rsidRDefault="002A0631" w:rsidP="002A0631">
      <w:pPr>
        <w:rPr>
          <w:rFonts w:ascii="Calibri" w:hAnsi="Calibri" w:cs="Calibri"/>
          <w:lang w:val="en-GB"/>
        </w:rPr>
      </w:pPr>
    </w:p>
    <w:p w14:paraId="5F507E1A" w14:textId="77777777" w:rsidR="002A0631" w:rsidRPr="002A0631" w:rsidRDefault="002A0631" w:rsidP="002A0631">
      <w:pPr>
        <w:rPr>
          <w:rFonts w:ascii="Calibri" w:hAnsi="Calibri" w:cs="Calibri"/>
          <w:lang w:val="en-GB"/>
        </w:rPr>
      </w:pPr>
      <w:r w:rsidRPr="002A0631">
        <w:rPr>
          <w:rFonts w:ascii="Calibri" w:hAnsi="Calibri" w:cs="Calibri"/>
          <w:lang w:val="en-GB"/>
        </w:rPr>
        <w:t>Warm regards,</w:t>
      </w:r>
      <w:r w:rsidRPr="002A0631">
        <w:rPr>
          <w:rFonts w:ascii="Calibri" w:hAnsi="Calibri" w:cs="Calibri"/>
          <w:lang w:val="en-GB"/>
        </w:rPr>
        <w:br/>
        <w:t>Melanie Warne</w:t>
      </w:r>
      <w:r w:rsidRPr="002A0631">
        <w:rPr>
          <w:rFonts w:ascii="Calibri" w:hAnsi="Calibri" w:cs="Calibri"/>
          <w:lang w:val="en-GB"/>
        </w:rPr>
        <w:br/>
        <w:t>People Management Officer</w:t>
      </w:r>
    </w:p>
    <w:p w14:paraId="47A48E7F" w14:textId="77777777" w:rsidR="002A0631" w:rsidRPr="002A0631" w:rsidRDefault="002A0631" w:rsidP="002A0631">
      <w:pPr>
        <w:rPr>
          <w:rFonts w:ascii="Calibri" w:hAnsi="Calibri" w:cs="Calibri"/>
          <w:lang w:val="en-GB"/>
        </w:rPr>
      </w:pPr>
    </w:p>
    <w:p w14:paraId="35AEEB5D" w14:textId="77777777" w:rsidR="00AD1D77" w:rsidRPr="00CE7B88" w:rsidRDefault="00AD1D77" w:rsidP="00212DA7">
      <w:pPr>
        <w:rPr>
          <w:color w:val="FF0000"/>
        </w:rPr>
      </w:pPr>
    </w:p>
    <w:p w14:paraId="15FFE061" w14:textId="77777777" w:rsidR="00B168AB" w:rsidRPr="00CE7B88" w:rsidRDefault="00B168AB" w:rsidP="00212DA7">
      <w:pPr>
        <w:rPr>
          <w:color w:val="FF0000"/>
        </w:rPr>
      </w:pPr>
    </w:p>
    <w:p w14:paraId="4D642857" w14:textId="77777777" w:rsidR="00B168AB" w:rsidRPr="00CE7B88" w:rsidRDefault="00B168AB" w:rsidP="00212DA7">
      <w:pPr>
        <w:rPr>
          <w:color w:val="FF0000"/>
        </w:rPr>
      </w:pPr>
    </w:p>
    <w:p w14:paraId="5B2BA603" w14:textId="77777777" w:rsidR="00B168AB" w:rsidRPr="00CE7B88" w:rsidRDefault="00B168AB" w:rsidP="00212DA7">
      <w:pPr>
        <w:rPr>
          <w:color w:val="FF0000"/>
        </w:rPr>
      </w:pPr>
    </w:p>
    <w:p w14:paraId="1320171E" w14:textId="77777777" w:rsidR="00B168AB" w:rsidRPr="00CE7B88" w:rsidRDefault="00B168AB" w:rsidP="00212DA7">
      <w:pPr>
        <w:rPr>
          <w:color w:val="FF0000"/>
        </w:rPr>
      </w:pPr>
    </w:p>
    <w:p w14:paraId="532E913E" w14:textId="062BC8A8" w:rsidR="00B168AB" w:rsidRPr="00FB1D69" w:rsidRDefault="00B168AB" w:rsidP="00212DA7">
      <w:pPr>
        <w:rPr>
          <w:rFonts w:ascii="Calibri" w:hAnsi="Calibri" w:cs="Calibri"/>
          <w:b/>
          <w:bCs/>
        </w:rPr>
      </w:pPr>
      <w:r w:rsidRPr="00FB1D69">
        <w:rPr>
          <w:rFonts w:ascii="Calibri" w:hAnsi="Calibri" w:cs="Calibri"/>
          <w:b/>
          <w:bCs/>
        </w:rPr>
        <w:lastRenderedPageBreak/>
        <w:t>AC 1.2</w:t>
      </w:r>
    </w:p>
    <w:p w14:paraId="32B62C61" w14:textId="77777777" w:rsidR="00EA6780" w:rsidRPr="00FB1D69" w:rsidRDefault="00EA6780" w:rsidP="00212DA7"/>
    <w:p w14:paraId="02EC5AA1" w14:textId="77777777" w:rsidR="002A0631" w:rsidRPr="002A0631" w:rsidRDefault="002A0631" w:rsidP="002A0631">
      <w:pPr>
        <w:rPr>
          <w:rFonts w:ascii="Calibri" w:hAnsi="Calibri" w:cs="Calibri"/>
          <w:lang w:val="en-GB"/>
        </w:rPr>
      </w:pPr>
      <w:r w:rsidRPr="002A0631">
        <w:rPr>
          <w:rFonts w:ascii="Calibri" w:hAnsi="Calibri" w:cs="Calibri"/>
          <w:b/>
          <w:bCs/>
          <w:lang w:val="en-GB"/>
        </w:rPr>
        <w:t>Subject: Legal Briefing – The Ongoing Relevance of ECJ Judgments Post-Brexit</w:t>
      </w:r>
    </w:p>
    <w:p w14:paraId="405D8DE8" w14:textId="77777777" w:rsidR="002A0631" w:rsidRDefault="002A0631" w:rsidP="002A0631">
      <w:pPr>
        <w:rPr>
          <w:rFonts w:ascii="Calibri" w:hAnsi="Calibri" w:cs="Calibri"/>
          <w:lang w:val="en-GB"/>
        </w:rPr>
      </w:pPr>
      <w:r w:rsidRPr="002A0631">
        <w:rPr>
          <w:rFonts w:ascii="Calibri" w:hAnsi="Calibri" w:cs="Calibri"/>
          <w:lang w:val="en-GB"/>
        </w:rPr>
        <w:t>Hi Charles,</w:t>
      </w:r>
    </w:p>
    <w:p w14:paraId="1072499E" w14:textId="77777777" w:rsidR="002A0631" w:rsidRPr="002A0631" w:rsidRDefault="002A0631" w:rsidP="002A0631">
      <w:pPr>
        <w:rPr>
          <w:rFonts w:ascii="Calibri" w:hAnsi="Calibri" w:cs="Calibri"/>
          <w:lang w:val="en-GB"/>
        </w:rPr>
      </w:pPr>
    </w:p>
    <w:p w14:paraId="6019D8B2" w14:textId="77777777" w:rsidR="002A0631" w:rsidRDefault="002A0631" w:rsidP="002A0631">
      <w:pPr>
        <w:rPr>
          <w:rFonts w:ascii="Calibri" w:hAnsi="Calibri" w:cs="Calibri"/>
          <w:lang w:val="en-GB"/>
        </w:rPr>
      </w:pPr>
      <w:r w:rsidRPr="002A0631">
        <w:rPr>
          <w:rFonts w:ascii="Calibri" w:hAnsi="Calibri" w:cs="Calibri"/>
          <w:lang w:val="en-GB"/>
        </w:rPr>
        <w:t>Thanks for your question about the current standing of European Court of Justice (ECJ) judgments in the context of UK employment law post-Brexit. This remains an important issue, particularly as many employment rights originally derived from EU legislation.</w:t>
      </w:r>
    </w:p>
    <w:p w14:paraId="2050BC83" w14:textId="77777777" w:rsidR="002A0631" w:rsidRPr="002A0631" w:rsidRDefault="002A0631" w:rsidP="002A0631">
      <w:pPr>
        <w:rPr>
          <w:rFonts w:ascii="Calibri" w:hAnsi="Calibri" w:cs="Calibri"/>
          <w:lang w:val="en-GB"/>
        </w:rPr>
      </w:pPr>
    </w:p>
    <w:p w14:paraId="5A9B0638" w14:textId="0A4BE4D3" w:rsidR="002A0631" w:rsidRDefault="002A0631" w:rsidP="002A0631">
      <w:pPr>
        <w:rPr>
          <w:rFonts w:ascii="Calibri" w:hAnsi="Calibri" w:cs="Calibri"/>
          <w:lang w:val="en-GB"/>
        </w:rPr>
      </w:pPr>
      <w:r w:rsidRPr="002A0631">
        <w:rPr>
          <w:rFonts w:ascii="Calibri" w:hAnsi="Calibri" w:cs="Calibri"/>
          <w:lang w:val="en-GB"/>
        </w:rPr>
        <w:t xml:space="preserve">From 1973 until the end of the transition period in 2020, UK courts—including Employment Tribunals—were required to follow ECJ decisions when interpreting EU law. During that time, a wide body of case law was established, significantly influencing areas like working time, discrimination law, and the Transfer of Undertakings (Protection of Employment) Regulations (TUPE). For instance, the ECJ decision in </w:t>
      </w:r>
      <w:r w:rsidRPr="002A0631">
        <w:rPr>
          <w:rFonts w:ascii="Calibri" w:hAnsi="Calibri" w:cs="Calibri"/>
          <w:i/>
          <w:iCs/>
          <w:lang w:val="en-GB"/>
        </w:rPr>
        <w:t>Lock v British Gas</w:t>
      </w:r>
      <w:r w:rsidRPr="002A0631">
        <w:rPr>
          <w:rFonts w:ascii="Calibri" w:hAnsi="Calibri" w:cs="Calibri"/>
          <w:lang w:val="en-GB"/>
        </w:rPr>
        <w:t>, which clarified how commission should be included in holiday pay, still holds weight today (Daniels, 2022; CIPD, 2024).</w:t>
      </w:r>
    </w:p>
    <w:p w14:paraId="031FBDE2" w14:textId="77777777" w:rsidR="002A0631" w:rsidRPr="002A0631" w:rsidRDefault="002A0631" w:rsidP="002A0631">
      <w:pPr>
        <w:rPr>
          <w:rFonts w:ascii="Calibri" w:hAnsi="Calibri" w:cs="Calibri"/>
          <w:lang w:val="en-GB"/>
        </w:rPr>
      </w:pPr>
    </w:p>
    <w:p w14:paraId="084A7F38" w14:textId="77777777" w:rsidR="002A0631" w:rsidRPr="002A0631" w:rsidRDefault="002A0631" w:rsidP="002A0631">
      <w:pPr>
        <w:rPr>
          <w:rFonts w:ascii="Calibri" w:hAnsi="Calibri" w:cs="Calibri"/>
          <w:lang w:val="en-GB"/>
        </w:rPr>
      </w:pPr>
      <w:r w:rsidRPr="002A0631">
        <w:rPr>
          <w:rFonts w:ascii="Calibri" w:hAnsi="Calibri" w:cs="Calibri"/>
          <w:lang w:val="en-GB"/>
        </w:rPr>
        <w:t>Following the UK’s full exit from the EU, the Retained EU Law (Revocation and Reform) Act 2023 came into effect. This legislation allows much of the previous EU-derived law to continue unless explicitly repealed or modified by the UK government (Armstrong and Taylor, 2023). Key retained elements include:</w:t>
      </w:r>
    </w:p>
    <w:p w14:paraId="2CFF37E6" w14:textId="3494C51C" w:rsidR="002A0631" w:rsidRPr="002A0631" w:rsidRDefault="002A0631" w:rsidP="00CF06BB">
      <w:pPr>
        <w:numPr>
          <w:ilvl w:val="0"/>
          <w:numId w:val="4"/>
        </w:numPr>
        <w:rPr>
          <w:rFonts w:ascii="Calibri" w:hAnsi="Calibri" w:cs="Calibri"/>
          <w:lang w:val="en-GB"/>
        </w:rPr>
      </w:pPr>
      <w:r w:rsidRPr="002A0631">
        <w:rPr>
          <w:rFonts w:ascii="Calibri" w:hAnsi="Calibri" w:cs="Calibri"/>
          <w:lang w:val="en-GB"/>
        </w:rPr>
        <w:t>The 12</w:t>
      </w:r>
      <w:r>
        <w:rPr>
          <w:rFonts w:ascii="Calibri" w:hAnsi="Calibri" w:cs="Calibri"/>
          <w:lang w:val="en-GB"/>
        </w:rPr>
        <w:t>.07</w:t>
      </w:r>
      <w:r w:rsidRPr="002A0631">
        <w:rPr>
          <w:rFonts w:ascii="Calibri" w:hAnsi="Calibri" w:cs="Calibri"/>
          <w:lang w:val="en-GB"/>
        </w:rPr>
        <w:t>% holiday accrual method for casual and irregular workers</w:t>
      </w:r>
    </w:p>
    <w:p w14:paraId="56104101" w14:textId="77777777" w:rsidR="002A0631" w:rsidRPr="002A0631" w:rsidRDefault="002A0631" w:rsidP="00CF06BB">
      <w:pPr>
        <w:numPr>
          <w:ilvl w:val="0"/>
          <w:numId w:val="4"/>
        </w:numPr>
        <w:rPr>
          <w:rFonts w:ascii="Calibri" w:hAnsi="Calibri" w:cs="Calibri"/>
          <w:lang w:val="en-GB"/>
        </w:rPr>
      </w:pPr>
      <w:r w:rsidRPr="002A0631">
        <w:rPr>
          <w:rFonts w:ascii="Calibri" w:hAnsi="Calibri" w:cs="Calibri"/>
          <w:lang w:val="en-GB"/>
        </w:rPr>
        <w:t>Employer obligations for working time records</w:t>
      </w:r>
    </w:p>
    <w:p w14:paraId="489AA405" w14:textId="77777777" w:rsidR="002A0631" w:rsidRPr="002A0631" w:rsidRDefault="002A0631" w:rsidP="00CF06BB">
      <w:pPr>
        <w:numPr>
          <w:ilvl w:val="0"/>
          <w:numId w:val="4"/>
        </w:numPr>
        <w:rPr>
          <w:rFonts w:ascii="Calibri" w:hAnsi="Calibri" w:cs="Calibri"/>
          <w:lang w:val="en-GB"/>
        </w:rPr>
      </w:pPr>
      <w:r w:rsidRPr="002A0631">
        <w:rPr>
          <w:rFonts w:ascii="Calibri" w:hAnsi="Calibri" w:cs="Calibri"/>
          <w:lang w:val="en-GB"/>
        </w:rPr>
        <w:t>Adjusted TUPE consultation protocols</w:t>
      </w:r>
    </w:p>
    <w:p w14:paraId="6F9339CB" w14:textId="77777777" w:rsidR="002A0631" w:rsidRDefault="002A0631" w:rsidP="00CF06BB">
      <w:pPr>
        <w:numPr>
          <w:ilvl w:val="0"/>
          <w:numId w:val="4"/>
        </w:numPr>
        <w:rPr>
          <w:rFonts w:ascii="Calibri" w:hAnsi="Calibri" w:cs="Calibri"/>
          <w:lang w:val="en-GB"/>
        </w:rPr>
      </w:pPr>
      <w:r w:rsidRPr="002A0631">
        <w:rPr>
          <w:rFonts w:ascii="Calibri" w:hAnsi="Calibri" w:cs="Calibri"/>
          <w:lang w:val="en-GB"/>
        </w:rPr>
        <w:t>Definitions of “normal pay” during statutory leave (Personnel Today, 2024)</w:t>
      </w:r>
    </w:p>
    <w:p w14:paraId="45110AE1" w14:textId="77777777" w:rsidR="002A0631" w:rsidRPr="002A0631" w:rsidRDefault="002A0631" w:rsidP="002A0631">
      <w:pPr>
        <w:ind w:left="360"/>
        <w:rPr>
          <w:rFonts w:ascii="Calibri" w:hAnsi="Calibri" w:cs="Calibri"/>
          <w:lang w:val="en-GB"/>
        </w:rPr>
      </w:pPr>
    </w:p>
    <w:p w14:paraId="7E1D02C0" w14:textId="77777777" w:rsidR="002A0631" w:rsidRDefault="002A0631" w:rsidP="002A0631">
      <w:pPr>
        <w:rPr>
          <w:rFonts w:ascii="Calibri" w:hAnsi="Calibri" w:cs="Calibri"/>
          <w:lang w:val="en-GB"/>
        </w:rPr>
      </w:pPr>
      <w:r w:rsidRPr="002A0631">
        <w:rPr>
          <w:rFonts w:ascii="Calibri" w:hAnsi="Calibri" w:cs="Calibri"/>
          <w:lang w:val="en-GB"/>
        </w:rPr>
        <w:t>As of January 2024, ECJ rulings are no longer binding on UK courts. However, judges may still take them into account where they offer useful guidance. The Employment Tribunal system can continue to refer questions of legal significance up to the Court of Appeal or UK Supreme Court. This mechanism maintains consistency while offering more autonomy to the UK judiciary (Daniels, 2022; CIPD, 2024).</w:t>
      </w:r>
    </w:p>
    <w:p w14:paraId="0ED0CA16" w14:textId="77777777" w:rsidR="002A0631" w:rsidRPr="002A0631" w:rsidRDefault="002A0631" w:rsidP="002A0631">
      <w:pPr>
        <w:rPr>
          <w:rFonts w:ascii="Calibri" w:hAnsi="Calibri" w:cs="Calibri"/>
          <w:lang w:val="en-GB"/>
        </w:rPr>
      </w:pPr>
    </w:p>
    <w:p w14:paraId="39FF7011" w14:textId="77777777" w:rsidR="002A0631" w:rsidRDefault="002A0631" w:rsidP="002A0631">
      <w:pPr>
        <w:rPr>
          <w:rFonts w:ascii="Calibri" w:hAnsi="Calibri" w:cs="Calibri"/>
          <w:lang w:val="en-GB"/>
        </w:rPr>
      </w:pPr>
      <w:r w:rsidRPr="002A0631">
        <w:rPr>
          <w:rFonts w:ascii="Calibri" w:hAnsi="Calibri" w:cs="Calibri"/>
          <w:lang w:val="en-GB"/>
        </w:rPr>
        <w:t>It’s important to note that domestic courts are no longer obliged to follow ECJ rulings if they conflict with UK statutory interpretation. From now on, UK courts may diverge from earlier EU decisions, particularly in areas such as direct age discrimination justifications or TUPE application scope (HR Magazine, 2024).</w:t>
      </w:r>
    </w:p>
    <w:p w14:paraId="4FCD0841" w14:textId="77777777" w:rsidR="002A0631" w:rsidRPr="002A0631" w:rsidRDefault="002A0631" w:rsidP="002A0631">
      <w:pPr>
        <w:rPr>
          <w:rFonts w:ascii="Calibri" w:hAnsi="Calibri" w:cs="Calibri"/>
          <w:lang w:val="en-GB"/>
        </w:rPr>
      </w:pPr>
    </w:p>
    <w:p w14:paraId="177B20CF" w14:textId="77777777" w:rsidR="002A0631" w:rsidRPr="002A0631" w:rsidRDefault="002A0631" w:rsidP="002A0631">
      <w:pPr>
        <w:rPr>
          <w:rFonts w:ascii="Calibri" w:hAnsi="Calibri" w:cs="Calibri"/>
          <w:lang w:val="en-GB"/>
        </w:rPr>
      </w:pPr>
      <w:r w:rsidRPr="002A0631">
        <w:rPr>
          <w:rFonts w:ascii="Calibri" w:hAnsi="Calibri" w:cs="Calibri"/>
          <w:lang w:val="en-GB"/>
        </w:rPr>
        <w:t>In summary:</w:t>
      </w:r>
    </w:p>
    <w:p w14:paraId="69A65680" w14:textId="77777777" w:rsidR="002A0631" w:rsidRPr="002A0631" w:rsidRDefault="002A0631" w:rsidP="00CF06BB">
      <w:pPr>
        <w:numPr>
          <w:ilvl w:val="0"/>
          <w:numId w:val="5"/>
        </w:numPr>
        <w:rPr>
          <w:rFonts w:ascii="Calibri" w:hAnsi="Calibri" w:cs="Calibri"/>
          <w:lang w:val="en-GB"/>
        </w:rPr>
      </w:pPr>
      <w:r w:rsidRPr="002A0631">
        <w:rPr>
          <w:rFonts w:ascii="Calibri" w:hAnsi="Calibri" w:cs="Calibri"/>
          <w:lang w:val="en-GB"/>
        </w:rPr>
        <w:t>ECJ decisions made prior to 2021 remain influential but are no longer binding</w:t>
      </w:r>
    </w:p>
    <w:p w14:paraId="2D515A45" w14:textId="77777777" w:rsidR="002A0631" w:rsidRPr="002A0631" w:rsidRDefault="002A0631" w:rsidP="00CF06BB">
      <w:pPr>
        <w:numPr>
          <w:ilvl w:val="0"/>
          <w:numId w:val="5"/>
        </w:numPr>
        <w:rPr>
          <w:rFonts w:ascii="Calibri" w:hAnsi="Calibri" w:cs="Calibri"/>
          <w:lang w:val="en-GB"/>
        </w:rPr>
      </w:pPr>
      <w:r w:rsidRPr="002A0631">
        <w:rPr>
          <w:rFonts w:ascii="Calibri" w:hAnsi="Calibri" w:cs="Calibri"/>
          <w:lang w:val="en-GB"/>
        </w:rPr>
        <w:t>UK courts are now the final arbiters of employment law and may reinterpret retained EU provisions</w:t>
      </w:r>
    </w:p>
    <w:p w14:paraId="2500E6E1" w14:textId="77777777" w:rsidR="002A0631" w:rsidRPr="002A0631" w:rsidRDefault="002A0631" w:rsidP="00CF06BB">
      <w:pPr>
        <w:numPr>
          <w:ilvl w:val="0"/>
          <w:numId w:val="5"/>
        </w:numPr>
        <w:rPr>
          <w:rFonts w:ascii="Calibri" w:hAnsi="Calibri" w:cs="Calibri"/>
          <w:lang w:val="en-GB"/>
        </w:rPr>
      </w:pPr>
      <w:r w:rsidRPr="002A0631">
        <w:rPr>
          <w:rFonts w:ascii="Calibri" w:hAnsi="Calibri" w:cs="Calibri"/>
          <w:lang w:val="en-GB"/>
        </w:rPr>
        <w:t>Employment Tribunals still play a vital role in enforcing regulations and referring complex questions</w:t>
      </w:r>
    </w:p>
    <w:p w14:paraId="2EA6091A" w14:textId="77777777" w:rsidR="002A0631" w:rsidRDefault="002A0631" w:rsidP="00CF06BB">
      <w:pPr>
        <w:numPr>
          <w:ilvl w:val="0"/>
          <w:numId w:val="5"/>
        </w:numPr>
        <w:rPr>
          <w:rFonts w:ascii="Calibri" w:hAnsi="Calibri" w:cs="Calibri"/>
          <w:lang w:val="en-GB"/>
        </w:rPr>
      </w:pPr>
      <w:r w:rsidRPr="002A0631">
        <w:rPr>
          <w:rFonts w:ascii="Calibri" w:hAnsi="Calibri" w:cs="Calibri"/>
          <w:lang w:val="en-GB"/>
        </w:rPr>
        <w:t>The UK legal system is beginning to establish its own trajectory while respecting relevant ECJ precedents</w:t>
      </w:r>
    </w:p>
    <w:p w14:paraId="4A1F2824" w14:textId="77777777" w:rsidR="002A0631" w:rsidRPr="002A0631" w:rsidRDefault="002A0631" w:rsidP="00CF06BB">
      <w:pPr>
        <w:numPr>
          <w:ilvl w:val="0"/>
          <w:numId w:val="5"/>
        </w:numPr>
        <w:rPr>
          <w:rFonts w:ascii="Calibri" w:hAnsi="Calibri" w:cs="Calibri"/>
          <w:lang w:val="en-GB"/>
        </w:rPr>
      </w:pPr>
    </w:p>
    <w:p w14:paraId="32B7E93D" w14:textId="77777777" w:rsidR="002A0631" w:rsidRDefault="002A0631" w:rsidP="002A0631">
      <w:pPr>
        <w:rPr>
          <w:rFonts w:ascii="Calibri" w:hAnsi="Calibri" w:cs="Calibri"/>
          <w:lang w:val="en-GB"/>
        </w:rPr>
      </w:pPr>
      <w:r w:rsidRPr="002A0631">
        <w:rPr>
          <w:rFonts w:ascii="Calibri" w:hAnsi="Calibri" w:cs="Calibri"/>
          <w:lang w:val="en-GB"/>
        </w:rPr>
        <w:t>Please let me know if you'd like to explore any of these points further or review specific cases.</w:t>
      </w:r>
    </w:p>
    <w:p w14:paraId="33365DB2" w14:textId="77777777" w:rsidR="002A0631" w:rsidRPr="002A0631" w:rsidRDefault="002A0631" w:rsidP="002A0631">
      <w:pPr>
        <w:rPr>
          <w:rFonts w:ascii="Calibri" w:hAnsi="Calibri" w:cs="Calibri"/>
          <w:lang w:val="en-GB"/>
        </w:rPr>
      </w:pPr>
    </w:p>
    <w:p w14:paraId="547B84E1" w14:textId="77777777" w:rsidR="002A0631" w:rsidRPr="002A0631" w:rsidRDefault="002A0631" w:rsidP="002A0631">
      <w:pPr>
        <w:rPr>
          <w:rFonts w:ascii="Calibri" w:hAnsi="Calibri" w:cs="Calibri"/>
          <w:lang w:val="en-GB"/>
        </w:rPr>
      </w:pPr>
      <w:r w:rsidRPr="002A0631">
        <w:rPr>
          <w:rFonts w:ascii="Calibri" w:hAnsi="Calibri" w:cs="Calibri"/>
          <w:lang w:val="en-GB"/>
        </w:rPr>
        <w:t>Best regards,</w:t>
      </w:r>
      <w:r w:rsidRPr="002A0631">
        <w:rPr>
          <w:rFonts w:ascii="Calibri" w:hAnsi="Calibri" w:cs="Calibri"/>
          <w:lang w:val="en-GB"/>
        </w:rPr>
        <w:br/>
        <w:t>Melanie</w:t>
      </w:r>
    </w:p>
    <w:p w14:paraId="74B6E587" w14:textId="42D085D1" w:rsidR="00B406E7" w:rsidRPr="00B406E7" w:rsidRDefault="00B406E7" w:rsidP="00F86F3C">
      <w:pPr>
        <w:rPr>
          <w:rFonts w:ascii="Calibri" w:hAnsi="Calibri" w:cs="Calibri"/>
          <w:lang w:val="en-GB"/>
        </w:rPr>
      </w:pPr>
    </w:p>
    <w:p w14:paraId="37B339AE" w14:textId="7B04B7C5" w:rsidR="00DF23A1" w:rsidRPr="006C2AB1" w:rsidRDefault="00DF23A1" w:rsidP="00212DA7">
      <w:pPr>
        <w:rPr>
          <w:rFonts w:ascii="Calibri" w:hAnsi="Calibri" w:cs="Calibri"/>
        </w:rPr>
      </w:pPr>
      <w:r w:rsidRPr="006C2AB1">
        <w:rPr>
          <w:rFonts w:ascii="Calibri" w:hAnsi="Calibri" w:cs="Calibri"/>
        </w:rPr>
        <w:lastRenderedPageBreak/>
        <w:t>AC 2.1</w:t>
      </w:r>
    </w:p>
    <w:p w14:paraId="5BEAE1A9" w14:textId="77777777" w:rsidR="007E570D" w:rsidRPr="002A0631" w:rsidRDefault="007E570D" w:rsidP="00DF23A1">
      <w:pPr>
        <w:rPr>
          <w:rFonts w:ascii="Calibri" w:hAnsi="Calibri" w:cs="Calibri"/>
          <w:lang w:val="en-GB"/>
        </w:rPr>
      </w:pPr>
    </w:p>
    <w:p w14:paraId="6A80E526" w14:textId="77777777" w:rsidR="002A0631" w:rsidRPr="002A0631" w:rsidRDefault="002A0631" w:rsidP="002A0631">
      <w:pPr>
        <w:rPr>
          <w:rFonts w:ascii="Calibri" w:hAnsi="Calibri" w:cs="Calibri"/>
          <w:lang w:val="en-GB"/>
        </w:rPr>
      </w:pPr>
      <w:r w:rsidRPr="002A0631">
        <w:rPr>
          <w:rFonts w:ascii="Calibri" w:hAnsi="Calibri" w:cs="Calibri"/>
          <w:b/>
          <w:bCs/>
          <w:lang w:val="en-GB"/>
        </w:rPr>
        <w:t>Subject: Holiday Pay Entitlements for Casual and Bank Staff</w:t>
      </w:r>
    </w:p>
    <w:p w14:paraId="6DE3D3CB" w14:textId="77777777" w:rsidR="002A0631" w:rsidRDefault="002A0631" w:rsidP="002A0631">
      <w:pPr>
        <w:rPr>
          <w:rFonts w:ascii="Calibri" w:hAnsi="Calibri" w:cs="Calibri"/>
          <w:lang w:val="en-GB"/>
        </w:rPr>
      </w:pPr>
      <w:r w:rsidRPr="002A0631">
        <w:rPr>
          <w:rFonts w:ascii="Calibri" w:hAnsi="Calibri" w:cs="Calibri"/>
          <w:lang w:val="en-GB"/>
        </w:rPr>
        <w:t>Hi Charlie,</w:t>
      </w:r>
    </w:p>
    <w:p w14:paraId="0C9F2BC4" w14:textId="77777777" w:rsidR="002A0631" w:rsidRPr="002A0631" w:rsidRDefault="002A0631" w:rsidP="002A0631">
      <w:pPr>
        <w:rPr>
          <w:rFonts w:ascii="Calibri" w:hAnsi="Calibri" w:cs="Calibri"/>
          <w:lang w:val="en-GB"/>
        </w:rPr>
      </w:pPr>
    </w:p>
    <w:p w14:paraId="58410FA7" w14:textId="77777777" w:rsidR="002A0631" w:rsidRDefault="002A0631" w:rsidP="002A0631">
      <w:pPr>
        <w:rPr>
          <w:rFonts w:ascii="Calibri" w:hAnsi="Calibri" w:cs="Calibri"/>
          <w:lang w:val="en-GB"/>
        </w:rPr>
      </w:pPr>
      <w:r w:rsidRPr="002A0631">
        <w:rPr>
          <w:rFonts w:ascii="Calibri" w:hAnsi="Calibri" w:cs="Calibri"/>
          <w:lang w:val="en-GB"/>
        </w:rPr>
        <w:t>Thanks for reaching out with your question about how holiday pay should be calculated for bank staff working on a casual or irregular basis. It’s really positive that you’re thinking ahead to make sure we’re handling this fairly and in line with current legal guidance — especially as casual working patterns can often create ambiguity.</w:t>
      </w:r>
    </w:p>
    <w:p w14:paraId="39FB4490" w14:textId="77777777" w:rsidR="002A0631" w:rsidRPr="002A0631" w:rsidRDefault="002A0631" w:rsidP="002A0631">
      <w:pPr>
        <w:rPr>
          <w:rFonts w:ascii="Calibri" w:hAnsi="Calibri" w:cs="Calibri"/>
          <w:lang w:val="en-GB"/>
        </w:rPr>
      </w:pPr>
    </w:p>
    <w:p w14:paraId="53024BB7" w14:textId="77777777" w:rsidR="002A0631" w:rsidRDefault="002A0631" w:rsidP="002A0631">
      <w:pPr>
        <w:rPr>
          <w:rFonts w:ascii="Calibri" w:hAnsi="Calibri" w:cs="Calibri"/>
          <w:lang w:val="en-GB"/>
        </w:rPr>
      </w:pPr>
      <w:r w:rsidRPr="002A0631">
        <w:rPr>
          <w:rFonts w:ascii="Calibri" w:hAnsi="Calibri" w:cs="Calibri"/>
          <w:lang w:val="en-GB"/>
        </w:rPr>
        <w:t xml:space="preserve">Under the </w:t>
      </w:r>
      <w:r w:rsidRPr="002A0631">
        <w:rPr>
          <w:rFonts w:ascii="Calibri" w:hAnsi="Calibri" w:cs="Calibri"/>
          <w:i/>
          <w:iCs/>
          <w:lang w:val="en-GB"/>
        </w:rPr>
        <w:t>Working Time Regulations 1998</w:t>
      </w:r>
      <w:r w:rsidRPr="002A0631">
        <w:rPr>
          <w:rFonts w:ascii="Calibri" w:hAnsi="Calibri" w:cs="Calibri"/>
          <w:lang w:val="en-GB"/>
        </w:rPr>
        <w:t>, all workers are legally entitled to 5.6 weeks’ paid holiday per year, calculated pro rata. This includes bank staff, zero-hours employees, and agency workers who may not have a fixed schedule but still meet the definition of a worker due to the regularity of their assignments (ACAS, 2023).</w:t>
      </w:r>
    </w:p>
    <w:p w14:paraId="55F4E8E2" w14:textId="77777777" w:rsidR="002A0631" w:rsidRPr="002A0631" w:rsidRDefault="002A0631" w:rsidP="002A0631">
      <w:pPr>
        <w:rPr>
          <w:rFonts w:ascii="Calibri" w:hAnsi="Calibri" w:cs="Calibri"/>
          <w:lang w:val="en-GB"/>
        </w:rPr>
      </w:pPr>
    </w:p>
    <w:p w14:paraId="1A1F815A" w14:textId="77777777" w:rsidR="002A0631" w:rsidRDefault="002A0631" w:rsidP="002A0631">
      <w:pPr>
        <w:rPr>
          <w:rFonts w:ascii="Calibri" w:hAnsi="Calibri" w:cs="Calibri"/>
          <w:lang w:val="en-GB"/>
        </w:rPr>
      </w:pPr>
      <w:r w:rsidRPr="002A0631">
        <w:rPr>
          <w:rFonts w:ascii="Calibri" w:hAnsi="Calibri" w:cs="Calibri"/>
          <w:lang w:val="en-GB"/>
        </w:rPr>
        <w:t>Where pay varies from week to week — as is often the case with bank staff — the law now requires us to use a 52-week reference period to calculate average earnings. This must exclude any weeks in which no work was performed. The calculation must also take into account all elements of regular remuneration — not just base pay. That means overtime, bonuses, and any additional payments that form a consistent part of their income must be included (CIPD, 2023; Daniels, 2022, Ch. 10).</w:t>
      </w:r>
    </w:p>
    <w:p w14:paraId="4FEE0653" w14:textId="77777777" w:rsidR="002A0631" w:rsidRPr="002A0631" w:rsidRDefault="002A0631" w:rsidP="002A0631">
      <w:pPr>
        <w:rPr>
          <w:rFonts w:ascii="Calibri" w:hAnsi="Calibri" w:cs="Calibri"/>
          <w:lang w:val="en-GB"/>
        </w:rPr>
      </w:pPr>
    </w:p>
    <w:p w14:paraId="45B21351" w14:textId="77777777" w:rsidR="002A0631" w:rsidRDefault="002A0631" w:rsidP="002A0631">
      <w:pPr>
        <w:rPr>
          <w:rFonts w:ascii="Calibri" w:hAnsi="Calibri" w:cs="Calibri"/>
          <w:lang w:val="en-GB"/>
        </w:rPr>
      </w:pPr>
      <w:r w:rsidRPr="002A0631">
        <w:rPr>
          <w:rFonts w:ascii="Calibri" w:hAnsi="Calibri" w:cs="Calibri"/>
          <w:lang w:val="en-GB"/>
        </w:rPr>
        <w:t xml:space="preserve">An important area to flag is the practice of rolled-up holiday pay, where workers receive an enhanced hourly rate in lieu of paid leave. While this was once widely used for casual contracts, it is now deemed unlawful. The Courts and ACAS have confirmed that such practices can discourage workers from taking time off, defeating the purpose of holiday rights under the </w:t>
      </w:r>
      <w:r w:rsidRPr="002A0631">
        <w:rPr>
          <w:rFonts w:ascii="Calibri" w:hAnsi="Calibri" w:cs="Calibri"/>
          <w:i/>
          <w:iCs/>
          <w:lang w:val="en-GB"/>
        </w:rPr>
        <w:t>Working Time Directive</w:t>
      </w:r>
      <w:r w:rsidRPr="002A0631">
        <w:rPr>
          <w:rFonts w:ascii="Calibri" w:hAnsi="Calibri" w:cs="Calibri"/>
          <w:lang w:val="en-GB"/>
        </w:rPr>
        <w:t xml:space="preserve"> (Daniels, 2022; ACAS, 2023). Holiday pay must now be paid when leave is taken, not bundled into regular wages.</w:t>
      </w:r>
    </w:p>
    <w:p w14:paraId="2B2455F7" w14:textId="77777777" w:rsidR="002A0631" w:rsidRPr="002A0631" w:rsidRDefault="002A0631" w:rsidP="002A0631">
      <w:pPr>
        <w:rPr>
          <w:rFonts w:ascii="Calibri" w:hAnsi="Calibri" w:cs="Calibri"/>
          <w:lang w:val="en-GB"/>
        </w:rPr>
      </w:pPr>
    </w:p>
    <w:p w14:paraId="5B9BD80D" w14:textId="77777777" w:rsidR="002A0631" w:rsidRPr="002A0631" w:rsidRDefault="002A0631" w:rsidP="002A0631">
      <w:pPr>
        <w:rPr>
          <w:rFonts w:ascii="Calibri" w:hAnsi="Calibri" w:cs="Calibri"/>
          <w:lang w:val="en-GB"/>
        </w:rPr>
      </w:pPr>
      <w:r w:rsidRPr="002A0631">
        <w:rPr>
          <w:rFonts w:ascii="Calibri" w:hAnsi="Calibri" w:cs="Calibri"/>
          <w:lang w:val="en-GB"/>
        </w:rPr>
        <w:t>To ensure compliance and fairness, I’d recommend:</w:t>
      </w:r>
    </w:p>
    <w:p w14:paraId="04BC4B76" w14:textId="77777777" w:rsidR="002A0631" w:rsidRPr="002A0631" w:rsidRDefault="002A0631" w:rsidP="00CF06BB">
      <w:pPr>
        <w:numPr>
          <w:ilvl w:val="0"/>
          <w:numId w:val="6"/>
        </w:numPr>
        <w:rPr>
          <w:rFonts w:ascii="Calibri" w:hAnsi="Calibri" w:cs="Calibri"/>
          <w:lang w:val="en-GB"/>
        </w:rPr>
      </w:pPr>
      <w:r w:rsidRPr="002A0631">
        <w:rPr>
          <w:rFonts w:ascii="Calibri" w:hAnsi="Calibri" w:cs="Calibri"/>
          <w:lang w:val="en-GB"/>
        </w:rPr>
        <w:t>Calculating holiday pay using the 52-week average of actual earnings.</w:t>
      </w:r>
    </w:p>
    <w:p w14:paraId="46A78E16" w14:textId="77777777" w:rsidR="002A0631" w:rsidRPr="002A0631" w:rsidRDefault="002A0631" w:rsidP="00CF06BB">
      <w:pPr>
        <w:numPr>
          <w:ilvl w:val="0"/>
          <w:numId w:val="6"/>
        </w:numPr>
        <w:rPr>
          <w:rFonts w:ascii="Calibri" w:hAnsi="Calibri" w:cs="Calibri"/>
          <w:lang w:val="en-GB"/>
        </w:rPr>
      </w:pPr>
      <w:r w:rsidRPr="002A0631">
        <w:rPr>
          <w:rFonts w:ascii="Calibri" w:hAnsi="Calibri" w:cs="Calibri"/>
          <w:lang w:val="en-GB"/>
        </w:rPr>
        <w:t>Making sure payslips clearly separate holiday pay from normal pay.</w:t>
      </w:r>
    </w:p>
    <w:p w14:paraId="2502BFE1" w14:textId="77777777" w:rsidR="002A0631" w:rsidRDefault="002A0631" w:rsidP="00CF06BB">
      <w:pPr>
        <w:numPr>
          <w:ilvl w:val="0"/>
          <w:numId w:val="6"/>
        </w:numPr>
        <w:rPr>
          <w:rFonts w:ascii="Calibri" w:hAnsi="Calibri" w:cs="Calibri"/>
          <w:lang w:val="en-GB"/>
        </w:rPr>
      </w:pPr>
      <w:r w:rsidRPr="002A0631">
        <w:rPr>
          <w:rFonts w:ascii="Calibri" w:hAnsi="Calibri" w:cs="Calibri"/>
          <w:lang w:val="en-GB"/>
        </w:rPr>
        <w:t>Communicating proactively with bank workers about their entitlement and encouraging them to take leave appropriately.</w:t>
      </w:r>
    </w:p>
    <w:p w14:paraId="7BA9EE82" w14:textId="77777777" w:rsidR="002A0631" w:rsidRPr="002A0631" w:rsidRDefault="002A0631" w:rsidP="00CF06BB">
      <w:pPr>
        <w:numPr>
          <w:ilvl w:val="0"/>
          <w:numId w:val="6"/>
        </w:numPr>
        <w:rPr>
          <w:rFonts w:ascii="Calibri" w:hAnsi="Calibri" w:cs="Calibri"/>
          <w:lang w:val="en-GB"/>
        </w:rPr>
      </w:pPr>
    </w:p>
    <w:p w14:paraId="7587E510" w14:textId="77777777" w:rsidR="002A0631" w:rsidRDefault="002A0631" w:rsidP="002A0631">
      <w:pPr>
        <w:rPr>
          <w:rFonts w:ascii="Calibri" w:hAnsi="Calibri" w:cs="Calibri"/>
          <w:lang w:val="en-GB"/>
        </w:rPr>
      </w:pPr>
      <w:r w:rsidRPr="002A0631">
        <w:rPr>
          <w:rFonts w:ascii="Calibri" w:hAnsi="Calibri" w:cs="Calibri"/>
          <w:lang w:val="en-GB"/>
        </w:rPr>
        <w:t>If it would be helpful, I can support a review of current practices or draft some clearer internal guidance. Getting this right not only ensures we meet our legal duties but also helps maintain morale and trust among our flexible workforce.</w:t>
      </w:r>
    </w:p>
    <w:p w14:paraId="6570B02D" w14:textId="77777777" w:rsidR="002A0631" w:rsidRPr="002A0631" w:rsidRDefault="002A0631" w:rsidP="002A0631">
      <w:pPr>
        <w:rPr>
          <w:rFonts w:ascii="Calibri" w:hAnsi="Calibri" w:cs="Calibri"/>
          <w:lang w:val="en-GB"/>
        </w:rPr>
      </w:pPr>
    </w:p>
    <w:p w14:paraId="796B9E34" w14:textId="77777777" w:rsidR="002A0631" w:rsidRPr="002A0631" w:rsidRDefault="002A0631" w:rsidP="002A0631">
      <w:pPr>
        <w:rPr>
          <w:rFonts w:ascii="Calibri" w:hAnsi="Calibri" w:cs="Calibri"/>
          <w:lang w:val="en-GB"/>
        </w:rPr>
      </w:pPr>
      <w:r w:rsidRPr="002A0631">
        <w:rPr>
          <w:rFonts w:ascii="Calibri" w:hAnsi="Calibri" w:cs="Calibri"/>
          <w:lang w:val="en-GB"/>
        </w:rPr>
        <w:t>Best regards,</w:t>
      </w:r>
      <w:r w:rsidRPr="002A0631">
        <w:rPr>
          <w:rFonts w:ascii="Calibri" w:hAnsi="Calibri" w:cs="Calibri"/>
          <w:lang w:val="en-GB"/>
        </w:rPr>
        <w:br/>
        <w:t>Melanie</w:t>
      </w:r>
    </w:p>
    <w:p w14:paraId="196B4075" w14:textId="77777777" w:rsidR="007E570D" w:rsidRDefault="007E570D" w:rsidP="00DF23A1">
      <w:pPr>
        <w:rPr>
          <w:rFonts w:ascii="Calibri" w:hAnsi="Calibri" w:cs="Calibri"/>
          <w:color w:val="FF0000"/>
          <w:lang w:val="en-GB"/>
        </w:rPr>
      </w:pPr>
    </w:p>
    <w:p w14:paraId="60A35A40" w14:textId="77777777" w:rsidR="002A0631" w:rsidRDefault="002A0631" w:rsidP="00DF23A1">
      <w:pPr>
        <w:rPr>
          <w:rFonts w:ascii="Calibri" w:hAnsi="Calibri" w:cs="Calibri"/>
          <w:color w:val="FF0000"/>
          <w:lang w:val="en-GB"/>
        </w:rPr>
      </w:pPr>
    </w:p>
    <w:p w14:paraId="68C1E33B" w14:textId="77777777" w:rsidR="002A0631" w:rsidRDefault="002A0631" w:rsidP="00DF23A1">
      <w:pPr>
        <w:rPr>
          <w:rFonts w:ascii="Calibri" w:hAnsi="Calibri" w:cs="Calibri"/>
          <w:color w:val="FF0000"/>
          <w:lang w:val="en-GB"/>
        </w:rPr>
      </w:pPr>
    </w:p>
    <w:p w14:paraId="6D5E4819" w14:textId="77777777" w:rsidR="002A0631" w:rsidRDefault="002A0631" w:rsidP="00DF23A1">
      <w:pPr>
        <w:rPr>
          <w:rFonts w:ascii="Calibri" w:hAnsi="Calibri" w:cs="Calibri"/>
          <w:color w:val="FF0000"/>
          <w:lang w:val="en-GB"/>
        </w:rPr>
      </w:pPr>
    </w:p>
    <w:p w14:paraId="1C03CC4F" w14:textId="77777777" w:rsidR="002A0631" w:rsidRDefault="002A0631" w:rsidP="00DF23A1">
      <w:pPr>
        <w:rPr>
          <w:rFonts w:ascii="Calibri" w:hAnsi="Calibri" w:cs="Calibri"/>
          <w:color w:val="FF0000"/>
          <w:lang w:val="en-GB"/>
        </w:rPr>
      </w:pPr>
    </w:p>
    <w:p w14:paraId="17C90141" w14:textId="77777777" w:rsidR="002A0631" w:rsidRDefault="002A0631" w:rsidP="00DF23A1">
      <w:pPr>
        <w:rPr>
          <w:rFonts w:ascii="Calibri" w:hAnsi="Calibri" w:cs="Calibri"/>
          <w:color w:val="FF0000"/>
          <w:lang w:val="en-GB"/>
        </w:rPr>
      </w:pPr>
    </w:p>
    <w:p w14:paraId="1C6BCD6A" w14:textId="77777777" w:rsidR="002A0631" w:rsidRDefault="002A0631" w:rsidP="00DF23A1">
      <w:pPr>
        <w:rPr>
          <w:rFonts w:ascii="Calibri" w:hAnsi="Calibri" w:cs="Calibri"/>
          <w:color w:val="FF0000"/>
          <w:lang w:val="en-GB"/>
        </w:rPr>
      </w:pPr>
    </w:p>
    <w:p w14:paraId="0C455002" w14:textId="77777777" w:rsidR="002A0631" w:rsidRDefault="002A0631" w:rsidP="00DF23A1">
      <w:pPr>
        <w:rPr>
          <w:rFonts w:ascii="Calibri" w:hAnsi="Calibri" w:cs="Calibri"/>
          <w:color w:val="FF0000"/>
          <w:lang w:val="en-GB"/>
        </w:rPr>
      </w:pPr>
    </w:p>
    <w:p w14:paraId="5B15AEE4" w14:textId="77777777" w:rsidR="002A0631" w:rsidRDefault="002A0631" w:rsidP="00DF23A1">
      <w:pPr>
        <w:rPr>
          <w:rFonts w:ascii="Calibri" w:hAnsi="Calibri" w:cs="Calibri"/>
          <w:color w:val="FF0000"/>
          <w:lang w:val="en-GB"/>
        </w:rPr>
      </w:pPr>
    </w:p>
    <w:p w14:paraId="66AAB700" w14:textId="77777777" w:rsidR="002A0631" w:rsidRPr="00CE7B88" w:rsidRDefault="002A0631" w:rsidP="00DF23A1">
      <w:pPr>
        <w:rPr>
          <w:rFonts w:ascii="Calibri" w:hAnsi="Calibri" w:cs="Calibri"/>
          <w:color w:val="FF0000"/>
          <w:lang w:val="en-GB"/>
        </w:rPr>
      </w:pPr>
    </w:p>
    <w:p w14:paraId="0FFCC905" w14:textId="6BCEC391" w:rsidR="00330B46" w:rsidRPr="002A0631" w:rsidRDefault="002A0631" w:rsidP="00DF23A1">
      <w:pPr>
        <w:rPr>
          <w:rFonts w:ascii="Calibri" w:hAnsi="Calibri" w:cs="Calibri"/>
          <w:lang w:val="en-GB"/>
        </w:rPr>
      </w:pPr>
      <w:r w:rsidRPr="002A0631">
        <w:rPr>
          <w:rFonts w:ascii="Calibri" w:hAnsi="Calibri" w:cs="Calibri"/>
          <w:lang w:val="en-GB"/>
        </w:rPr>
        <w:lastRenderedPageBreak/>
        <w:t>AC 2.2</w:t>
      </w:r>
    </w:p>
    <w:p w14:paraId="448AE7C4" w14:textId="77777777" w:rsidR="00330B46" w:rsidRPr="002A0631" w:rsidRDefault="00330B46" w:rsidP="00DF23A1">
      <w:pPr>
        <w:rPr>
          <w:rFonts w:ascii="Calibri" w:hAnsi="Calibri" w:cs="Calibri"/>
          <w:lang w:val="en-GB"/>
        </w:rPr>
      </w:pPr>
    </w:p>
    <w:p w14:paraId="36183817" w14:textId="77777777" w:rsidR="002A0631" w:rsidRPr="002A0631" w:rsidRDefault="002A0631" w:rsidP="002A0631">
      <w:pPr>
        <w:rPr>
          <w:rFonts w:ascii="Calibri" w:hAnsi="Calibri" w:cs="Calibri"/>
          <w:lang w:val="en-GB"/>
        </w:rPr>
      </w:pPr>
      <w:r w:rsidRPr="002A0631">
        <w:rPr>
          <w:rFonts w:ascii="Calibri" w:hAnsi="Calibri" w:cs="Calibri"/>
          <w:lang w:val="en-GB"/>
        </w:rPr>
        <w:t>Subject: Equal Pay Implications for Proposed HCA Grade Changes</w:t>
      </w:r>
    </w:p>
    <w:p w14:paraId="5A2CA7A4" w14:textId="77777777" w:rsidR="002A0631" w:rsidRDefault="002A0631" w:rsidP="002A0631">
      <w:pPr>
        <w:rPr>
          <w:rFonts w:ascii="Calibri" w:hAnsi="Calibri" w:cs="Calibri"/>
          <w:lang w:val="en-GB"/>
        </w:rPr>
      </w:pPr>
      <w:r w:rsidRPr="002A0631">
        <w:rPr>
          <w:rFonts w:ascii="Calibri" w:hAnsi="Calibri" w:cs="Calibri"/>
          <w:lang w:val="en-GB"/>
        </w:rPr>
        <w:t>Hi Tina,</w:t>
      </w:r>
    </w:p>
    <w:p w14:paraId="08A7E5F3" w14:textId="77777777" w:rsidR="002A0631" w:rsidRPr="002A0631" w:rsidRDefault="002A0631" w:rsidP="002A0631">
      <w:pPr>
        <w:rPr>
          <w:rFonts w:ascii="Calibri" w:hAnsi="Calibri" w:cs="Calibri"/>
          <w:lang w:val="en-GB"/>
        </w:rPr>
      </w:pPr>
    </w:p>
    <w:p w14:paraId="7E281DE2" w14:textId="77777777" w:rsidR="002A0631" w:rsidRDefault="002A0631" w:rsidP="002A0631">
      <w:pPr>
        <w:rPr>
          <w:rFonts w:ascii="Calibri" w:hAnsi="Calibri" w:cs="Calibri"/>
          <w:lang w:val="en-GB"/>
        </w:rPr>
      </w:pPr>
      <w:r w:rsidRPr="002A0631">
        <w:rPr>
          <w:rFonts w:ascii="Calibri" w:hAnsi="Calibri" w:cs="Calibri"/>
          <w:lang w:val="en-GB"/>
        </w:rPr>
        <w:t>Thanks for getting in touch regarding the potential regrading of two Health Care Assistants (HCAs) using surplus research project funds. I completely understand the motivation to reward their contributions, but before moving forward, we need to be mindful of our responsibilities under equal pay legislation to ensure any changes are fair, evidence-based, and legally compliant.</w:t>
      </w:r>
    </w:p>
    <w:p w14:paraId="1E2077C7" w14:textId="77777777" w:rsidR="002A0631" w:rsidRPr="002A0631" w:rsidRDefault="002A0631" w:rsidP="002A0631">
      <w:pPr>
        <w:rPr>
          <w:rFonts w:ascii="Calibri" w:hAnsi="Calibri" w:cs="Calibri"/>
          <w:lang w:val="en-GB"/>
        </w:rPr>
      </w:pPr>
    </w:p>
    <w:p w14:paraId="640F691A" w14:textId="77777777" w:rsidR="002A0631" w:rsidRDefault="002A0631" w:rsidP="002A0631">
      <w:pPr>
        <w:rPr>
          <w:rFonts w:ascii="Calibri" w:hAnsi="Calibri" w:cs="Calibri"/>
          <w:lang w:val="en-GB"/>
        </w:rPr>
      </w:pPr>
      <w:r w:rsidRPr="002A0631">
        <w:rPr>
          <w:rFonts w:ascii="Calibri" w:hAnsi="Calibri" w:cs="Calibri"/>
          <w:lang w:val="en-GB"/>
        </w:rPr>
        <w:t xml:space="preserve">The </w:t>
      </w:r>
      <w:r w:rsidRPr="002A0631">
        <w:rPr>
          <w:rFonts w:ascii="Calibri" w:hAnsi="Calibri" w:cs="Calibri"/>
          <w:i/>
          <w:iCs/>
          <w:lang w:val="en-GB"/>
        </w:rPr>
        <w:t>Equality Act 2010</w:t>
      </w:r>
      <w:r w:rsidRPr="002A0631">
        <w:rPr>
          <w:rFonts w:ascii="Calibri" w:hAnsi="Calibri" w:cs="Calibri"/>
          <w:lang w:val="en-GB"/>
        </w:rPr>
        <w:t xml:space="preserve"> gives all employees the right to equal pay for equal work, regardless of their gender. This covers like work, work rated as equivalent, or of equal value. If the two HCAs you are proposing to uplift are male, and 80% of the wider HCA team are women, it becomes particularly important to ensure that the rationale for the upgrade is free from direct or indirect discrimination (Daniels, 2022, Ch. 5).</w:t>
      </w:r>
    </w:p>
    <w:p w14:paraId="31AD5780" w14:textId="77777777" w:rsidR="002A0631" w:rsidRPr="002A0631" w:rsidRDefault="002A0631" w:rsidP="002A0631">
      <w:pPr>
        <w:rPr>
          <w:rFonts w:ascii="Calibri" w:hAnsi="Calibri" w:cs="Calibri"/>
          <w:lang w:val="en-GB"/>
        </w:rPr>
      </w:pPr>
    </w:p>
    <w:p w14:paraId="3E3FE9FB" w14:textId="77777777" w:rsidR="002A0631" w:rsidRDefault="002A0631" w:rsidP="002A0631">
      <w:pPr>
        <w:rPr>
          <w:rFonts w:ascii="Calibri" w:hAnsi="Calibri" w:cs="Calibri"/>
          <w:lang w:val="en-GB"/>
        </w:rPr>
      </w:pPr>
      <w:r w:rsidRPr="002A0631">
        <w:rPr>
          <w:rFonts w:ascii="Calibri" w:hAnsi="Calibri" w:cs="Calibri"/>
          <w:lang w:val="en-GB"/>
        </w:rPr>
        <w:t>Even with the best intentions, any decision that results in differing pay must be objectively justifiable. This means there needs to be a clear link to role-specific factors, such as increased responsibilities, specialist skills, or significantly different duties. Availability of extra funding, while beneficial, doesn’t provide a strong enough standalone reason for a permanent change in grade without risking breaching equality obligations (CIPD, 2023).</w:t>
      </w:r>
    </w:p>
    <w:p w14:paraId="15AC470C" w14:textId="77777777" w:rsidR="002A0631" w:rsidRPr="002A0631" w:rsidRDefault="002A0631" w:rsidP="002A0631">
      <w:pPr>
        <w:rPr>
          <w:rFonts w:ascii="Calibri" w:hAnsi="Calibri" w:cs="Calibri"/>
          <w:lang w:val="en-GB"/>
        </w:rPr>
      </w:pPr>
    </w:p>
    <w:p w14:paraId="35000C5D" w14:textId="77777777" w:rsidR="002A0631" w:rsidRDefault="002A0631" w:rsidP="002A0631">
      <w:pPr>
        <w:rPr>
          <w:rFonts w:ascii="Calibri" w:hAnsi="Calibri" w:cs="Calibri"/>
          <w:lang w:val="en-GB"/>
        </w:rPr>
      </w:pPr>
      <w:r w:rsidRPr="002A0631">
        <w:rPr>
          <w:rFonts w:ascii="Calibri" w:hAnsi="Calibri" w:cs="Calibri"/>
          <w:lang w:val="en-GB"/>
        </w:rPr>
        <w:t>We must also keep the public sector equality duty in mind — this means proactively considering whether decisions support fairness and do not inadvertently disadvantage the majority group, in this case female HCAs. Transparency in decision-making is key to reducing risk and maintaining staff confidence.</w:t>
      </w:r>
    </w:p>
    <w:p w14:paraId="42EB9192" w14:textId="77777777" w:rsidR="002A0631" w:rsidRPr="002A0631" w:rsidRDefault="002A0631" w:rsidP="002A0631">
      <w:pPr>
        <w:rPr>
          <w:rFonts w:ascii="Calibri" w:hAnsi="Calibri" w:cs="Calibri"/>
          <w:lang w:val="en-GB"/>
        </w:rPr>
      </w:pPr>
    </w:p>
    <w:p w14:paraId="5DE71EE1" w14:textId="77777777" w:rsidR="002A0631" w:rsidRDefault="002A0631" w:rsidP="002A0631">
      <w:pPr>
        <w:rPr>
          <w:rFonts w:ascii="Calibri" w:hAnsi="Calibri" w:cs="Calibri"/>
          <w:lang w:val="en-GB"/>
        </w:rPr>
      </w:pPr>
      <w:r w:rsidRPr="002A0631">
        <w:rPr>
          <w:rFonts w:ascii="Calibri" w:hAnsi="Calibri" w:cs="Calibri"/>
          <w:lang w:val="en-GB"/>
        </w:rPr>
        <w:t>To move forward appropriately, I’d recommend conducting a formal job evaluation to determine whether there’s a substantive difference in the roles of these two HCAs compared to their peers. If their roles are found to merit the higher grade through an objective process, the regrading may be defensible. If not, applying different treatment could open the Trust to equal pay claims or employee relations concerns.</w:t>
      </w:r>
    </w:p>
    <w:p w14:paraId="42E86EB8" w14:textId="77777777" w:rsidR="002A0631" w:rsidRPr="002A0631" w:rsidRDefault="002A0631" w:rsidP="002A0631">
      <w:pPr>
        <w:rPr>
          <w:rFonts w:ascii="Calibri" w:hAnsi="Calibri" w:cs="Calibri"/>
          <w:lang w:val="en-GB"/>
        </w:rPr>
      </w:pPr>
    </w:p>
    <w:p w14:paraId="06988871" w14:textId="0728753B" w:rsidR="002A0631" w:rsidRDefault="002A0631" w:rsidP="002A0631">
      <w:pPr>
        <w:rPr>
          <w:rFonts w:ascii="Calibri" w:hAnsi="Calibri" w:cs="Calibri"/>
          <w:lang w:val="en-GB"/>
        </w:rPr>
      </w:pPr>
      <w:r w:rsidRPr="002A0631">
        <w:rPr>
          <w:rFonts w:ascii="Calibri" w:hAnsi="Calibri" w:cs="Calibri"/>
          <w:lang w:val="en-GB"/>
        </w:rPr>
        <w:t>If the goal is simply to acknowledge their contribution, other options like a one-off bonus or non-monetary recognition might be more suitable and carry less legal risk.</w:t>
      </w:r>
    </w:p>
    <w:p w14:paraId="6D5E92E8" w14:textId="77777777" w:rsidR="002A0631" w:rsidRPr="002A0631" w:rsidRDefault="002A0631" w:rsidP="002A0631">
      <w:pPr>
        <w:rPr>
          <w:rFonts w:ascii="Calibri" w:hAnsi="Calibri" w:cs="Calibri"/>
          <w:lang w:val="en-GB"/>
        </w:rPr>
      </w:pPr>
    </w:p>
    <w:p w14:paraId="24B6FD57" w14:textId="77777777" w:rsidR="002A0631" w:rsidRDefault="002A0631" w:rsidP="002A0631">
      <w:pPr>
        <w:rPr>
          <w:rFonts w:ascii="Calibri" w:hAnsi="Calibri" w:cs="Calibri"/>
          <w:lang w:val="en-GB"/>
        </w:rPr>
      </w:pPr>
      <w:r w:rsidRPr="002A0631">
        <w:rPr>
          <w:rFonts w:ascii="Calibri" w:hAnsi="Calibri" w:cs="Calibri"/>
          <w:lang w:val="en-GB"/>
        </w:rPr>
        <w:t>Let me know if you’d like support in setting up a fair assessment process or exploring alternative ways to recognise their work.</w:t>
      </w:r>
    </w:p>
    <w:p w14:paraId="31A4DC7B" w14:textId="77777777" w:rsidR="002A0631" w:rsidRPr="002A0631" w:rsidRDefault="002A0631" w:rsidP="002A0631">
      <w:pPr>
        <w:rPr>
          <w:rFonts w:ascii="Calibri" w:hAnsi="Calibri" w:cs="Calibri"/>
          <w:lang w:val="en-GB"/>
        </w:rPr>
      </w:pPr>
    </w:p>
    <w:p w14:paraId="1B21C57B" w14:textId="77777777" w:rsidR="002A0631" w:rsidRPr="002A0631" w:rsidRDefault="002A0631" w:rsidP="002A0631">
      <w:pPr>
        <w:rPr>
          <w:rFonts w:ascii="Calibri" w:hAnsi="Calibri" w:cs="Calibri"/>
          <w:lang w:val="en-GB"/>
        </w:rPr>
      </w:pPr>
      <w:r w:rsidRPr="002A0631">
        <w:rPr>
          <w:rFonts w:ascii="Calibri" w:hAnsi="Calibri" w:cs="Calibri"/>
          <w:lang w:val="en-GB"/>
        </w:rPr>
        <w:t>Best regards,</w:t>
      </w:r>
      <w:r w:rsidRPr="002A0631">
        <w:rPr>
          <w:rFonts w:ascii="Calibri" w:hAnsi="Calibri" w:cs="Calibri"/>
          <w:lang w:val="en-GB"/>
        </w:rPr>
        <w:br/>
        <w:t>Melanie</w:t>
      </w:r>
    </w:p>
    <w:p w14:paraId="0C66967C" w14:textId="77777777" w:rsidR="00DF23A1" w:rsidRDefault="00DF23A1" w:rsidP="00212DA7">
      <w:pPr>
        <w:rPr>
          <w:rFonts w:ascii="Calibri" w:hAnsi="Calibri" w:cs="Calibri"/>
          <w:color w:val="FF0000"/>
        </w:rPr>
      </w:pPr>
    </w:p>
    <w:p w14:paraId="4CDB88F7" w14:textId="77777777" w:rsidR="002A0631" w:rsidRDefault="002A0631" w:rsidP="00212DA7">
      <w:pPr>
        <w:rPr>
          <w:rFonts w:ascii="Calibri" w:hAnsi="Calibri" w:cs="Calibri"/>
          <w:color w:val="FF0000"/>
        </w:rPr>
      </w:pPr>
    </w:p>
    <w:p w14:paraId="487770D4" w14:textId="77777777" w:rsidR="002A0631" w:rsidRDefault="002A0631" w:rsidP="00212DA7">
      <w:pPr>
        <w:rPr>
          <w:rFonts w:ascii="Calibri" w:hAnsi="Calibri" w:cs="Calibri"/>
          <w:color w:val="FF0000"/>
        </w:rPr>
      </w:pPr>
    </w:p>
    <w:p w14:paraId="3F0E650E" w14:textId="77777777" w:rsidR="002A0631" w:rsidRDefault="002A0631" w:rsidP="00212DA7">
      <w:pPr>
        <w:rPr>
          <w:rFonts w:ascii="Calibri" w:hAnsi="Calibri" w:cs="Calibri"/>
          <w:color w:val="FF0000"/>
        </w:rPr>
      </w:pPr>
    </w:p>
    <w:p w14:paraId="6F35E869" w14:textId="77777777" w:rsidR="002A0631" w:rsidRDefault="002A0631" w:rsidP="00212DA7">
      <w:pPr>
        <w:rPr>
          <w:rFonts w:ascii="Calibri" w:hAnsi="Calibri" w:cs="Calibri"/>
          <w:color w:val="FF0000"/>
        </w:rPr>
      </w:pPr>
    </w:p>
    <w:p w14:paraId="6A78A542" w14:textId="77777777" w:rsidR="002A0631" w:rsidRDefault="002A0631" w:rsidP="00212DA7">
      <w:pPr>
        <w:rPr>
          <w:rFonts w:ascii="Calibri" w:hAnsi="Calibri" w:cs="Calibri"/>
          <w:color w:val="FF0000"/>
        </w:rPr>
      </w:pPr>
    </w:p>
    <w:p w14:paraId="26BBBD83" w14:textId="77777777" w:rsidR="002A0631" w:rsidRDefault="002A0631" w:rsidP="00212DA7">
      <w:pPr>
        <w:rPr>
          <w:rFonts w:ascii="Calibri" w:hAnsi="Calibri" w:cs="Calibri"/>
          <w:color w:val="FF0000"/>
        </w:rPr>
      </w:pPr>
    </w:p>
    <w:p w14:paraId="4B288F28" w14:textId="77777777" w:rsidR="002A0631" w:rsidRDefault="002A0631" w:rsidP="00212DA7">
      <w:pPr>
        <w:rPr>
          <w:rFonts w:ascii="Calibri" w:hAnsi="Calibri" w:cs="Calibri"/>
          <w:color w:val="FF0000"/>
        </w:rPr>
      </w:pPr>
    </w:p>
    <w:p w14:paraId="61499A60" w14:textId="77777777" w:rsidR="002A0631" w:rsidRPr="00CE7B88" w:rsidRDefault="002A0631" w:rsidP="00212DA7">
      <w:pPr>
        <w:rPr>
          <w:rFonts w:ascii="Calibri" w:hAnsi="Calibri" w:cs="Calibri"/>
          <w:color w:val="FF0000"/>
        </w:rPr>
      </w:pPr>
    </w:p>
    <w:p w14:paraId="7FC0F68D" w14:textId="5393026D" w:rsidR="00DF23A1" w:rsidRPr="00121E2B" w:rsidRDefault="00316B55" w:rsidP="00212DA7">
      <w:pPr>
        <w:rPr>
          <w:rFonts w:ascii="Calibri" w:hAnsi="Calibri" w:cs="Calibri"/>
        </w:rPr>
      </w:pPr>
      <w:r w:rsidRPr="00121E2B">
        <w:rPr>
          <w:rFonts w:ascii="Calibri" w:hAnsi="Calibri" w:cs="Calibri"/>
        </w:rPr>
        <w:lastRenderedPageBreak/>
        <w:t>AC 3.1</w:t>
      </w:r>
    </w:p>
    <w:p w14:paraId="48D95244" w14:textId="77777777" w:rsidR="007D3F26" w:rsidRPr="00121E2B" w:rsidRDefault="007D3F26" w:rsidP="00212DA7">
      <w:pPr>
        <w:rPr>
          <w:rFonts w:ascii="Calibri" w:hAnsi="Calibri" w:cs="Calibri"/>
        </w:rPr>
      </w:pPr>
    </w:p>
    <w:p w14:paraId="3218DF45" w14:textId="77777777" w:rsidR="009F4D6B" w:rsidRPr="009F4D6B" w:rsidRDefault="009F4D6B" w:rsidP="009F4D6B">
      <w:pPr>
        <w:rPr>
          <w:rFonts w:ascii="Calibri" w:hAnsi="Calibri" w:cs="Calibri"/>
          <w:lang w:val="en-GB"/>
        </w:rPr>
      </w:pPr>
      <w:r w:rsidRPr="009F4D6B">
        <w:rPr>
          <w:rFonts w:ascii="Calibri" w:hAnsi="Calibri" w:cs="Calibri"/>
          <w:lang w:val="en-GB"/>
        </w:rPr>
        <w:t>Subject: Advice on Contract Changes and Risk of Constructive Dismissal</w:t>
      </w:r>
    </w:p>
    <w:p w14:paraId="7F3A1B40" w14:textId="77777777" w:rsidR="009F4D6B" w:rsidRDefault="009F4D6B" w:rsidP="009F4D6B">
      <w:pPr>
        <w:rPr>
          <w:rFonts w:ascii="Calibri" w:hAnsi="Calibri" w:cs="Calibri"/>
          <w:lang w:val="en-GB"/>
        </w:rPr>
      </w:pPr>
      <w:r w:rsidRPr="009F4D6B">
        <w:rPr>
          <w:rFonts w:ascii="Calibri" w:hAnsi="Calibri" w:cs="Calibri"/>
          <w:lang w:val="en-GB"/>
        </w:rPr>
        <w:t>Hi Sophie,</w:t>
      </w:r>
    </w:p>
    <w:p w14:paraId="05C68B0B" w14:textId="77777777" w:rsidR="009F4D6B" w:rsidRPr="009F4D6B" w:rsidRDefault="009F4D6B" w:rsidP="009F4D6B">
      <w:pPr>
        <w:rPr>
          <w:rFonts w:ascii="Calibri" w:hAnsi="Calibri" w:cs="Calibri"/>
          <w:lang w:val="en-GB"/>
        </w:rPr>
      </w:pPr>
    </w:p>
    <w:p w14:paraId="73346780" w14:textId="77777777" w:rsidR="009F4D6B" w:rsidRDefault="009F4D6B" w:rsidP="009F4D6B">
      <w:pPr>
        <w:rPr>
          <w:rFonts w:ascii="Calibri" w:hAnsi="Calibri" w:cs="Calibri"/>
          <w:lang w:val="en-GB"/>
        </w:rPr>
      </w:pPr>
      <w:r w:rsidRPr="009F4D6B">
        <w:rPr>
          <w:rFonts w:ascii="Calibri" w:hAnsi="Calibri" w:cs="Calibri"/>
          <w:lang w:val="en-GB"/>
        </w:rPr>
        <w:t>Thanks for getting in touch about the radiographer’s recent resignation and your concern that it might lead to a constructive dismissal claim. This is a sensitive matter that does require close attention, especially regarding how the adjustment to their working hours was handled.</w:t>
      </w:r>
    </w:p>
    <w:p w14:paraId="6557D13F" w14:textId="77777777" w:rsidR="009F4D6B" w:rsidRPr="009F4D6B" w:rsidRDefault="009F4D6B" w:rsidP="009F4D6B">
      <w:pPr>
        <w:rPr>
          <w:rFonts w:ascii="Calibri" w:hAnsi="Calibri" w:cs="Calibri"/>
          <w:lang w:val="en-GB"/>
        </w:rPr>
      </w:pPr>
    </w:p>
    <w:p w14:paraId="3C738014" w14:textId="77777777" w:rsidR="009F4D6B" w:rsidRDefault="009F4D6B" w:rsidP="009F4D6B">
      <w:pPr>
        <w:rPr>
          <w:rFonts w:ascii="Calibri" w:hAnsi="Calibri" w:cs="Calibri"/>
          <w:lang w:val="en-GB"/>
        </w:rPr>
      </w:pPr>
      <w:r w:rsidRPr="009F4D6B">
        <w:rPr>
          <w:rFonts w:ascii="Calibri" w:hAnsi="Calibri" w:cs="Calibri"/>
          <w:lang w:val="en-GB"/>
        </w:rPr>
        <w:t>Constructive dismissal occurs when an employee feels they have no choice but to resign due to a serious breach of contract by their employer. This breach could relate to clearly stated (express) terms or to implied terms such as the duty to maintain mutual trust and confidence, as outlined in the Employment Rights Act 1996 (Daniels, 2022, Chapter 8). The key point is not just what was changed, but whether the employee perceived the change to be so significant that it made their role untenable.</w:t>
      </w:r>
    </w:p>
    <w:p w14:paraId="17EAE755" w14:textId="77777777" w:rsidR="009F4D6B" w:rsidRPr="009F4D6B" w:rsidRDefault="009F4D6B" w:rsidP="009F4D6B">
      <w:pPr>
        <w:rPr>
          <w:rFonts w:ascii="Calibri" w:hAnsi="Calibri" w:cs="Calibri"/>
          <w:lang w:val="en-GB"/>
        </w:rPr>
      </w:pPr>
    </w:p>
    <w:p w14:paraId="36054C5E" w14:textId="77777777" w:rsidR="009F4D6B" w:rsidRPr="009F4D6B" w:rsidRDefault="009F4D6B" w:rsidP="009F4D6B">
      <w:pPr>
        <w:rPr>
          <w:rFonts w:ascii="Calibri" w:hAnsi="Calibri" w:cs="Calibri"/>
          <w:lang w:val="en-GB"/>
        </w:rPr>
      </w:pPr>
      <w:r w:rsidRPr="009F4D6B">
        <w:rPr>
          <w:rFonts w:ascii="Calibri" w:hAnsi="Calibri" w:cs="Calibri"/>
          <w:lang w:val="en-GB"/>
        </w:rPr>
        <w:t>If the radiographer felt that the revised hours were introduced without proper discussion or agreement, and that the new arrangement adversely affected their wellbeing or ability to carry out their duties, they may argue that the Trust failed to uphold their contractual obligations. Even if the business case was justified, failing to properly consult or document the process could be problematic.</w:t>
      </w:r>
    </w:p>
    <w:p w14:paraId="044F8878" w14:textId="77777777" w:rsidR="009F4D6B" w:rsidRPr="009F4D6B" w:rsidRDefault="009F4D6B" w:rsidP="009F4D6B">
      <w:pPr>
        <w:rPr>
          <w:rFonts w:ascii="Calibri" w:hAnsi="Calibri" w:cs="Calibri"/>
          <w:lang w:val="en-GB"/>
        </w:rPr>
      </w:pPr>
      <w:r w:rsidRPr="009F4D6B">
        <w:rPr>
          <w:rFonts w:ascii="Calibri" w:hAnsi="Calibri" w:cs="Calibri"/>
          <w:lang w:val="en-GB"/>
        </w:rPr>
        <w:t>Daniels (2022, Chapter 4.3) suggests a best-practice approach to changing employment terms should include:</w:t>
      </w:r>
    </w:p>
    <w:p w14:paraId="7A3320A8" w14:textId="77777777" w:rsidR="009F4D6B" w:rsidRPr="009F4D6B" w:rsidRDefault="009F4D6B" w:rsidP="00CF06BB">
      <w:pPr>
        <w:numPr>
          <w:ilvl w:val="0"/>
          <w:numId w:val="7"/>
        </w:numPr>
        <w:rPr>
          <w:rFonts w:ascii="Calibri" w:hAnsi="Calibri" w:cs="Calibri"/>
          <w:lang w:val="en-GB"/>
        </w:rPr>
      </w:pPr>
      <w:r w:rsidRPr="009F4D6B">
        <w:rPr>
          <w:rFonts w:ascii="Calibri" w:hAnsi="Calibri" w:cs="Calibri"/>
          <w:lang w:val="en-GB"/>
        </w:rPr>
        <w:t>Agreement from both employer and employee</w:t>
      </w:r>
    </w:p>
    <w:p w14:paraId="1678CEA9" w14:textId="77777777" w:rsidR="009F4D6B" w:rsidRPr="009F4D6B" w:rsidRDefault="009F4D6B" w:rsidP="00CF06BB">
      <w:pPr>
        <w:numPr>
          <w:ilvl w:val="0"/>
          <w:numId w:val="7"/>
        </w:numPr>
        <w:rPr>
          <w:rFonts w:ascii="Calibri" w:hAnsi="Calibri" w:cs="Calibri"/>
          <w:lang w:val="en-GB"/>
        </w:rPr>
      </w:pPr>
      <w:r w:rsidRPr="009F4D6B">
        <w:rPr>
          <w:rFonts w:ascii="Calibri" w:hAnsi="Calibri" w:cs="Calibri"/>
          <w:lang w:val="en-GB"/>
        </w:rPr>
        <w:t>A sound and demonstrable business reason for the change</w:t>
      </w:r>
    </w:p>
    <w:p w14:paraId="339CE62A" w14:textId="77777777" w:rsidR="009F4D6B" w:rsidRPr="009F4D6B" w:rsidRDefault="009F4D6B" w:rsidP="00CF06BB">
      <w:pPr>
        <w:numPr>
          <w:ilvl w:val="0"/>
          <w:numId w:val="7"/>
        </w:numPr>
        <w:rPr>
          <w:rFonts w:ascii="Calibri" w:hAnsi="Calibri" w:cs="Calibri"/>
          <w:lang w:val="en-GB"/>
        </w:rPr>
      </w:pPr>
      <w:r w:rsidRPr="009F4D6B">
        <w:rPr>
          <w:rFonts w:ascii="Calibri" w:hAnsi="Calibri" w:cs="Calibri"/>
          <w:lang w:val="en-GB"/>
        </w:rPr>
        <w:t>Clear and open consultation (including with trade unions where appropriate)</w:t>
      </w:r>
    </w:p>
    <w:p w14:paraId="253698A6" w14:textId="77777777" w:rsidR="009F4D6B" w:rsidRDefault="009F4D6B" w:rsidP="00CF06BB">
      <w:pPr>
        <w:numPr>
          <w:ilvl w:val="0"/>
          <w:numId w:val="7"/>
        </w:numPr>
        <w:rPr>
          <w:rFonts w:ascii="Calibri" w:hAnsi="Calibri" w:cs="Calibri"/>
          <w:lang w:val="en-GB"/>
        </w:rPr>
      </w:pPr>
      <w:r w:rsidRPr="009F4D6B">
        <w:rPr>
          <w:rFonts w:ascii="Calibri" w:hAnsi="Calibri" w:cs="Calibri"/>
          <w:lang w:val="en-GB"/>
        </w:rPr>
        <w:t>Written confirmation of the final terms, particularly for permanent changes</w:t>
      </w:r>
    </w:p>
    <w:p w14:paraId="466889F0" w14:textId="77777777" w:rsidR="009F4D6B" w:rsidRPr="009F4D6B" w:rsidRDefault="009F4D6B" w:rsidP="009F4D6B">
      <w:pPr>
        <w:ind w:left="720"/>
        <w:rPr>
          <w:rFonts w:ascii="Calibri" w:hAnsi="Calibri" w:cs="Calibri"/>
          <w:lang w:val="en-GB"/>
        </w:rPr>
      </w:pPr>
    </w:p>
    <w:p w14:paraId="3A8AE568" w14:textId="77777777" w:rsidR="009F4D6B" w:rsidRDefault="009F4D6B" w:rsidP="009F4D6B">
      <w:pPr>
        <w:rPr>
          <w:rFonts w:ascii="Calibri" w:hAnsi="Calibri" w:cs="Calibri"/>
          <w:lang w:val="en-GB"/>
        </w:rPr>
      </w:pPr>
      <w:r w:rsidRPr="009F4D6B">
        <w:rPr>
          <w:rFonts w:ascii="Calibri" w:hAnsi="Calibri" w:cs="Calibri"/>
          <w:lang w:val="en-GB"/>
        </w:rPr>
        <w:t>The CIPD (2023) reinforces this, stating that engaging employees early and openly helps to reduce resistance, increase understanding, and avoid disputes. A lack of transparency or proper process can undermine trust and invite claims.</w:t>
      </w:r>
    </w:p>
    <w:p w14:paraId="67DD12A5" w14:textId="77777777" w:rsidR="009F4D6B" w:rsidRPr="009F4D6B" w:rsidRDefault="009F4D6B" w:rsidP="009F4D6B">
      <w:pPr>
        <w:rPr>
          <w:rFonts w:ascii="Calibri" w:hAnsi="Calibri" w:cs="Calibri"/>
          <w:lang w:val="en-GB"/>
        </w:rPr>
      </w:pPr>
    </w:p>
    <w:p w14:paraId="7D8F9D18" w14:textId="77777777" w:rsidR="009F4D6B" w:rsidRDefault="009F4D6B" w:rsidP="009F4D6B">
      <w:pPr>
        <w:rPr>
          <w:rFonts w:ascii="Calibri" w:hAnsi="Calibri" w:cs="Calibri"/>
          <w:lang w:val="en-GB"/>
        </w:rPr>
      </w:pPr>
      <w:r w:rsidRPr="009F4D6B">
        <w:rPr>
          <w:rFonts w:ascii="Calibri" w:hAnsi="Calibri" w:cs="Calibri"/>
          <w:lang w:val="en-GB"/>
        </w:rPr>
        <w:t>In terms of timeframes, former employees have three months minus one day from their termination date to lodge a claim via an Employment Tribunal. They are also usually required to go through the ACAS Early Conciliation process before a formal claim can proceed (ACAS, 2023).</w:t>
      </w:r>
    </w:p>
    <w:p w14:paraId="3CB9D0BE" w14:textId="77777777" w:rsidR="009F4D6B" w:rsidRPr="009F4D6B" w:rsidRDefault="009F4D6B" w:rsidP="009F4D6B">
      <w:pPr>
        <w:rPr>
          <w:rFonts w:ascii="Calibri" w:hAnsi="Calibri" w:cs="Calibri"/>
          <w:lang w:val="en-GB"/>
        </w:rPr>
      </w:pPr>
    </w:p>
    <w:p w14:paraId="098AAB84" w14:textId="77777777" w:rsidR="009F4D6B" w:rsidRPr="009F4D6B" w:rsidRDefault="009F4D6B" w:rsidP="009F4D6B">
      <w:pPr>
        <w:rPr>
          <w:rFonts w:ascii="Calibri" w:hAnsi="Calibri" w:cs="Calibri"/>
          <w:lang w:val="en-GB"/>
        </w:rPr>
      </w:pPr>
      <w:r w:rsidRPr="009F4D6B">
        <w:rPr>
          <w:rFonts w:ascii="Calibri" w:hAnsi="Calibri" w:cs="Calibri"/>
          <w:lang w:val="en-GB"/>
        </w:rPr>
        <w:t>Recommended actions:</w:t>
      </w:r>
    </w:p>
    <w:p w14:paraId="27E29BEE" w14:textId="77777777" w:rsidR="009F4D6B" w:rsidRPr="009F4D6B" w:rsidRDefault="009F4D6B" w:rsidP="00CF06BB">
      <w:pPr>
        <w:numPr>
          <w:ilvl w:val="0"/>
          <w:numId w:val="8"/>
        </w:numPr>
        <w:rPr>
          <w:rFonts w:ascii="Calibri" w:hAnsi="Calibri" w:cs="Calibri"/>
          <w:lang w:val="en-GB"/>
        </w:rPr>
      </w:pPr>
      <w:r w:rsidRPr="009F4D6B">
        <w:rPr>
          <w:rFonts w:ascii="Calibri" w:hAnsi="Calibri" w:cs="Calibri"/>
          <w:lang w:val="en-GB"/>
        </w:rPr>
        <w:t>Review the justification and documentation for the contractual change</w:t>
      </w:r>
    </w:p>
    <w:p w14:paraId="3B84BD0C" w14:textId="77777777" w:rsidR="009F4D6B" w:rsidRPr="009F4D6B" w:rsidRDefault="009F4D6B" w:rsidP="00CF06BB">
      <w:pPr>
        <w:numPr>
          <w:ilvl w:val="0"/>
          <w:numId w:val="8"/>
        </w:numPr>
        <w:rPr>
          <w:rFonts w:ascii="Calibri" w:hAnsi="Calibri" w:cs="Calibri"/>
          <w:lang w:val="en-GB"/>
        </w:rPr>
      </w:pPr>
      <w:r w:rsidRPr="009F4D6B">
        <w:rPr>
          <w:rFonts w:ascii="Calibri" w:hAnsi="Calibri" w:cs="Calibri"/>
          <w:lang w:val="en-GB"/>
        </w:rPr>
        <w:t>Assess whether the process included adequate consultation and communication</w:t>
      </w:r>
    </w:p>
    <w:p w14:paraId="6E55490D" w14:textId="77777777" w:rsidR="009F4D6B" w:rsidRDefault="009F4D6B" w:rsidP="00CF06BB">
      <w:pPr>
        <w:numPr>
          <w:ilvl w:val="0"/>
          <w:numId w:val="8"/>
        </w:numPr>
        <w:rPr>
          <w:rFonts w:ascii="Calibri" w:hAnsi="Calibri" w:cs="Calibri"/>
          <w:lang w:val="en-GB"/>
        </w:rPr>
      </w:pPr>
      <w:r w:rsidRPr="009F4D6B">
        <w:rPr>
          <w:rFonts w:ascii="Calibri" w:hAnsi="Calibri" w:cs="Calibri"/>
          <w:lang w:val="en-GB"/>
        </w:rPr>
        <w:t>Look at similar situations in the Trust to ensure consistency in how contract variations are handled</w:t>
      </w:r>
    </w:p>
    <w:p w14:paraId="26E55490" w14:textId="77777777" w:rsidR="009F4D6B" w:rsidRPr="009F4D6B" w:rsidRDefault="009F4D6B" w:rsidP="009F4D6B">
      <w:pPr>
        <w:ind w:left="720"/>
        <w:rPr>
          <w:rFonts w:ascii="Calibri" w:hAnsi="Calibri" w:cs="Calibri"/>
          <w:lang w:val="en-GB"/>
        </w:rPr>
      </w:pPr>
    </w:p>
    <w:p w14:paraId="58E073CD" w14:textId="77777777" w:rsidR="009F4D6B" w:rsidRDefault="009F4D6B" w:rsidP="009F4D6B">
      <w:pPr>
        <w:rPr>
          <w:rFonts w:ascii="Calibri" w:hAnsi="Calibri" w:cs="Calibri"/>
          <w:lang w:val="en-GB"/>
        </w:rPr>
      </w:pPr>
      <w:r w:rsidRPr="009F4D6B">
        <w:rPr>
          <w:rFonts w:ascii="Calibri" w:hAnsi="Calibri" w:cs="Calibri"/>
          <w:lang w:val="en-GB"/>
        </w:rPr>
        <w:t>Let me know if you’d like help with reviewing this case or exploring how to strengthen our processes around contractual changes moving forward.</w:t>
      </w:r>
    </w:p>
    <w:p w14:paraId="16D0A14B" w14:textId="77777777" w:rsidR="009F4D6B" w:rsidRPr="009F4D6B" w:rsidRDefault="009F4D6B" w:rsidP="009F4D6B">
      <w:pPr>
        <w:rPr>
          <w:rFonts w:ascii="Calibri" w:hAnsi="Calibri" w:cs="Calibri"/>
          <w:lang w:val="en-GB"/>
        </w:rPr>
      </w:pPr>
    </w:p>
    <w:p w14:paraId="35C777E2" w14:textId="77777777" w:rsidR="009F4D6B" w:rsidRPr="009F4D6B" w:rsidRDefault="009F4D6B" w:rsidP="009F4D6B">
      <w:pPr>
        <w:rPr>
          <w:rFonts w:ascii="Calibri" w:hAnsi="Calibri" w:cs="Calibri"/>
          <w:lang w:val="en-GB"/>
        </w:rPr>
      </w:pPr>
      <w:r w:rsidRPr="009F4D6B">
        <w:rPr>
          <w:rFonts w:ascii="Calibri" w:hAnsi="Calibri" w:cs="Calibri"/>
          <w:lang w:val="en-GB"/>
        </w:rPr>
        <w:t>Best wishes,</w:t>
      </w:r>
      <w:r w:rsidRPr="009F4D6B">
        <w:rPr>
          <w:rFonts w:ascii="Calibri" w:hAnsi="Calibri" w:cs="Calibri"/>
          <w:lang w:val="en-GB"/>
        </w:rPr>
        <w:br/>
        <w:t>Melanie</w:t>
      </w:r>
    </w:p>
    <w:p w14:paraId="4D0E1155" w14:textId="77777777" w:rsidR="001F6BD2" w:rsidRPr="00CE7B88" w:rsidRDefault="001F6BD2" w:rsidP="007D3F26">
      <w:pPr>
        <w:rPr>
          <w:rFonts w:ascii="Calibri" w:hAnsi="Calibri" w:cs="Calibri"/>
          <w:color w:val="FF0000"/>
          <w:lang w:val="en-GB"/>
        </w:rPr>
      </w:pPr>
    </w:p>
    <w:p w14:paraId="51DA354F" w14:textId="77777777" w:rsidR="001F6BD2" w:rsidRPr="00CE7B88" w:rsidRDefault="001F6BD2" w:rsidP="007D3F26">
      <w:pPr>
        <w:rPr>
          <w:rFonts w:ascii="Calibri" w:hAnsi="Calibri" w:cs="Calibri"/>
          <w:color w:val="FF0000"/>
          <w:lang w:val="en-GB"/>
        </w:rPr>
      </w:pPr>
    </w:p>
    <w:p w14:paraId="04B6D7EE" w14:textId="77777777" w:rsidR="001F6BD2" w:rsidRPr="00CE7B88" w:rsidRDefault="001F6BD2" w:rsidP="007D3F26">
      <w:pPr>
        <w:rPr>
          <w:rFonts w:ascii="Calibri" w:hAnsi="Calibri" w:cs="Calibri"/>
          <w:color w:val="FF0000"/>
          <w:lang w:val="en-GB"/>
        </w:rPr>
      </w:pPr>
    </w:p>
    <w:p w14:paraId="4427D1DC" w14:textId="77777777" w:rsidR="001F6BD2" w:rsidRPr="00CE7B88" w:rsidRDefault="001F6BD2" w:rsidP="007D3F26">
      <w:pPr>
        <w:rPr>
          <w:rFonts w:ascii="Calibri" w:hAnsi="Calibri" w:cs="Calibri"/>
          <w:color w:val="FF0000"/>
          <w:lang w:val="en-GB"/>
        </w:rPr>
      </w:pPr>
    </w:p>
    <w:p w14:paraId="1CB32F8D" w14:textId="77777777" w:rsidR="001F6BD2" w:rsidRPr="00121E2B" w:rsidRDefault="001F6BD2" w:rsidP="007D3F26">
      <w:pPr>
        <w:rPr>
          <w:rFonts w:ascii="Calibri" w:hAnsi="Calibri" w:cs="Calibri"/>
          <w:lang w:val="en-GB"/>
        </w:rPr>
      </w:pPr>
    </w:p>
    <w:p w14:paraId="2528D449" w14:textId="46AAACC7" w:rsidR="007D3F26" w:rsidRPr="00121E2B" w:rsidRDefault="001F6BD2" w:rsidP="007D3F26">
      <w:pPr>
        <w:rPr>
          <w:rFonts w:ascii="Calibri" w:hAnsi="Calibri" w:cs="Calibri"/>
          <w:lang w:val="en-GB"/>
        </w:rPr>
      </w:pPr>
      <w:r w:rsidRPr="00121E2B">
        <w:rPr>
          <w:rFonts w:ascii="Calibri" w:hAnsi="Calibri" w:cs="Calibri"/>
          <w:lang w:val="en-GB"/>
        </w:rPr>
        <w:t>AC 3.2</w:t>
      </w:r>
    </w:p>
    <w:p w14:paraId="75488A4E" w14:textId="77777777" w:rsidR="00E3798F" w:rsidRDefault="00E3798F" w:rsidP="007D3F26">
      <w:pPr>
        <w:rPr>
          <w:rFonts w:ascii="Calibri" w:hAnsi="Calibri" w:cs="Calibri"/>
          <w:lang w:val="en-GB"/>
        </w:rPr>
      </w:pPr>
    </w:p>
    <w:p w14:paraId="5991F5F8" w14:textId="77777777" w:rsidR="009F4D6B" w:rsidRPr="009F4D6B" w:rsidRDefault="009F4D6B" w:rsidP="009F4D6B">
      <w:pPr>
        <w:rPr>
          <w:rFonts w:ascii="Calibri" w:hAnsi="Calibri" w:cs="Calibri"/>
          <w:lang w:val="en-GB"/>
        </w:rPr>
      </w:pPr>
      <w:r w:rsidRPr="009F4D6B">
        <w:rPr>
          <w:rFonts w:ascii="Calibri" w:hAnsi="Calibri" w:cs="Calibri"/>
          <w:lang w:val="en-GB"/>
        </w:rPr>
        <w:t>Subject: Legal Considerations – Organisational Restructure and Redundancy</w:t>
      </w:r>
    </w:p>
    <w:p w14:paraId="4F960229" w14:textId="77777777" w:rsidR="009F4D6B" w:rsidRDefault="009F4D6B" w:rsidP="009F4D6B">
      <w:pPr>
        <w:rPr>
          <w:rFonts w:ascii="Calibri" w:hAnsi="Calibri" w:cs="Calibri"/>
          <w:lang w:val="en-GB"/>
        </w:rPr>
      </w:pPr>
      <w:r w:rsidRPr="009F4D6B">
        <w:rPr>
          <w:rFonts w:ascii="Calibri" w:hAnsi="Calibri" w:cs="Calibri"/>
          <w:lang w:val="en-GB"/>
        </w:rPr>
        <w:t>Hi Richard,</w:t>
      </w:r>
    </w:p>
    <w:p w14:paraId="15FFD240" w14:textId="77777777" w:rsidR="009F4D6B" w:rsidRPr="009F4D6B" w:rsidRDefault="009F4D6B" w:rsidP="009F4D6B">
      <w:pPr>
        <w:rPr>
          <w:rFonts w:ascii="Calibri" w:hAnsi="Calibri" w:cs="Calibri"/>
          <w:lang w:val="en-GB"/>
        </w:rPr>
      </w:pPr>
    </w:p>
    <w:p w14:paraId="48DDBB48" w14:textId="2DF874AD" w:rsidR="009F4D6B" w:rsidRDefault="009F4D6B" w:rsidP="009F4D6B">
      <w:pPr>
        <w:rPr>
          <w:rFonts w:ascii="Calibri" w:hAnsi="Calibri" w:cs="Calibri"/>
          <w:lang w:val="en-GB"/>
        </w:rPr>
      </w:pPr>
      <w:r w:rsidRPr="009F4D6B">
        <w:rPr>
          <w:rFonts w:ascii="Calibri" w:hAnsi="Calibri" w:cs="Calibri"/>
          <w:lang w:val="en-GB"/>
        </w:rPr>
        <w:t>Thank you for your message regarding the planned restructure, which will result in the loss of 50 roles. While I appreciate the urgency to move forward efficiently, it’s critical that the process complies with current employment legislation — particularly the Employment Rights Act 1996, the Equality Act 2010, and the best practice</w:t>
      </w:r>
      <w:r>
        <w:rPr>
          <w:rFonts w:ascii="Calibri" w:hAnsi="Calibri" w:cs="Calibri"/>
          <w:lang w:val="en-GB"/>
        </w:rPr>
        <w:t xml:space="preserve"> (</w:t>
      </w:r>
      <w:r w:rsidRPr="009F4D6B">
        <w:rPr>
          <w:rFonts w:ascii="Calibri" w:hAnsi="Calibri" w:cs="Calibri"/>
          <w:lang w:val="en-GB"/>
        </w:rPr>
        <w:t>Daniels</w:t>
      </w:r>
      <w:r>
        <w:rPr>
          <w:rFonts w:ascii="Calibri" w:hAnsi="Calibri" w:cs="Calibri"/>
          <w:lang w:val="en-GB"/>
        </w:rPr>
        <w:t xml:space="preserve"> </w:t>
      </w:r>
      <w:r w:rsidRPr="009F4D6B">
        <w:rPr>
          <w:rFonts w:ascii="Calibri" w:hAnsi="Calibri" w:cs="Calibri"/>
          <w:lang w:val="en-GB"/>
        </w:rPr>
        <w:t>2022, Chapter 9).</w:t>
      </w:r>
    </w:p>
    <w:p w14:paraId="165F5000" w14:textId="77777777" w:rsidR="009F4D6B" w:rsidRPr="009F4D6B" w:rsidRDefault="009F4D6B" w:rsidP="009F4D6B">
      <w:pPr>
        <w:rPr>
          <w:rFonts w:ascii="Calibri" w:hAnsi="Calibri" w:cs="Calibri"/>
          <w:lang w:val="en-GB"/>
        </w:rPr>
      </w:pPr>
    </w:p>
    <w:p w14:paraId="7D669191" w14:textId="77777777" w:rsidR="009F4D6B" w:rsidRDefault="009F4D6B" w:rsidP="009F4D6B">
      <w:pPr>
        <w:rPr>
          <w:rFonts w:ascii="Calibri" w:hAnsi="Calibri" w:cs="Calibri"/>
          <w:lang w:val="en-GB"/>
        </w:rPr>
      </w:pPr>
      <w:r w:rsidRPr="009F4D6B">
        <w:rPr>
          <w:rFonts w:ascii="Calibri" w:hAnsi="Calibri" w:cs="Calibri"/>
          <w:lang w:val="en-GB"/>
        </w:rPr>
        <w:t>Redundancy must be driven by a legitimate organisational need — for instance, a service closure, budget constraints, or a decreased demand for certain types of work. It’s not an alternative to managing underperformance. Selecting staff purely based on being perceived as low performers could lead to claims of unfair dismissal if not handled properly. While performance can be used as a criterion, it must be supported by consistent evidence and incorporated into a fair and agreed-upon selection process.</w:t>
      </w:r>
    </w:p>
    <w:p w14:paraId="4824F878" w14:textId="77777777" w:rsidR="009F4D6B" w:rsidRPr="009F4D6B" w:rsidRDefault="009F4D6B" w:rsidP="009F4D6B">
      <w:pPr>
        <w:rPr>
          <w:rFonts w:ascii="Calibri" w:hAnsi="Calibri" w:cs="Calibri"/>
          <w:lang w:val="en-GB"/>
        </w:rPr>
      </w:pPr>
    </w:p>
    <w:p w14:paraId="62EB74C4" w14:textId="77777777" w:rsidR="009F4D6B" w:rsidRDefault="009F4D6B" w:rsidP="009F4D6B">
      <w:pPr>
        <w:rPr>
          <w:rFonts w:ascii="Calibri" w:hAnsi="Calibri" w:cs="Calibri"/>
          <w:lang w:val="en-GB"/>
        </w:rPr>
      </w:pPr>
      <w:r w:rsidRPr="009F4D6B">
        <w:rPr>
          <w:rFonts w:ascii="Calibri" w:hAnsi="Calibri" w:cs="Calibri"/>
          <w:lang w:val="en-GB"/>
        </w:rPr>
        <w:t>As you’re proposing to make 50 roles redundant, this qualifies as a collective redundancy. When 20 or more redundancies are proposed within a 90-day period at a single site, employers have a legal obligation to engage in collective consultation. This must be done with either recognised trade unions or elected employee representatives, and for at least 30 days before any dismissals take effect. Given the NHS’s unionised environment, timely and meaningful consultation is not optional — failing to comply could result in protective awards of up to 90 days’ pay for each affected employee.</w:t>
      </w:r>
    </w:p>
    <w:p w14:paraId="7EC6073F" w14:textId="77777777" w:rsidR="009F4D6B" w:rsidRPr="009F4D6B" w:rsidRDefault="009F4D6B" w:rsidP="009F4D6B">
      <w:pPr>
        <w:rPr>
          <w:rFonts w:ascii="Calibri" w:hAnsi="Calibri" w:cs="Calibri"/>
          <w:lang w:val="en-GB"/>
        </w:rPr>
      </w:pPr>
    </w:p>
    <w:p w14:paraId="7DEB5E3D" w14:textId="77777777" w:rsidR="009F4D6B" w:rsidRPr="009F4D6B" w:rsidRDefault="009F4D6B" w:rsidP="009F4D6B">
      <w:pPr>
        <w:rPr>
          <w:rFonts w:ascii="Calibri" w:hAnsi="Calibri" w:cs="Calibri"/>
          <w:lang w:val="en-GB"/>
        </w:rPr>
      </w:pPr>
      <w:r w:rsidRPr="009F4D6B">
        <w:rPr>
          <w:rFonts w:ascii="Calibri" w:hAnsi="Calibri" w:cs="Calibri"/>
          <w:lang w:val="en-GB"/>
        </w:rPr>
        <w:t>The redundancy selection process should rely on agreed and objective criteria, such as:</w:t>
      </w:r>
    </w:p>
    <w:p w14:paraId="498B3E99" w14:textId="77777777" w:rsidR="009F4D6B" w:rsidRPr="009F4D6B" w:rsidRDefault="009F4D6B" w:rsidP="00CF06BB">
      <w:pPr>
        <w:numPr>
          <w:ilvl w:val="0"/>
          <w:numId w:val="9"/>
        </w:numPr>
        <w:rPr>
          <w:rFonts w:ascii="Calibri" w:hAnsi="Calibri" w:cs="Calibri"/>
          <w:lang w:val="en-GB"/>
        </w:rPr>
      </w:pPr>
      <w:r w:rsidRPr="009F4D6B">
        <w:rPr>
          <w:rFonts w:ascii="Calibri" w:hAnsi="Calibri" w:cs="Calibri"/>
          <w:lang w:val="en-GB"/>
        </w:rPr>
        <w:t>Skills and qualifications relevant to the new structure</w:t>
      </w:r>
    </w:p>
    <w:p w14:paraId="7DED57E8" w14:textId="77777777" w:rsidR="009F4D6B" w:rsidRPr="009F4D6B" w:rsidRDefault="009F4D6B" w:rsidP="00CF06BB">
      <w:pPr>
        <w:numPr>
          <w:ilvl w:val="0"/>
          <w:numId w:val="9"/>
        </w:numPr>
        <w:rPr>
          <w:rFonts w:ascii="Calibri" w:hAnsi="Calibri" w:cs="Calibri"/>
          <w:lang w:val="en-GB"/>
        </w:rPr>
      </w:pPr>
      <w:r w:rsidRPr="009F4D6B">
        <w:rPr>
          <w:rFonts w:ascii="Calibri" w:hAnsi="Calibri" w:cs="Calibri"/>
          <w:lang w:val="en-GB"/>
        </w:rPr>
        <w:t>Attendance records (excluding those covered by protected characteristics)</w:t>
      </w:r>
    </w:p>
    <w:p w14:paraId="155267CE" w14:textId="77777777" w:rsidR="009F4D6B" w:rsidRPr="009F4D6B" w:rsidRDefault="009F4D6B" w:rsidP="00CF06BB">
      <w:pPr>
        <w:numPr>
          <w:ilvl w:val="0"/>
          <w:numId w:val="9"/>
        </w:numPr>
        <w:rPr>
          <w:rFonts w:ascii="Calibri" w:hAnsi="Calibri" w:cs="Calibri"/>
          <w:lang w:val="en-GB"/>
        </w:rPr>
      </w:pPr>
      <w:r w:rsidRPr="009F4D6B">
        <w:rPr>
          <w:rFonts w:ascii="Calibri" w:hAnsi="Calibri" w:cs="Calibri"/>
          <w:lang w:val="en-GB"/>
        </w:rPr>
        <w:t>Disciplinary history</w:t>
      </w:r>
    </w:p>
    <w:p w14:paraId="1564FB84" w14:textId="77777777" w:rsidR="009F4D6B" w:rsidRDefault="009F4D6B" w:rsidP="00CF06BB">
      <w:pPr>
        <w:numPr>
          <w:ilvl w:val="0"/>
          <w:numId w:val="9"/>
        </w:numPr>
        <w:rPr>
          <w:rFonts w:ascii="Calibri" w:hAnsi="Calibri" w:cs="Calibri"/>
          <w:lang w:val="en-GB"/>
        </w:rPr>
      </w:pPr>
      <w:r w:rsidRPr="009F4D6B">
        <w:rPr>
          <w:rFonts w:ascii="Calibri" w:hAnsi="Calibri" w:cs="Calibri"/>
          <w:lang w:val="en-GB"/>
        </w:rPr>
        <w:t>Performance evaluations, as long as these have been fairly and consistently applied</w:t>
      </w:r>
    </w:p>
    <w:p w14:paraId="3B75FDC2" w14:textId="77777777" w:rsidR="009F4D6B" w:rsidRPr="009F4D6B" w:rsidRDefault="009F4D6B" w:rsidP="009F4D6B">
      <w:pPr>
        <w:ind w:left="720"/>
        <w:rPr>
          <w:rFonts w:ascii="Calibri" w:hAnsi="Calibri" w:cs="Calibri"/>
          <w:lang w:val="en-GB"/>
        </w:rPr>
      </w:pPr>
    </w:p>
    <w:p w14:paraId="5E11BAD6" w14:textId="67588CE3" w:rsidR="009F4D6B" w:rsidRDefault="009F4D6B" w:rsidP="009F4D6B">
      <w:pPr>
        <w:rPr>
          <w:rFonts w:ascii="Calibri" w:hAnsi="Calibri" w:cs="Calibri"/>
          <w:lang w:val="en-GB"/>
        </w:rPr>
      </w:pPr>
      <w:r w:rsidRPr="009F4D6B">
        <w:rPr>
          <w:rFonts w:ascii="Calibri" w:hAnsi="Calibri" w:cs="Calibri"/>
          <w:lang w:val="en-GB"/>
        </w:rPr>
        <w:t>It’s also a legal and ethical expectation that all alternatives to redundancy are considered. This might include offering voluntary redundancy, identifying suitable redeployment options, or offering retraining where appropriate. Redundancy should be a last resort</w:t>
      </w:r>
      <w:r>
        <w:rPr>
          <w:rFonts w:ascii="Calibri" w:hAnsi="Calibri" w:cs="Calibri"/>
          <w:lang w:val="en-GB"/>
        </w:rPr>
        <w:t xml:space="preserve"> and we should try where possible to retain staff.</w:t>
      </w:r>
    </w:p>
    <w:p w14:paraId="6C0B64EE" w14:textId="77777777" w:rsidR="009F4D6B" w:rsidRPr="009F4D6B" w:rsidRDefault="009F4D6B" w:rsidP="009F4D6B">
      <w:pPr>
        <w:rPr>
          <w:rFonts w:ascii="Calibri" w:hAnsi="Calibri" w:cs="Calibri"/>
          <w:lang w:val="en-GB"/>
        </w:rPr>
      </w:pPr>
    </w:p>
    <w:p w14:paraId="6939934F" w14:textId="77777777" w:rsidR="009F4D6B" w:rsidRDefault="009F4D6B" w:rsidP="009F4D6B">
      <w:pPr>
        <w:rPr>
          <w:rFonts w:ascii="Calibri" w:hAnsi="Calibri" w:cs="Calibri"/>
          <w:lang w:val="en-GB"/>
        </w:rPr>
      </w:pPr>
      <w:r w:rsidRPr="009F4D6B">
        <w:rPr>
          <w:rFonts w:ascii="Calibri" w:hAnsi="Calibri" w:cs="Calibri"/>
          <w:lang w:val="en-GB"/>
        </w:rPr>
        <w:t>Please also be aware that employees have three months minus one day from the termination of their contract to bring a claim to the Employment Tribunal, making it all the more important that we can clearly demonstrate fairness throughout.</w:t>
      </w:r>
    </w:p>
    <w:p w14:paraId="0E2ED902" w14:textId="77777777" w:rsidR="009F4D6B" w:rsidRPr="009F4D6B" w:rsidRDefault="009F4D6B" w:rsidP="009F4D6B">
      <w:pPr>
        <w:rPr>
          <w:rFonts w:ascii="Calibri" w:hAnsi="Calibri" w:cs="Calibri"/>
          <w:lang w:val="en-GB"/>
        </w:rPr>
      </w:pPr>
    </w:p>
    <w:p w14:paraId="60D5294B" w14:textId="77777777" w:rsidR="009F4D6B" w:rsidRDefault="009F4D6B" w:rsidP="009F4D6B">
      <w:pPr>
        <w:rPr>
          <w:rFonts w:ascii="Calibri" w:hAnsi="Calibri" w:cs="Calibri"/>
          <w:lang w:val="en-GB"/>
        </w:rPr>
      </w:pPr>
      <w:r w:rsidRPr="009F4D6B">
        <w:rPr>
          <w:rFonts w:ascii="Calibri" w:hAnsi="Calibri" w:cs="Calibri"/>
          <w:lang w:val="en-GB"/>
        </w:rPr>
        <w:t>I’m more than happy to support you with the planning and delivery of the consultation process, reviewing proposed selection methods, and helping to ensure that the Trust’s approach is legally compliant and transparent.</w:t>
      </w:r>
    </w:p>
    <w:p w14:paraId="7F18430C" w14:textId="77777777" w:rsidR="009F4D6B" w:rsidRPr="009F4D6B" w:rsidRDefault="009F4D6B" w:rsidP="009F4D6B">
      <w:pPr>
        <w:rPr>
          <w:rFonts w:ascii="Calibri" w:hAnsi="Calibri" w:cs="Calibri"/>
          <w:lang w:val="en-GB"/>
        </w:rPr>
      </w:pPr>
    </w:p>
    <w:p w14:paraId="6C9E1C27" w14:textId="77777777" w:rsidR="009F4D6B" w:rsidRPr="009F4D6B" w:rsidRDefault="009F4D6B" w:rsidP="009F4D6B">
      <w:pPr>
        <w:rPr>
          <w:rFonts w:ascii="Calibri" w:hAnsi="Calibri" w:cs="Calibri"/>
          <w:lang w:val="en-GB"/>
        </w:rPr>
      </w:pPr>
      <w:r w:rsidRPr="009F4D6B">
        <w:rPr>
          <w:rFonts w:ascii="Calibri" w:hAnsi="Calibri" w:cs="Calibri"/>
          <w:lang w:val="en-GB"/>
        </w:rPr>
        <w:t>Best wishes,</w:t>
      </w:r>
      <w:r w:rsidRPr="009F4D6B">
        <w:rPr>
          <w:rFonts w:ascii="Calibri" w:hAnsi="Calibri" w:cs="Calibri"/>
          <w:lang w:val="en-GB"/>
        </w:rPr>
        <w:br/>
        <w:t>Melanie</w:t>
      </w:r>
    </w:p>
    <w:p w14:paraId="194B7769" w14:textId="18447D72" w:rsidR="00E3798F" w:rsidRPr="00121E2B" w:rsidRDefault="00E3798F" w:rsidP="009F4D6B">
      <w:pPr>
        <w:rPr>
          <w:rFonts w:ascii="Calibri" w:hAnsi="Calibri" w:cs="Calibri"/>
          <w:lang w:val="en-GB"/>
        </w:rPr>
      </w:pPr>
    </w:p>
    <w:p w14:paraId="37F2DFBD" w14:textId="77777777" w:rsidR="00E3798F" w:rsidRPr="00121E2B" w:rsidRDefault="00E3798F" w:rsidP="007D3F26">
      <w:pPr>
        <w:rPr>
          <w:rFonts w:ascii="Calibri" w:hAnsi="Calibri" w:cs="Calibri"/>
          <w:lang w:val="en-GB"/>
        </w:rPr>
      </w:pPr>
    </w:p>
    <w:p w14:paraId="19F79122" w14:textId="77777777" w:rsidR="00E36EB0" w:rsidRDefault="00E36EB0" w:rsidP="00212DA7">
      <w:pPr>
        <w:rPr>
          <w:rFonts w:ascii="Calibri" w:hAnsi="Calibri" w:cs="Calibri"/>
          <w:color w:val="FF0000"/>
        </w:rPr>
      </w:pPr>
    </w:p>
    <w:p w14:paraId="34F8168B" w14:textId="77777777" w:rsidR="007F0305" w:rsidRPr="00CE7B88" w:rsidRDefault="007F0305" w:rsidP="00212DA7">
      <w:pPr>
        <w:rPr>
          <w:rFonts w:ascii="Calibri" w:hAnsi="Calibri" w:cs="Calibri"/>
          <w:color w:val="FF0000"/>
        </w:rPr>
      </w:pPr>
    </w:p>
    <w:p w14:paraId="082514CB" w14:textId="4E1BD7E3" w:rsidR="00352A65" w:rsidRPr="00121E2B" w:rsidRDefault="006B6C99" w:rsidP="00212DA7">
      <w:pPr>
        <w:rPr>
          <w:rFonts w:ascii="Calibri" w:hAnsi="Calibri" w:cs="Calibri"/>
        </w:rPr>
      </w:pPr>
      <w:r w:rsidRPr="00121E2B">
        <w:rPr>
          <w:rFonts w:ascii="Calibri" w:hAnsi="Calibri" w:cs="Calibri"/>
        </w:rPr>
        <w:lastRenderedPageBreak/>
        <w:t>AC 3.3</w:t>
      </w:r>
    </w:p>
    <w:p w14:paraId="311D1233" w14:textId="77777777" w:rsidR="006B6C99" w:rsidRDefault="006B6C99" w:rsidP="00212DA7">
      <w:pPr>
        <w:rPr>
          <w:rFonts w:ascii="Calibri" w:hAnsi="Calibri" w:cs="Calibri"/>
        </w:rPr>
      </w:pPr>
    </w:p>
    <w:p w14:paraId="2114E4DE" w14:textId="77777777" w:rsidR="009F4D6B" w:rsidRPr="009F4D6B" w:rsidRDefault="009F4D6B" w:rsidP="009F4D6B">
      <w:pPr>
        <w:rPr>
          <w:rFonts w:ascii="Calibri" w:hAnsi="Calibri" w:cs="Calibri"/>
          <w:lang w:val="en-GB"/>
        </w:rPr>
      </w:pPr>
      <w:r w:rsidRPr="009F4D6B">
        <w:rPr>
          <w:rFonts w:ascii="Calibri" w:hAnsi="Calibri" w:cs="Calibri"/>
          <w:lang w:val="en-GB"/>
        </w:rPr>
        <w:t>Subject: Managing TUPE Implications – Pharmacy Service Merger</w:t>
      </w:r>
    </w:p>
    <w:p w14:paraId="399CE2E7" w14:textId="77777777" w:rsidR="009F4D6B" w:rsidRDefault="009F4D6B" w:rsidP="009F4D6B">
      <w:pPr>
        <w:rPr>
          <w:rFonts w:ascii="Calibri" w:hAnsi="Calibri" w:cs="Calibri"/>
          <w:lang w:val="en-GB"/>
        </w:rPr>
      </w:pPr>
      <w:r w:rsidRPr="009F4D6B">
        <w:rPr>
          <w:rFonts w:ascii="Calibri" w:hAnsi="Calibri" w:cs="Calibri"/>
          <w:lang w:val="en-GB"/>
        </w:rPr>
        <w:t>Dear Adam,</w:t>
      </w:r>
    </w:p>
    <w:p w14:paraId="3CEF5199" w14:textId="77777777" w:rsidR="009F4D6B" w:rsidRPr="009F4D6B" w:rsidRDefault="009F4D6B" w:rsidP="009F4D6B">
      <w:pPr>
        <w:rPr>
          <w:rFonts w:ascii="Calibri" w:hAnsi="Calibri" w:cs="Calibri"/>
          <w:lang w:val="en-GB"/>
        </w:rPr>
      </w:pPr>
    </w:p>
    <w:p w14:paraId="52B991FB" w14:textId="77777777" w:rsidR="009F4D6B" w:rsidRDefault="009F4D6B" w:rsidP="009F4D6B">
      <w:pPr>
        <w:rPr>
          <w:rFonts w:ascii="Calibri" w:hAnsi="Calibri" w:cs="Calibri"/>
          <w:lang w:val="en-GB"/>
        </w:rPr>
      </w:pPr>
      <w:r w:rsidRPr="009F4D6B">
        <w:rPr>
          <w:rFonts w:ascii="Calibri" w:hAnsi="Calibri" w:cs="Calibri"/>
          <w:lang w:val="en-GB"/>
        </w:rPr>
        <w:t>Thank you for sharing the initial plans around the proposed merger involving our pharmacy department and that of the neighbouring Trust. As discussions progress, it’s essential to consider the legal protections that apply to employees during such transitions — particularly under the Transfer of Undertakings (Protection of Employment) Regulations 2006 (TUPE).</w:t>
      </w:r>
    </w:p>
    <w:p w14:paraId="3E11B11F" w14:textId="77777777" w:rsidR="009F4D6B" w:rsidRPr="009F4D6B" w:rsidRDefault="009F4D6B" w:rsidP="009F4D6B">
      <w:pPr>
        <w:rPr>
          <w:rFonts w:ascii="Calibri" w:hAnsi="Calibri" w:cs="Calibri"/>
          <w:lang w:val="en-GB"/>
        </w:rPr>
      </w:pPr>
    </w:p>
    <w:p w14:paraId="342230C3" w14:textId="77777777" w:rsidR="009F4D6B" w:rsidRDefault="009F4D6B" w:rsidP="009F4D6B">
      <w:pPr>
        <w:rPr>
          <w:rFonts w:ascii="Calibri" w:hAnsi="Calibri" w:cs="Calibri"/>
          <w:lang w:val="en-GB"/>
        </w:rPr>
      </w:pPr>
      <w:r w:rsidRPr="009F4D6B">
        <w:rPr>
          <w:rFonts w:ascii="Calibri" w:hAnsi="Calibri" w:cs="Calibri"/>
          <w:lang w:val="en-GB"/>
        </w:rPr>
        <w:t>TUPE is triggered when a business or service provision changes hands and is designed to ensure that employees’ rights are protected when their employer changes. In this scenario, if staff from the neighbouring Trust move across to our employment as part of a new joint pharmacy model, TUPE is very likely to be engaged. This would mean that their employment contracts would transfer automatically to our Trust, and their terms and conditions — such as salary, working patterns, holiday allowance, and length of service — would remain unchanged (Daniels, 2022, Chapter 8).</w:t>
      </w:r>
    </w:p>
    <w:p w14:paraId="614490BB" w14:textId="77777777" w:rsidR="009F4D6B" w:rsidRPr="009F4D6B" w:rsidRDefault="009F4D6B" w:rsidP="009F4D6B">
      <w:pPr>
        <w:rPr>
          <w:rFonts w:ascii="Calibri" w:hAnsi="Calibri" w:cs="Calibri"/>
          <w:lang w:val="en-GB"/>
        </w:rPr>
      </w:pPr>
    </w:p>
    <w:p w14:paraId="1EB575DE" w14:textId="77777777" w:rsidR="009F4D6B" w:rsidRPr="009F4D6B" w:rsidRDefault="009F4D6B" w:rsidP="009F4D6B">
      <w:pPr>
        <w:rPr>
          <w:rFonts w:ascii="Calibri" w:hAnsi="Calibri" w:cs="Calibri"/>
          <w:lang w:val="en-GB"/>
        </w:rPr>
      </w:pPr>
      <w:r w:rsidRPr="009F4D6B">
        <w:rPr>
          <w:rFonts w:ascii="Calibri" w:hAnsi="Calibri" w:cs="Calibri"/>
          <w:lang w:val="en-GB"/>
        </w:rPr>
        <w:t>Key obligations under TUPE include:</w:t>
      </w:r>
    </w:p>
    <w:p w14:paraId="32779500" w14:textId="77777777" w:rsidR="009F4D6B" w:rsidRPr="009F4D6B" w:rsidRDefault="009F4D6B" w:rsidP="00CF06BB">
      <w:pPr>
        <w:numPr>
          <w:ilvl w:val="0"/>
          <w:numId w:val="10"/>
        </w:numPr>
        <w:rPr>
          <w:rFonts w:ascii="Calibri" w:hAnsi="Calibri" w:cs="Calibri"/>
          <w:lang w:val="en-GB"/>
        </w:rPr>
      </w:pPr>
      <w:r w:rsidRPr="009F4D6B">
        <w:rPr>
          <w:rFonts w:ascii="Calibri" w:hAnsi="Calibri" w:cs="Calibri"/>
          <w:lang w:val="en-GB"/>
        </w:rPr>
        <w:t>Automatic continuity of employment: Transferring employees become part of our workforce without the need to issue new contracts. Their employment is preserved by law.</w:t>
      </w:r>
    </w:p>
    <w:p w14:paraId="309BE230" w14:textId="77777777" w:rsidR="009F4D6B" w:rsidRPr="009F4D6B" w:rsidRDefault="009F4D6B" w:rsidP="00CF06BB">
      <w:pPr>
        <w:numPr>
          <w:ilvl w:val="0"/>
          <w:numId w:val="10"/>
        </w:numPr>
        <w:rPr>
          <w:rFonts w:ascii="Calibri" w:hAnsi="Calibri" w:cs="Calibri"/>
          <w:lang w:val="en-GB"/>
        </w:rPr>
      </w:pPr>
      <w:r w:rsidRPr="009F4D6B">
        <w:rPr>
          <w:rFonts w:ascii="Calibri" w:hAnsi="Calibri" w:cs="Calibri"/>
          <w:lang w:val="en-GB"/>
        </w:rPr>
        <w:t>Protection from dismissal: Employees must not be dismissed simply because of the transfer. Any dismissal must be based on an economic, technical, or organisational (ETO) reason involving workforce changes — for example, a restructure. Even in such cases, standard legal procedures around fairness and consultation still apply (Daniels, 2022).</w:t>
      </w:r>
    </w:p>
    <w:p w14:paraId="67412653" w14:textId="77777777" w:rsidR="009F4D6B" w:rsidRDefault="009F4D6B" w:rsidP="00CF06BB">
      <w:pPr>
        <w:numPr>
          <w:ilvl w:val="0"/>
          <w:numId w:val="10"/>
        </w:numPr>
        <w:rPr>
          <w:rFonts w:ascii="Calibri" w:hAnsi="Calibri" w:cs="Calibri"/>
          <w:lang w:val="en-GB"/>
        </w:rPr>
      </w:pPr>
      <w:r w:rsidRPr="009F4D6B">
        <w:rPr>
          <w:rFonts w:ascii="Calibri" w:hAnsi="Calibri" w:cs="Calibri"/>
          <w:lang w:val="en-GB"/>
        </w:rPr>
        <w:t>Consultation and information sharing: TUPE Regulation 13 requires employers to consult with recognised staff representatives — such as trade unions — well in advance. The consultation should explain the reason for the transfer, when it will occur, what it involves legally, and whether any changes are anticipated (CIPD, 2023). In our NHS setting, meaningful and early engagement with unions is especially important.</w:t>
      </w:r>
    </w:p>
    <w:p w14:paraId="7AA3C9AC" w14:textId="77777777" w:rsidR="009F4D6B" w:rsidRPr="009F4D6B" w:rsidRDefault="009F4D6B" w:rsidP="009F4D6B">
      <w:pPr>
        <w:ind w:left="720"/>
        <w:rPr>
          <w:rFonts w:ascii="Calibri" w:hAnsi="Calibri" w:cs="Calibri"/>
          <w:lang w:val="en-GB"/>
        </w:rPr>
      </w:pPr>
    </w:p>
    <w:p w14:paraId="496824A7" w14:textId="77777777" w:rsidR="009F4D6B" w:rsidRDefault="009F4D6B" w:rsidP="009F4D6B">
      <w:pPr>
        <w:rPr>
          <w:rFonts w:ascii="Calibri" w:hAnsi="Calibri" w:cs="Calibri"/>
          <w:lang w:val="en-GB"/>
        </w:rPr>
      </w:pPr>
      <w:r w:rsidRPr="009F4D6B">
        <w:rPr>
          <w:rFonts w:ascii="Calibri" w:hAnsi="Calibri" w:cs="Calibri"/>
          <w:lang w:val="en-GB"/>
        </w:rPr>
        <w:t>Although the UK has now left the EU, TUPE continues to be part of retained employment law. While the Retained EU Law (Revocation and Reform) Act 2023 gives UK courts more freedom to depart from historic ECJ rulings, the core TUPE protections remain in place. Some adjustments have already been made — including changes to consultation requirements and definitions around what counts as a transfer “measure” or “assignment” (People Management, 2024).</w:t>
      </w:r>
    </w:p>
    <w:p w14:paraId="64A227A6" w14:textId="77777777" w:rsidR="009F4D6B" w:rsidRPr="009F4D6B" w:rsidRDefault="009F4D6B" w:rsidP="009F4D6B">
      <w:pPr>
        <w:rPr>
          <w:rFonts w:ascii="Calibri" w:hAnsi="Calibri" w:cs="Calibri"/>
          <w:lang w:val="en-GB"/>
        </w:rPr>
      </w:pPr>
    </w:p>
    <w:p w14:paraId="3B530717" w14:textId="77777777" w:rsidR="009F4D6B" w:rsidRDefault="009F4D6B" w:rsidP="009F4D6B">
      <w:pPr>
        <w:rPr>
          <w:rFonts w:ascii="Calibri" w:hAnsi="Calibri" w:cs="Calibri"/>
          <w:lang w:val="en-GB"/>
        </w:rPr>
      </w:pPr>
      <w:r w:rsidRPr="009F4D6B">
        <w:rPr>
          <w:rFonts w:ascii="Calibri" w:hAnsi="Calibri" w:cs="Calibri"/>
          <w:lang w:val="en-GB"/>
        </w:rPr>
        <w:t>CIPD guidance highlights the importance of clear communication, early planning, and identifying which employees will be affected. It also advises careful cultural integration to minimise disruption and support staff wellbeing through what can be an unsettling time.</w:t>
      </w:r>
    </w:p>
    <w:p w14:paraId="669AF5CC" w14:textId="77777777" w:rsidR="009F4D6B" w:rsidRPr="009F4D6B" w:rsidRDefault="009F4D6B" w:rsidP="009F4D6B">
      <w:pPr>
        <w:rPr>
          <w:rFonts w:ascii="Calibri" w:hAnsi="Calibri" w:cs="Calibri"/>
          <w:lang w:val="en-GB"/>
        </w:rPr>
      </w:pPr>
    </w:p>
    <w:p w14:paraId="7B43D0D3" w14:textId="77777777" w:rsidR="009F4D6B" w:rsidRDefault="009F4D6B" w:rsidP="009F4D6B">
      <w:pPr>
        <w:rPr>
          <w:rFonts w:ascii="Calibri" w:hAnsi="Calibri" w:cs="Calibri"/>
          <w:lang w:val="en-GB"/>
        </w:rPr>
      </w:pPr>
      <w:r w:rsidRPr="009F4D6B">
        <w:rPr>
          <w:rFonts w:ascii="Calibri" w:hAnsi="Calibri" w:cs="Calibri"/>
          <w:lang w:val="en-GB"/>
        </w:rPr>
        <w:t>To conclude, TUPE exists to safeguard employee rights during business transfers. If this merger proceeds, we must ensure a legally sound and employee-centred approach — one that balances compliance with sensitivity and clarity.</w:t>
      </w:r>
    </w:p>
    <w:p w14:paraId="31F38372" w14:textId="77777777" w:rsidR="009F4D6B" w:rsidRPr="009F4D6B" w:rsidRDefault="009F4D6B" w:rsidP="009F4D6B">
      <w:pPr>
        <w:rPr>
          <w:rFonts w:ascii="Calibri" w:hAnsi="Calibri" w:cs="Calibri"/>
          <w:lang w:val="en-GB"/>
        </w:rPr>
      </w:pPr>
    </w:p>
    <w:p w14:paraId="73AF15D3" w14:textId="77777777" w:rsidR="009F4D6B" w:rsidRDefault="009F4D6B" w:rsidP="009F4D6B">
      <w:pPr>
        <w:rPr>
          <w:rFonts w:ascii="Calibri" w:hAnsi="Calibri" w:cs="Calibri"/>
          <w:lang w:val="en-GB"/>
        </w:rPr>
      </w:pPr>
      <w:r w:rsidRPr="009F4D6B">
        <w:rPr>
          <w:rFonts w:ascii="Calibri" w:hAnsi="Calibri" w:cs="Calibri"/>
          <w:lang w:val="en-GB"/>
        </w:rPr>
        <w:t>Please feel free to reach out if you’d like help with staff mapping, drafting consultation materials, or developing the transition plan.</w:t>
      </w:r>
    </w:p>
    <w:p w14:paraId="1FC166AC" w14:textId="77777777" w:rsidR="009F4D6B" w:rsidRPr="009F4D6B" w:rsidRDefault="009F4D6B" w:rsidP="009F4D6B">
      <w:pPr>
        <w:rPr>
          <w:rFonts w:ascii="Calibri" w:hAnsi="Calibri" w:cs="Calibri"/>
          <w:lang w:val="en-GB"/>
        </w:rPr>
      </w:pPr>
    </w:p>
    <w:p w14:paraId="1EE54481" w14:textId="77777777" w:rsidR="009F4D6B" w:rsidRPr="009F4D6B" w:rsidRDefault="009F4D6B" w:rsidP="009F4D6B">
      <w:pPr>
        <w:rPr>
          <w:rFonts w:ascii="Calibri" w:hAnsi="Calibri" w:cs="Calibri"/>
          <w:lang w:val="en-GB"/>
        </w:rPr>
      </w:pPr>
      <w:r w:rsidRPr="009F4D6B">
        <w:rPr>
          <w:rFonts w:ascii="Calibri" w:hAnsi="Calibri" w:cs="Calibri"/>
          <w:lang w:val="en-GB"/>
        </w:rPr>
        <w:t>Best regards,</w:t>
      </w:r>
      <w:r w:rsidRPr="009F4D6B">
        <w:rPr>
          <w:rFonts w:ascii="Calibri" w:hAnsi="Calibri" w:cs="Calibri"/>
          <w:lang w:val="en-GB"/>
        </w:rPr>
        <w:br/>
        <w:t>Melanie</w:t>
      </w:r>
    </w:p>
    <w:p w14:paraId="00A45105" w14:textId="77777777" w:rsidR="008853D5" w:rsidRDefault="008853D5" w:rsidP="00212DA7">
      <w:pPr>
        <w:rPr>
          <w:rFonts w:ascii="Calibri" w:hAnsi="Calibri" w:cs="Calibri"/>
        </w:rPr>
      </w:pPr>
    </w:p>
    <w:p w14:paraId="34645089" w14:textId="77777777" w:rsidR="005A58B9" w:rsidRDefault="005A58B9" w:rsidP="00212DA7">
      <w:pPr>
        <w:rPr>
          <w:rFonts w:ascii="Calibri" w:hAnsi="Calibri" w:cs="Calibri"/>
        </w:rPr>
      </w:pPr>
    </w:p>
    <w:p w14:paraId="4D26D7B7" w14:textId="77E2909D" w:rsidR="005A58B9" w:rsidRDefault="005A58B9" w:rsidP="00212DA7">
      <w:pPr>
        <w:rPr>
          <w:rFonts w:ascii="Calibri" w:hAnsi="Calibri" w:cs="Calibri"/>
        </w:rPr>
      </w:pPr>
      <w:r>
        <w:rPr>
          <w:rFonts w:ascii="Calibri" w:hAnsi="Calibri" w:cs="Calibri"/>
        </w:rPr>
        <w:t>AC 4.1</w:t>
      </w:r>
    </w:p>
    <w:p w14:paraId="1B06C0E6" w14:textId="77777777" w:rsidR="007F0305" w:rsidRDefault="007F0305" w:rsidP="00212DA7">
      <w:pPr>
        <w:rPr>
          <w:rFonts w:ascii="Calibri" w:hAnsi="Calibri" w:cs="Calibri"/>
        </w:rPr>
      </w:pPr>
    </w:p>
    <w:p w14:paraId="14E111FD" w14:textId="77777777" w:rsidR="009F4D6B" w:rsidRPr="009F4D6B" w:rsidRDefault="009F4D6B" w:rsidP="009F4D6B">
      <w:pPr>
        <w:rPr>
          <w:rFonts w:ascii="Calibri" w:hAnsi="Calibri" w:cs="Calibri"/>
          <w:lang w:val="en-GB"/>
        </w:rPr>
      </w:pPr>
      <w:r w:rsidRPr="009F4D6B">
        <w:rPr>
          <w:rFonts w:ascii="Calibri" w:hAnsi="Calibri" w:cs="Calibri"/>
          <w:lang w:val="en-GB"/>
        </w:rPr>
        <w:t>Subject: Calculating Holiday Pay for Bank Staff</w:t>
      </w:r>
    </w:p>
    <w:p w14:paraId="197BCF55" w14:textId="77777777" w:rsidR="009F4D6B" w:rsidRDefault="009F4D6B" w:rsidP="009F4D6B">
      <w:pPr>
        <w:rPr>
          <w:rFonts w:ascii="Calibri" w:hAnsi="Calibri" w:cs="Calibri"/>
          <w:lang w:val="en-GB"/>
        </w:rPr>
      </w:pPr>
      <w:r w:rsidRPr="009F4D6B">
        <w:rPr>
          <w:rFonts w:ascii="Calibri" w:hAnsi="Calibri" w:cs="Calibri"/>
          <w:lang w:val="en-GB"/>
        </w:rPr>
        <w:t>Hi Lisa,</w:t>
      </w:r>
    </w:p>
    <w:p w14:paraId="1F152382" w14:textId="77777777" w:rsidR="009F4D6B" w:rsidRPr="009F4D6B" w:rsidRDefault="009F4D6B" w:rsidP="009F4D6B">
      <w:pPr>
        <w:rPr>
          <w:rFonts w:ascii="Calibri" w:hAnsi="Calibri" w:cs="Calibri"/>
          <w:lang w:val="en-GB"/>
        </w:rPr>
      </w:pPr>
    </w:p>
    <w:p w14:paraId="3DCDC11A" w14:textId="77777777" w:rsidR="009F4D6B" w:rsidRDefault="009F4D6B" w:rsidP="009F4D6B">
      <w:pPr>
        <w:rPr>
          <w:rFonts w:ascii="Calibri" w:hAnsi="Calibri" w:cs="Calibri"/>
          <w:lang w:val="en-GB"/>
        </w:rPr>
      </w:pPr>
      <w:r w:rsidRPr="009F4D6B">
        <w:rPr>
          <w:rFonts w:ascii="Calibri" w:hAnsi="Calibri" w:cs="Calibri"/>
          <w:lang w:val="en-GB"/>
        </w:rPr>
        <w:t>Thank you for raising your query regarding holiday pay entitlements for our nurse bank staff. This topic has become increasingly significant due to evolving legal guidance and recent updates affecting casual and irregular-hour workers.</w:t>
      </w:r>
    </w:p>
    <w:p w14:paraId="606EAA45" w14:textId="77777777" w:rsidR="009F4D6B" w:rsidRPr="009F4D6B" w:rsidRDefault="009F4D6B" w:rsidP="009F4D6B">
      <w:pPr>
        <w:rPr>
          <w:rFonts w:ascii="Calibri" w:hAnsi="Calibri" w:cs="Calibri"/>
          <w:lang w:val="en-GB"/>
        </w:rPr>
      </w:pPr>
    </w:p>
    <w:p w14:paraId="1975D864" w14:textId="77777777" w:rsidR="009F4D6B" w:rsidRDefault="009F4D6B" w:rsidP="009F4D6B">
      <w:pPr>
        <w:rPr>
          <w:rFonts w:ascii="Calibri" w:hAnsi="Calibri" w:cs="Calibri"/>
          <w:lang w:val="en-GB"/>
        </w:rPr>
      </w:pPr>
      <w:r w:rsidRPr="009F4D6B">
        <w:rPr>
          <w:rFonts w:ascii="Calibri" w:hAnsi="Calibri" w:cs="Calibri"/>
          <w:lang w:val="en-GB"/>
        </w:rPr>
        <w:t>All individuals classed as workers are legally entitled to 5.6 weeks of paid holiday annually, regardless of their employment contract type, under the Working Time Regulations 1998. This includes bank staff, whose holiday must be calculated based on hours actually worked. Legal reforms and recent case law developments now require holiday pay to be calculated using an average over the most recent 52 weeks in which work was performed (Daniels, 2022, Ch. 10; CIPD, 2023).</w:t>
      </w:r>
    </w:p>
    <w:p w14:paraId="27C1F62F" w14:textId="77777777" w:rsidR="009F4D6B" w:rsidRPr="009F4D6B" w:rsidRDefault="009F4D6B" w:rsidP="009F4D6B">
      <w:pPr>
        <w:rPr>
          <w:rFonts w:ascii="Calibri" w:hAnsi="Calibri" w:cs="Calibri"/>
          <w:lang w:val="en-GB"/>
        </w:rPr>
      </w:pPr>
    </w:p>
    <w:p w14:paraId="58FB34EA" w14:textId="77777777" w:rsidR="009F4D6B" w:rsidRDefault="009F4D6B" w:rsidP="009F4D6B">
      <w:pPr>
        <w:rPr>
          <w:rFonts w:ascii="Calibri" w:hAnsi="Calibri" w:cs="Calibri"/>
          <w:lang w:val="en-GB"/>
        </w:rPr>
      </w:pPr>
      <w:r w:rsidRPr="009F4D6B">
        <w:rPr>
          <w:rFonts w:ascii="Calibri" w:hAnsi="Calibri" w:cs="Calibri"/>
          <w:lang w:val="en-GB"/>
        </w:rPr>
        <w:t>Historically, rolled-up holiday pay—where holiday pay is folded into the regular hourly rate—was discouraged. However, as of January 2024, updates under the Retained EU Law (Revocation and Reform) Act 2023 have provided clearer guidance. This now permits the use of rolled-up holiday pay for workers on irregular or part-year hours, as long as the holiday pay is paid separately from normal pay and clearly labelled on payslips (CIPD, 2024; HR Magazine, 2024). This change reflects a shift in UK employment law following Brexit, removing former uncertainty tied to EU court rulings (Daniels, 2022, Ch. 8).</w:t>
      </w:r>
    </w:p>
    <w:p w14:paraId="55166BA0" w14:textId="77777777" w:rsidR="009F4D6B" w:rsidRPr="009F4D6B" w:rsidRDefault="009F4D6B" w:rsidP="009F4D6B">
      <w:pPr>
        <w:rPr>
          <w:rFonts w:ascii="Calibri" w:hAnsi="Calibri" w:cs="Calibri"/>
          <w:lang w:val="en-GB"/>
        </w:rPr>
      </w:pPr>
    </w:p>
    <w:p w14:paraId="3829E4E0" w14:textId="77777777" w:rsidR="009F4D6B" w:rsidRDefault="009F4D6B" w:rsidP="009F4D6B">
      <w:pPr>
        <w:rPr>
          <w:rFonts w:ascii="Calibri" w:hAnsi="Calibri" w:cs="Calibri"/>
          <w:lang w:val="en-GB"/>
        </w:rPr>
      </w:pPr>
      <w:r w:rsidRPr="009F4D6B">
        <w:rPr>
          <w:rFonts w:ascii="Calibri" w:hAnsi="Calibri" w:cs="Calibri"/>
          <w:lang w:val="en-GB"/>
        </w:rPr>
        <w:t>For our bank staff who regularly cover shifts, the typical calculation is to apply a holiday accrual rate of 12.07% of total earnings. This percentage reflects their statutory entitlement proportionately. Where fewer than 52 paid weeks are available, the reference period should be adjusted appropriately. Transparency remains essential—staff should clearly see the breakdown of their holiday entitlement, particularly if the rolled-up method is being used.</w:t>
      </w:r>
    </w:p>
    <w:p w14:paraId="1F63A092" w14:textId="77777777" w:rsidR="009F4D6B" w:rsidRPr="009F4D6B" w:rsidRDefault="009F4D6B" w:rsidP="009F4D6B">
      <w:pPr>
        <w:rPr>
          <w:rFonts w:ascii="Calibri" w:hAnsi="Calibri" w:cs="Calibri"/>
          <w:lang w:val="en-GB"/>
        </w:rPr>
      </w:pPr>
    </w:p>
    <w:p w14:paraId="3A3E467C" w14:textId="77777777" w:rsidR="009F4D6B" w:rsidRDefault="009F4D6B" w:rsidP="009F4D6B">
      <w:pPr>
        <w:rPr>
          <w:rFonts w:ascii="Calibri" w:hAnsi="Calibri" w:cs="Calibri"/>
          <w:lang w:val="en-GB"/>
        </w:rPr>
      </w:pPr>
      <w:r w:rsidRPr="009F4D6B">
        <w:rPr>
          <w:rFonts w:ascii="Calibri" w:hAnsi="Calibri" w:cs="Calibri"/>
          <w:lang w:val="en-GB"/>
        </w:rPr>
        <w:t>Incorrect calculation or non-payment of holiday pay could breach both statutory requirements and employment contracts, exposing the organisation to possible tribunal claims. Armstrong and Taylor (2023) stress the importance of implementing reliable systems for tracking and managing holiday pay in a way that supports compliance and employee trust.</w:t>
      </w:r>
    </w:p>
    <w:p w14:paraId="2ABEE09A" w14:textId="77777777" w:rsidR="009F4D6B" w:rsidRPr="009F4D6B" w:rsidRDefault="009F4D6B" w:rsidP="009F4D6B">
      <w:pPr>
        <w:rPr>
          <w:rFonts w:ascii="Calibri" w:hAnsi="Calibri" w:cs="Calibri"/>
          <w:lang w:val="en-GB"/>
        </w:rPr>
      </w:pPr>
    </w:p>
    <w:p w14:paraId="0222C61D" w14:textId="77777777" w:rsidR="009F4D6B" w:rsidRDefault="009F4D6B" w:rsidP="009F4D6B">
      <w:pPr>
        <w:rPr>
          <w:rFonts w:ascii="Calibri" w:hAnsi="Calibri" w:cs="Calibri"/>
          <w:lang w:val="en-GB"/>
        </w:rPr>
      </w:pPr>
      <w:r w:rsidRPr="009F4D6B">
        <w:rPr>
          <w:rFonts w:ascii="Calibri" w:hAnsi="Calibri" w:cs="Calibri"/>
          <w:lang w:val="en-GB"/>
        </w:rPr>
        <w:t>ACAS (2023) further advises that even individuals on zero-hour or casual arrangements may still be classified as ‘workers’ under employment law, entitling them to the full range of statutory rights, including paid leave. Legal status is determined more by the nature of the working relationship than by contract terminology.</w:t>
      </w:r>
    </w:p>
    <w:p w14:paraId="6487AD83" w14:textId="77777777" w:rsidR="009F4D6B" w:rsidRPr="009F4D6B" w:rsidRDefault="009F4D6B" w:rsidP="009F4D6B">
      <w:pPr>
        <w:rPr>
          <w:rFonts w:ascii="Calibri" w:hAnsi="Calibri" w:cs="Calibri"/>
          <w:lang w:val="en-GB"/>
        </w:rPr>
      </w:pPr>
    </w:p>
    <w:p w14:paraId="0B16E975" w14:textId="77777777" w:rsidR="009F4D6B" w:rsidRDefault="009F4D6B" w:rsidP="009F4D6B">
      <w:pPr>
        <w:rPr>
          <w:rFonts w:ascii="Calibri" w:hAnsi="Calibri" w:cs="Calibri"/>
          <w:lang w:val="en-GB"/>
        </w:rPr>
      </w:pPr>
      <w:r w:rsidRPr="009F4D6B">
        <w:rPr>
          <w:rFonts w:ascii="Calibri" w:hAnsi="Calibri" w:cs="Calibri"/>
          <w:lang w:val="en-GB"/>
        </w:rPr>
        <w:t>It may be helpful to carry out a review of our current contracts and payroll procedures to ensure that holiday pay is calculated fairly and communicated clearly. I’d be happy to assist by looking over any contracts or payslips to ensure they meet the latest legal standards.</w:t>
      </w:r>
    </w:p>
    <w:p w14:paraId="78B5E03A" w14:textId="77777777" w:rsidR="009F4D6B" w:rsidRPr="009F4D6B" w:rsidRDefault="009F4D6B" w:rsidP="009F4D6B">
      <w:pPr>
        <w:rPr>
          <w:rFonts w:ascii="Calibri" w:hAnsi="Calibri" w:cs="Calibri"/>
          <w:lang w:val="en-GB"/>
        </w:rPr>
      </w:pPr>
    </w:p>
    <w:p w14:paraId="0906D359" w14:textId="77777777" w:rsidR="009F4D6B" w:rsidRPr="009F4D6B" w:rsidRDefault="009F4D6B" w:rsidP="009F4D6B">
      <w:pPr>
        <w:rPr>
          <w:rFonts w:ascii="Calibri" w:hAnsi="Calibri" w:cs="Calibri"/>
          <w:lang w:val="en-GB"/>
        </w:rPr>
      </w:pPr>
      <w:r w:rsidRPr="009F4D6B">
        <w:rPr>
          <w:rFonts w:ascii="Calibri" w:hAnsi="Calibri" w:cs="Calibri"/>
          <w:lang w:val="en-GB"/>
        </w:rPr>
        <w:t>Best regards,</w:t>
      </w:r>
      <w:r w:rsidRPr="009F4D6B">
        <w:rPr>
          <w:rFonts w:ascii="Calibri" w:hAnsi="Calibri" w:cs="Calibri"/>
          <w:lang w:val="en-GB"/>
        </w:rPr>
        <w:br/>
        <w:t>Melanie</w:t>
      </w:r>
    </w:p>
    <w:p w14:paraId="606E4AD7" w14:textId="77777777" w:rsidR="00E3798F" w:rsidRDefault="00E3798F" w:rsidP="00E3798F">
      <w:pPr>
        <w:rPr>
          <w:rFonts w:ascii="Calibri" w:hAnsi="Calibri" w:cs="Calibri"/>
          <w:lang w:val="en-GB"/>
        </w:rPr>
      </w:pPr>
    </w:p>
    <w:p w14:paraId="52D27765" w14:textId="77777777" w:rsidR="006729B6" w:rsidRDefault="006729B6" w:rsidP="00E3798F">
      <w:pPr>
        <w:rPr>
          <w:rFonts w:ascii="Calibri" w:hAnsi="Calibri" w:cs="Calibri"/>
          <w:lang w:val="en-GB"/>
        </w:rPr>
      </w:pPr>
    </w:p>
    <w:p w14:paraId="57267F47" w14:textId="77777777" w:rsidR="009F4D6B" w:rsidRDefault="009F4D6B" w:rsidP="00E3798F">
      <w:pPr>
        <w:rPr>
          <w:rFonts w:ascii="Calibri" w:hAnsi="Calibri" w:cs="Calibri"/>
          <w:lang w:val="en-GB"/>
        </w:rPr>
      </w:pPr>
    </w:p>
    <w:p w14:paraId="0D8806DE" w14:textId="77777777" w:rsidR="009F4D6B" w:rsidRDefault="009F4D6B" w:rsidP="00E3798F">
      <w:pPr>
        <w:rPr>
          <w:rFonts w:ascii="Calibri" w:hAnsi="Calibri" w:cs="Calibri"/>
          <w:lang w:val="en-GB"/>
        </w:rPr>
      </w:pPr>
    </w:p>
    <w:p w14:paraId="0932C455" w14:textId="5905E192" w:rsidR="00E3798F" w:rsidRPr="00F4011C" w:rsidRDefault="00E3798F" w:rsidP="00E3798F">
      <w:pPr>
        <w:rPr>
          <w:rFonts w:ascii="Calibri" w:hAnsi="Calibri" w:cs="Calibri"/>
          <w:lang w:val="en-GB"/>
        </w:rPr>
      </w:pPr>
      <w:r w:rsidRPr="00F4011C">
        <w:rPr>
          <w:rFonts w:ascii="Calibri" w:hAnsi="Calibri" w:cs="Calibri"/>
          <w:lang w:val="en-GB"/>
        </w:rPr>
        <w:lastRenderedPageBreak/>
        <w:t>AC 4.2</w:t>
      </w:r>
    </w:p>
    <w:p w14:paraId="7DA02A6D" w14:textId="77777777" w:rsidR="00481A2E" w:rsidRPr="00F4011C" w:rsidRDefault="00481A2E" w:rsidP="00E3798F">
      <w:pPr>
        <w:rPr>
          <w:rFonts w:ascii="Calibri" w:hAnsi="Calibri" w:cs="Calibri"/>
          <w:lang w:val="en-GB"/>
        </w:rPr>
      </w:pPr>
    </w:p>
    <w:p w14:paraId="1E95DFE0" w14:textId="77777777" w:rsidR="00CF06BB" w:rsidRPr="00CF06BB" w:rsidRDefault="00CF06BB" w:rsidP="00CF06BB">
      <w:pPr>
        <w:rPr>
          <w:rFonts w:ascii="Calibri" w:hAnsi="Calibri" w:cs="Calibri"/>
          <w:lang w:val="en-GB"/>
        </w:rPr>
      </w:pPr>
      <w:r w:rsidRPr="00CF06BB">
        <w:rPr>
          <w:rFonts w:ascii="Calibri" w:hAnsi="Calibri" w:cs="Calibri"/>
          <w:lang w:val="en-GB"/>
        </w:rPr>
        <w:t>Subject: Exploring Maternity and Shared Parental Leave Options</w:t>
      </w:r>
    </w:p>
    <w:p w14:paraId="76BA618C" w14:textId="77777777" w:rsidR="00CF06BB" w:rsidRDefault="00CF06BB" w:rsidP="00CF06BB">
      <w:pPr>
        <w:rPr>
          <w:rFonts w:ascii="Calibri" w:hAnsi="Calibri" w:cs="Calibri"/>
          <w:lang w:val="en-GB"/>
        </w:rPr>
      </w:pPr>
      <w:r w:rsidRPr="00CF06BB">
        <w:rPr>
          <w:rFonts w:ascii="Calibri" w:hAnsi="Calibri" w:cs="Calibri"/>
          <w:lang w:val="en-GB"/>
        </w:rPr>
        <w:t>Hi Elena,</w:t>
      </w:r>
    </w:p>
    <w:p w14:paraId="11C4F1CA" w14:textId="77777777" w:rsidR="00CF06BB" w:rsidRPr="00CF06BB" w:rsidRDefault="00CF06BB" w:rsidP="00CF06BB">
      <w:pPr>
        <w:rPr>
          <w:rFonts w:ascii="Calibri" w:hAnsi="Calibri" w:cs="Calibri"/>
          <w:lang w:val="en-GB"/>
        </w:rPr>
      </w:pPr>
    </w:p>
    <w:p w14:paraId="673D3B82" w14:textId="77777777" w:rsidR="00CF06BB" w:rsidRDefault="00CF06BB" w:rsidP="00CF06BB">
      <w:pPr>
        <w:rPr>
          <w:rFonts w:ascii="Calibri" w:hAnsi="Calibri" w:cs="Calibri"/>
          <w:lang w:val="en-GB"/>
        </w:rPr>
      </w:pPr>
      <w:r w:rsidRPr="00CF06BB">
        <w:rPr>
          <w:rFonts w:ascii="Calibri" w:hAnsi="Calibri" w:cs="Calibri"/>
          <w:lang w:val="en-GB"/>
        </w:rPr>
        <w:t>Firstly, congratulations on your pregnancy — such exciting news! I'm really glad you reached out, and it makes perfect sense to explore the different types of leave available so you and your partner can plan ahead with confidence.</w:t>
      </w:r>
    </w:p>
    <w:p w14:paraId="02C37F20" w14:textId="77777777" w:rsidR="00CF06BB" w:rsidRPr="00CF06BB" w:rsidRDefault="00CF06BB" w:rsidP="00CF06BB">
      <w:pPr>
        <w:rPr>
          <w:rFonts w:ascii="Calibri" w:hAnsi="Calibri" w:cs="Calibri"/>
          <w:lang w:val="en-GB"/>
        </w:rPr>
      </w:pPr>
    </w:p>
    <w:p w14:paraId="3320C99D" w14:textId="77777777" w:rsidR="00CF06BB" w:rsidRDefault="00CF06BB" w:rsidP="00CF06BB">
      <w:pPr>
        <w:rPr>
          <w:rFonts w:ascii="Calibri" w:hAnsi="Calibri" w:cs="Calibri"/>
          <w:lang w:val="en-GB"/>
        </w:rPr>
      </w:pPr>
      <w:r w:rsidRPr="00CF06BB">
        <w:rPr>
          <w:rFonts w:ascii="Calibri" w:hAnsi="Calibri" w:cs="Calibri"/>
          <w:lang w:val="en-GB"/>
        </w:rPr>
        <w:t>In terms of statutory rights, maternity leave gives you the option to take up to 52 weeks away from work. This is split into 26 weeks of Ordinary Maternity Leave followed by 26 weeks of Additional Maternity Leave (Daniels, 2022, Ch. 5.5). While taking the full entitlement is optional, you are required to take a minimum of two weeks' leave following the birth (or four weeks if employed in a factory setting). If you qualify, you may also receive Statutory Maternity Pay (SMP) for up to 39 weeks, depending on your length of service and average earnings.</w:t>
      </w:r>
    </w:p>
    <w:p w14:paraId="4914C1CD" w14:textId="77777777" w:rsidR="00CF06BB" w:rsidRPr="00CF06BB" w:rsidRDefault="00CF06BB" w:rsidP="00CF06BB">
      <w:pPr>
        <w:rPr>
          <w:rFonts w:ascii="Calibri" w:hAnsi="Calibri" w:cs="Calibri"/>
          <w:lang w:val="en-GB"/>
        </w:rPr>
      </w:pPr>
    </w:p>
    <w:p w14:paraId="0BE34848" w14:textId="77777777" w:rsidR="00CF06BB" w:rsidRDefault="00CF06BB" w:rsidP="00CF06BB">
      <w:pPr>
        <w:rPr>
          <w:rFonts w:ascii="Calibri" w:hAnsi="Calibri" w:cs="Calibri"/>
          <w:lang w:val="en-GB"/>
        </w:rPr>
      </w:pPr>
      <w:r w:rsidRPr="00CF06BB">
        <w:rPr>
          <w:rFonts w:ascii="Calibri" w:hAnsi="Calibri" w:cs="Calibri"/>
          <w:lang w:val="en-GB"/>
        </w:rPr>
        <w:t>Shared Parental Leave (SPL), on the other hand, offers an alternative that might better suit parents looking for flexibility. Once the mandatory maternity leave period has passed, you can end your maternity leave early and choose to split the remaining leave with your partner. SPL allows up to 50 weeks of leave and 37 weeks of pay to be shared, either simultaneously or in separate blocks (CIPD, 2023). Both parents can take leave at the same time or alternate based on their needs and circumstances.</w:t>
      </w:r>
    </w:p>
    <w:p w14:paraId="26F0C440" w14:textId="77777777" w:rsidR="00CF06BB" w:rsidRPr="00CF06BB" w:rsidRDefault="00CF06BB" w:rsidP="00CF06BB">
      <w:pPr>
        <w:rPr>
          <w:rFonts w:ascii="Calibri" w:hAnsi="Calibri" w:cs="Calibri"/>
          <w:lang w:val="en-GB"/>
        </w:rPr>
      </w:pPr>
    </w:p>
    <w:p w14:paraId="2958A722" w14:textId="77777777" w:rsidR="00CF06BB" w:rsidRPr="00CF06BB" w:rsidRDefault="00CF06BB" w:rsidP="00CF06BB">
      <w:pPr>
        <w:rPr>
          <w:rFonts w:ascii="Calibri" w:hAnsi="Calibri" w:cs="Calibri"/>
          <w:lang w:val="en-GB"/>
        </w:rPr>
      </w:pPr>
      <w:r w:rsidRPr="00CF06BB">
        <w:rPr>
          <w:rFonts w:ascii="Calibri" w:hAnsi="Calibri" w:cs="Calibri"/>
          <w:lang w:val="en-GB"/>
        </w:rPr>
        <w:t>Here are some of the core distinctions to consider:</w:t>
      </w:r>
    </w:p>
    <w:p w14:paraId="491086F0" w14:textId="77777777" w:rsidR="00CF06BB" w:rsidRPr="00CF06BB" w:rsidRDefault="00CF06BB" w:rsidP="00CF06BB">
      <w:pPr>
        <w:numPr>
          <w:ilvl w:val="0"/>
          <w:numId w:val="11"/>
        </w:numPr>
        <w:rPr>
          <w:rFonts w:ascii="Calibri" w:hAnsi="Calibri" w:cs="Calibri"/>
          <w:lang w:val="en-GB"/>
        </w:rPr>
      </w:pPr>
      <w:r w:rsidRPr="00CF06BB">
        <w:rPr>
          <w:rFonts w:ascii="Calibri" w:hAnsi="Calibri" w:cs="Calibri"/>
          <w:lang w:val="en-GB"/>
        </w:rPr>
        <w:t>Maternity leave is exclusively for the birthing parent and is generally simpler to access, with more predictable pay arrangements.</w:t>
      </w:r>
    </w:p>
    <w:p w14:paraId="1A1578E3" w14:textId="77777777" w:rsidR="00CF06BB" w:rsidRPr="00CF06BB" w:rsidRDefault="00CF06BB" w:rsidP="00CF06BB">
      <w:pPr>
        <w:numPr>
          <w:ilvl w:val="0"/>
          <w:numId w:val="11"/>
        </w:numPr>
        <w:rPr>
          <w:rFonts w:ascii="Calibri" w:hAnsi="Calibri" w:cs="Calibri"/>
          <w:lang w:val="en-GB"/>
        </w:rPr>
      </w:pPr>
      <w:r w:rsidRPr="00CF06BB">
        <w:rPr>
          <w:rFonts w:ascii="Calibri" w:hAnsi="Calibri" w:cs="Calibri"/>
          <w:lang w:val="en-GB"/>
        </w:rPr>
        <w:t>SPL allows both parents to be more involved but comes with eligibility requirements and requires formal notices to both employers (Maternity Action, 2023).</w:t>
      </w:r>
    </w:p>
    <w:p w14:paraId="44CB4BD2" w14:textId="77777777" w:rsidR="00CF06BB" w:rsidRDefault="00CF06BB" w:rsidP="00CF06BB">
      <w:pPr>
        <w:numPr>
          <w:ilvl w:val="0"/>
          <w:numId w:val="11"/>
        </w:numPr>
        <w:rPr>
          <w:rFonts w:ascii="Calibri" w:hAnsi="Calibri" w:cs="Calibri"/>
          <w:lang w:val="en-GB"/>
        </w:rPr>
      </w:pPr>
      <w:r w:rsidRPr="00CF06BB">
        <w:rPr>
          <w:rFonts w:ascii="Calibri" w:hAnsi="Calibri" w:cs="Calibri"/>
          <w:lang w:val="en-GB"/>
        </w:rPr>
        <w:t>SPL provides flexibility in how the leave is structured but typically involves more planning and coordination.</w:t>
      </w:r>
    </w:p>
    <w:p w14:paraId="53D59664" w14:textId="77777777" w:rsidR="00CF06BB" w:rsidRPr="00CF06BB" w:rsidRDefault="00CF06BB" w:rsidP="00CF06BB">
      <w:pPr>
        <w:ind w:left="720"/>
        <w:rPr>
          <w:rFonts w:ascii="Calibri" w:hAnsi="Calibri" w:cs="Calibri"/>
          <w:lang w:val="en-GB"/>
        </w:rPr>
      </w:pPr>
    </w:p>
    <w:p w14:paraId="46288956" w14:textId="77777777" w:rsidR="00CF06BB" w:rsidRPr="00CF06BB" w:rsidRDefault="00CF06BB" w:rsidP="00CF06BB">
      <w:pPr>
        <w:rPr>
          <w:rFonts w:ascii="Calibri" w:hAnsi="Calibri" w:cs="Calibri"/>
          <w:lang w:val="en-GB"/>
        </w:rPr>
      </w:pPr>
      <w:r w:rsidRPr="00CF06BB">
        <w:rPr>
          <w:rFonts w:ascii="Calibri" w:hAnsi="Calibri" w:cs="Calibri"/>
          <w:lang w:val="en-GB"/>
        </w:rPr>
        <w:t>When weighing up your decision, it may help to think about:</w:t>
      </w:r>
    </w:p>
    <w:p w14:paraId="1C297E1D" w14:textId="77777777" w:rsidR="00CF06BB" w:rsidRPr="00CF06BB" w:rsidRDefault="00CF06BB" w:rsidP="00CF06BB">
      <w:pPr>
        <w:numPr>
          <w:ilvl w:val="0"/>
          <w:numId w:val="12"/>
        </w:numPr>
        <w:rPr>
          <w:rFonts w:ascii="Calibri" w:hAnsi="Calibri" w:cs="Calibri"/>
          <w:lang w:val="en-GB"/>
        </w:rPr>
      </w:pPr>
      <w:r w:rsidRPr="00CF06BB">
        <w:rPr>
          <w:rFonts w:ascii="Calibri" w:hAnsi="Calibri" w:cs="Calibri"/>
          <w:lang w:val="en-GB"/>
        </w:rPr>
        <w:t>Financial considerations (e.g. comparing SMP and Shared Parental Pay)</w:t>
      </w:r>
    </w:p>
    <w:p w14:paraId="7ED7D827" w14:textId="77777777" w:rsidR="00CF06BB" w:rsidRPr="00CF06BB" w:rsidRDefault="00CF06BB" w:rsidP="00CF06BB">
      <w:pPr>
        <w:numPr>
          <w:ilvl w:val="0"/>
          <w:numId w:val="12"/>
        </w:numPr>
        <w:rPr>
          <w:rFonts w:ascii="Calibri" w:hAnsi="Calibri" w:cs="Calibri"/>
          <w:lang w:val="en-GB"/>
        </w:rPr>
      </w:pPr>
      <w:r w:rsidRPr="00CF06BB">
        <w:rPr>
          <w:rFonts w:ascii="Calibri" w:hAnsi="Calibri" w:cs="Calibri"/>
          <w:lang w:val="en-GB"/>
        </w:rPr>
        <w:t>How you and your partner wish to share bonding time with your baby</w:t>
      </w:r>
    </w:p>
    <w:p w14:paraId="398C4428" w14:textId="77777777" w:rsidR="00CF06BB" w:rsidRDefault="00CF06BB" w:rsidP="00CF06BB">
      <w:pPr>
        <w:numPr>
          <w:ilvl w:val="0"/>
          <w:numId w:val="12"/>
        </w:numPr>
        <w:rPr>
          <w:rFonts w:ascii="Calibri" w:hAnsi="Calibri" w:cs="Calibri"/>
          <w:lang w:val="en-GB"/>
        </w:rPr>
      </w:pPr>
      <w:r w:rsidRPr="00CF06BB">
        <w:rPr>
          <w:rFonts w:ascii="Calibri" w:hAnsi="Calibri" w:cs="Calibri"/>
          <w:lang w:val="en-GB"/>
        </w:rPr>
        <w:t>Any potential effects on your career plans and workplace support for both of you</w:t>
      </w:r>
    </w:p>
    <w:p w14:paraId="066F98BD" w14:textId="77777777" w:rsidR="00CF06BB" w:rsidRPr="00CF06BB" w:rsidRDefault="00CF06BB" w:rsidP="00CF06BB">
      <w:pPr>
        <w:ind w:left="720"/>
        <w:rPr>
          <w:rFonts w:ascii="Calibri" w:hAnsi="Calibri" w:cs="Calibri"/>
          <w:lang w:val="en-GB"/>
        </w:rPr>
      </w:pPr>
    </w:p>
    <w:p w14:paraId="551F9343" w14:textId="77777777" w:rsidR="00CF06BB" w:rsidRDefault="00CF06BB" w:rsidP="00CF06BB">
      <w:pPr>
        <w:rPr>
          <w:rFonts w:ascii="Calibri" w:hAnsi="Calibri" w:cs="Calibri"/>
          <w:lang w:val="en-GB"/>
        </w:rPr>
      </w:pPr>
      <w:r w:rsidRPr="00CF06BB">
        <w:rPr>
          <w:rFonts w:ascii="Calibri" w:hAnsi="Calibri" w:cs="Calibri"/>
          <w:lang w:val="en-GB"/>
        </w:rPr>
        <w:t>If you’d like to talk through what each option might look like in your situation or need help with the relevant forms, I’d be happy to assist.</w:t>
      </w:r>
    </w:p>
    <w:p w14:paraId="6A85416F" w14:textId="77777777" w:rsidR="00CF06BB" w:rsidRPr="00CF06BB" w:rsidRDefault="00CF06BB" w:rsidP="00CF06BB">
      <w:pPr>
        <w:rPr>
          <w:rFonts w:ascii="Calibri" w:hAnsi="Calibri" w:cs="Calibri"/>
          <w:lang w:val="en-GB"/>
        </w:rPr>
      </w:pPr>
    </w:p>
    <w:p w14:paraId="37615E49" w14:textId="77777777" w:rsidR="00CF06BB" w:rsidRPr="00CF06BB" w:rsidRDefault="00CF06BB" w:rsidP="00CF06BB">
      <w:pPr>
        <w:rPr>
          <w:rFonts w:ascii="Calibri" w:hAnsi="Calibri" w:cs="Calibri"/>
          <w:lang w:val="en-GB"/>
        </w:rPr>
      </w:pPr>
      <w:r w:rsidRPr="00CF06BB">
        <w:rPr>
          <w:rFonts w:ascii="Calibri" w:hAnsi="Calibri" w:cs="Calibri"/>
          <w:lang w:val="en-GB"/>
        </w:rPr>
        <w:t>Warm wishes,</w:t>
      </w:r>
      <w:r w:rsidRPr="00CF06BB">
        <w:rPr>
          <w:rFonts w:ascii="Calibri" w:hAnsi="Calibri" w:cs="Calibri"/>
          <w:lang w:val="en-GB"/>
        </w:rPr>
        <w:br/>
        <w:t>Melanie</w:t>
      </w:r>
    </w:p>
    <w:p w14:paraId="572E1EDD" w14:textId="77777777" w:rsidR="00034DD5" w:rsidRDefault="00034DD5" w:rsidP="00481A2E">
      <w:pPr>
        <w:rPr>
          <w:rFonts w:ascii="Calibri" w:hAnsi="Calibri" w:cs="Calibri"/>
          <w:lang w:val="en-GB"/>
        </w:rPr>
      </w:pPr>
    </w:p>
    <w:p w14:paraId="5B2CA222" w14:textId="77777777" w:rsidR="00CF06BB" w:rsidRDefault="00CF06BB" w:rsidP="00481A2E">
      <w:pPr>
        <w:rPr>
          <w:rFonts w:ascii="Calibri" w:hAnsi="Calibri" w:cs="Calibri"/>
          <w:lang w:val="en-GB"/>
        </w:rPr>
      </w:pPr>
    </w:p>
    <w:p w14:paraId="052F82B0" w14:textId="77777777" w:rsidR="00CF06BB" w:rsidRDefault="00CF06BB" w:rsidP="00481A2E">
      <w:pPr>
        <w:rPr>
          <w:rFonts w:ascii="Calibri" w:hAnsi="Calibri" w:cs="Calibri"/>
          <w:lang w:val="en-GB"/>
        </w:rPr>
      </w:pPr>
    </w:p>
    <w:p w14:paraId="68EEC719" w14:textId="77777777" w:rsidR="00CF06BB" w:rsidRDefault="00CF06BB" w:rsidP="00481A2E">
      <w:pPr>
        <w:rPr>
          <w:rFonts w:ascii="Calibri" w:hAnsi="Calibri" w:cs="Calibri"/>
          <w:lang w:val="en-GB"/>
        </w:rPr>
      </w:pPr>
    </w:p>
    <w:p w14:paraId="11934834" w14:textId="77777777" w:rsidR="00CF06BB" w:rsidRDefault="00CF06BB" w:rsidP="00481A2E">
      <w:pPr>
        <w:rPr>
          <w:rFonts w:ascii="Calibri" w:hAnsi="Calibri" w:cs="Calibri"/>
          <w:lang w:val="en-GB"/>
        </w:rPr>
      </w:pPr>
    </w:p>
    <w:p w14:paraId="3EE0C0BE" w14:textId="77777777" w:rsidR="00CF06BB" w:rsidRDefault="00CF06BB" w:rsidP="00481A2E">
      <w:pPr>
        <w:rPr>
          <w:rFonts w:ascii="Calibri" w:hAnsi="Calibri" w:cs="Calibri"/>
          <w:lang w:val="en-GB"/>
        </w:rPr>
      </w:pPr>
    </w:p>
    <w:p w14:paraId="2493FC7D" w14:textId="77777777" w:rsidR="00CF06BB" w:rsidRDefault="00CF06BB" w:rsidP="00481A2E">
      <w:pPr>
        <w:rPr>
          <w:rFonts w:ascii="Calibri" w:hAnsi="Calibri" w:cs="Calibri"/>
          <w:lang w:val="en-GB"/>
        </w:rPr>
      </w:pPr>
    </w:p>
    <w:p w14:paraId="21049BC8" w14:textId="77777777" w:rsidR="00CF06BB" w:rsidRDefault="00CF06BB" w:rsidP="00481A2E">
      <w:pPr>
        <w:rPr>
          <w:rFonts w:ascii="Calibri" w:hAnsi="Calibri" w:cs="Calibri"/>
          <w:lang w:val="en-GB"/>
        </w:rPr>
      </w:pPr>
    </w:p>
    <w:p w14:paraId="319CC984" w14:textId="77777777" w:rsidR="0003690C" w:rsidRDefault="0003690C" w:rsidP="00481A2E">
      <w:pPr>
        <w:rPr>
          <w:rFonts w:ascii="Calibri" w:hAnsi="Calibri" w:cs="Calibri"/>
          <w:lang w:val="en-GB"/>
        </w:rPr>
      </w:pPr>
    </w:p>
    <w:p w14:paraId="2E6369A3" w14:textId="41982CCD" w:rsidR="00034DD5" w:rsidRPr="00892D99" w:rsidRDefault="00034DD5" w:rsidP="00481A2E">
      <w:pPr>
        <w:rPr>
          <w:rFonts w:ascii="Calibri" w:hAnsi="Calibri" w:cs="Calibri"/>
          <w:lang w:val="en-GB"/>
        </w:rPr>
      </w:pPr>
      <w:r w:rsidRPr="00892D99">
        <w:rPr>
          <w:rFonts w:ascii="Calibri" w:hAnsi="Calibri" w:cs="Calibri"/>
          <w:lang w:val="en-GB"/>
        </w:rPr>
        <w:lastRenderedPageBreak/>
        <w:t>AC 4.3</w:t>
      </w:r>
    </w:p>
    <w:p w14:paraId="1B95A702" w14:textId="77777777" w:rsidR="00034DD5" w:rsidRDefault="00034DD5" w:rsidP="00481A2E">
      <w:pPr>
        <w:rPr>
          <w:rFonts w:ascii="Calibri" w:hAnsi="Calibri" w:cs="Calibri"/>
          <w:lang w:val="en-GB"/>
        </w:rPr>
      </w:pPr>
    </w:p>
    <w:p w14:paraId="6F023DB7" w14:textId="77777777" w:rsidR="00CF06BB" w:rsidRPr="00CF06BB" w:rsidRDefault="00CF06BB" w:rsidP="00CF06BB">
      <w:pPr>
        <w:rPr>
          <w:rFonts w:ascii="Calibri" w:hAnsi="Calibri" w:cs="Calibri"/>
          <w:lang w:val="en-GB"/>
        </w:rPr>
      </w:pPr>
      <w:r w:rsidRPr="00CF06BB">
        <w:rPr>
          <w:rFonts w:ascii="Calibri" w:hAnsi="Calibri" w:cs="Calibri"/>
          <w:lang w:val="en-GB"/>
        </w:rPr>
        <w:t>Subject: Flexible Working – Employee Entitlements and Key Considerations for Decision-Making</w:t>
      </w:r>
    </w:p>
    <w:p w14:paraId="440684C0" w14:textId="77777777" w:rsidR="00CF06BB" w:rsidRDefault="00CF06BB" w:rsidP="00CF06BB">
      <w:pPr>
        <w:rPr>
          <w:rFonts w:ascii="Calibri" w:hAnsi="Calibri" w:cs="Calibri"/>
          <w:lang w:val="en-GB"/>
        </w:rPr>
      </w:pPr>
      <w:r w:rsidRPr="00CF06BB">
        <w:rPr>
          <w:rFonts w:ascii="Calibri" w:hAnsi="Calibri" w:cs="Calibri"/>
          <w:lang w:val="en-GB"/>
        </w:rPr>
        <w:t>Hi Courtney,</w:t>
      </w:r>
    </w:p>
    <w:p w14:paraId="07315E80" w14:textId="77777777" w:rsidR="00CF06BB" w:rsidRPr="00CF06BB" w:rsidRDefault="00CF06BB" w:rsidP="00CF06BB">
      <w:pPr>
        <w:rPr>
          <w:rFonts w:ascii="Calibri" w:hAnsi="Calibri" w:cs="Calibri"/>
          <w:lang w:val="en-GB"/>
        </w:rPr>
      </w:pPr>
    </w:p>
    <w:p w14:paraId="491F898C" w14:textId="77777777" w:rsidR="00CF06BB" w:rsidRPr="00CF06BB" w:rsidRDefault="00CF06BB" w:rsidP="00CF06BB">
      <w:pPr>
        <w:rPr>
          <w:rFonts w:ascii="Calibri" w:hAnsi="Calibri" w:cs="Calibri"/>
          <w:lang w:val="en-GB"/>
        </w:rPr>
      </w:pPr>
      <w:r w:rsidRPr="00CF06BB">
        <w:rPr>
          <w:rFonts w:ascii="Calibri" w:hAnsi="Calibri" w:cs="Calibri"/>
          <w:lang w:val="en-GB"/>
        </w:rPr>
        <w:t>Thanks for highlighting your concerns about the flexible working application recently submitted by our new administrative officer. It’s important we manage this situation in line with both our internal practices and our obligations under current UK employment law.</w:t>
      </w:r>
    </w:p>
    <w:p w14:paraId="59ECAADB" w14:textId="77777777" w:rsidR="00CF06BB" w:rsidRDefault="00CF06BB" w:rsidP="00CF06BB">
      <w:pPr>
        <w:rPr>
          <w:rFonts w:ascii="Calibri" w:hAnsi="Calibri" w:cs="Calibri"/>
          <w:lang w:val="en-GB"/>
        </w:rPr>
      </w:pPr>
      <w:r w:rsidRPr="00CF06BB">
        <w:rPr>
          <w:rFonts w:ascii="Calibri" w:hAnsi="Calibri" w:cs="Calibri"/>
          <w:lang w:val="en-GB"/>
        </w:rPr>
        <w:t>According to the Employment Rights Act 1996 (as amended), employees who have completed 26 weeks of continuous service are entitled to request flexible working arrangements — including working from home. This statutory right is open to all employees, not just those with caring responsibilities, and is further supported by the Flexible Working Regulations 2014 (Daniels, 2022, Section 4.2).</w:t>
      </w:r>
    </w:p>
    <w:p w14:paraId="6AD7702C" w14:textId="77777777" w:rsidR="00CF06BB" w:rsidRPr="00CF06BB" w:rsidRDefault="00CF06BB" w:rsidP="00CF06BB">
      <w:pPr>
        <w:rPr>
          <w:rFonts w:ascii="Calibri" w:hAnsi="Calibri" w:cs="Calibri"/>
          <w:lang w:val="en-GB"/>
        </w:rPr>
      </w:pPr>
    </w:p>
    <w:p w14:paraId="67637C15" w14:textId="77777777" w:rsidR="00CF06BB" w:rsidRDefault="00CF06BB" w:rsidP="00CF06BB">
      <w:pPr>
        <w:rPr>
          <w:rFonts w:ascii="Calibri" w:hAnsi="Calibri" w:cs="Calibri"/>
          <w:lang w:val="en-GB"/>
        </w:rPr>
      </w:pPr>
      <w:r w:rsidRPr="00CF06BB">
        <w:rPr>
          <w:rFonts w:ascii="Calibri" w:hAnsi="Calibri" w:cs="Calibri"/>
          <w:lang w:val="en-GB"/>
        </w:rPr>
        <w:t>While there is no legal guarantee that such a request will be approved, the employer is required to assess it fairly and objectively. A request can only be declined for one or more of the eight recognised business reasons, such as potential negative effects on customer service, performance, or operational costs. General concerns about encouraging similar requests from others do not meet this threshold unless they are underpinned by tangible evidence of disruption to business continuity.</w:t>
      </w:r>
    </w:p>
    <w:p w14:paraId="5B1019D7" w14:textId="77777777" w:rsidR="00CF06BB" w:rsidRPr="00CF06BB" w:rsidRDefault="00CF06BB" w:rsidP="00CF06BB">
      <w:pPr>
        <w:rPr>
          <w:rFonts w:ascii="Calibri" w:hAnsi="Calibri" w:cs="Calibri"/>
          <w:lang w:val="en-GB"/>
        </w:rPr>
      </w:pPr>
    </w:p>
    <w:p w14:paraId="6E9C1A60" w14:textId="77777777" w:rsidR="00CF06BB" w:rsidRDefault="00CF06BB" w:rsidP="00CF06BB">
      <w:pPr>
        <w:rPr>
          <w:rFonts w:ascii="Calibri" w:hAnsi="Calibri" w:cs="Calibri"/>
          <w:lang w:val="en-GB"/>
        </w:rPr>
      </w:pPr>
      <w:r w:rsidRPr="00CF06BB">
        <w:rPr>
          <w:rFonts w:ascii="Calibri" w:hAnsi="Calibri" w:cs="Calibri"/>
          <w:lang w:val="en-GB"/>
        </w:rPr>
        <w:t>Best practice guidance from ACAS and CIPD (2023) stresses the importance of dealing with these applications in a fair, timely, and well-documented manner. Dismissing a request without due process, or failing to give appropriate consideration, could expose the Trust to grievances or claims — particularly where there’s a risk of indirect discrimination (for example, if working mothers or disabled staff are disproportionately affected).</w:t>
      </w:r>
    </w:p>
    <w:p w14:paraId="387BD20E" w14:textId="77777777" w:rsidR="00CF06BB" w:rsidRPr="00CF06BB" w:rsidRDefault="00CF06BB" w:rsidP="00CF06BB">
      <w:pPr>
        <w:rPr>
          <w:rFonts w:ascii="Calibri" w:hAnsi="Calibri" w:cs="Calibri"/>
          <w:lang w:val="en-GB"/>
        </w:rPr>
      </w:pPr>
    </w:p>
    <w:p w14:paraId="75ACD287" w14:textId="77777777" w:rsidR="00CF06BB" w:rsidRPr="00CF06BB" w:rsidRDefault="00CF06BB" w:rsidP="00CF06BB">
      <w:pPr>
        <w:rPr>
          <w:rFonts w:ascii="Calibri" w:hAnsi="Calibri" w:cs="Calibri"/>
          <w:lang w:val="en-GB"/>
        </w:rPr>
      </w:pPr>
      <w:r w:rsidRPr="00CF06BB">
        <w:rPr>
          <w:rFonts w:ascii="Calibri" w:hAnsi="Calibri" w:cs="Calibri"/>
          <w:lang w:val="en-GB"/>
        </w:rPr>
        <w:t>To support both equity and service delivery, I suggest the following:</w:t>
      </w:r>
    </w:p>
    <w:p w14:paraId="0215766A" w14:textId="77777777" w:rsidR="00CF06BB" w:rsidRPr="00CF06BB" w:rsidRDefault="00CF06BB" w:rsidP="00CF06BB">
      <w:pPr>
        <w:numPr>
          <w:ilvl w:val="0"/>
          <w:numId w:val="13"/>
        </w:numPr>
        <w:rPr>
          <w:rFonts w:ascii="Calibri" w:hAnsi="Calibri" w:cs="Calibri"/>
          <w:lang w:val="en-GB"/>
        </w:rPr>
      </w:pPr>
      <w:r w:rsidRPr="00CF06BB">
        <w:rPr>
          <w:rFonts w:ascii="Calibri" w:hAnsi="Calibri" w:cs="Calibri"/>
          <w:lang w:val="en-GB"/>
        </w:rPr>
        <w:t>Set up a discussion with the employee to understand their reasons and flexibility needs.</w:t>
      </w:r>
    </w:p>
    <w:p w14:paraId="0C6C6D3E" w14:textId="77777777" w:rsidR="00CF06BB" w:rsidRPr="00CF06BB" w:rsidRDefault="00CF06BB" w:rsidP="00CF06BB">
      <w:pPr>
        <w:numPr>
          <w:ilvl w:val="0"/>
          <w:numId w:val="13"/>
        </w:numPr>
        <w:rPr>
          <w:rFonts w:ascii="Calibri" w:hAnsi="Calibri" w:cs="Calibri"/>
          <w:lang w:val="en-GB"/>
        </w:rPr>
      </w:pPr>
      <w:r w:rsidRPr="00CF06BB">
        <w:rPr>
          <w:rFonts w:ascii="Calibri" w:hAnsi="Calibri" w:cs="Calibri"/>
          <w:lang w:val="en-GB"/>
        </w:rPr>
        <w:t>Review how the proposed arrangement might affect team operations and identify potential adjustments or compromises.</w:t>
      </w:r>
    </w:p>
    <w:p w14:paraId="36A7A7DC" w14:textId="77777777" w:rsidR="00CF06BB" w:rsidRDefault="00CF06BB" w:rsidP="00CF06BB">
      <w:pPr>
        <w:numPr>
          <w:ilvl w:val="0"/>
          <w:numId w:val="13"/>
        </w:numPr>
        <w:rPr>
          <w:rFonts w:ascii="Calibri" w:hAnsi="Calibri" w:cs="Calibri"/>
          <w:lang w:val="en-GB"/>
        </w:rPr>
      </w:pPr>
      <w:r w:rsidRPr="00CF06BB">
        <w:rPr>
          <w:rFonts w:ascii="Calibri" w:hAnsi="Calibri" w:cs="Calibri"/>
          <w:lang w:val="en-GB"/>
        </w:rPr>
        <w:t>Ensure a full written response is issued within the three-month timeframe stipulated in the legislation.</w:t>
      </w:r>
    </w:p>
    <w:p w14:paraId="17E90BFD" w14:textId="77777777" w:rsidR="00CF06BB" w:rsidRPr="00CF06BB" w:rsidRDefault="00CF06BB" w:rsidP="00CF06BB">
      <w:pPr>
        <w:ind w:left="720"/>
        <w:rPr>
          <w:rFonts w:ascii="Calibri" w:hAnsi="Calibri" w:cs="Calibri"/>
          <w:lang w:val="en-GB"/>
        </w:rPr>
      </w:pPr>
    </w:p>
    <w:p w14:paraId="58DF8691" w14:textId="77777777" w:rsidR="00CF06BB" w:rsidRDefault="00CF06BB" w:rsidP="00CF06BB">
      <w:pPr>
        <w:rPr>
          <w:rFonts w:ascii="Calibri" w:hAnsi="Calibri" w:cs="Calibri"/>
          <w:lang w:val="en-GB"/>
        </w:rPr>
      </w:pPr>
      <w:r w:rsidRPr="00CF06BB">
        <w:rPr>
          <w:rFonts w:ascii="Calibri" w:hAnsi="Calibri" w:cs="Calibri"/>
          <w:lang w:val="en-GB"/>
        </w:rPr>
        <w:t>Armstrong and Taylor (2023) highlight that well-managed flexible working practices can have positive outcomes for employee engagement, productivity, and talent retention. Many healthcare organisations are adapting to flexible models that support wellbeing while maintaining strong service standards.</w:t>
      </w:r>
    </w:p>
    <w:p w14:paraId="0A9FDFB7" w14:textId="77777777" w:rsidR="00CF06BB" w:rsidRPr="00CF06BB" w:rsidRDefault="00CF06BB" w:rsidP="00CF06BB">
      <w:pPr>
        <w:rPr>
          <w:rFonts w:ascii="Calibri" w:hAnsi="Calibri" w:cs="Calibri"/>
          <w:lang w:val="en-GB"/>
        </w:rPr>
      </w:pPr>
    </w:p>
    <w:p w14:paraId="123A4990" w14:textId="77777777" w:rsidR="00CF06BB" w:rsidRDefault="00CF06BB" w:rsidP="00CF06BB">
      <w:pPr>
        <w:rPr>
          <w:rFonts w:ascii="Calibri" w:hAnsi="Calibri" w:cs="Calibri"/>
          <w:lang w:val="en-GB"/>
        </w:rPr>
      </w:pPr>
      <w:r w:rsidRPr="00CF06BB">
        <w:rPr>
          <w:rFonts w:ascii="Calibri" w:hAnsi="Calibri" w:cs="Calibri"/>
          <w:lang w:val="en-GB"/>
        </w:rPr>
        <w:t>I’m happy to help you progress this request — whether that’s by advising on next steps, supporting the review process, or helping to strike a balance that works for the employee and the wider team.</w:t>
      </w:r>
    </w:p>
    <w:p w14:paraId="2F11B0F6" w14:textId="77777777" w:rsidR="00CF06BB" w:rsidRPr="00CF06BB" w:rsidRDefault="00CF06BB" w:rsidP="00CF06BB">
      <w:pPr>
        <w:rPr>
          <w:rFonts w:ascii="Calibri" w:hAnsi="Calibri" w:cs="Calibri"/>
          <w:lang w:val="en-GB"/>
        </w:rPr>
      </w:pPr>
    </w:p>
    <w:p w14:paraId="6124C777" w14:textId="77777777" w:rsidR="00CF06BB" w:rsidRPr="00CF06BB" w:rsidRDefault="00CF06BB" w:rsidP="00CF06BB">
      <w:pPr>
        <w:rPr>
          <w:rFonts w:ascii="Calibri" w:hAnsi="Calibri" w:cs="Calibri"/>
          <w:lang w:val="en-GB"/>
        </w:rPr>
      </w:pPr>
      <w:r w:rsidRPr="00CF06BB">
        <w:rPr>
          <w:rFonts w:ascii="Calibri" w:hAnsi="Calibri" w:cs="Calibri"/>
          <w:lang w:val="en-GB"/>
        </w:rPr>
        <w:t>Best regards,</w:t>
      </w:r>
      <w:r w:rsidRPr="00CF06BB">
        <w:rPr>
          <w:rFonts w:ascii="Calibri" w:hAnsi="Calibri" w:cs="Calibri"/>
          <w:lang w:val="en-GB"/>
        </w:rPr>
        <w:br/>
        <w:t>Melanie</w:t>
      </w:r>
    </w:p>
    <w:p w14:paraId="1D367D6F" w14:textId="77777777" w:rsidR="00034DD5" w:rsidRPr="00481A2E" w:rsidRDefault="00034DD5" w:rsidP="00481A2E">
      <w:pPr>
        <w:rPr>
          <w:rFonts w:ascii="Calibri" w:hAnsi="Calibri" w:cs="Calibri"/>
          <w:lang w:val="en-GB"/>
        </w:rPr>
      </w:pPr>
    </w:p>
    <w:p w14:paraId="09061046" w14:textId="77777777" w:rsidR="00481A2E" w:rsidRDefault="00481A2E" w:rsidP="00E3798F">
      <w:pPr>
        <w:rPr>
          <w:rFonts w:ascii="Calibri" w:hAnsi="Calibri" w:cs="Calibri"/>
          <w:lang w:val="en-GB"/>
        </w:rPr>
      </w:pPr>
    </w:p>
    <w:p w14:paraId="7547F9D4" w14:textId="77777777" w:rsidR="005A58B9" w:rsidRDefault="005A58B9" w:rsidP="005A58B9">
      <w:pPr>
        <w:ind w:left="720"/>
        <w:rPr>
          <w:rFonts w:ascii="Calibri" w:hAnsi="Calibri" w:cs="Calibri"/>
          <w:lang w:val="en-GB"/>
        </w:rPr>
      </w:pPr>
    </w:p>
    <w:p w14:paraId="2CF13E2A" w14:textId="77777777" w:rsidR="00CF06BB" w:rsidRDefault="00CF06BB" w:rsidP="009146EB">
      <w:pPr>
        <w:rPr>
          <w:rFonts w:ascii="Calibri" w:hAnsi="Calibri" w:cs="Calibri"/>
          <w:lang w:val="en-GB"/>
        </w:rPr>
      </w:pPr>
    </w:p>
    <w:p w14:paraId="6F060C00" w14:textId="77777777" w:rsidR="00CF06BB" w:rsidRDefault="00CF06BB" w:rsidP="009146EB">
      <w:pPr>
        <w:rPr>
          <w:rFonts w:ascii="Calibri" w:hAnsi="Calibri" w:cs="Calibri"/>
          <w:lang w:val="en-GB"/>
        </w:rPr>
      </w:pPr>
    </w:p>
    <w:p w14:paraId="72AE311E" w14:textId="77777777" w:rsidR="00CF06BB" w:rsidRDefault="00CF06BB" w:rsidP="009146EB">
      <w:pPr>
        <w:rPr>
          <w:rFonts w:ascii="Calibri" w:hAnsi="Calibri" w:cs="Calibri"/>
          <w:lang w:val="en-GB"/>
        </w:rPr>
      </w:pPr>
    </w:p>
    <w:p w14:paraId="39631F5E" w14:textId="77777777" w:rsidR="00CF06BB" w:rsidRDefault="00CF06BB" w:rsidP="009146EB">
      <w:pPr>
        <w:rPr>
          <w:rFonts w:ascii="Calibri" w:hAnsi="Calibri" w:cs="Calibri"/>
          <w:lang w:val="en-GB"/>
        </w:rPr>
      </w:pPr>
    </w:p>
    <w:p w14:paraId="2157A663" w14:textId="1F9F328D" w:rsidR="009146EB" w:rsidRDefault="009146EB" w:rsidP="009146EB">
      <w:pPr>
        <w:rPr>
          <w:rFonts w:ascii="Calibri" w:hAnsi="Calibri" w:cs="Calibri"/>
          <w:b/>
          <w:bCs/>
        </w:rPr>
      </w:pPr>
      <w:r w:rsidRPr="009146EB">
        <w:rPr>
          <w:rFonts w:ascii="Calibri" w:hAnsi="Calibri" w:cs="Calibri"/>
          <w:b/>
          <w:bCs/>
        </w:rPr>
        <w:lastRenderedPageBreak/>
        <w:t>Bibliography</w:t>
      </w:r>
    </w:p>
    <w:p w14:paraId="0EFD4D39" w14:textId="7BD29A67" w:rsidR="00AC5871" w:rsidRPr="009146EB" w:rsidRDefault="00AC5871" w:rsidP="009146EB">
      <w:pPr>
        <w:rPr>
          <w:rFonts w:ascii="Calibri" w:hAnsi="Calibri" w:cs="Calibri"/>
        </w:rPr>
      </w:pPr>
      <w:r w:rsidRPr="00AC5871">
        <w:rPr>
          <w:rFonts w:ascii="Calibri" w:hAnsi="Calibri" w:cs="Calibri"/>
        </w:rPr>
        <w:t xml:space="preserve">ACAS (2024) Constructive dismissal. Available at: </w:t>
      </w:r>
      <w:hyperlink r:id="rId11" w:tgtFrame="_new" w:history="1">
        <w:r w:rsidRPr="00AC5871">
          <w:rPr>
            <w:rStyle w:val="Hyperlink"/>
            <w:rFonts w:ascii="Calibri" w:hAnsi="Calibri" w:cs="Calibri"/>
            <w:color w:val="auto"/>
            <w:u w:val="none"/>
          </w:rPr>
          <w:t>https://www.acas.org.uk/dismissals/constructive-dismissal</w:t>
        </w:r>
      </w:hyperlink>
      <w:r w:rsidRPr="00AC5871">
        <w:rPr>
          <w:rFonts w:ascii="Calibri" w:hAnsi="Calibri" w:cs="Calibri"/>
        </w:rPr>
        <w:t xml:space="preserve"> (Accessed: </w:t>
      </w:r>
      <w:r>
        <w:rPr>
          <w:rFonts w:ascii="Calibri" w:hAnsi="Calibri" w:cs="Calibri"/>
        </w:rPr>
        <w:t>08</w:t>
      </w:r>
      <w:r w:rsidRPr="00AC5871">
        <w:rPr>
          <w:rFonts w:ascii="Calibri" w:hAnsi="Calibri" w:cs="Calibri"/>
        </w:rPr>
        <w:t xml:space="preserve"> May 2025).</w:t>
      </w:r>
    </w:p>
    <w:p w14:paraId="3A96D724" w14:textId="36549B06" w:rsidR="009146EB" w:rsidRPr="009146EB" w:rsidRDefault="009146EB" w:rsidP="009146EB">
      <w:pPr>
        <w:rPr>
          <w:rFonts w:ascii="Calibri" w:hAnsi="Calibri" w:cs="Calibri"/>
        </w:rPr>
      </w:pPr>
      <w:r w:rsidRPr="009146EB">
        <w:rPr>
          <w:rFonts w:ascii="Calibri" w:hAnsi="Calibri" w:cs="Calibri"/>
        </w:rPr>
        <w:t>ACAS (2023) Holiday pay: Guidance for employers and workers. Available at: https://www.acas.org.uk/holiday-pay (Accessed: 2</w:t>
      </w:r>
      <w:r w:rsidR="00227C06">
        <w:rPr>
          <w:rFonts w:ascii="Calibri" w:hAnsi="Calibri" w:cs="Calibri"/>
        </w:rPr>
        <w:t>9</w:t>
      </w:r>
      <w:r w:rsidRPr="009146EB">
        <w:rPr>
          <w:rFonts w:ascii="Calibri" w:hAnsi="Calibri" w:cs="Calibri"/>
        </w:rPr>
        <w:t xml:space="preserve"> </w:t>
      </w:r>
      <w:r w:rsidR="00227C06">
        <w:rPr>
          <w:rFonts w:ascii="Calibri" w:hAnsi="Calibri" w:cs="Calibri"/>
        </w:rPr>
        <w:t>April</w:t>
      </w:r>
      <w:r w:rsidRPr="009146EB">
        <w:rPr>
          <w:rFonts w:ascii="Calibri" w:hAnsi="Calibri" w:cs="Calibri"/>
        </w:rPr>
        <w:t xml:space="preserve"> 2025).</w:t>
      </w:r>
    </w:p>
    <w:p w14:paraId="47C85C3D" w14:textId="118ADE07" w:rsidR="009146EB" w:rsidRPr="009146EB" w:rsidRDefault="009146EB" w:rsidP="009146EB">
      <w:pPr>
        <w:rPr>
          <w:rFonts w:ascii="Calibri" w:hAnsi="Calibri" w:cs="Calibri"/>
        </w:rPr>
      </w:pPr>
      <w:r w:rsidRPr="009146EB">
        <w:rPr>
          <w:rFonts w:ascii="Calibri" w:hAnsi="Calibri" w:cs="Calibri"/>
        </w:rPr>
        <w:t xml:space="preserve">ACAS (2023) Redundancy: Consultation and Fair Selection. Available at: https://www.acas.org.uk/redundancy (Accessed: </w:t>
      </w:r>
      <w:r w:rsidR="00227C06">
        <w:rPr>
          <w:rFonts w:ascii="Calibri" w:hAnsi="Calibri" w:cs="Calibri"/>
        </w:rPr>
        <w:t>05</w:t>
      </w:r>
      <w:r w:rsidRPr="009146EB">
        <w:rPr>
          <w:rFonts w:ascii="Calibri" w:hAnsi="Calibri" w:cs="Calibri"/>
        </w:rPr>
        <w:t xml:space="preserve"> May 2025).</w:t>
      </w:r>
    </w:p>
    <w:p w14:paraId="6C877A08" w14:textId="77777777" w:rsidR="009146EB" w:rsidRPr="009146EB" w:rsidRDefault="009146EB" w:rsidP="009146EB">
      <w:pPr>
        <w:rPr>
          <w:rFonts w:ascii="Calibri" w:hAnsi="Calibri" w:cs="Calibri"/>
        </w:rPr>
      </w:pPr>
      <w:r w:rsidRPr="009146EB">
        <w:rPr>
          <w:rFonts w:ascii="Calibri" w:hAnsi="Calibri" w:cs="Calibri"/>
        </w:rPr>
        <w:t xml:space="preserve">Armstrong, M. and Taylor, S. (2023) Armstrong’s Handbook of Human Resource Management Practice. 16th </w:t>
      </w:r>
      <w:proofErr w:type="spellStart"/>
      <w:r w:rsidRPr="009146EB">
        <w:rPr>
          <w:rFonts w:ascii="Calibri" w:hAnsi="Calibri" w:cs="Calibri"/>
        </w:rPr>
        <w:t>edn</w:t>
      </w:r>
      <w:proofErr w:type="spellEnd"/>
      <w:r w:rsidRPr="009146EB">
        <w:rPr>
          <w:rFonts w:ascii="Calibri" w:hAnsi="Calibri" w:cs="Calibri"/>
        </w:rPr>
        <w:t>. London: Kogan Page.</w:t>
      </w:r>
    </w:p>
    <w:p w14:paraId="24617800" w14:textId="77777777" w:rsidR="009146EB" w:rsidRPr="009146EB" w:rsidRDefault="009146EB" w:rsidP="009146EB">
      <w:pPr>
        <w:rPr>
          <w:rFonts w:ascii="Calibri" w:hAnsi="Calibri" w:cs="Calibri"/>
        </w:rPr>
      </w:pPr>
      <w:r w:rsidRPr="009146EB">
        <w:rPr>
          <w:rFonts w:ascii="Calibri" w:hAnsi="Calibri" w:cs="Calibri"/>
        </w:rPr>
        <w:t>Chartered Institute of Personnel and Development (CIPD) (2023) Employment Law Resources. Available at: https://www.cipd.co.uk/knowledge/fundamentals/emp-law (Accessed: 29 May 2025).</w:t>
      </w:r>
    </w:p>
    <w:p w14:paraId="4A454B7A" w14:textId="64EE2CE9" w:rsidR="009146EB" w:rsidRPr="009146EB" w:rsidRDefault="009146EB" w:rsidP="009146EB">
      <w:pPr>
        <w:rPr>
          <w:rFonts w:ascii="Calibri" w:hAnsi="Calibri" w:cs="Calibri"/>
        </w:rPr>
      </w:pPr>
      <w:r w:rsidRPr="009146EB">
        <w:rPr>
          <w:rFonts w:ascii="Calibri" w:hAnsi="Calibri" w:cs="Calibri"/>
        </w:rPr>
        <w:t xml:space="preserve">Chartered Institute of Personnel and Development (CIPD) (2023) Equal pay factsheet. Available at: https://www.cipd.org/uk/knowledge/fundamentals/emp-law/terms-conditions/equal-pay-factsheet (Accessed: </w:t>
      </w:r>
      <w:r w:rsidR="00227C06" w:rsidRPr="009146EB">
        <w:rPr>
          <w:rFonts w:ascii="Calibri" w:hAnsi="Calibri" w:cs="Calibri"/>
        </w:rPr>
        <w:t>2</w:t>
      </w:r>
      <w:r w:rsidR="00227C06">
        <w:rPr>
          <w:rFonts w:ascii="Calibri" w:hAnsi="Calibri" w:cs="Calibri"/>
        </w:rPr>
        <w:t>9</w:t>
      </w:r>
      <w:r w:rsidR="00227C06" w:rsidRPr="009146EB">
        <w:rPr>
          <w:rFonts w:ascii="Calibri" w:hAnsi="Calibri" w:cs="Calibri"/>
        </w:rPr>
        <w:t xml:space="preserve"> </w:t>
      </w:r>
      <w:r w:rsidR="00227C06">
        <w:rPr>
          <w:rFonts w:ascii="Calibri" w:hAnsi="Calibri" w:cs="Calibri"/>
        </w:rPr>
        <w:t>April</w:t>
      </w:r>
      <w:r w:rsidR="00227C06" w:rsidRPr="009146EB">
        <w:rPr>
          <w:rFonts w:ascii="Calibri" w:hAnsi="Calibri" w:cs="Calibri"/>
        </w:rPr>
        <w:t xml:space="preserve"> 2025</w:t>
      </w:r>
      <w:r w:rsidRPr="009146EB">
        <w:rPr>
          <w:rFonts w:ascii="Calibri" w:hAnsi="Calibri" w:cs="Calibri"/>
        </w:rPr>
        <w:t>).</w:t>
      </w:r>
    </w:p>
    <w:p w14:paraId="5F6D58FE" w14:textId="54CB1058" w:rsidR="009146EB" w:rsidRPr="009146EB" w:rsidRDefault="009146EB" w:rsidP="009146EB">
      <w:pPr>
        <w:rPr>
          <w:rFonts w:ascii="Calibri" w:hAnsi="Calibri" w:cs="Calibri"/>
        </w:rPr>
      </w:pPr>
      <w:r w:rsidRPr="009146EB">
        <w:rPr>
          <w:rFonts w:ascii="Calibri" w:hAnsi="Calibri" w:cs="Calibri"/>
        </w:rPr>
        <w:t xml:space="preserve">Chartered Institute of Personnel and Development (CIPD) (2023) Holiday Pay: Factsheet. Available at: https://www.cipd.org (Accessed: </w:t>
      </w:r>
      <w:r w:rsidR="00227C06" w:rsidRPr="009146EB">
        <w:rPr>
          <w:rFonts w:ascii="Calibri" w:hAnsi="Calibri" w:cs="Calibri"/>
        </w:rPr>
        <w:t>2</w:t>
      </w:r>
      <w:r w:rsidR="00227C06">
        <w:rPr>
          <w:rFonts w:ascii="Calibri" w:hAnsi="Calibri" w:cs="Calibri"/>
        </w:rPr>
        <w:t>9</w:t>
      </w:r>
      <w:r w:rsidR="00227C06" w:rsidRPr="009146EB">
        <w:rPr>
          <w:rFonts w:ascii="Calibri" w:hAnsi="Calibri" w:cs="Calibri"/>
        </w:rPr>
        <w:t xml:space="preserve"> </w:t>
      </w:r>
      <w:r w:rsidR="00227C06">
        <w:rPr>
          <w:rFonts w:ascii="Calibri" w:hAnsi="Calibri" w:cs="Calibri"/>
        </w:rPr>
        <w:t>April</w:t>
      </w:r>
      <w:r w:rsidR="00227C06" w:rsidRPr="009146EB">
        <w:rPr>
          <w:rFonts w:ascii="Calibri" w:hAnsi="Calibri" w:cs="Calibri"/>
        </w:rPr>
        <w:t xml:space="preserve"> 2025</w:t>
      </w:r>
      <w:r w:rsidR="00227C06">
        <w:rPr>
          <w:rFonts w:ascii="Calibri" w:hAnsi="Calibri" w:cs="Calibri"/>
        </w:rPr>
        <w:t>).</w:t>
      </w:r>
    </w:p>
    <w:p w14:paraId="00FBE1AB" w14:textId="3EED3997" w:rsidR="009146EB" w:rsidRPr="009146EB" w:rsidRDefault="009146EB" w:rsidP="009146EB">
      <w:pPr>
        <w:rPr>
          <w:rFonts w:ascii="Calibri" w:hAnsi="Calibri" w:cs="Calibri"/>
        </w:rPr>
      </w:pPr>
      <w:r w:rsidRPr="009146EB">
        <w:rPr>
          <w:rFonts w:ascii="Calibri" w:hAnsi="Calibri" w:cs="Calibri"/>
        </w:rPr>
        <w:t xml:space="preserve">Chartered Institute of Personnel and Development (CIPD) (2023) Holiday pay and working time. Available at: https://www.cipd.org (Accessed: </w:t>
      </w:r>
      <w:r w:rsidR="00227C06">
        <w:rPr>
          <w:rFonts w:ascii="Calibri" w:hAnsi="Calibri" w:cs="Calibri"/>
        </w:rPr>
        <w:t>05</w:t>
      </w:r>
      <w:r w:rsidR="00227C06" w:rsidRPr="009146EB">
        <w:rPr>
          <w:rFonts w:ascii="Calibri" w:hAnsi="Calibri" w:cs="Calibri"/>
        </w:rPr>
        <w:t xml:space="preserve"> May 2025</w:t>
      </w:r>
      <w:r w:rsidRPr="009146EB">
        <w:rPr>
          <w:rFonts w:ascii="Calibri" w:hAnsi="Calibri" w:cs="Calibri"/>
        </w:rPr>
        <w:t>).</w:t>
      </w:r>
    </w:p>
    <w:p w14:paraId="5A0D04FB" w14:textId="0135FDFB" w:rsidR="009146EB" w:rsidRPr="009146EB" w:rsidRDefault="009146EB" w:rsidP="009146EB">
      <w:pPr>
        <w:rPr>
          <w:rFonts w:ascii="Calibri" w:hAnsi="Calibri" w:cs="Calibri"/>
        </w:rPr>
      </w:pPr>
      <w:r w:rsidRPr="009146EB">
        <w:rPr>
          <w:rFonts w:ascii="Calibri" w:hAnsi="Calibri" w:cs="Calibri"/>
        </w:rPr>
        <w:t xml:space="preserve">Chartered Institute of Personnel and Development (CIPD) (2023) Maternity, Paternity and Adoption Leave and Pay. Available at: https://www.cipd.org (Accessed: </w:t>
      </w:r>
      <w:r w:rsidR="00227C06" w:rsidRPr="009146EB">
        <w:rPr>
          <w:rFonts w:ascii="Calibri" w:hAnsi="Calibri" w:cs="Calibri"/>
        </w:rPr>
        <w:t>2</w:t>
      </w:r>
      <w:r w:rsidR="00227C06">
        <w:rPr>
          <w:rFonts w:ascii="Calibri" w:hAnsi="Calibri" w:cs="Calibri"/>
        </w:rPr>
        <w:t>9</w:t>
      </w:r>
      <w:r w:rsidR="00227C06" w:rsidRPr="009146EB">
        <w:rPr>
          <w:rFonts w:ascii="Calibri" w:hAnsi="Calibri" w:cs="Calibri"/>
        </w:rPr>
        <w:t xml:space="preserve"> </w:t>
      </w:r>
      <w:r w:rsidR="00227C06">
        <w:rPr>
          <w:rFonts w:ascii="Calibri" w:hAnsi="Calibri" w:cs="Calibri"/>
        </w:rPr>
        <w:t>April</w:t>
      </w:r>
      <w:r w:rsidR="00227C06" w:rsidRPr="009146EB">
        <w:rPr>
          <w:rFonts w:ascii="Calibri" w:hAnsi="Calibri" w:cs="Calibri"/>
        </w:rPr>
        <w:t xml:space="preserve"> 2025</w:t>
      </w:r>
      <w:r w:rsidRPr="009146EB">
        <w:rPr>
          <w:rFonts w:ascii="Calibri" w:hAnsi="Calibri" w:cs="Calibri"/>
        </w:rPr>
        <w:t>).</w:t>
      </w:r>
    </w:p>
    <w:p w14:paraId="4085034D" w14:textId="77777777" w:rsidR="009146EB" w:rsidRPr="009146EB" w:rsidRDefault="009146EB" w:rsidP="009146EB">
      <w:pPr>
        <w:rPr>
          <w:rFonts w:ascii="Calibri" w:hAnsi="Calibri" w:cs="Calibri"/>
        </w:rPr>
      </w:pPr>
      <w:r w:rsidRPr="009146EB">
        <w:rPr>
          <w:rFonts w:ascii="Calibri" w:hAnsi="Calibri" w:cs="Calibri"/>
        </w:rPr>
        <w:t>Chartered Institute of Personnel and Development (CIPD) (2023) Recruitment and Selection: Legal Considerations. Available at: https://www.cipd.org (Accessed: 15 May 2025).</w:t>
      </w:r>
    </w:p>
    <w:p w14:paraId="49DC786A" w14:textId="21A59404" w:rsidR="009146EB" w:rsidRPr="009146EB" w:rsidRDefault="009146EB" w:rsidP="009146EB">
      <w:pPr>
        <w:rPr>
          <w:rFonts w:ascii="Calibri" w:hAnsi="Calibri" w:cs="Calibri"/>
        </w:rPr>
      </w:pPr>
      <w:r w:rsidRPr="009146EB">
        <w:rPr>
          <w:rFonts w:ascii="Calibri" w:hAnsi="Calibri" w:cs="Calibri"/>
        </w:rPr>
        <w:t xml:space="preserve">Chartered Institute of Personnel and Development (CIPD) (2023) Redundancy: Employer Guidance on Legal Obligations and Best Practice. Available at: https://www.cipd.org (Accessed: </w:t>
      </w:r>
      <w:r w:rsidR="00227C06">
        <w:rPr>
          <w:rFonts w:ascii="Calibri" w:hAnsi="Calibri" w:cs="Calibri"/>
        </w:rPr>
        <w:t>02</w:t>
      </w:r>
      <w:r w:rsidRPr="009146EB">
        <w:rPr>
          <w:rFonts w:ascii="Calibri" w:hAnsi="Calibri" w:cs="Calibri"/>
        </w:rPr>
        <w:t xml:space="preserve"> May 2025).</w:t>
      </w:r>
    </w:p>
    <w:p w14:paraId="2A045360" w14:textId="77777777" w:rsidR="009146EB" w:rsidRPr="009146EB" w:rsidRDefault="009146EB" w:rsidP="009146EB">
      <w:pPr>
        <w:rPr>
          <w:rFonts w:ascii="Calibri" w:hAnsi="Calibri" w:cs="Calibri"/>
        </w:rPr>
      </w:pPr>
      <w:r w:rsidRPr="009146EB">
        <w:rPr>
          <w:rFonts w:ascii="Calibri" w:hAnsi="Calibri" w:cs="Calibri"/>
        </w:rPr>
        <w:t>Chartered Institute of Personnel and Development (CIPD) (2023) Reward Management: Equal Pay. Available at: https://www.cipd.org (Accessed: 15 May 2025).</w:t>
      </w:r>
    </w:p>
    <w:p w14:paraId="02FF4DB0" w14:textId="6B390C8A" w:rsidR="009146EB" w:rsidRPr="009146EB" w:rsidRDefault="009146EB" w:rsidP="009146EB">
      <w:pPr>
        <w:rPr>
          <w:rFonts w:ascii="Calibri" w:hAnsi="Calibri" w:cs="Calibri"/>
        </w:rPr>
      </w:pPr>
      <w:r w:rsidRPr="009146EB">
        <w:rPr>
          <w:rFonts w:ascii="Calibri" w:hAnsi="Calibri" w:cs="Calibri"/>
        </w:rPr>
        <w:t xml:space="preserve">Chartered Institute of Personnel and Development (CIPD) (2023) TUPE factsheet. Available at: https://www.cipd.co.uk/knowledge/fundamentals/emp-law/tupe (Accessed: </w:t>
      </w:r>
      <w:r w:rsidR="00227C06">
        <w:rPr>
          <w:rFonts w:ascii="Calibri" w:hAnsi="Calibri" w:cs="Calibri"/>
        </w:rPr>
        <w:t>02</w:t>
      </w:r>
      <w:r w:rsidRPr="009146EB">
        <w:rPr>
          <w:rFonts w:ascii="Calibri" w:hAnsi="Calibri" w:cs="Calibri"/>
        </w:rPr>
        <w:t xml:space="preserve"> May 2025).</w:t>
      </w:r>
    </w:p>
    <w:p w14:paraId="17541B2D" w14:textId="77777777" w:rsidR="009146EB" w:rsidRPr="009146EB" w:rsidRDefault="009146EB" w:rsidP="009146EB">
      <w:pPr>
        <w:rPr>
          <w:rFonts w:ascii="Calibri" w:hAnsi="Calibri" w:cs="Calibri"/>
        </w:rPr>
      </w:pPr>
      <w:r w:rsidRPr="009146EB">
        <w:rPr>
          <w:rFonts w:ascii="Calibri" w:hAnsi="Calibri" w:cs="Calibri"/>
        </w:rPr>
        <w:t>Chartered Institute of Personnel and Development (CIPD) (2023) Varying Contracts of Employment. Available at: https://www.cipd.org (Accessed: 17 May 2025).</w:t>
      </w:r>
    </w:p>
    <w:p w14:paraId="10A356B5" w14:textId="77777777" w:rsidR="009146EB" w:rsidRDefault="009146EB" w:rsidP="009146EB">
      <w:pPr>
        <w:rPr>
          <w:rFonts w:ascii="Calibri" w:hAnsi="Calibri" w:cs="Calibri"/>
        </w:rPr>
      </w:pPr>
      <w:r w:rsidRPr="009146EB">
        <w:rPr>
          <w:rFonts w:ascii="Calibri" w:hAnsi="Calibri" w:cs="Calibri"/>
        </w:rPr>
        <w:t xml:space="preserve">Daniels, K. (2022) Introduction to Employment Law: Fundamentals for HR and Business Students. 6th </w:t>
      </w:r>
      <w:proofErr w:type="spellStart"/>
      <w:r w:rsidRPr="009146EB">
        <w:rPr>
          <w:rFonts w:ascii="Calibri" w:hAnsi="Calibri" w:cs="Calibri"/>
        </w:rPr>
        <w:t>edn</w:t>
      </w:r>
      <w:proofErr w:type="spellEnd"/>
      <w:r w:rsidRPr="009146EB">
        <w:rPr>
          <w:rFonts w:ascii="Calibri" w:hAnsi="Calibri" w:cs="Calibri"/>
        </w:rPr>
        <w:t>. London: Kogan Page.</w:t>
      </w:r>
    </w:p>
    <w:p w14:paraId="50D5AA6A" w14:textId="59A7A5E5" w:rsidR="00BE28A0" w:rsidRPr="009146EB" w:rsidRDefault="00BE28A0" w:rsidP="009146EB">
      <w:pPr>
        <w:rPr>
          <w:rFonts w:ascii="Calibri" w:hAnsi="Calibri" w:cs="Calibri"/>
        </w:rPr>
      </w:pPr>
      <w:r w:rsidRPr="00BE28A0">
        <w:rPr>
          <w:rFonts w:ascii="Calibri" w:hAnsi="Calibri" w:cs="Calibri"/>
        </w:rPr>
        <w:t xml:space="preserve">Department for Business and Trade (2023) Employment status and employment rights: Guidance for HR professionals, legal professionals and other groups. Available at: </w:t>
      </w:r>
      <w:hyperlink r:id="rId12" w:tgtFrame="_new" w:history="1">
        <w:r w:rsidRPr="00BE28A0">
          <w:rPr>
            <w:rStyle w:val="Hyperlink"/>
            <w:rFonts w:ascii="Calibri" w:hAnsi="Calibri" w:cs="Calibri"/>
            <w:color w:val="auto"/>
            <w:u w:val="none"/>
          </w:rPr>
          <w:t>https://www.gov.uk/government/publications/employment-status-and-employment-rights/employment-status-and-employment-rights-guidance-for-hr-professionals-legal-professionals-and-other-groups</w:t>
        </w:r>
      </w:hyperlink>
      <w:r w:rsidRPr="00BE28A0">
        <w:rPr>
          <w:rFonts w:ascii="Calibri" w:hAnsi="Calibri" w:cs="Calibri"/>
        </w:rPr>
        <w:t xml:space="preserve"> (Accessed: </w:t>
      </w:r>
      <w:r>
        <w:rPr>
          <w:rFonts w:ascii="Calibri" w:hAnsi="Calibri" w:cs="Calibri"/>
        </w:rPr>
        <w:t>15</w:t>
      </w:r>
      <w:r w:rsidRPr="00BE28A0">
        <w:rPr>
          <w:rFonts w:ascii="Calibri" w:hAnsi="Calibri" w:cs="Calibri"/>
        </w:rPr>
        <w:t xml:space="preserve"> May 2025).</w:t>
      </w:r>
    </w:p>
    <w:p w14:paraId="0767CF5E" w14:textId="77777777" w:rsidR="009146EB" w:rsidRPr="009146EB" w:rsidRDefault="009146EB" w:rsidP="009146EB">
      <w:pPr>
        <w:rPr>
          <w:rFonts w:ascii="Calibri" w:hAnsi="Calibri" w:cs="Calibri"/>
        </w:rPr>
      </w:pPr>
      <w:r w:rsidRPr="009146EB">
        <w:rPr>
          <w:rFonts w:ascii="Calibri" w:hAnsi="Calibri" w:cs="Calibri"/>
        </w:rPr>
        <w:t>Equality and Human Rights Commission (2023) Employment: Occupational Requirements. Available at: https://www.equalityhumanrights.com (Accessed: 15 May 2025).</w:t>
      </w:r>
    </w:p>
    <w:p w14:paraId="348AF5F5" w14:textId="4BFD7469" w:rsidR="009146EB" w:rsidRPr="009146EB" w:rsidRDefault="009146EB" w:rsidP="009146EB">
      <w:pPr>
        <w:rPr>
          <w:rFonts w:ascii="Calibri" w:hAnsi="Calibri" w:cs="Calibri"/>
        </w:rPr>
      </w:pPr>
      <w:r w:rsidRPr="009146EB">
        <w:rPr>
          <w:rFonts w:ascii="Calibri" w:hAnsi="Calibri" w:cs="Calibri"/>
        </w:rPr>
        <w:t xml:space="preserve">HR Magazine (2024) Brexit and Employment Law: What’s Changed? Available at: </w:t>
      </w:r>
      <w:hyperlink r:id="rId13" w:history="1">
        <w:r w:rsidR="00111774" w:rsidRPr="00111774">
          <w:rPr>
            <w:rStyle w:val="Hyperlink"/>
            <w:rFonts w:ascii="Calibri" w:hAnsi="Calibri" w:cs="Calibri"/>
            <w:color w:val="auto"/>
            <w:u w:val="none"/>
          </w:rPr>
          <w:t>HR Magazine - UK employment law after Brexit</w:t>
        </w:r>
      </w:hyperlink>
      <w:r w:rsidR="00111774" w:rsidRPr="00111774">
        <w:rPr>
          <w:rFonts w:ascii="Calibri" w:hAnsi="Calibri" w:cs="Calibri"/>
        </w:rPr>
        <w:t xml:space="preserve"> </w:t>
      </w:r>
      <w:r w:rsidRPr="009146EB">
        <w:rPr>
          <w:rFonts w:ascii="Calibri" w:hAnsi="Calibri" w:cs="Calibri"/>
        </w:rPr>
        <w:t>(Accessed: 2</w:t>
      </w:r>
      <w:r w:rsidR="00227C06">
        <w:rPr>
          <w:rFonts w:ascii="Calibri" w:hAnsi="Calibri" w:cs="Calibri"/>
        </w:rPr>
        <w:t>0</w:t>
      </w:r>
      <w:r w:rsidRPr="009146EB">
        <w:rPr>
          <w:rFonts w:ascii="Calibri" w:hAnsi="Calibri" w:cs="Calibri"/>
        </w:rPr>
        <w:t xml:space="preserve"> </w:t>
      </w:r>
      <w:r w:rsidR="00227C06">
        <w:rPr>
          <w:rFonts w:ascii="Calibri" w:hAnsi="Calibri" w:cs="Calibri"/>
        </w:rPr>
        <w:t>April</w:t>
      </w:r>
      <w:r w:rsidRPr="009146EB">
        <w:rPr>
          <w:rFonts w:ascii="Calibri" w:hAnsi="Calibri" w:cs="Calibri"/>
        </w:rPr>
        <w:t xml:space="preserve"> 2025).</w:t>
      </w:r>
    </w:p>
    <w:p w14:paraId="520A834E" w14:textId="5CC0A390" w:rsidR="009146EB" w:rsidRDefault="009146EB" w:rsidP="009146EB">
      <w:pPr>
        <w:rPr>
          <w:rFonts w:ascii="Calibri" w:hAnsi="Calibri" w:cs="Calibri"/>
        </w:rPr>
      </w:pPr>
      <w:r w:rsidRPr="009146EB">
        <w:rPr>
          <w:rFonts w:ascii="Calibri" w:hAnsi="Calibri" w:cs="Calibri"/>
        </w:rPr>
        <w:t xml:space="preserve">HR Magazine (2024) Changes to Holiday Pay Rules from January 2024. Available at: </w:t>
      </w:r>
      <w:hyperlink r:id="rId14" w:history="1">
        <w:r w:rsidR="007D1FCE" w:rsidRPr="007D1FCE">
          <w:rPr>
            <w:rStyle w:val="Hyperlink"/>
            <w:rFonts w:ascii="Calibri" w:hAnsi="Calibri" w:cs="Calibri"/>
            <w:color w:val="auto"/>
            <w:u w:val="none"/>
          </w:rPr>
          <w:t>HR Magazine - How is holiday pay changing?</w:t>
        </w:r>
      </w:hyperlink>
      <w:r w:rsidR="007D1FCE" w:rsidRPr="007D1FCE">
        <w:rPr>
          <w:rFonts w:ascii="Calibri" w:hAnsi="Calibri" w:cs="Calibri"/>
        </w:rPr>
        <w:t xml:space="preserve"> </w:t>
      </w:r>
      <w:r w:rsidRPr="009146EB">
        <w:rPr>
          <w:rFonts w:ascii="Calibri" w:hAnsi="Calibri" w:cs="Calibri"/>
        </w:rPr>
        <w:t>(Accessed: 2</w:t>
      </w:r>
      <w:r w:rsidR="00227C06">
        <w:rPr>
          <w:rFonts w:ascii="Calibri" w:hAnsi="Calibri" w:cs="Calibri"/>
        </w:rPr>
        <w:t>1 April</w:t>
      </w:r>
      <w:r w:rsidRPr="009146EB">
        <w:rPr>
          <w:rFonts w:ascii="Calibri" w:hAnsi="Calibri" w:cs="Calibri"/>
        </w:rPr>
        <w:t xml:space="preserve"> 2025).</w:t>
      </w:r>
    </w:p>
    <w:p w14:paraId="284BAB78" w14:textId="39007F9B" w:rsidR="00B423A8" w:rsidRPr="009146EB" w:rsidRDefault="00B423A8" w:rsidP="009146EB">
      <w:pPr>
        <w:rPr>
          <w:rFonts w:ascii="Calibri" w:hAnsi="Calibri" w:cs="Calibri"/>
        </w:rPr>
      </w:pPr>
      <w:r w:rsidRPr="00B423A8">
        <w:rPr>
          <w:rFonts w:ascii="Calibri" w:hAnsi="Calibri" w:cs="Calibri"/>
        </w:rPr>
        <w:t xml:space="preserve">HR Magazine (2024) </w:t>
      </w:r>
      <w:r w:rsidRPr="00B423A8">
        <w:rPr>
          <w:rFonts w:ascii="Calibri" w:hAnsi="Calibri" w:cs="Calibri"/>
          <w:i/>
          <w:iCs/>
        </w:rPr>
        <w:t>Post-Brexit legal changes: TUPE or not TUPE</w:t>
      </w:r>
      <w:r w:rsidRPr="00B423A8">
        <w:rPr>
          <w:rFonts w:ascii="Calibri" w:hAnsi="Calibri" w:cs="Calibri"/>
        </w:rPr>
        <w:t xml:space="preserve">. Available at: </w:t>
      </w:r>
      <w:hyperlink r:id="rId15" w:tgtFrame="_new" w:history="1">
        <w:r w:rsidRPr="00B423A8">
          <w:rPr>
            <w:rStyle w:val="Hyperlink"/>
            <w:rFonts w:ascii="Calibri" w:hAnsi="Calibri" w:cs="Calibri"/>
            <w:color w:val="auto"/>
            <w:u w:val="none"/>
          </w:rPr>
          <w:t>https://www.hrmagazine.co.uk/content/features/post-brexit-legal-changes-tupe-or-not-tupe</w:t>
        </w:r>
      </w:hyperlink>
      <w:r w:rsidRPr="00B423A8">
        <w:rPr>
          <w:rFonts w:ascii="Calibri" w:hAnsi="Calibri" w:cs="Calibri"/>
        </w:rPr>
        <w:t xml:space="preserve"> (Accessed:</w:t>
      </w:r>
      <w:r>
        <w:rPr>
          <w:rFonts w:ascii="Calibri" w:hAnsi="Calibri" w:cs="Calibri"/>
        </w:rPr>
        <w:t xml:space="preserve"> 15 </w:t>
      </w:r>
      <w:r w:rsidRPr="00B423A8">
        <w:rPr>
          <w:rFonts w:ascii="Calibri" w:hAnsi="Calibri" w:cs="Calibri"/>
        </w:rPr>
        <w:t>May 2025)</w:t>
      </w:r>
    </w:p>
    <w:p w14:paraId="785C363A" w14:textId="22CD8C5E" w:rsidR="009146EB" w:rsidRPr="009146EB" w:rsidRDefault="009146EB" w:rsidP="009146EB">
      <w:pPr>
        <w:rPr>
          <w:rFonts w:ascii="Calibri" w:hAnsi="Calibri" w:cs="Calibri"/>
        </w:rPr>
      </w:pPr>
      <w:r w:rsidRPr="009146EB">
        <w:rPr>
          <w:rFonts w:ascii="Calibri" w:hAnsi="Calibri" w:cs="Calibri"/>
        </w:rPr>
        <w:t xml:space="preserve">Maternity Action (2023) Shared Parental Leave and Pay – A Guide for Parents. Available at: </w:t>
      </w:r>
      <w:hyperlink r:id="rId16" w:history="1">
        <w:r w:rsidR="00497FBD" w:rsidRPr="004B02D6">
          <w:rPr>
            <w:rStyle w:val="Hyperlink"/>
            <w:rFonts w:ascii="Calibri" w:hAnsi="Calibri" w:cs="Calibri"/>
            <w:color w:val="auto"/>
            <w:u w:val="none"/>
          </w:rPr>
          <w:t>ShPlEvalParentalSurveyBriefing-July2022-FINAL.pdf</w:t>
        </w:r>
      </w:hyperlink>
      <w:r w:rsidR="00497FBD" w:rsidRPr="00497FBD">
        <w:rPr>
          <w:rFonts w:ascii="Calibri" w:hAnsi="Calibri" w:cs="Calibri"/>
        </w:rPr>
        <w:t xml:space="preserve"> </w:t>
      </w:r>
      <w:r w:rsidRPr="009146EB">
        <w:rPr>
          <w:rFonts w:ascii="Calibri" w:hAnsi="Calibri" w:cs="Calibri"/>
        </w:rPr>
        <w:t xml:space="preserve">(Accessed: </w:t>
      </w:r>
      <w:r w:rsidR="00227C06">
        <w:rPr>
          <w:rFonts w:ascii="Calibri" w:hAnsi="Calibri" w:cs="Calibri"/>
        </w:rPr>
        <w:t>05</w:t>
      </w:r>
      <w:r w:rsidRPr="009146EB">
        <w:rPr>
          <w:rFonts w:ascii="Calibri" w:hAnsi="Calibri" w:cs="Calibri"/>
        </w:rPr>
        <w:t xml:space="preserve"> May 2025).</w:t>
      </w:r>
    </w:p>
    <w:p w14:paraId="049948AF" w14:textId="77777777" w:rsidR="009146EB" w:rsidRPr="009146EB" w:rsidRDefault="009146EB" w:rsidP="009146EB">
      <w:pPr>
        <w:rPr>
          <w:rFonts w:ascii="Calibri" w:hAnsi="Calibri" w:cs="Calibri"/>
        </w:rPr>
      </w:pPr>
      <w:r w:rsidRPr="009146EB">
        <w:rPr>
          <w:rFonts w:ascii="Calibri" w:hAnsi="Calibri" w:cs="Calibri"/>
        </w:rPr>
        <w:t>People Management (2023) How to Handle Constructive Dismissal Claims. Available at: https://www.peoplemanagement.co.uk (Accessed: 17 May 2025).</w:t>
      </w:r>
    </w:p>
    <w:p w14:paraId="07860D90" w14:textId="0D5348E0" w:rsidR="009146EB" w:rsidRPr="009146EB" w:rsidRDefault="009146EB" w:rsidP="009146EB">
      <w:pPr>
        <w:rPr>
          <w:rFonts w:ascii="Calibri" w:hAnsi="Calibri" w:cs="Calibri"/>
        </w:rPr>
      </w:pPr>
      <w:r w:rsidRPr="009146EB">
        <w:rPr>
          <w:rFonts w:ascii="Calibri" w:hAnsi="Calibri" w:cs="Calibri"/>
        </w:rPr>
        <w:lastRenderedPageBreak/>
        <w:t xml:space="preserve">People Management (2024) TUPE and Post-Brexit Changes. Available at: https://www.peoplemanagement.co.uk (Accessed: </w:t>
      </w:r>
      <w:r w:rsidR="00227C06">
        <w:rPr>
          <w:rFonts w:ascii="Calibri" w:hAnsi="Calibri" w:cs="Calibri"/>
        </w:rPr>
        <w:t>15</w:t>
      </w:r>
      <w:r w:rsidRPr="009146EB">
        <w:rPr>
          <w:rFonts w:ascii="Calibri" w:hAnsi="Calibri" w:cs="Calibri"/>
        </w:rPr>
        <w:t xml:space="preserve"> May 2025).</w:t>
      </w:r>
    </w:p>
    <w:p w14:paraId="03DA9084" w14:textId="77777777" w:rsidR="008A094E" w:rsidRPr="00EA6780" w:rsidRDefault="009146EB" w:rsidP="008A094E">
      <w:pPr>
        <w:rPr>
          <w:rFonts w:ascii="Calibri" w:hAnsi="Calibri" w:cs="Calibri"/>
        </w:rPr>
      </w:pPr>
      <w:r w:rsidRPr="009146EB">
        <w:rPr>
          <w:rFonts w:ascii="Calibri" w:hAnsi="Calibri" w:cs="Calibri"/>
        </w:rPr>
        <w:t>Personnel Today (2024) Retained EU Law Explained. Available at: https://www.personneltoday.com</w:t>
      </w:r>
      <w:r w:rsidR="008A094E" w:rsidRPr="008A094E">
        <w:rPr>
          <w:rFonts w:ascii="Calibri" w:hAnsi="Calibri" w:cs="Calibri"/>
        </w:rPr>
        <w:t>/hr/eu-law-bill-stalled/</w:t>
      </w:r>
    </w:p>
    <w:p w14:paraId="3CC2F254" w14:textId="72E6C282" w:rsidR="009146EB" w:rsidRPr="009146EB" w:rsidRDefault="009146EB" w:rsidP="009146EB">
      <w:pPr>
        <w:rPr>
          <w:rFonts w:ascii="Calibri" w:hAnsi="Calibri" w:cs="Calibri"/>
        </w:rPr>
      </w:pPr>
      <w:r w:rsidRPr="009146EB">
        <w:rPr>
          <w:rFonts w:ascii="Calibri" w:hAnsi="Calibri" w:cs="Calibri"/>
        </w:rPr>
        <w:t>(Accessed: 2</w:t>
      </w:r>
      <w:r w:rsidR="00227C06">
        <w:rPr>
          <w:rFonts w:ascii="Calibri" w:hAnsi="Calibri" w:cs="Calibri"/>
        </w:rPr>
        <w:t>1 April</w:t>
      </w:r>
      <w:r w:rsidRPr="009146EB">
        <w:rPr>
          <w:rFonts w:ascii="Calibri" w:hAnsi="Calibri" w:cs="Calibri"/>
        </w:rPr>
        <w:t xml:space="preserve"> 2025).</w:t>
      </w:r>
    </w:p>
    <w:p w14:paraId="1DD75004" w14:textId="630A9FDC" w:rsidR="009146EB" w:rsidRPr="009146EB" w:rsidRDefault="009146EB" w:rsidP="009146EB">
      <w:pPr>
        <w:rPr>
          <w:rFonts w:ascii="Calibri" w:hAnsi="Calibri" w:cs="Calibri"/>
        </w:rPr>
      </w:pPr>
      <w:r w:rsidRPr="009146EB">
        <w:rPr>
          <w:rFonts w:ascii="Calibri" w:hAnsi="Calibri" w:cs="Calibri"/>
        </w:rPr>
        <w:t xml:space="preserve">Shared Parental Leave Regulations 2014. (SI 2014/3050). Available at: https://www.legislation.gov.uk/uksi/2014/3050/contents/made (Accessed: </w:t>
      </w:r>
      <w:r w:rsidR="00227C06">
        <w:rPr>
          <w:rFonts w:ascii="Calibri" w:hAnsi="Calibri" w:cs="Calibri"/>
        </w:rPr>
        <w:t>05</w:t>
      </w:r>
      <w:r w:rsidRPr="009146EB">
        <w:rPr>
          <w:rFonts w:ascii="Calibri" w:hAnsi="Calibri" w:cs="Calibri"/>
        </w:rPr>
        <w:t xml:space="preserve"> May 2025).</w:t>
      </w:r>
    </w:p>
    <w:p w14:paraId="68257893" w14:textId="4121F421" w:rsidR="009146EB" w:rsidRPr="009146EB" w:rsidRDefault="009146EB" w:rsidP="009146EB">
      <w:pPr>
        <w:rPr>
          <w:rFonts w:ascii="Calibri" w:hAnsi="Calibri" w:cs="Calibri"/>
        </w:rPr>
      </w:pPr>
      <w:r w:rsidRPr="009146EB">
        <w:rPr>
          <w:rFonts w:ascii="Calibri" w:hAnsi="Calibri" w:cs="Calibri"/>
        </w:rPr>
        <w:t xml:space="preserve">Working Time Regulations 1998. (SI 1998/1833). London: The Stationery Office. Available at: https://www.legislation.gov.uk/uksi/1998/1833/contents/made (Accessed: </w:t>
      </w:r>
      <w:r w:rsidR="00227C06">
        <w:rPr>
          <w:rFonts w:ascii="Calibri" w:hAnsi="Calibri" w:cs="Calibri"/>
        </w:rPr>
        <w:t>21</w:t>
      </w:r>
      <w:r w:rsidRPr="009146EB">
        <w:rPr>
          <w:rFonts w:ascii="Calibri" w:hAnsi="Calibri" w:cs="Calibri"/>
        </w:rPr>
        <w:t xml:space="preserve"> May 2025).</w:t>
      </w:r>
    </w:p>
    <w:p w14:paraId="524A32CE" w14:textId="72132448" w:rsidR="00564A80" w:rsidRPr="00EA6780" w:rsidRDefault="00564A80" w:rsidP="00212DA7">
      <w:pPr>
        <w:rPr>
          <w:rFonts w:ascii="Calibri" w:hAnsi="Calibri" w:cs="Calibri"/>
        </w:rPr>
      </w:pPr>
    </w:p>
    <w:sectPr w:rsidR="00564A80" w:rsidRPr="00EA6780" w:rsidSect="007F4F51">
      <w:pgSz w:w="11906" w:h="16838" w:code="9"/>
      <w:pgMar w:top="992" w:right="992" w:bottom="1134" w:left="992" w:header="567" w:footer="397"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venir Next LT Pro Light">
    <w:charset w:val="00"/>
    <w:family w:val="swiss"/>
    <w:pitch w:val="variable"/>
    <w:sig w:usb0="A00000EF" w:usb1="5000204B" w:usb2="00000000" w:usb3="00000000" w:csb0="00000093"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3767B"/>
    <w:multiLevelType w:val="multilevel"/>
    <w:tmpl w:val="AD8A069C"/>
    <w:numStyleLink w:val="ListNumbers"/>
  </w:abstractNum>
  <w:abstractNum w:abstractNumId="1" w15:restartNumberingAfterBreak="0">
    <w:nsid w:val="3592520B"/>
    <w:multiLevelType w:val="multilevel"/>
    <w:tmpl w:val="5DA4F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656D89"/>
    <w:multiLevelType w:val="multilevel"/>
    <w:tmpl w:val="E9A4F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D10806"/>
    <w:multiLevelType w:val="multilevel"/>
    <w:tmpl w:val="E6782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7A25E2"/>
    <w:multiLevelType w:val="multilevel"/>
    <w:tmpl w:val="05640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3C6ADB"/>
    <w:multiLevelType w:val="multilevel"/>
    <w:tmpl w:val="4CF60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F57664"/>
    <w:multiLevelType w:val="multilevel"/>
    <w:tmpl w:val="82D6B160"/>
    <w:styleLink w:val="ListBullets"/>
    <w:lvl w:ilvl="0">
      <w:start w:val="1"/>
      <w:numFmt w:val="bullet"/>
      <w:lvlRestart w:val="0"/>
      <w:pStyle w:val="ListBullet"/>
      <w:lvlText w:val=""/>
      <w:lvlJc w:val="left"/>
      <w:pPr>
        <w:tabs>
          <w:tab w:val="num" w:pos="357"/>
        </w:tabs>
        <w:ind w:left="714" w:hanging="357"/>
      </w:pPr>
      <w:rPr>
        <w:rFonts w:ascii="Symbol" w:hAnsi="Symbol" w:hint="default"/>
        <w:color w:val="9F7FC9" w:themeColor="accent2"/>
      </w:rPr>
    </w:lvl>
    <w:lvl w:ilvl="1">
      <w:start w:val="1"/>
      <w:numFmt w:val="bullet"/>
      <w:pStyle w:val="ListBullet2"/>
      <w:lvlText w:val="o"/>
      <w:lvlJc w:val="left"/>
      <w:pPr>
        <w:tabs>
          <w:tab w:val="num" w:pos="714"/>
        </w:tabs>
        <w:ind w:left="1071" w:hanging="357"/>
      </w:pPr>
      <w:rPr>
        <w:rFonts w:ascii="Courier New" w:hAnsi="Courier New" w:hint="default"/>
        <w:color w:val="9F7FC9" w:themeColor="accent2"/>
      </w:rPr>
    </w:lvl>
    <w:lvl w:ilvl="2">
      <w:start w:val="1"/>
      <w:numFmt w:val="bullet"/>
      <w:pStyle w:val="ListBullet3"/>
      <w:lvlText w:val=""/>
      <w:lvlJc w:val="left"/>
      <w:pPr>
        <w:tabs>
          <w:tab w:val="num" w:pos="1071"/>
        </w:tabs>
        <w:ind w:left="1428" w:hanging="357"/>
      </w:pPr>
      <w:rPr>
        <w:rFonts w:ascii="Wingdings" w:hAnsi="Wingdings" w:hint="default"/>
        <w:color w:val="9F7FC9" w:themeColor="accent2"/>
      </w:rPr>
    </w:lvl>
    <w:lvl w:ilvl="3">
      <w:start w:val="1"/>
      <w:numFmt w:val="bullet"/>
      <w:lvlText w:val=""/>
      <w:lvlJc w:val="left"/>
      <w:pPr>
        <w:tabs>
          <w:tab w:val="num" w:pos="1428"/>
        </w:tabs>
        <w:ind w:left="1785" w:hanging="357"/>
      </w:pPr>
      <w:rPr>
        <w:rFonts w:ascii="Symbol" w:hAnsi="Symbol" w:hint="default"/>
        <w:color w:val="9F7FC9" w:themeColor="accent2"/>
      </w:rPr>
    </w:lvl>
    <w:lvl w:ilvl="4">
      <w:start w:val="1"/>
      <w:numFmt w:val="bullet"/>
      <w:lvlText w:val="o"/>
      <w:lvlJc w:val="left"/>
      <w:pPr>
        <w:tabs>
          <w:tab w:val="num" w:pos="1785"/>
        </w:tabs>
        <w:ind w:left="2142" w:hanging="357"/>
      </w:pPr>
      <w:rPr>
        <w:rFonts w:ascii="Courier New" w:hAnsi="Courier New" w:hint="default"/>
        <w:color w:val="9F7FC9" w:themeColor="accent2"/>
      </w:rPr>
    </w:lvl>
    <w:lvl w:ilvl="5">
      <w:start w:val="1"/>
      <w:numFmt w:val="bullet"/>
      <w:lvlText w:val=""/>
      <w:lvlJc w:val="left"/>
      <w:pPr>
        <w:tabs>
          <w:tab w:val="num" w:pos="2142"/>
        </w:tabs>
        <w:ind w:left="2499" w:hanging="357"/>
      </w:pPr>
      <w:rPr>
        <w:rFonts w:ascii="Wingdings" w:hAnsi="Wingdings" w:hint="default"/>
        <w:color w:val="9F7FC9" w:themeColor="accent2"/>
      </w:rPr>
    </w:lvl>
    <w:lvl w:ilvl="6">
      <w:start w:val="1"/>
      <w:numFmt w:val="bullet"/>
      <w:lvlText w:val=""/>
      <w:lvlJc w:val="left"/>
      <w:pPr>
        <w:tabs>
          <w:tab w:val="num" w:pos="2499"/>
        </w:tabs>
        <w:ind w:left="2856" w:hanging="357"/>
      </w:pPr>
      <w:rPr>
        <w:rFonts w:ascii="Symbol" w:hAnsi="Symbol" w:hint="default"/>
        <w:color w:val="9F7FC9" w:themeColor="accent2"/>
      </w:rPr>
    </w:lvl>
    <w:lvl w:ilvl="7">
      <w:start w:val="1"/>
      <w:numFmt w:val="bullet"/>
      <w:lvlText w:val="o"/>
      <w:lvlJc w:val="left"/>
      <w:pPr>
        <w:tabs>
          <w:tab w:val="num" w:pos="2856"/>
        </w:tabs>
        <w:ind w:left="3213" w:hanging="357"/>
      </w:pPr>
      <w:rPr>
        <w:rFonts w:ascii="Courier New" w:hAnsi="Courier New" w:hint="default"/>
        <w:color w:val="9F7FC9" w:themeColor="accent2"/>
      </w:rPr>
    </w:lvl>
    <w:lvl w:ilvl="8">
      <w:start w:val="1"/>
      <w:numFmt w:val="bullet"/>
      <w:lvlText w:val=""/>
      <w:lvlJc w:val="left"/>
      <w:pPr>
        <w:tabs>
          <w:tab w:val="num" w:pos="3213"/>
        </w:tabs>
        <w:ind w:left="3570" w:hanging="357"/>
      </w:pPr>
      <w:rPr>
        <w:rFonts w:ascii="Wingdings" w:hAnsi="Wingdings" w:hint="default"/>
        <w:color w:val="9F7FC9" w:themeColor="accent2"/>
      </w:rPr>
    </w:lvl>
  </w:abstractNum>
  <w:abstractNum w:abstractNumId="7" w15:restartNumberingAfterBreak="0">
    <w:nsid w:val="52083563"/>
    <w:multiLevelType w:val="multilevel"/>
    <w:tmpl w:val="909E6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F9189F"/>
    <w:multiLevelType w:val="multilevel"/>
    <w:tmpl w:val="65F60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EF601B"/>
    <w:multiLevelType w:val="multilevel"/>
    <w:tmpl w:val="AD8A069C"/>
    <w:styleLink w:val="ListNumbers"/>
    <w:lvl w:ilvl="0">
      <w:start w:val="1"/>
      <w:numFmt w:val="decimal"/>
      <w:lvlRestart w:val="0"/>
      <w:pStyle w:val="ListNumber"/>
      <w:lvlText w:val="%1."/>
      <w:lvlJc w:val="left"/>
      <w:pPr>
        <w:ind w:left="357" w:hanging="357"/>
      </w:pPr>
      <w:rPr>
        <w:rFonts w:hint="default"/>
      </w:rPr>
    </w:lvl>
    <w:lvl w:ilvl="1">
      <w:start w:val="1"/>
      <w:numFmt w:val="decimal"/>
      <w:lvlText w:val="%1.%2."/>
      <w:lvlJc w:val="left"/>
      <w:pPr>
        <w:ind w:left="896" w:hanging="539"/>
      </w:pPr>
      <w:rPr>
        <w:rFonts w:hint="default"/>
      </w:rPr>
    </w:lvl>
    <w:lvl w:ilvl="2">
      <w:start w:val="1"/>
      <w:numFmt w:val="decimal"/>
      <w:lvlText w:val="%1.%2.%3."/>
      <w:lvlJc w:val="left"/>
      <w:pPr>
        <w:ind w:left="1701" w:hanging="805"/>
      </w:pPr>
      <w:rPr>
        <w:rFonts w:hint="default"/>
      </w:rPr>
    </w:lvl>
    <w:lvl w:ilvl="3">
      <w:start w:val="1"/>
      <w:numFmt w:val="none"/>
      <w:lvlText w:val=""/>
      <w:lvlJc w:val="left"/>
      <w:pPr>
        <w:ind w:left="357" w:hanging="357"/>
      </w:pPr>
      <w:rPr>
        <w:rFonts w:hint="default"/>
      </w:rPr>
    </w:lvl>
    <w:lvl w:ilvl="4">
      <w:start w:val="1"/>
      <w:numFmt w:val="none"/>
      <w:lvlText w:val=""/>
      <w:lvlJc w:val="left"/>
      <w:pPr>
        <w:ind w:left="357" w:hanging="357"/>
      </w:pPr>
      <w:rPr>
        <w:rFonts w:hint="default"/>
      </w:rPr>
    </w:lvl>
    <w:lvl w:ilvl="5">
      <w:start w:val="1"/>
      <w:numFmt w:val="none"/>
      <w:lvlText w:val=""/>
      <w:lvlJc w:val="left"/>
      <w:pPr>
        <w:ind w:left="357" w:hanging="357"/>
      </w:pPr>
      <w:rPr>
        <w:rFonts w:hint="default"/>
      </w:rPr>
    </w:lvl>
    <w:lvl w:ilvl="6">
      <w:start w:val="1"/>
      <w:numFmt w:val="none"/>
      <w:lvlText w:val=""/>
      <w:lvlJc w:val="left"/>
      <w:pPr>
        <w:ind w:left="357" w:hanging="357"/>
      </w:pPr>
      <w:rPr>
        <w:rFonts w:hint="default"/>
      </w:rPr>
    </w:lvl>
    <w:lvl w:ilvl="7">
      <w:start w:val="1"/>
      <w:numFmt w:val="none"/>
      <w:lvlText w:val=""/>
      <w:lvlJc w:val="left"/>
      <w:pPr>
        <w:ind w:left="357" w:hanging="357"/>
      </w:pPr>
      <w:rPr>
        <w:rFonts w:hint="default"/>
      </w:rPr>
    </w:lvl>
    <w:lvl w:ilvl="8">
      <w:start w:val="1"/>
      <w:numFmt w:val="none"/>
      <w:lvlText w:val=""/>
      <w:lvlJc w:val="left"/>
      <w:pPr>
        <w:ind w:left="357" w:hanging="357"/>
      </w:pPr>
      <w:rPr>
        <w:rFonts w:hint="default"/>
      </w:rPr>
    </w:lvl>
  </w:abstractNum>
  <w:abstractNum w:abstractNumId="10" w15:restartNumberingAfterBreak="0">
    <w:nsid w:val="6EBC0147"/>
    <w:multiLevelType w:val="multilevel"/>
    <w:tmpl w:val="4D5E7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9704C6"/>
    <w:multiLevelType w:val="multilevel"/>
    <w:tmpl w:val="B62C2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2658D3"/>
    <w:multiLevelType w:val="multilevel"/>
    <w:tmpl w:val="E2F6A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4469858">
    <w:abstractNumId w:val="6"/>
  </w:num>
  <w:num w:numId="2" w16cid:durableId="4404828">
    <w:abstractNumId w:val="9"/>
  </w:num>
  <w:num w:numId="3" w16cid:durableId="1887373936">
    <w:abstractNumId w:val="0"/>
  </w:num>
  <w:num w:numId="4" w16cid:durableId="976300243">
    <w:abstractNumId w:val="11"/>
  </w:num>
  <w:num w:numId="5" w16cid:durableId="221257885">
    <w:abstractNumId w:val="10"/>
  </w:num>
  <w:num w:numId="6" w16cid:durableId="1307854065">
    <w:abstractNumId w:val="8"/>
  </w:num>
  <w:num w:numId="7" w16cid:durableId="452332402">
    <w:abstractNumId w:val="2"/>
  </w:num>
  <w:num w:numId="8" w16cid:durableId="2079938682">
    <w:abstractNumId w:val="7"/>
  </w:num>
  <w:num w:numId="9" w16cid:durableId="1783723251">
    <w:abstractNumId w:val="1"/>
  </w:num>
  <w:num w:numId="10" w16cid:durableId="136076342">
    <w:abstractNumId w:val="5"/>
  </w:num>
  <w:num w:numId="11" w16cid:durableId="1540167647">
    <w:abstractNumId w:val="4"/>
  </w:num>
  <w:num w:numId="12" w16cid:durableId="316615799">
    <w:abstractNumId w:val="12"/>
  </w:num>
  <w:num w:numId="13" w16cid:durableId="309868582">
    <w:abstractNumId w:val="3"/>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D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8AB"/>
    <w:rsid w:val="00034DD5"/>
    <w:rsid w:val="0003690C"/>
    <w:rsid w:val="0004019E"/>
    <w:rsid w:val="00074CB0"/>
    <w:rsid w:val="000A1D6A"/>
    <w:rsid w:val="000A1E39"/>
    <w:rsid w:val="000D4800"/>
    <w:rsid w:val="000E7326"/>
    <w:rsid w:val="00106542"/>
    <w:rsid w:val="00111774"/>
    <w:rsid w:val="00121E2B"/>
    <w:rsid w:val="001260A5"/>
    <w:rsid w:val="001F6BD2"/>
    <w:rsid w:val="00212DA7"/>
    <w:rsid w:val="002211B1"/>
    <w:rsid w:val="00227C06"/>
    <w:rsid w:val="00231A9B"/>
    <w:rsid w:val="00274DD8"/>
    <w:rsid w:val="0028191A"/>
    <w:rsid w:val="002A0631"/>
    <w:rsid w:val="002A66EB"/>
    <w:rsid w:val="0030033F"/>
    <w:rsid w:val="00316B55"/>
    <w:rsid w:val="00330B46"/>
    <w:rsid w:val="003403D7"/>
    <w:rsid w:val="00352A65"/>
    <w:rsid w:val="003B5112"/>
    <w:rsid w:val="003B5658"/>
    <w:rsid w:val="003C0140"/>
    <w:rsid w:val="003C213D"/>
    <w:rsid w:val="003D05B5"/>
    <w:rsid w:val="003D5DF6"/>
    <w:rsid w:val="003F02B0"/>
    <w:rsid w:val="003F4D16"/>
    <w:rsid w:val="00400292"/>
    <w:rsid w:val="00410A41"/>
    <w:rsid w:val="0044518F"/>
    <w:rsid w:val="00453812"/>
    <w:rsid w:val="00461021"/>
    <w:rsid w:val="004665A7"/>
    <w:rsid w:val="00473803"/>
    <w:rsid w:val="00481A2E"/>
    <w:rsid w:val="004919C7"/>
    <w:rsid w:val="00497FBD"/>
    <w:rsid w:val="004B02D6"/>
    <w:rsid w:val="004B66E5"/>
    <w:rsid w:val="004C2D3D"/>
    <w:rsid w:val="004C7455"/>
    <w:rsid w:val="004D6B36"/>
    <w:rsid w:val="00503EF3"/>
    <w:rsid w:val="005305F9"/>
    <w:rsid w:val="00564A80"/>
    <w:rsid w:val="005840AE"/>
    <w:rsid w:val="00592098"/>
    <w:rsid w:val="005A46C2"/>
    <w:rsid w:val="005A58B9"/>
    <w:rsid w:val="005A5FAE"/>
    <w:rsid w:val="005D55A5"/>
    <w:rsid w:val="005F3D9C"/>
    <w:rsid w:val="005F7CD6"/>
    <w:rsid w:val="00631584"/>
    <w:rsid w:val="00647FBE"/>
    <w:rsid w:val="006729B6"/>
    <w:rsid w:val="00683D42"/>
    <w:rsid w:val="0069544B"/>
    <w:rsid w:val="006B6C99"/>
    <w:rsid w:val="006C2AB1"/>
    <w:rsid w:val="006F5165"/>
    <w:rsid w:val="00733462"/>
    <w:rsid w:val="007413E6"/>
    <w:rsid w:val="00771FDB"/>
    <w:rsid w:val="00796230"/>
    <w:rsid w:val="007C5DEB"/>
    <w:rsid w:val="007C7E7C"/>
    <w:rsid w:val="007D1FCE"/>
    <w:rsid w:val="007D3F26"/>
    <w:rsid w:val="007D66FC"/>
    <w:rsid w:val="007E570D"/>
    <w:rsid w:val="007F0305"/>
    <w:rsid w:val="007F289F"/>
    <w:rsid w:val="007F4F51"/>
    <w:rsid w:val="008023D8"/>
    <w:rsid w:val="008050F9"/>
    <w:rsid w:val="00811529"/>
    <w:rsid w:val="00815B6C"/>
    <w:rsid w:val="0081600B"/>
    <w:rsid w:val="0084317B"/>
    <w:rsid w:val="008853D5"/>
    <w:rsid w:val="00892D99"/>
    <w:rsid w:val="008A094E"/>
    <w:rsid w:val="008B505A"/>
    <w:rsid w:val="0090572F"/>
    <w:rsid w:val="00912243"/>
    <w:rsid w:val="009146EB"/>
    <w:rsid w:val="0093016D"/>
    <w:rsid w:val="009848EB"/>
    <w:rsid w:val="009870A7"/>
    <w:rsid w:val="00996010"/>
    <w:rsid w:val="009B1F2C"/>
    <w:rsid w:val="009D060F"/>
    <w:rsid w:val="009F4D6B"/>
    <w:rsid w:val="00A00B68"/>
    <w:rsid w:val="00A17A62"/>
    <w:rsid w:val="00A53A29"/>
    <w:rsid w:val="00A600CB"/>
    <w:rsid w:val="00AA73CE"/>
    <w:rsid w:val="00AB50C5"/>
    <w:rsid w:val="00AC4838"/>
    <w:rsid w:val="00AC5871"/>
    <w:rsid w:val="00AD1D77"/>
    <w:rsid w:val="00AF6F9E"/>
    <w:rsid w:val="00B168AB"/>
    <w:rsid w:val="00B36740"/>
    <w:rsid w:val="00B406E7"/>
    <w:rsid w:val="00B423A8"/>
    <w:rsid w:val="00B507D9"/>
    <w:rsid w:val="00B57500"/>
    <w:rsid w:val="00B60E1E"/>
    <w:rsid w:val="00B8017D"/>
    <w:rsid w:val="00B84134"/>
    <w:rsid w:val="00BB66C8"/>
    <w:rsid w:val="00BC6358"/>
    <w:rsid w:val="00BD6F85"/>
    <w:rsid w:val="00BE28A0"/>
    <w:rsid w:val="00C2222D"/>
    <w:rsid w:val="00C429CD"/>
    <w:rsid w:val="00C51EF5"/>
    <w:rsid w:val="00CC22FB"/>
    <w:rsid w:val="00CC481E"/>
    <w:rsid w:val="00CE7B88"/>
    <w:rsid w:val="00CF06BB"/>
    <w:rsid w:val="00D1433D"/>
    <w:rsid w:val="00D35CA0"/>
    <w:rsid w:val="00D46B9C"/>
    <w:rsid w:val="00D7624F"/>
    <w:rsid w:val="00D850DB"/>
    <w:rsid w:val="00DA02BA"/>
    <w:rsid w:val="00DB70E2"/>
    <w:rsid w:val="00DD5FA7"/>
    <w:rsid w:val="00DE11BB"/>
    <w:rsid w:val="00DF23A1"/>
    <w:rsid w:val="00E13CF0"/>
    <w:rsid w:val="00E16513"/>
    <w:rsid w:val="00E36EB0"/>
    <w:rsid w:val="00E3798F"/>
    <w:rsid w:val="00E54D23"/>
    <w:rsid w:val="00E56462"/>
    <w:rsid w:val="00E904E3"/>
    <w:rsid w:val="00EA6780"/>
    <w:rsid w:val="00EE16C6"/>
    <w:rsid w:val="00F06FFB"/>
    <w:rsid w:val="00F12B09"/>
    <w:rsid w:val="00F25300"/>
    <w:rsid w:val="00F4011C"/>
    <w:rsid w:val="00F45E42"/>
    <w:rsid w:val="00F522A7"/>
    <w:rsid w:val="00F60B46"/>
    <w:rsid w:val="00F62410"/>
    <w:rsid w:val="00F779EE"/>
    <w:rsid w:val="00F86F3C"/>
    <w:rsid w:val="00F943B6"/>
    <w:rsid w:val="00F948D3"/>
    <w:rsid w:val="00FB1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0777BB"/>
  <w15:chartTrackingRefBased/>
  <w15:docId w15:val="{E248B08A-D36F-4355-8ABC-674054DD0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annotation text"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5"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uiPriority="15"/>
    <w:lsdException w:name="List Bullet 3" w:uiPriority="15"/>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49" w:qFormat="1"/>
    <w:lsdException w:name="Closing" w:semiHidden="1" w:unhideWhenUsed="1"/>
    <w:lsdException w:name="Signature" w:semiHidden="1" w:unhideWhenUsed="1"/>
    <w:lsdException w:name="Default Paragraph Font" w:semiHidden="1" w:uiPriority="1" w:unhideWhenUsed="1"/>
    <w:lsdException w:name="Body Text" w:semiHidden="1" w:uiPriority="14"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4"/>
    <w:qFormat/>
    <w:rsid w:val="00E904E3"/>
    <w:pPr>
      <w:spacing w:after="0" w:line="240" w:lineRule="auto"/>
    </w:pPr>
    <w:rPr>
      <w:sz w:val="24"/>
      <w:lang w:val="en-US"/>
    </w:rPr>
  </w:style>
  <w:style w:type="paragraph" w:styleId="Heading1">
    <w:name w:val="heading 1"/>
    <w:basedOn w:val="BaseHeading"/>
    <w:next w:val="BodyText"/>
    <w:link w:val="Heading1Char"/>
    <w:uiPriority w:val="9"/>
    <w:qFormat/>
    <w:rsid w:val="0084317B"/>
    <w:pPr>
      <w:spacing w:before="240"/>
      <w:outlineLvl w:val="0"/>
    </w:pPr>
    <w:rPr>
      <w:rFonts w:eastAsiaTheme="majorEastAsia" w:cstheme="majorBidi"/>
      <w:b/>
      <w:bCs/>
      <w:sz w:val="36"/>
      <w:szCs w:val="36"/>
    </w:rPr>
  </w:style>
  <w:style w:type="paragraph" w:styleId="Heading2">
    <w:name w:val="heading 2"/>
    <w:basedOn w:val="BaseHeading"/>
    <w:next w:val="BodyText"/>
    <w:link w:val="Heading2Char"/>
    <w:uiPriority w:val="9"/>
    <w:unhideWhenUsed/>
    <w:qFormat/>
    <w:rsid w:val="0084317B"/>
    <w:pPr>
      <w:spacing w:before="40"/>
      <w:outlineLvl w:val="1"/>
    </w:pPr>
    <w:rPr>
      <w:rFonts w:eastAsiaTheme="majorEastAsia" w:cstheme="majorBidi"/>
      <w:b/>
      <w:bCs/>
      <w:sz w:val="32"/>
      <w:szCs w:val="32"/>
    </w:rPr>
  </w:style>
  <w:style w:type="paragraph" w:styleId="Heading3">
    <w:name w:val="heading 3"/>
    <w:basedOn w:val="BaseHeading"/>
    <w:next w:val="BodyText"/>
    <w:link w:val="Heading3Char"/>
    <w:uiPriority w:val="9"/>
    <w:unhideWhenUsed/>
    <w:qFormat/>
    <w:rsid w:val="0084317B"/>
    <w:pPr>
      <w:spacing w:before="40"/>
      <w:outlineLvl w:val="2"/>
    </w:pPr>
    <w:rPr>
      <w:rFonts w:eastAsiaTheme="majorEastAsia" w:cstheme="majorBidi"/>
      <w:sz w:val="28"/>
      <w:szCs w:val="28"/>
    </w:rPr>
  </w:style>
  <w:style w:type="paragraph" w:styleId="Heading4">
    <w:name w:val="heading 4"/>
    <w:basedOn w:val="BaseHeading"/>
    <w:next w:val="BodyText"/>
    <w:link w:val="Heading4Char"/>
    <w:uiPriority w:val="9"/>
    <w:semiHidden/>
    <w:qFormat/>
    <w:rsid w:val="006F5165"/>
    <w:pPr>
      <w:spacing w:before="40"/>
      <w:outlineLvl w:val="3"/>
    </w:pPr>
    <w:rPr>
      <w:rFonts w:eastAsiaTheme="majorEastAsia" w:cstheme="majorBidi"/>
      <w:color w:val="200649" w:themeColor="accent1"/>
    </w:rPr>
  </w:style>
  <w:style w:type="paragraph" w:styleId="Heading5">
    <w:name w:val="heading 5"/>
    <w:basedOn w:val="BaseHeading"/>
    <w:next w:val="BodyText"/>
    <w:link w:val="Heading5Char"/>
    <w:uiPriority w:val="9"/>
    <w:semiHidden/>
    <w:qFormat/>
    <w:rsid w:val="006F5165"/>
    <w:pPr>
      <w:spacing w:before="40"/>
      <w:outlineLvl w:val="4"/>
    </w:pPr>
    <w:rPr>
      <w:rFonts w:eastAsiaTheme="majorEastAsia" w:cstheme="majorBidi"/>
      <w:color w:val="200649"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BaseText"/>
    <w:link w:val="BodyTextChar"/>
    <w:uiPriority w:val="14"/>
    <w:unhideWhenUsed/>
    <w:qFormat/>
    <w:rsid w:val="0084317B"/>
  </w:style>
  <w:style w:type="character" w:customStyle="1" w:styleId="BodyTextChar">
    <w:name w:val="Body Text Char"/>
    <w:basedOn w:val="DefaultParagraphFont"/>
    <w:link w:val="BodyText"/>
    <w:uiPriority w:val="14"/>
    <w:rsid w:val="0084317B"/>
    <w:rPr>
      <w:sz w:val="24"/>
    </w:rPr>
  </w:style>
  <w:style w:type="character" w:customStyle="1" w:styleId="Heading1Char">
    <w:name w:val="Heading 1 Char"/>
    <w:basedOn w:val="DefaultParagraphFont"/>
    <w:link w:val="Heading1"/>
    <w:uiPriority w:val="9"/>
    <w:rsid w:val="0084317B"/>
    <w:rPr>
      <w:rFonts w:asciiTheme="majorHAnsi" w:eastAsiaTheme="majorEastAsia" w:hAnsiTheme="majorHAnsi" w:cstheme="majorBidi"/>
      <w:b/>
      <w:bCs/>
      <w:color w:val="200649" w:themeColor="text2"/>
      <w:sz w:val="36"/>
      <w:szCs w:val="36"/>
    </w:rPr>
  </w:style>
  <w:style w:type="character" w:customStyle="1" w:styleId="Heading2Char">
    <w:name w:val="Heading 2 Char"/>
    <w:basedOn w:val="DefaultParagraphFont"/>
    <w:link w:val="Heading2"/>
    <w:uiPriority w:val="9"/>
    <w:rsid w:val="0084317B"/>
    <w:rPr>
      <w:rFonts w:asciiTheme="majorHAnsi" w:eastAsiaTheme="majorEastAsia" w:hAnsiTheme="majorHAnsi" w:cstheme="majorBidi"/>
      <w:b/>
      <w:bCs/>
      <w:color w:val="200649" w:themeColor="text2"/>
      <w:sz w:val="32"/>
      <w:szCs w:val="32"/>
    </w:rPr>
  </w:style>
  <w:style w:type="character" w:customStyle="1" w:styleId="Heading3Char">
    <w:name w:val="Heading 3 Char"/>
    <w:basedOn w:val="DefaultParagraphFont"/>
    <w:link w:val="Heading3"/>
    <w:uiPriority w:val="9"/>
    <w:rsid w:val="0084317B"/>
    <w:rPr>
      <w:rFonts w:asciiTheme="majorHAnsi" w:eastAsiaTheme="majorEastAsia" w:hAnsiTheme="majorHAnsi" w:cstheme="majorBidi"/>
      <w:color w:val="200649" w:themeColor="text2"/>
      <w:sz w:val="28"/>
      <w:szCs w:val="28"/>
    </w:rPr>
  </w:style>
  <w:style w:type="character" w:customStyle="1" w:styleId="Heading4Char">
    <w:name w:val="Heading 4 Char"/>
    <w:basedOn w:val="DefaultParagraphFont"/>
    <w:link w:val="Heading4"/>
    <w:uiPriority w:val="9"/>
    <w:semiHidden/>
    <w:rsid w:val="0004019E"/>
    <w:rPr>
      <w:rFonts w:asciiTheme="majorHAnsi" w:eastAsiaTheme="majorEastAsia" w:hAnsiTheme="majorHAnsi" w:cstheme="majorBidi"/>
      <w:color w:val="200649" w:themeColor="accent1"/>
    </w:rPr>
  </w:style>
  <w:style w:type="paragraph" w:styleId="Title">
    <w:name w:val="Title"/>
    <w:basedOn w:val="BaseHeading"/>
    <w:next w:val="Subtitle"/>
    <w:link w:val="TitleChar"/>
    <w:uiPriority w:val="37"/>
    <w:qFormat/>
    <w:rsid w:val="00E54D23"/>
    <w:pPr>
      <w:contextualSpacing/>
    </w:pPr>
    <w:rPr>
      <w:rFonts w:eastAsiaTheme="majorEastAsia" w:cstheme="majorBidi"/>
      <w:sz w:val="56"/>
      <w:szCs w:val="56"/>
    </w:rPr>
  </w:style>
  <w:style w:type="character" w:customStyle="1" w:styleId="TitleChar">
    <w:name w:val="Title Char"/>
    <w:basedOn w:val="DefaultParagraphFont"/>
    <w:link w:val="Title"/>
    <w:uiPriority w:val="37"/>
    <w:rsid w:val="0028191A"/>
    <w:rPr>
      <w:rFonts w:asciiTheme="majorHAnsi" w:eastAsiaTheme="majorEastAsia" w:hAnsiTheme="majorHAnsi" w:cstheme="majorBidi"/>
      <w:color w:val="200649" w:themeColor="text2"/>
      <w:sz w:val="56"/>
      <w:szCs w:val="56"/>
    </w:rPr>
  </w:style>
  <w:style w:type="paragraph" w:styleId="Subtitle">
    <w:name w:val="Subtitle"/>
    <w:basedOn w:val="BaseHeading"/>
    <w:next w:val="BodyText"/>
    <w:link w:val="SubtitleChar"/>
    <w:uiPriority w:val="38"/>
    <w:semiHidden/>
    <w:qFormat/>
    <w:rsid w:val="00E54D23"/>
    <w:pPr>
      <w:numPr>
        <w:ilvl w:val="1"/>
      </w:numPr>
      <w:spacing w:after="160"/>
    </w:pPr>
    <w:rPr>
      <w:rFonts w:eastAsiaTheme="minorEastAsia"/>
      <w:color w:val="5A5A5A" w:themeColor="text1" w:themeTint="A5"/>
    </w:rPr>
  </w:style>
  <w:style w:type="character" w:customStyle="1" w:styleId="SubtitleChar">
    <w:name w:val="Subtitle Char"/>
    <w:basedOn w:val="DefaultParagraphFont"/>
    <w:link w:val="Subtitle"/>
    <w:uiPriority w:val="38"/>
    <w:semiHidden/>
    <w:rsid w:val="007F4F51"/>
    <w:rPr>
      <w:rFonts w:asciiTheme="majorHAnsi" w:eastAsiaTheme="minorEastAsia" w:hAnsiTheme="majorHAnsi"/>
      <w:color w:val="5A5A5A" w:themeColor="text1" w:themeTint="A5"/>
    </w:rPr>
  </w:style>
  <w:style w:type="paragraph" w:customStyle="1" w:styleId="BaseStyle">
    <w:name w:val="___Base Style"/>
    <w:semiHidden/>
    <w:rsid w:val="00E54D23"/>
    <w:pPr>
      <w:spacing w:after="0" w:line="276" w:lineRule="auto"/>
    </w:pPr>
  </w:style>
  <w:style w:type="paragraph" w:customStyle="1" w:styleId="BaseTable">
    <w:name w:val="___Base Table"/>
    <w:semiHidden/>
    <w:rsid w:val="00E54D23"/>
  </w:style>
  <w:style w:type="paragraph" w:customStyle="1" w:styleId="BaseText">
    <w:name w:val="__Base Text"/>
    <w:basedOn w:val="BaseStyle"/>
    <w:semiHidden/>
    <w:rsid w:val="0004019E"/>
    <w:pPr>
      <w:spacing w:line="240" w:lineRule="auto"/>
    </w:pPr>
    <w:rPr>
      <w:sz w:val="24"/>
    </w:rPr>
  </w:style>
  <w:style w:type="paragraph" w:customStyle="1" w:styleId="BaseHeading">
    <w:name w:val="__Base Heading"/>
    <w:basedOn w:val="BaseStyle"/>
    <w:next w:val="BodyText"/>
    <w:semiHidden/>
    <w:rsid w:val="0004019E"/>
    <w:pPr>
      <w:keepNext/>
      <w:keepLines/>
      <w:spacing w:line="240" w:lineRule="auto"/>
    </w:pPr>
    <w:rPr>
      <w:rFonts w:asciiTheme="majorHAnsi" w:hAnsiTheme="majorHAnsi"/>
      <w:color w:val="200649" w:themeColor="text2"/>
    </w:rPr>
  </w:style>
  <w:style w:type="table" w:customStyle="1" w:styleId="Plain">
    <w:name w:val="Plain"/>
    <w:basedOn w:val="TableNormal"/>
    <w:rsid w:val="00AD1D77"/>
    <w:pPr>
      <w:spacing w:after="0" w:line="240" w:lineRule="auto"/>
    </w:pPr>
    <w:tblPr>
      <w:tblCellMar>
        <w:left w:w="0" w:type="dxa"/>
        <w:right w:w="0" w:type="dxa"/>
      </w:tblCellMar>
    </w:tblPr>
    <w:tcPr>
      <w:shd w:val="clear" w:color="auto" w:fill="auto"/>
      <w:tcMar>
        <w:left w:w="0" w:type="dxa"/>
        <w:right w:w="0" w:type="dxa"/>
      </w:tcMar>
    </w:tcPr>
  </w:style>
  <w:style w:type="paragraph" w:customStyle="1" w:styleId="1ptspacer">
    <w:name w:val="__1pt spacer"/>
    <w:basedOn w:val="BaseStyle"/>
    <w:next w:val="BodyText"/>
    <w:semiHidden/>
    <w:rsid w:val="00E54D23"/>
    <w:pPr>
      <w:spacing w:line="20" w:lineRule="exact"/>
    </w:pPr>
    <w:rPr>
      <w:sz w:val="2"/>
    </w:rPr>
  </w:style>
  <w:style w:type="paragraph" w:customStyle="1" w:styleId="Placeholder">
    <w:name w:val="__Placeholder"/>
    <w:basedOn w:val="BaseText"/>
    <w:next w:val="BodyText"/>
    <w:semiHidden/>
    <w:rsid w:val="00E54D23"/>
    <w:pPr>
      <w:jc w:val="center"/>
    </w:pPr>
  </w:style>
  <w:style w:type="paragraph" w:customStyle="1" w:styleId="TableSpaceAfter">
    <w:name w:val="__TableSpaceAfter"/>
    <w:basedOn w:val="BaseStyle"/>
    <w:next w:val="BodyText"/>
    <w:semiHidden/>
    <w:rsid w:val="00E54D23"/>
    <w:pPr>
      <w:spacing w:line="20" w:lineRule="exact"/>
    </w:pPr>
    <w:rPr>
      <w:sz w:val="2"/>
    </w:rPr>
  </w:style>
  <w:style w:type="paragraph" w:styleId="ListBullet">
    <w:name w:val="List Bullet"/>
    <w:basedOn w:val="BodyText"/>
    <w:uiPriority w:val="15"/>
    <w:unhideWhenUsed/>
    <w:qFormat/>
    <w:rsid w:val="007C5DEB"/>
    <w:pPr>
      <w:numPr>
        <w:numId w:val="1"/>
      </w:numPr>
    </w:pPr>
  </w:style>
  <w:style w:type="paragraph" w:customStyle="1" w:styleId="TableText">
    <w:name w:val="Table Text"/>
    <w:basedOn w:val="BaseTable"/>
    <w:uiPriority w:val="20"/>
    <w:qFormat/>
    <w:rsid w:val="00E54D23"/>
  </w:style>
  <w:style w:type="character" w:styleId="BookTitle">
    <w:name w:val="Book Title"/>
    <w:basedOn w:val="DefaultParagraphFont"/>
    <w:uiPriority w:val="33"/>
    <w:semiHidden/>
    <w:qFormat/>
    <w:rsid w:val="00E54D23"/>
    <w:rPr>
      <w:b/>
      <w:bCs/>
      <w:i/>
      <w:iCs/>
      <w:spacing w:val="5"/>
    </w:rPr>
  </w:style>
  <w:style w:type="character" w:styleId="Emphasis">
    <w:name w:val="Emphasis"/>
    <w:basedOn w:val="DefaultParagraphFont"/>
    <w:uiPriority w:val="20"/>
    <w:qFormat/>
    <w:rsid w:val="00E54D23"/>
    <w:rPr>
      <w:i/>
      <w:iCs/>
    </w:rPr>
  </w:style>
  <w:style w:type="character" w:styleId="IntenseEmphasis">
    <w:name w:val="Intense Emphasis"/>
    <w:basedOn w:val="DefaultParagraphFont"/>
    <w:uiPriority w:val="21"/>
    <w:semiHidden/>
    <w:qFormat/>
    <w:rsid w:val="00E54D23"/>
    <w:rPr>
      <w:i/>
      <w:iCs/>
      <w:color w:val="200649" w:themeColor="accent1"/>
    </w:rPr>
  </w:style>
  <w:style w:type="paragraph" w:styleId="IntenseQuote">
    <w:name w:val="Intense Quote"/>
    <w:basedOn w:val="Normal"/>
    <w:next w:val="Normal"/>
    <w:link w:val="IntenseQuoteChar"/>
    <w:uiPriority w:val="30"/>
    <w:semiHidden/>
    <w:qFormat/>
    <w:rsid w:val="00E54D23"/>
    <w:pPr>
      <w:pBdr>
        <w:top w:val="single" w:sz="4" w:space="10" w:color="200649" w:themeColor="accent1"/>
        <w:bottom w:val="single" w:sz="4" w:space="10" w:color="200649" w:themeColor="accent1"/>
      </w:pBdr>
      <w:spacing w:before="360" w:after="360"/>
      <w:ind w:left="864" w:right="864"/>
      <w:jc w:val="center"/>
    </w:pPr>
    <w:rPr>
      <w:i/>
      <w:iCs/>
      <w:color w:val="200649" w:themeColor="accent1"/>
    </w:rPr>
  </w:style>
  <w:style w:type="character" w:customStyle="1" w:styleId="IntenseQuoteChar">
    <w:name w:val="Intense Quote Char"/>
    <w:basedOn w:val="DefaultParagraphFont"/>
    <w:link w:val="IntenseQuote"/>
    <w:uiPriority w:val="30"/>
    <w:rsid w:val="00E54D23"/>
    <w:rPr>
      <w:i/>
      <w:iCs/>
      <w:color w:val="200649" w:themeColor="accent1"/>
    </w:rPr>
  </w:style>
  <w:style w:type="character" w:styleId="IntenseReference">
    <w:name w:val="Intense Reference"/>
    <w:basedOn w:val="DefaultParagraphFont"/>
    <w:uiPriority w:val="32"/>
    <w:semiHidden/>
    <w:qFormat/>
    <w:rsid w:val="00E54D23"/>
    <w:rPr>
      <w:b/>
      <w:bCs/>
      <w:smallCaps/>
      <w:color w:val="200649" w:themeColor="accent1"/>
      <w:spacing w:val="5"/>
    </w:rPr>
  </w:style>
  <w:style w:type="paragraph" w:styleId="ListParagraph">
    <w:name w:val="List Paragraph"/>
    <w:basedOn w:val="Normal"/>
    <w:uiPriority w:val="34"/>
    <w:semiHidden/>
    <w:qFormat/>
    <w:rsid w:val="00E54D23"/>
    <w:pPr>
      <w:ind w:left="720"/>
      <w:contextualSpacing/>
    </w:pPr>
  </w:style>
  <w:style w:type="paragraph" w:styleId="NoSpacing">
    <w:name w:val="No Spacing"/>
    <w:uiPriority w:val="1"/>
    <w:semiHidden/>
    <w:qFormat/>
    <w:rsid w:val="00E54D23"/>
    <w:pPr>
      <w:spacing w:after="0" w:line="240" w:lineRule="auto"/>
    </w:pPr>
  </w:style>
  <w:style w:type="paragraph" w:styleId="Quote">
    <w:name w:val="Quote"/>
    <w:basedOn w:val="Normal"/>
    <w:next w:val="Normal"/>
    <w:link w:val="QuoteChar"/>
    <w:uiPriority w:val="29"/>
    <w:semiHidden/>
    <w:qFormat/>
    <w:rsid w:val="00E54D2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E54D23"/>
    <w:rPr>
      <w:i/>
      <w:iCs/>
      <w:color w:val="404040" w:themeColor="text1" w:themeTint="BF"/>
    </w:rPr>
  </w:style>
  <w:style w:type="character" w:styleId="Strong">
    <w:name w:val="Strong"/>
    <w:basedOn w:val="DefaultParagraphFont"/>
    <w:uiPriority w:val="22"/>
    <w:qFormat/>
    <w:rsid w:val="00E54D23"/>
    <w:rPr>
      <w:b/>
      <w:bCs/>
    </w:rPr>
  </w:style>
  <w:style w:type="character" w:styleId="SubtleEmphasis">
    <w:name w:val="Subtle Emphasis"/>
    <w:basedOn w:val="DefaultParagraphFont"/>
    <w:uiPriority w:val="19"/>
    <w:semiHidden/>
    <w:qFormat/>
    <w:rsid w:val="00E54D23"/>
    <w:rPr>
      <w:i/>
      <w:iCs/>
      <w:color w:val="404040" w:themeColor="text1" w:themeTint="BF"/>
    </w:rPr>
  </w:style>
  <w:style w:type="character" w:styleId="SubtleReference">
    <w:name w:val="Subtle Reference"/>
    <w:basedOn w:val="DefaultParagraphFont"/>
    <w:uiPriority w:val="31"/>
    <w:semiHidden/>
    <w:qFormat/>
    <w:rsid w:val="00E54D23"/>
    <w:rPr>
      <w:smallCaps/>
      <w:color w:val="5A5A5A" w:themeColor="text1" w:themeTint="A5"/>
    </w:rPr>
  </w:style>
  <w:style w:type="numbering" w:customStyle="1" w:styleId="ListBullets">
    <w:name w:val="__List Bullets"/>
    <w:rsid w:val="007C5DEB"/>
    <w:pPr>
      <w:numPr>
        <w:numId w:val="1"/>
      </w:numPr>
    </w:pPr>
  </w:style>
  <w:style w:type="numbering" w:customStyle="1" w:styleId="ListNumbers">
    <w:name w:val="__List Numbers"/>
    <w:rsid w:val="007F4F51"/>
    <w:pPr>
      <w:numPr>
        <w:numId w:val="2"/>
      </w:numPr>
    </w:pPr>
  </w:style>
  <w:style w:type="paragraph" w:styleId="ListNumber">
    <w:name w:val="List Number"/>
    <w:basedOn w:val="BodyText"/>
    <w:uiPriority w:val="15"/>
    <w:rsid w:val="007F4F51"/>
    <w:pPr>
      <w:numPr>
        <w:numId w:val="3"/>
      </w:numPr>
    </w:pPr>
  </w:style>
  <w:style w:type="table" w:customStyle="1" w:styleId="MaximusTable">
    <w:name w:val="_Maximus Table"/>
    <w:basedOn w:val="TableNormal"/>
    <w:uiPriority w:val="99"/>
    <w:rsid w:val="0084317B"/>
    <w:pPr>
      <w:spacing w:before="60" w:after="60" w:line="240" w:lineRule="auto"/>
      <w:ind w:left="113" w:right="113"/>
    </w:pPr>
    <w:rPr>
      <w:sz w:val="26"/>
      <w:szCs w:val="20"/>
    </w:rPr>
    <w:tblPr>
      <w:tblStyleRow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CellMar>
        <w:left w:w="0" w:type="dxa"/>
        <w:right w:w="0" w:type="dxa"/>
      </w:tblCellMar>
    </w:tblPr>
    <w:tcPr>
      <w:vAlign w:val="center"/>
    </w:tcPr>
    <w:tblStylePr w:type="firstRow">
      <w:pPr>
        <w:wordWrap/>
        <w:spacing w:beforeLines="0" w:before="60" w:beforeAutospacing="0" w:afterLines="0" w:after="60" w:afterAutospacing="0" w:line="240" w:lineRule="auto"/>
        <w:ind w:leftChars="0" w:left="113" w:rightChars="0" w:right="113" w:firstLineChars="0" w:firstLine="0"/>
        <w:contextualSpacing w:val="0"/>
        <w:mirrorIndents w:val="0"/>
        <w:jc w:val="left"/>
      </w:pPr>
      <w:rPr>
        <w:b/>
        <w:color w:val="FFFFFF" w:themeColor="background1"/>
      </w:rPr>
      <w:tblPr/>
      <w:tcPr>
        <w:tcBorders>
          <w:top w:val="nil"/>
          <w:left w:val="single" w:sz="4" w:space="0" w:color="BFBFBF"/>
          <w:bottom w:val="single" w:sz="4" w:space="0" w:color="BFBFBF"/>
          <w:right w:val="single" w:sz="4" w:space="0" w:color="BFBFBF"/>
          <w:insideV w:val="single" w:sz="4" w:space="0" w:color="BFBFBF"/>
        </w:tcBorders>
        <w:shd w:val="clear" w:color="auto" w:fill="200649" w:themeFill="accent1"/>
      </w:tcPr>
    </w:tblStylePr>
    <w:tblStylePr w:type="lastRow">
      <w:rPr>
        <w:b/>
        <w:i w:val="0"/>
        <w:color w:val="000000" w:themeColor="text1"/>
      </w:rPr>
      <w:tblPr/>
      <w:tcPr>
        <w:tcBorders>
          <w:top w:val="single" w:sz="4" w:space="0" w:color="200649" w:themeColor="text2"/>
          <w:bottom w:val="single" w:sz="4" w:space="0" w:color="200649" w:themeColor="text2"/>
        </w:tcBorders>
      </w:tcPr>
    </w:tblStylePr>
    <w:tblStylePr w:type="firstCol">
      <w:pPr>
        <w:jc w:val="left"/>
      </w:pPr>
    </w:tblStylePr>
    <w:tblStylePr w:type="band1Horz">
      <w:pPr>
        <w:jc w:val="left"/>
      </w:pPr>
      <w:rPr>
        <w:color w:val="000000" w:themeColor="text1"/>
      </w:rPr>
      <w:tblPr/>
      <w:tcPr>
        <w:tcBorders>
          <w:top w:val="single" w:sz="4" w:space="0" w:color="BFBFBF"/>
          <w:left w:val="single" w:sz="4" w:space="0" w:color="BFBFBF"/>
          <w:bottom w:val="single" w:sz="4" w:space="0" w:color="BFBFBF"/>
          <w:right w:val="single" w:sz="4" w:space="0" w:color="BFBFBF"/>
          <w:insideH w:val="nil"/>
          <w:insideV w:val="single" w:sz="4" w:space="0" w:color="BFBFBF"/>
          <w:tl2br w:val="nil"/>
          <w:tr2bl w:val="nil"/>
        </w:tcBorders>
        <w:shd w:val="clear" w:color="auto" w:fill="F2F2F2"/>
      </w:tcPr>
    </w:tblStylePr>
    <w:tblStylePr w:type="band2Horz">
      <w:pPr>
        <w:jc w:val="left"/>
      </w:pPr>
      <w:rPr>
        <w:color w:val="000000" w:themeColor="text1"/>
      </w:rPr>
      <w:tblPr/>
      <w:tcPr>
        <w:tcBorders>
          <w:bottom w:val="single" w:sz="4" w:space="0" w:color="808080" w:themeColor="background1" w:themeShade="80"/>
        </w:tcBorders>
        <w:shd w:val="clear" w:color="auto" w:fill="FDFDFD"/>
      </w:tcPr>
    </w:tblStylePr>
  </w:style>
  <w:style w:type="paragraph" w:styleId="Caption">
    <w:name w:val="caption"/>
    <w:basedOn w:val="Normal"/>
    <w:next w:val="Normal"/>
    <w:uiPriority w:val="35"/>
    <w:unhideWhenUsed/>
    <w:qFormat/>
    <w:rsid w:val="0084317B"/>
    <w:rPr>
      <w:b/>
      <w:iCs/>
      <w:color w:val="000000" w:themeColor="text1"/>
      <w:szCs w:val="18"/>
    </w:rPr>
  </w:style>
  <w:style w:type="character" w:customStyle="1" w:styleId="Accent1">
    <w:name w:val="Accent 1"/>
    <w:basedOn w:val="DefaultParagraphFont"/>
    <w:uiPriority w:val="36"/>
    <w:semiHidden/>
    <w:qFormat/>
    <w:rsid w:val="0090572F"/>
    <w:rPr>
      <w:color w:val="200649" w:themeColor="accent1"/>
    </w:rPr>
  </w:style>
  <w:style w:type="character" w:customStyle="1" w:styleId="Accent2">
    <w:name w:val="Accent 2"/>
    <w:basedOn w:val="DefaultParagraphFont"/>
    <w:uiPriority w:val="36"/>
    <w:semiHidden/>
    <w:qFormat/>
    <w:rsid w:val="00274DD8"/>
    <w:rPr>
      <w:color w:val="9F7FC9" w:themeColor="accent2"/>
    </w:rPr>
  </w:style>
  <w:style w:type="character" w:customStyle="1" w:styleId="Accent3">
    <w:name w:val="Accent 3"/>
    <w:basedOn w:val="DefaultParagraphFont"/>
    <w:uiPriority w:val="36"/>
    <w:semiHidden/>
    <w:qFormat/>
    <w:rsid w:val="00274DD8"/>
    <w:rPr>
      <w:color w:val="6277B9" w:themeColor="accent3"/>
    </w:rPr>
  </w:style>
  <w:style w:type="character" w:customStyle="1" w:styleId="Accent4">
    <w:name w:val="Accent 4"/>
    <w:basedOn w:val="DefaultParagraphFont"/>
    <w:uiPriority w:val="36"/>
    <w:semiHidden/>
    <w:qFormat/>
    <w:rsid w:val="00274DD8"/>
    <w:rPr>
      <w:color w:val="7EBE63" w:themeColor="accent4"/>
    </w:rPr>
  </w:style>
  <w:style w:type="character" w:customStyle="1" w:styleId="Accent5">
    <w:name w:val="Accent 5"/>
    <w:basedOn w:val="DefaultParagraphFont"/>
    <w:uiPriority w:val="36"/>
    <w:semiHidden/>
    <w:qFormat/>
    <w:rsid w:val="00274DD8"/>
    <w:rPr>
      <w:color w:val="502E91" w:themeColor="accent5"/>
    </w:rPr>
  </w:style>
  <w:style w:type="character" w:customStyle="1" w:styleId="Accent6">
    <w:name w:val="Accent 6"/>
    <w:basedOn w:val="DefaultParagraphFont"/>
    <w:uiPriority w:val="36"/>
    <w:semiHidden/>
    <w:qFormat/>
    <w:rsid w:val="00274DD8"/>
    <w:rPr>
      <w:color w:val="9CABD7" w:themeColor="accent6"/>
    </w:rPr>
  </w:style>
  <w:style w:type="paragraph" w:customStyle="1" w:styleId="BaseSECTION">
    <w:name w:val="__Base SECTION"/>
    <w:basedOn w:val="BaseText"/>
    <w:next w:val="BodyText"/>
    <w:semiHidden/>
    <w:rsid w:val="00631584"/>
    <w:pPr>
      <w:spacing w:line="160" w:lineRule="exact"/>
    </w:pPr>
    <w:rPr>
      <w:color w:val="0000FF"/>
      <w:sz w:val="16"/>
      <w:szCs w:val="20"/>
    </w:rPr>
  </w:style>
  <w:style w:type="paragraph" w:customStyle="1" w:styleId="LinkedPH">
    <w:name w:val="__Linked PH"/>
    <w:basedOn w:val="TableText"/>
    <w:semiHidden/>
    <w:rsid w:val="00631584"/>
    <w:pPr>
      <w:spacing w:before="120" w:after="0" w:line="20" w:lineRule="exact"/>
      <w:ind w:right="113"/>
    </w:pPr>
    <w:rPr>
      <w:sz w:val="2"/>
      <w:szCs w:val="20"/>
    </w:rPr>
  </w:style>
  <w:style w:type="paragraph" w:customStyle="1" w:styleId="SECTION2Column">
    <w:name w:val="__SECTION 2Column"/>
    <w:basedOn w:val="BaseSECTION"/>
    <w:next w:val="BodyText"/>
    <w:semiHidden/>
    <w:rsid w:val="00631584"/>
  </w:style>
  <w:style w:type="paragraph" w:customStyle="1" w:styleId="SECTION3Column">
    <w:name w:val="__SECTION 3Column"/>
    <w:basedOn w:val="BaseSECTION"/>
    <w:next w:val="BodyText"/>
    <w:semiHidden/>
    <w:rsid w:val="00631584"/>
  </w:style>
  <w:style w:type="paragraph" w:customStyle="1" w:styleId="SECTIONBackCover">
    <w:name w:val="__SECTION BackCover"/>
    <w:basedOn w:val="BaseSECTION"/>
    <w:next w:val="BodyText"/>
    <w:semiHidden/>
    <w:rsid w:val="00631584"/>
  </w:style>
  <w:style w:type="paragraph" w:customStyle="1" w:styleId="SECTIONCover">
    <w:name w:val="__SECTION Cover"/>
    <w:basedOn w:val="BaseSECTION"/>
    <w:next w:val="BodyText"/>
    <w:semiHidden/>
    <w:rsid w:val="00631584"/>
  </w:style>
  <w:style w:type="paragraph" w:customStyle="1" w:styleId="SECTIONFullWidth">
    <w:name w:val="__SECTION FullWidth"/>
    <w:basedOn w:val="BaseSECTION"/>
    <w:next w:val="BodyText"/>
    <w:semiHidden/>
    <w:rsid w:val="00631584"/>
  </w:style>
  <w:style w:type="paragraph" w:customStyle="1" w:styleId="SECTIONLandscape">
    <w:name w:val="__SECTION Landscape"/>
    <w:basedOn w:val="BaseSECTION"/>
    <w:next w:val="BodyText"/>
    <w:semiHidden/>
    <w:rsid w:val="00631584"/>
  </w:style>
  <w:style w:type="paragraph" w:customStyle="1" w:styleId="SECTIONMargin">
    <w:name w:val="__SECTION Margin"/>
    <w:basedOn w:val="BaseSECTION"/>
    <w:next w:val="BodyText"/>
    <w:semiHidden/>
    <w:rsid w:val="00631584"/>
  </w:style>
  <w:style w:type="paragraph" w:customStyle="1" w:styleId="SECTIONToC">
    <w:name w:val="__SECTION ToC"/>
    <w:basedOn w:val="BaseSECTION"/>
    <w:next w:val="BodyText"/>
    <w:semiHidden/>
    <w:rsid w:val="00631584"/>
  </w:style>
  <w:style w:type="paragraph" w:customStyle="1" w:styleId="SECTIONDivider">
    <w:name w:val="__SECTION Divider"/>
    <w:basedOn w:val="BaseSECTION"/>
    <w:next w:val="BodyText"/>
    <w:semiHidden/>
    <w:rsid w:val="00631584"/>
  </w:style>
  <w:style w:type="paragraph" w:customStyle="1" w:styleId="TombstoneText">
    <w:name w:val="Tombstone Text"/>
    <w:basedOn w:val="BaseText"/>
    <w:uiPriority w:val="21"/>
    <w:semiHidden/>
    <w:rsid w:val="00CC22FB"/>
    <w:pPr>
      <w:spacing w:before="120" w:after="120"/>
      <w:ind w:left="113" w:right="113"/>
    </w:pPr>
    <w:rPr>
      <w:rFonts w:cstheme="minorHAnsi"/>
      <w:color w:val="000000" w:themeColor="text1"/>
      <w:sz w:val="16"/>
      <w:szCs w:val="24"/>
    </w:rPr>
  </w:style>
  <w:style w:type="paragraph" w:customStyle="1" w:styleId="TombstoneHeading">
    <w:name w:val="Tombstone Heading"/>
    <w:basedOn w:val="TombstoneText"/>
    <w:next w:val="TombstoneText"/>
    <w:uiPriority w:val="21"/>
    <w:semiHidden/>
    <w:rsid w:val="00631584"/>
    <w:rPr>
      <w:b/>
      <w:sz w:val="18"/>
      <w:szCs w:val="28"/>
    </w:rPr>
  </w:style>
  <w:style w:type="character" w:customStyle="1" w:styleId="Heading5Char">
    <w:name w:val="Heading 5 Char"/>
    <w:basedOn w:val="DefaultParagraphFont"/>
    <w:link w:val="Heading5"/>
    <w:uiPriority w:val="9"/>
    <w:semiHidden/>
    <w:rsid w:val="0004019E"/>
    <w:rPr>
      <w:rFonts w:asciiTheme="majorHAnsi" w:eastAsiaTheme="majorEastAsia" w:hAnsiTheme="majorHAnsi" w:cstheme="majorBidi"/>
      <w:color w:val="200649" w:themeColor="accent1"/>
    </w:rPr>
  </w:style>
  <w:style w:type="paragraph" w:styleId="ListBullet2">
    <w:name w:val="List Bullet 2"/>
    <w:basedOn w:val="Normal"/>
    <w:uiPriority w:val="15"/>
    <w:rsid w:val="007C5DEB"/>
    <w:pPr>
      <w:numPr>
        <w:ilvl w:val="1"/>
        <w:numId w:val="1"/>
      </w:numPr>
      <w:contextualSpacing/>
    </w:pPr>
  </w:style>
  <w:style w:type="paragraph" w:styleId="ListBullet3">
    <w:name w:val="List Bullet 3"/>
    <w:basedOn w:val="Normal"/>
    <w:uiPriority w:val="15"/>
    <w:rsid w:val="007C5DEB"/>
    <w:pPr>
      <w:numPr>
        <w:ilvl w:val="2"/>
        <w:numId w:val="1"/>
      </w:numPr>
      <w:contextualSpacing/>
    </w:pPr>
  </w:style>
  <w:style w:type="paragraph" w:styleId="FootnoteText">
    <w:name w:val="footnote text"/>
    <w:basedOn w:val="Normal"/>
    <w:link w:val="FootnoteTextChar"/>
    <w:uiPriority w:val="99"/>
    <w:semiHidden/>
    <w:rsid w:val="007F4F51"/>
    <w:rPr>
      <w:sz w:val="20"/>
      <w:szCs w:val="20"/>
    </w:rPr>
  </w:style>
  <w:style w:type="character" w:customStyle="1" w:styleId="FootnoteTextChar">
    <w:name w:val="Footnote Text Char"/>
    <w:basedOn w:val="DefaultParagraphFont"/>
    <w:link w:val="FootnoteText"/>
    <w:uiPriority w:val="99"/>
    <w:semiHidden/>
    <w:rsid w:val="00E904E3"/>
    <w:rPr>
      <w:sz w:val="20"/>
      <w:szCs w:val="20"/>
      <w:lang w:val="en-US"/>
    </w:rPr>
  </w:style>
  <w:style w:type="paragraph" w:styleId="Footer">
    <w:name w:val="footer"/>
    <w:basedOn w:val="Normal"/>
    <w:link w:val="FooterChar"/>
    <w:uiPriority w:val="99"/>
    <w:semiHidden/>
    <w:rsid w:val="007F4F51"/>
    <w:pPr>
      <w:tabs>
        <w:tab w:val="center" w:pos="4513"/>
        <w:tab w:val="right" w:pos="9026"/>
      </w:tabs>
    </w:pPr>
    <w:rPr>
      <w:sz w:val="16"/>
      <w:szCs w:val="14"/>
    </w:rPr>
  </w:style>
  <w:style w:type="character" w:customStyle="1" w:styleId="FooterChar">
    <w:name w:val="Footer Char"/>
    <w:basedOn w:val="DefaultParagraphFont"/>
    <w:link w:val="Footer"/>
    <w:uiPriority w:val="99"/>
    <w:semiHidden/>
    <w:rsid w:val="00E904E3"/>
    <w:rPr>
      <w:sz w:val="16"/>
      <w:szCs w:val="14"/>
      <w:lang w:val="en-US"/>
    </w:rPr>
  </w:style>
  <w:style w:type="paragraph" w:styleId="Header">
    <w:name w:val="header"/>
    <w:basedOn w:val="Normal"/>
    <w:link w:val="HeaderChar"/>
    <w:uiPriority w:val="99"/>
    <w:semiHidden/>
    <w:rsid w:val="007F4F51"/>
    <w:pPr>
      <w:tabs>
        <w:tab w:val="center" w:pos="4513"/>
        <w:tab w:val="right" w:pos="9026"/>
      </w:tabs>
    </w:pPr>
    <w:rPr>
      <w:sz w:val="16"/>
    </w:rPr>
  </w:style>
  <w:style w:type="character" w:customStyle="1" w:styleId="HeaderChar">
    <w:name w:val="Header Char"/>
    <w:basedOn w:val="DefaultParagraphFont"/>
    <w:link w:val="Header"/>
    <w:uiPriority w:val="99"/>
    <w:semiHidden/>
    <w:rsid w:val="00E904E3"/>
    <w:rPr>
      <w:sz w:val="16"/>
      <w:lang w:val="en-US"/>
    </w:rPr>
  </w:style>
  <w:style w:type="paragraph" w:styleId="EndnoteText">
    <w:name w:val="endnote text"/>
    <w:basedOn w:val="Normal"/>
    <w:link w:val="EndnoteTextChar"/>
    <w:uiPriority w:val="99"/>
    <w:semiHidden/>
    <w:rsid w:val="007F4F51"/>
    <w:rPr>
      <w:sz w:val="20"/>
      <w:szCs w:val="20"/>
    </w:rPr>
  </w:style>
  <w:style w:type="character" w:customStyle="1" w:styleId="EndnoteTextChar">
    <w:name w:val="Endnote Text Char"/>
    <w:basedOn w:val="DefaultParagraphFont"/>
    <w:link w:val="EndnoteText"/>
    <w:uiPriority w:val="99"/>
    <w:semiHidden/>
    <w:rsid w:val="00E904E3"/>
    <w:rPr>
      <w:sz w:val="20"/>
      <w:szCs w:val="20"/>
      <w:lang w:val="en-US"/>
    </w:rPr>
  </w:style>
  <w:style w:type="table" w:styleId="TableGrid">
    <w:name w:val="Table Grid"/>
    <w:basedOn w:val="TableNormal"/>
    <w:uiPriority w:val="39"/>
    <w:rsid w:val="00AD1D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60E1E"/>
    <w:pPr>
      <w:spacing w:after="120"/>
      <w:outlineLvl w:val="9"/>
    </w:pPr>
    <w:rPr>
      <w:lang w:val="en-US"/>
    </w:rPr>
  </w:style>
  <w:style w:type="paragraph" w:styleId="TOC1">
    <w:name w:val="toc 1"/>
    <w:basedOn w:val="Normal"/>
    <w:next w:val="Normal"/>
    <w:autoRedefine/>
    <w:uiPriority w:val="39"/>
    <w:unhideWhenUsed/>
    <w:rsid w:val="00410A41"/>
    <w:pPr>
      <w:spacing w:after="100"/>
    </w:pPr>
    <w:rPr>
      <w:b/>
    </w:rPr>
  </w:style>
  <w:style w:type="paragraph" w:styleId="TOC2">
    <w:name w:val="toc 2"/>
    <w:basedOn w:val="Normal"/>
    <w:next w:val="Normal"/>
    <w:autoRedefine/>
    <w:uiPriority w:val="39"/>
    <w:unhideWhenUsed/>
    <w:rsid w:val="00410A41"/>
    <w:pPr>
      <w:spacing w:after="100"/>
      <w:ind w:left="240"/>
    </w:pPr>
  </w:style>
  <w:style w:type="paragraph" w:styleId="TOC3">
    <w:name w:val="toc 3"/>
    <w:basedOn w:val="Normal"/>
    <w:next w:val="Normal"/>
    <w:autoRedefine/>
    <w:uiPriority w:val="39"/>
    <w:unhideWhenUsed/>
    <w:rsid w:val="0084317B"/>
    <w:pPr>
      <w:spacing w:after="100"/>
      <w:ind w:left="480"/>
    </w:pPr>
  </w:style>
  <w:style w:type="character" w:styleId="Hyperlink">
    <w:name w:val="Hyperlink"/>
    <w:basedOn w:val="DefaultParagraphFont"/>
    <w:uiPriority w:val="99"/>
    <w:unhideWhenUsed/>
    <w:rsid w:val="0084317B"/>
    <w:rPr>
      <w:color w:val="9F7FC9" w:themeColor="hyperlink"/>
      <w:u w:val="single"/>
    </w:rPr>
  </w:style>
  <w:style w:type="character" w:styleId="UnresolvedMention">
    <w:name w:val="Unresolved Mention"/>
    <w:basedOn w:val="DefaultParagraphFont"/>
    <w:uiPriority w:val="99"/>
    <w:semiHidden/>
    <w:unhideWhenUsed/>
    <w:rsid w:val="00DD5F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71650">
      <w:bodyDiv w:val="1"/>
      <w:marLeft w:val="0"/>
      <w:marRight w:val="0"/>
      <w:marTop w:val="0"/>
      <w:marBottom w:val="0"/>
      <w:divBdr>
        <w:top w:val="none" w:sz="0" w:space="0" w:color="auto"/>
        <w:left w:val="none" w:sz="0" w:space="0" w:color="auto"/>
        <w:bottom w:val="none" w:sz="0" w:space="0" w:color="auto"/>
        <w:right w:val="none" w:sz="0" w:space="0" w:color="auto"/>
      </w:divBdr>
    </w:div>
    <w:div w:id="16735209">
      <w:bodyDiv w:val="1"/>
      <w:marLeft w:val="0"/>
      <w:marRight w:val="0"/>
      <w:marTop w:val="0"/>
      <w:marBottom w:val="0"/>
      <w:divBdr>
        <w:top w:val="none" w:sz="0" w:space="0" w:color="auto"/>
        <w:left w:val="none" w:sz="0" w:space="0" w:color="auto"/>
        <w:bottom w:val="none" w:sz="0" w:space="0" w:color="auto"/>
        <w:right w:val="none" w:sz="0" w:space="0" w:color="auto"/>
      </w:divBdr>
    </w:div>
    <w:div w:id="19089699">
      <w:bodyDiv w:val="1"/>
      <w:marLeft w:val="0"/>
      <w:marRight w:val="0"/>
      <w:marTop w:val="0"/>
      <w:marBottom w:val="0"/>
      <w:divBdr>
        <w:top w:val="none" w:sz="0" w:space="0" w:color="auto"/>
        <w:left w:val="none" w:sz="0" w:space="0" w:color="auto"/>
        <w:bottom w:val="none" w:sz="0" w:space="0" w:color="auto"/>
        <w:right w:val="none" w:sz="0" w:space="0" w:color="auto"/>
      </w:divBdr>
    </w:div>
    <w:div w:id="28380745">
      <w:bodyDiv w:val="1"/>
      <w:marLeft w:val="0"/>
      <w:marRight w:val="0"/>
      <w:marTop w:val="0"/>
      <w:marBottom w:val="0"/>
      <w:divBdr>
        <w:top w:val="none" w:sz="0" w:space="0" w:color="auto"/>
        <w:left w:val="none" w:sz="0" w:space="0" w:color="auto"/>
        <w:bottom w:val="none" w:sz="0" w:space="0" w:color="auto"/>
        <w:right w:val="none" w:sz="0" w:space="0" w:color="auto"/>
      </w:divBdr>
    </w:div>
    <w:div w:id="65694153">
      <w:bodyDiv w:val="1"/>
      <w:marLeft w:val="0"/>
      <w:marRight w:val="0"/>
      <w:marTop w:val="0"/>
      <w:marBottom w:val="0"/>
      <w:divBdr>
        <w:top w:val="none" w:sz="0" w:space="0" w:color="auto"/>
        <w:left w:val="none" w:sz="0" w:space="0" w:color="auto"/>
        <w:bottom w:val="none" w:sz="0" w:space="0" w:color="auto"/>
        <w:right w:val="none" w:sz="0" w:space="0" w:color="auto"/>
      </w:divBdr>
    </w:div>
    <w:div w:id="102267183">
      <w:bodyDiv w:val="1"/>
      <w:marLeft w:val="0"/>
      <w:marRight w:val="0"/>
      <w:marTop w:val="0"/>
      <w:marBottom w:val="0"/>
      <w:divBdr>
        <w:top w:val="none" w:sz="0" w:space="0" w:color="auto"/>
        <w:left w:val="none" w:sz="0" w:space="0" w:color="auto"/>
        <w:bottom w:val="none" w:sz="0" w:space="0" w:color="auto"/>
        <w:right w:val="none" w:sz="0" w:space="0" w:color="auto"/>
      </w:divBdr>
    </w:div>
    <w:div w:id="111170157">
      <w:bodyDiv w:val="1"/>
      <w:marLeft w:val="0"/>
      <w:marRight w:val="0"/>
      <w:marTop w:val="0"/>
      <w:marBottom w:val="0"/>
      <w:divBdr>
        <w:top w:val="none" w:sz="0" w:space="0" w:color="auto"/>
        <w:left w:val="none" w:sz="0" w:space="0" w:color="auto"/>
        <w:bottom w:val="none" w:sz="0" w:space="0" w:color="auto"/>
        <w:right w:val="none" w:sz="0" w:space="0" w:color="auto"/>
      </w:divBdr>
    </w:div>
    <w:div w:id="111485733">
      <w:bodyDiv w:val="1"/>
      <w:marLeft w:val="0"/>
      <w:marRight w:val="0"/>
      <w:marTop w:val="0"/>
      <w:marBottom w:val="0"/>
      <w:divBdr>
        <w:top w:val="none" w:sz="0" w:space="0" w:color="auto"/>
        <w:left w:val="none" w:sz="0" w:space="0" w:color="auto"/>
        <w:bottom w:val="none" w:sz="0" w:space="0" w:color="auto"/>
        <w:right w:val="none" w:sz="0" w:space="0" w:color="auto"/>
      </w:divBdr>
    </w:div>
    <w:div w:id="143011049">
      <w:bodyDiv w:val="1"/>
      <w:marLeft w:val="0"/>
      <w:marRight w:val="0"/>
      <w:marTop w:val="0"/>
      <w:marBottom w:val="0"/>
      <w:divBdr>
        <w:top w:val="none" w:sz="0" w:space="0" w:color="auto"/>
        <w:left w:val="none" w:sz="0" w:space="0" w:color="auto"/>
        <w:bottom w:val="none" w:sz="0" w:space="0" w:color="auto"/>
        <w:right w:val="none" w:sz="0" w:space="0" w:color="auto"/>
      </w:divBdr>
    </w:div>
    <w:div w:id="157353975">
      <w:bodyDiv w:val="1"/>
      <w:marLeft w:val="0"/>
      <w:marRight w:val="0"/>
      <w:marTop w:val="0"/>
      <w:marBottom w:val="0"/>
      <w:divBdr>
        <w:top w:val="none" w:sz="0" w:space="0" w:color="auto"/>
        <w:left w:val="none" w:sz="0" w:space="0" w:color="auto"/>
        <w:bottom w:val="none" w:sz="0" w:space="0" w:color="auto"/>
        <w:right w:val="none" w:sz="0" w:space="0" w:color="auto"/>
      </w:divBdr>
    </w:div>
    <w:div w:id="213736208">
      <w:bodyDiv w:val="1"/>
      <w:marLeft w:val="0"/>
      <w:marRight w:val="0"/>
      <w:marTop w:val="0"/>
      <w:marBottom w:val="0"/>
      <w:divBdr>
        <w:top w:val="none" w:sz="0" w:space="0" w:color="auto"/>
        <w:left w:val="none" w:sz="0" w:space="0" w:color="auto"/>
        <w:bottom w:val="none" w:sz="0" w:space="0" w:color="auto"/>
        <w:right w:val="none" w:sz="0" w:space="0" w:color="auto"/>
      </w:divBdr>
    </w:div>
    <w:div w:id="243073910">
      <w:bodyDiv w:val="1"/>
      <w:marLeft w:val="0"/>
      <w:marRight w:val="0"/>
      <w:marTop w:val="0"/>
      <w:marBottom w:val="0"/>
      <w:divBdr>
        <w:top w:val="none" w:sz="0" w:space="0" w:color="auto"/>
        <w:left w:val="none" w:sz="0" w:space="0" w:color="auto"/>
        <w:bottom w:val="none" w:sz="0" w:space="0" w:color="auto"/>
        <w:right w:val="none" w:sz="0" w:space="0" w:color="auto"/>
      </w:divBdr>
    </w:div>
    <w:div w:id="246351458">
      <w:bodyDiv w:val="1"/>
      <w:marLeft w:val="0"/>
      <w:marRight w:val="0"/>
      <w:marTop w:val="0"/>
      <w:marBottom w:val="0"/>
      <w:divBdr>
        <w:top w:val="none" w:sz="0" w:space="0" w:color="auto"/>
        <w:left w:val="none" w:sz="0" w:space="0" w:color="auto"/>
        <w:bottom w:val="none" w:sz="0" w:space="0" w:color="auto"/>
        <w:right w:val="none" w:sz="0" w:space="0" w:color="auto"/>
      </w:divBdr>
    </w:div>
    <w:div w:id="285963283">
      <w:bodyDiv w:val="1"/>
      <w:marLeft w:val="0"/>
      <w:marRight w:val="0"/>
      <w:marTop w:val="0"/>
      <w:marBottom w:val="0"/>
      <w:divBdr>
        <w:top w:val="none" w:sz="0" w:space="0" w:color="auto"/>
        <w:left w:val="none" w:sz="0" w:space="0" w:color="auto"/>
        <w:bottom w:val="none" w:sz="0" w:space="0" w:color="auto"/>
        <w:right w:val="none" w:sz="0" w:space="0" w:color="auto"/>
      </w:divBdr>
    </w:div>
    <w:div w:id="322201038">
      <w:bodyDiv w:val="1"/>
      <w:marLeft w:val="0"/>
      <w:marRight w:val="0"/>
      <w:marTop w:val="0"/>
      <w:marBottom w:val="0"/>
      <w:divBdr>
        <w:top w:val="none" w:sz="0" w:space="0" w:color="auto"/>
        <w:left w:val="none" w:sz="0" w:space="0" w:color="auto"/>
        <w:bottom w:val="none" w:sz="0" w:space="0" w:color="auto"/>
        <w:right w:val="none" w:sz="0" w:space="0" w:color="auto"/>
      </w:divBdr>
    </w:div>
    <w:div w:id="339547869">
      <w:bodyDiv w:val="1"/>
      <w:marLeft w:val="0"/>
      <w:marRight w:val="0"/>
      <w:marTop w:val="0"/>
      <w:marBottom w:val="0"/>
      <w:divBdr>
        <w:top w:val="none" w:sz="0" w:space="0" w:color="auto"/>
        <w:left w:val="none" w:sz="0" w:space="0" w:color="auto"/>
        <w:bottom w:val="none" w:sz="0" w:space="0" w:color="auto"/>
        <w:right w:val="none" w:sz="0" w:space="0" w:color="auto"/>
      </w:divBdr>
    </w:div>
    <w:div w:id="339553723">
      <w:bodyDiv w:val="1"/>
      <w:marLeft w:val="0"/>
      <w:marRight w:val="0"/>
      <w:marTop w:val="0"/>
      <w:marBottom w:val="0"/>
      <w:divBdr>
        <w:top w:val="none" w:sz="0" w:space="0" w:color="auto"/>
        <w:left w:val="none" w:sz="0" w:space="0" w:color="auto"/>
        <w:bottom w:val="none" w:sz="0" w:space="0" w:color="auto"/>
        <w:right w:val="none" w:sz="0" w:space="0" w:color="auto"/>
      </w:divBdr>
    </w:div>
    <w:div w:id="356977608">
      <w:bodyDiv w:val="1"/>
      <w:marLeft w:val="0"/>
      <w:marRight w:val="0"/>
      <w:marTop w:val="0"/>
      <w:marBottom w:val="0"/>
      <w:divBdr>
        <w:top w:val="none" w:sz="0" w:space="0" w:color="auto"/>
        <w:left w:val="none" w:sz="0" w:space="0" w:color="auto"/>
        <w:bottom w:val="none" w:sz="0" w:space="0" w:color="auto"/>
        <w:right w:val="none" w:sz="0" w:space="0" w:color="auto"/>
      </w:divBdr>
    </w:div>
    <w:div w:id="357047272">
      <w:bodyDiv w:val="1"/>
      <w:marLeft w:val="0"/>
      <w:marRight w:val="0"/>
      <w:marTop w:val="0"/>
      <w:marBottom w:val="0"/>
      <w:divBdr>
        <w:top w:val="none" w:sz="0" w:space="0" w:color="auto"/>
        <w:left w:val="none" w:sz="0" w:space="0" w:color="auto"/>
        <w:bottom w:val="none" w:sz="0" w:space="0" w:color="auto"/>
        <w:right w:val="none" w:sz="0" w:space="0" w:color="auto"/>
      </w:divBdr>
    </w:div>
    <w:div w:id="363018592">
      <w:bodyDiv w:val="1"/>
      <w:marLeft w:val="0"/>
      <w:marRight w:val="0"/>
      <w:marTop w:val="0"/>
      <w:marBottom w:val="0"/>
      <w:divBdr>
        <w:top w:val="none" w:sz="0" w:space="0" w:color="auto"/>
        <w:left w:val="none" w:sz="0" w:space="0" w:color="auto"/>
        <w:bottom w:val="none" w:sz="0" w:space="0" w:color="auto"/>
        <w:right w:val="none" w:sz="0" w:space="0" w:color="auto"/>
      </w:divBdr>
    </w:div>
    <w:div w:id="372314361">
      <w:bodyDiv w:val="1"/>
      <w:marLeft w:val="0"/>
      <w:marRight w:val="0"/>
      <w:marTop w:val="0"/>
      <w:marBottom w:val="0"/>
      <w:divBdr>
        <w:top w:val="none" w:sz="0" w:space="0" w:color="auto"/>
        <w:left w:val="none" w:sz="0" w:space="0" w:color="auto"/>
        <w:bottom w:val="none" w:sz="0" w:space="0" w:color="auto"/>
        <w:right w:val="none" w:sz="0" w:space="0" w:color="auto"/>
      </w:divBdr>
    </w:div>
    <w:div w:id="396634740">
      <w:bodyDiv w:val="1"/>
      <w:marLeft w:val="0"/>
      <w:marRight w:val="0"/>
      <w:marTop w:val="0"/>
      <w:marBottom w:val="0"/>
      <w:divBdr>
        <w:top w:val="none" w:sz="0" w:space="0" w:color="auto"/>
        <w:left w:val="none" w:sz="0" w:space="0" w:color="auto"/>
        <w:bottom w:val="none" w:sz="0" w:space="0" w:color="auto"/>
        <w:right w:val="none" w:sz="0" w:space="0" w:color="auto"/>
      </w:divBdr>
    </w:div>
    <w:div w:id="426121193">
      <w:bodyDiv w:val="1"/>
      <w:marLeft w:val="0"/>
      <w:marRight w:val="0"/>
      <w:marTop w:val="0"/>
      <w:marBottom w:val="0"/>
      <w:divBdr>
        <w:top w:val="none" w:sz="0" w:space="0" w:color="auto"/>
        <w:left w:val="none" w:sz="0" w:space="0" w:color="auto"/>
        <w:bottom w:val="none" w:sz="0" w:space="0" w:color="auto"/>
        <w:right w:val="none" w:sz="0" w:space="0" w:color="auto"/>
      </w:divBdr>
    </w:div>
    <w:div w:id="427315949">
      <w:bodyDiv w:val="1"/>
      <w:marLeft w:val="0"/>
      <w:marRight w:val="0"/>
      <w:marTop w:val="0"/>
      <w:marBottom w:val="0"/>
      <w:divBdr>
        <w:top w:val="none" w:sz="0" w:space="0" w:color="auto"/>
        <w:left w:val="none" w:sz="0" w:space="0" w:color="auto"/>
        <w:bottom w:val="none" w:sz="0" w:space="0" w:color="auto"/>
        <w:right w:val="none" w:sz="0" w:space="0" w:color="auto"/>
      </w:divBdr>
    </w:div>
    <w:div w:id="525221268">
      <w:bodyDiv w:val="1"/>
      <w:marLeft w:val="0"/>
      <w:marRight w:val="0"/>
      <w:marTop w:val="0"/>
      <w:marBottom w:val="0"/>
      <w:divBdr>
        <w:top w:val="none" w:sz="0" w:space="0" w:color="auto"/>
        <w:left w:val="none" w:sz="0" w:space="0" w:color="auto"/>
        <w:bottom w:val="none" w:sz="0" w:space="0" w:color="auto"/>
        <w:right w:val="none" w:sz="0" w:space="0" w:color="auto"/>
      </w:divBdr>
    </w:div>
    <w:div w:id="566767325">
      <w:bodyDiv w:val="1"/>
      <w:marLeft w:val="0"/>
      <w:marRight w:val="0"/>
      <w:marTop w:val="0"/>
      <w:marBottom w:val="0"/>
      <w:divBdr>
        <w:top w:val="none" w:sz="0" w:space="0" w:color="auto"/>
        <w:left w:val="none" w:sz="0" w:space="0" w:color="auto"/>
        <w:bottom w:val="none" w:sz="0" w:space="0" w:color="auto"/>
        <w:right w:val="none" w:sz="0" w:space="0" w:color="auto"/>
      </w:divBdr>
    </w:div>
    <w:div w:id="584269929">
      <w:bodyDiv w:val="1"/>
      <w:marLeft w:val="0"/>
      <w:marRight w:val="0"/>
      <w:marTop w:val="0"/>
      <w:marBottom w:val="0"/>
      <w:divBdr>
        <w:top w:val="none" w:sz="0" w:space="0" w:color="auto"/>
        <w:left w:val="none" w:sz="0" w:space="0" w:color="auto"/>
        <w:bottom w:val="none" w:sz="0" w:space="0" w:color="auto"/>
        <w:right w:val="none" w:sz="0" w:space="0" w:color="auto"/>
      </w:divBdr>
    </w:div>
    <w:div w:id="620382216">
      <w:bodyDiv w:val="1"/>
      <w:marLeft w:val="0"/>
      <w:marRight w:val="0"/>
      <w:marTop w:val="0"/>
      <w:marBottom w:val="0"/>
      <w:divBdr>
        <w:top w:val="none" w:sz="0" w:space="0" w:color="auto"/>
        <w:left w:val="none" w:sz="0" w:space="0" w:color="auto"/>
        <w:bottom w:val="none" w:sz="0" w:space="0" w:color="auto"/>
        <w:right w:val="none" w:sz="0" w:space="0" w:color="auto"/>
      </w:divBdr>
    </w:div>
    <w:div w:id="654068234">
      <w:bodyDiv w:val="1"/>
      <w:marLeft w:val="0"/>
      <w:marRight w:val="0"/>
      <w:marTop w:val="0"/>
      <w:marBottom w:val="0"/>
      <w:divBdr>
        <w:top w:val="none" w:sz="0" w:space="0" w:color="auto"/>
        <w:left w:val="none" w:sz="0" w:space="0" w:color="auto"/>
        <w:bottom w:val="none" w:sz="0" w:space="0" w:color="auto"/>
        <w:right w:val="none" w:sz="0" w:space="0" w:color="auto"/>
      </w:divBdr>
    </w:div>
    <w:div w:id="697781831">
      <w:bodyDiv w:val="1"/>
      <w:marLeft w:val="0"/>
      <w:marRight w:val="0"/>
      <w:marTop w:val="0"/>
      <w:marBottom w:val="0"/>
      <w:divBdr>
        <w:top w:val="none" w:sz="0" w:space="0" w:color="auto"/>
        <w:left w:val="none" w:sz="0" w:space="0" w:color="auto"/>
        <w:bottom w:val="none" w:sz="0" w:space="0" w:color="auto"/>
        <w:right w:val="none" w:sz="0" w:space="0" w:color="auto"/>
      </w:divBdr>
    </w:div>
    <w:div w:id="766459686">
      <w:bodyDiv w:val="1"/>
      <w:marLeft w:val="0"/>
      <w:marRight w:val="0"/>
      <w:marTop w:val="0"/>
      <w:marBottom w:val="0"/>
      <w:divBdr>
        <w:top w:val="none" w:sz="0" w:space="0" w:color="auto"/>
        <w:left w:val="none" w:sz="0" w:space="0" w:color="auto"/>
        <w:bottom w:val="none" w:sz="0" w:space="0" w:color="auto"/>
        <w:right w:val="none" w:sz="0" w:space="0" w:color="auto"/>
      </w:divBdr>
    </w:div>
    <w:div w:id="807940656">
      <w:bodyDiv w:val="1"/>
      <w:marLeft w:val="0"/>
      <w:marRight w:val="0"/>
      <w:marTop w:val="0"/>
      <w:marBottom w:val="0"/>
      <w:divBdr>
        <w:top w:val="none" w:sz="0" w:space="0" w:color="auto"/>
        <w:left w:val="none" w:sz="0" w:space="0" w:color="auto"/>
        <w:bottom w:val="none" w:sz="0" w:space="0" w:color="auto"/>
        <w:right w:val="none" w:sz="0" w:space="0" w:color="auto"/>
      </w:divBdr>
    </w:div>
    <w:div w:id="840239856">
      <w:bodyDiv w:val="1"/>
      <w:marLeft w:val="0"/>
      <w:marRight w:val="0"/>
      <w:marTop w:val="0"/>
      <w:marBottom w:val="0"/>
      <w:divBdr>
        <w:top w:val="none" w:sz="0" w:space="0" w:color="auto"/>
        <w:left w:val="none" w:sz="0" w:space="0" w:color="auto"/>
        <w:bottom w:val="none" w:sz="0" w:space="0" w:color="auto"/>
        <w:right w:val="none" w:sz="0" w:space="0" w:color="auto"/>
      </w:divBdr>
    </w:div>
    <w:div w:id="871304548">
      <w:bodyDiv w:val="1"/>
      <w:marLeft w:val="0"/>
      <w:marRight w:val="0"/>
      <w:marTop w:val="0"/>
      <w:marBottom w:val="0"/>
      <w:divBdr>
        <w:top w:val="none" w:sz="0" w:space="0" w:color="auto"/>
        <w:left w:val="none" w:sz="0" w:space="0" w:color="auto"/>
        <w:bottom w:val="none" w:sz="0" w:space="0" w:color="auto"/>
        <w:right w:val="none" w:sz="0" w:space="0" w:color="auto"/>
      </w:divBdr>
    </w:div>
    <w:div w:id="876042249">
      <w:bodyDiv w:val="1"/>
      <w:marLeft w:val="0"/>
      <w:marRight w:val="0"/>
      <w:marTop w:val="0"/>
      <w:marBottom w:val="0"/>
      <w:divBdr>
        <w:top w:val="none" w:sz="0" w:space="0" w:color="auto"/>
        <w:left w:val="none" w:sz="0" w:space="0" w:color="auto"/>
        <w:bottom w:val="none" w:sz="0" w:space="0" w:color="auto"/>
        <w:right w:val="none" w:sz="0" w:space="0" w:color="auto"/>
      </w:divBdr>
    </w:div>
    <w:div w:id="879584709">
      <w:bodyDiv w:val="1"/>
      <w:marLeft w:val="0"/>
      <w:marRight w:val="0"/>
      <w:marTop w:val="0"/>
      <w:marBottom w:val="0"/>
      <w:divBdr>
        <w:top w:val="none" w:sz="0" w:space="0" w:color="auto"/>
        <w:left w:val="none" w:sz="0" w:space="0" w:color="auto"/>
        <w:bottom w:val="none" w:sz="0" w:space="0" w:color="auto"/>
        <w:right w:val="none" w:sz="0" w:space="0" w:color="auto"/>
      </w:divBdr>
    </w:div>
    <w:div w:id="962421184">
      <w:bodyDiv w:val="1"/>
      <w:marLeft w:val="0"/>
      <w:marRight w:val="0"/>
      <w:marTop w:val="0"/>
      <w:marBottom w:val="0"/>
      <w:divBdr>
        <w:top w:val="none" w:sz="0" w:space="0" w:color="auto"/>
        <w:left w:val="none" w:sz="0" w:space="0" w:color="auto"/>
        <w:bottom w:val="none" w:sz="0" w:space="0" w:color="auto"/>
        <w:right w:val="none" w:sz="0" w:space="0" w:color="auto"/>
      </w:divBdr>
    </w:div>
    <w:div w:id="976686911">
      <w:bodyDiv w:val="1"/>
      <w:marLeft w:val="0"/>
      <w:marRight w:val="0"/>
      <w:marTop w:val="0"/>
      <w:marBottom w:val="0"/>
      <w:divBdr>
        <w:top w:val="none" w:sz="0" w:space="0" w:color="auto"/>
        <w:left w:val="none" w:sz="0" w:space="0" w:color="auto"/>
        <w:bottom w:val="none" w:sz="0" w:space="0" w:color="auto"/>
        <w:right w:val="none" w:sz="0" w:space="0" w:color="auto"/>
      </w:divBdr>
    </w:div>
    <w:div w:id="999424545">
      <w:bodyDiv w:val="1"/>
      <w:marLeft w:val="0"/>
      <w:marRight w:val="0"/>
      <w:marTop w:val="0"/>
      <w:marBottom w:val="0"/>
      <w:divBdr>
        <w:top w:val="none" w:sz="0" w:space="0" w:color="auto"/>
        <w:left w:val="none" w:sz="0" w:space="0" w:color="auto"/>
        <w:bottom w:val="none" w:sz="0" w:space="0" w:color="auto"/>
        <w:right w:val="none" w:sz="0" w:space="0" w:color="auto"/>
      </w:divBdr>
    </w:div>
    <w:div w:id="1038510359">
      <w:bodyDiv w:val="1"/>
      <w:marLeft w:val="0"/>
      <w:marRight w:val="0"/>
      <w:marTop w:val="0"/>
      <w:marBottom w:val="0"/>
      <w:divBdr>
        <w:top w:val="none" w:sz="0" w:space="0" w:color="auto"/>
        <w:left w:val="none" w:sz="0" w:space="0" w:color="auto"/>
        <w:bottom w:val="none" w:sz="0" w:space="0" w:color="auto"/>
        <w:right w:val="none" w:sz="0" w:space="0" w:color="auto"/>
      </w:divBdr>
    </w:div>
    <w:div w:id="1088619591">
      <w:bodyDiv w:val="1"/>
      <w:marLeft w:val="0"/>
      <w:marRight w:val="0"/>
      <w:marTop w:val="0"/>
      <w:marBottom w:val="0"/>
      <w:divBdr>
        <w:top w:val="none" w:sz="0" w:space="0" w:color="auto"/>
        <w:left w:val="none" w:sz="0" w:space="0" w:color="auto"/>
        <w:bottom w:val="none" w:sz="0" w:space="0" w:color="auto"/>
        <w:right w:val="none" w:sz="0" w:space="0" w:color="auto"/>
      </w:divBdr>
    </w:div>
    <w:div w:id="1091049449">
      <w:bodyDiv w:val="1"/>
      <w:marLeft w:val="0"/>
      <w:marRight w:val="0"/>
      <w:marTop w:val="0"/>
      <w:marBottom w:val="0"/>
      <w:divBdr>
        <w:top w:val="none" w:sz="0" w:space="0" w:color="auto"/>
        <w:left w:val="none" w:sz="0" w:space="0" w:color="auto"/>
        <w:bottom w:val="none" w:sz="0" w:space="0" w:color="auto"/>
        <w:right w:val="none" w:sz="0" w:space="0" w:color="auto"/>
      </w:divBdr>
    </w:div>
    <w:div w:id="1153063986">
      <w:bodyDiv w:val="1"/>
      <w:marLeft w:val="0"/>
      <w:marRight w:val="0"/>
      <w:marTop w:val="0"/>
      <w:marBottom w:val="0"/>
      <w:divBdr>
        <w:top w:val="none" w:sz="0" w:space="0" w:color="auto"/>
        <w:left w:val="none" w:sz="0" w:space="0" w:color="auto"/>
        <w:bottom w:val="none" w:sz="0" w:space="0" w:color="auto"/>
        <w:right w:val="none" w:sz="0" w:space="0" w:color="auto"/>
      </w:divBdr>
    </w:div>
    <w:div w:id="1192377664">
      <w:bodyDiv w:val="1"/>
      <w:marLeft w:val="0"/>
      <w:marRight w:val="0"/>
      <w:marTop w:val="0"/>
      <w:marBottom w:val="0"/>
      <w:divBdr>
        <w:top w:val="none" w:sz="0" w:space="0" w:color="auto"/>
        <w:left w:val="none" w:sz="0" w:space="0" w:color="auto"/>
        <w:bottom w:val="none" w:sz="0" w:space="0" w:color="auto"/>
        <w:right w:val="none" w:sz="0" w:space="0" w:color="auto"/>
      </w:divBdr>
    </w:div>
    <w:div w:id="1195535833">
      <w:bodyDiv w:val="1"/>
      <w:marLeft w:val="0"/>
      <w:marRight w:val="0"/>
      <w:marTop w:val="0"/>
      <w:marBottom w:val="0"/>
      <w:divBdr>
        <w:top w:val="none" w:sz="0" w:space="0" w:color="auto"/>
        <w:left w:val="none" w:sz="0" w:space="0" w:color="auto"/>
        <w:bottom w:val="none" w:sz="0" w:space="0" w:color="auto"/>
        <w:right w:val="none" w:sz="0" w:space="0" w:color="auto"/>
      </w:divBdr>
    </w:div>
    <w:div w:id="1212688668">
      <w:bodyDiv w:val="1"/>
      <w:marLeft w:val="0"/>
      <w:marRight w:val="0"/>
      <w:marTop w:val="0"/>
      <w:marBottom w:val="0"/>
      <w:divBdr>
        <w:top w:val="none" w:sz="0" w:space="0" w:color="auto"/>
        <w:left w:val="none" w:sz="0" w:space="0" w:color="auto"/>
        <w:bottom w:val="none" w:sz="0" w:space="0" w:color="auto"/>
        <w:right w:val="none" w:sz="0" w:space="0" w:color="auto"/>
      </w:divBdr>
    </w:div>
    <w:div w:id="1229345962">
      <w:bodyDiv w:val="1"/>
      <w:marLeft w:val="0"/>
      <w:marRight w:val="0"/>
      <w:marTop w:val="0"/>
      <w:marBottom w:val="0"/>
      <w:divBdr>
        <w:top w:val="none" w:sz="0" w:space="0" w:color="auto"/>
        <w:left w:val="none" w:sz="0" w:space="0" w:color="auto"/>
        <w:bottom w:val="none" w:sz="0" w:space="0" w:color="auto"/>
        <w:right w:val="none" w:sz="0" w:space="0" w:color="auto"/>
      </w:divBdr>
    </w:div>
    <w:div w:id="1236621587">
      <w:bodyDiv w:val="1"/>
      <w:marLeft w:val="0"/>
      <w:marRight w:val="0"/>
      <w:marTop w:val="0"/>
      <w:marBottom w:val="0"/>
      <w:divBdr>
        <w:top w:val="none" w:sz="0" w:space="0" w:color="auto"/>
        <w:left w:val="none" w:sz="0" w:space="0" w:color="auto"/>
        <w:bottom w:val="none" w:sz="0" w:space="0" w:color="auto"/>
        <w:right w:val="none" w:sz="0" w:space="0" w:color="auto"/>
      </w:divBdr>
    </w:div>
    <w:div w:id="1237518948">
      <w:bodyDiv w:val="1"/>
      <w:marLeft w:val="0"/>
      <w:marRight w:val="0"/>
      <w:marTop w:val="0"/>
      <w:marBottom w:val="0"/>
      <w:divBdr>
        <w:top w:val="none" w:sz="0" w:space="0" w:color="auto"/>
        <w:left w:val="none" w:sz="0" w:space="0" w:color="auto"/>
        <w:bottom w:val="none" w:sz="0" w:space="0" w:color="auto"/>
        <w:right w:val="none" w:sz="0" w:space="0" w:color="auto"/>
      </w:divBdr>
    </w:div>
    <w:div w:id="1279919416">
      <w:bodyDiv w:val="1"/>
      <w:marLeft w:val="0"/>
      <w:marRight w:val="0"/>
      <w:marTop w:val="0"/>
      <w:marBottom w:val="0"/>
      <w:divBdr>
        <w:top w:val="none" w:sz="0" w:space="0" w:color="auto"/>
        <w:left w:val="none" w:sz="0" w:space="0" w:color="auto"/>
        <w:bottom w:val="none" w:sz="0" w:space="0" w:color="auto"/>
        <w:right w:val="none" w:sz="0" w:space="0" w:color="auto"/>
      </w:divBdr>
    </w:div>
    <w:div w:id="1314019900">
      <w:bodyDiv w:val="1"/>
      <w:marLeft w:val="0"/>
      <w:marRight w:val="0"/>
      <w:marTop w:val="0"/>
      <w:marBottom w:val="0"/>
      <w:divBdr>
        <w:top w:val="none" w:sz="0" w:space="0" w:color="auto"/>
        <w:left w:val="none" w:sz="0" w:space="0" w:color="auto"/>
        <w:bottom w:val="none" w:sz="0" w:space="0" w:color="auto"/>
        <w:right w:val="none" w:sz="0" w:space="0" w:color="auto"/>
      </w:divBdr>
    </w:div>
    <w:div w:id="1336616865">
      <w:bodyDiv w:val="1"/>
      <w:marLeft w:val="0"/>
      <w:marRight w:val="0"/>
      <w:marTop w:val="0"/>
      <w:marBottom w:val="0"/>
      <w:divBdr>
        <w:top w:val="none" w:sz="0" w:space="0" w:color="auto"/>
        <w:left w:val="none" w:sz="0" w:space="0" w:color="auto"/>
        <w:bottom w:val="none" w:sz="0" w:space="0" w:color="auto"/>
        <w:right w:val="none" w:sz="0" w:space="0" w:color="auto"/>
      </w:divBdr>
    </w:div>
    <w:div w:id="1338579388">
      <w:bodyDiv w:val="1"/>
      <w:marLeft w:val="0"/>
      <w:marRight w:val="0"/>
      <w:marTop w:val="0"/>
      <w:marBottom w:val="0"/>
      <w:divBdr>
        <w:top w:val="none" w:sz="0" w:space="0" w:color="auto"/>
        <w:left w:val="none" w:sz="0" w:space="0" w:color="auto"/>
        <w:bottom w:val="none" w:sz="0" w:space="0" w:color="auto"/>
        <w:right w:val="none" w:sz="0" w:space="0" w:color="auto"/>
      </w:divBdr>
    </w:div>
    <w:div w:id="1339889759">
      <w:bodyDiv w:val="1"/>
      <w:marLeft w:val="0"/>
      <w:marRight w:val="0"/>
      <w:marTop w:val="0"/>
      <w:marBottom w:val="0"/>
      <w:divBdr>
        <w:top w:val="none" w:sz="0" w:space="0" w:color="auto"/>
        <w:left w:val="none" w:sz="0" w:space="0" w:color="auto"/>
        <w:bottom w:val="none" w:sz="0" w:space="0" w:color="auto"/>
        <w:right w:val="none" w:sz="0" w:space="0" w:color="auto"/>
      </w:divBdr>
    </w:div>
    <w:div w:id="1353917783">
      <w:bodyDiv w:val="1"/>
      <w:marLeft w:val="0"/>
      <w:marRight w:val="0"/>
      <w:marTop w:val="0"/>
      <w:marBottom w:val="0"/>
      <w:divBdr>
        <w:top w:val="none" w:sz="0" w:space="0" w:color="auto"/>
        <w:left w:val="none" w:sz="0" w:space="0" w:color="auto"/>
        <w:bottom w:val="none" w:sz="0" w:space="0" w:color="auto"/>
        <w:right w:val="none" w:sz="0" w:space="0" w:color="auto"/>
      </w:divBdr>
    </w:div>
    <w:div w:id="1359964845">
      <w:bodyDiv w:val="1"/>
      <w:marLeft w:val="0"/>
      <w:marRight w:val="0"/>
      <w:marTop w:val="0"/>
      <w:marBottom w:val="0"/>
      <w:divBdr>
        <w:top w:val="none" w:sz="0" w:space="0" w:color="auto"/>
        <w:left w:val="none" w:sz="0" w:space="0" w:color="auto"/>
        <w:bottom w:val="none" w:sz="0" w:space="0" w:color="auto"/>
        <w:right w:val="none" w:sz="0" w:space="0" w:color="auto"/>
      </w:divBdr>
    </w:div>
    <w:div w:id="1366753832">
      <w:bodyDiv w:val="1"/>
      <w:marLeft w:val="0"/>
      <w:marRight w:val="0"/>
      <w:marTop w:val="0"/>
      <w:marBottom w:val="0"/>
      <w:divBdr>
        <w:top w:val="none" w:sz="0" w:space="0" w:color="auto"/>
        <w:left w:val="none" w:sz="0" w:space="0" w:color="auto"/>
        <w:bottom w:val="none" w:sz="0" w:space="0" w:color="auto"/>
        <w:right w:val="none" w:sz="0" w:space="0" w:color="auto"/>
      </w:divBdr>
    </w:div>
    <w:div w:id="1376278098">
      <w:bodyDiv w:val="1"/>
      <w:marLeft w:val="0"/>
      <w:marRight w:val="0"/>
      <w:marTop w:val="0"/>
      <w:marBottom w:val="0"/>
      <w:divBdr>
        <w:top w:val="none" w:sz="0" w:space="0" w:color="auto"/>
        <w:left w:val="none" w:sz="0" w:space="0" w:color="auto"/>
        <w:bottom w:val="none" w:sz="0" w:space="0" w:color="auto"/>
        <w:right w:val="none" w:sz="0" w:space="0" w:color="auto"/>
      </w:divBdr>
    </w:div>
    <w:div w:id="1382091108">
      <w:bodyDiv w:val="1"/>
      <w:marLeft w:val="0"/>
      <w:marRight w:val="0"/>
      <w:marTop w:val="0"/>
      <w:marBottom w:val="0"/>
      <w:divBdr>
        <w:top w:val="none" w:sz="0" w:space="0" w:color="auto"/>
        <w:left w:val="none" w:sz="0" w:space="0" w:color="auto"/>
        <w:bottom w:val="none" w:sz="0" w:space="0" w:color="auto"/>
        <w:right w:val="none" w:sz="0" w:space="0" w:color="auto"/>
      </w:divBdr>
    </w:div>
    <w:div w:id="1419790363">
      <w:bodyDiv w:val="1"/>
      <w:marLeft w:val="0"/>
      <w:marRight w:val="0"/>
      <w:marTop w:val="0"/>
      <w:marBottom w:val="0"/>
      <w:divBdr>
        <w:top w:val="none" w:sz="0" w:space="0" w:color="auto"/>
        <w:left w:val="none" w:sz="0" w:space="0" w:color="auto"/>
        <w:bottom w:val="none" w:sz="0" w:space="0" w:color="auto"/>
        <w:right w:val="none" w:sz="0" w:space="0" w:color="auto"/>
      </w:divBdr>
    </w:div>
    <w:div w:id="1480220357">
      <w:bodyDiv w:val="1"/>
      <w:marLeft w:val="0"/>
      <w:marRight w:val="0"/>
      <w:marTop w:val="0"/>
      <w:marBottom w:val="0"/>
      <w:divBdr>
        <w:top w:val="none" w:sz="0" w:space="0" w:color="auto"/>
        <w:left w:val="none" w:sz="0" w:space="0" w:color="auto"/>
        <w:bottom w:val="none" w:sz="0" w:space="0" w:color="auto"/>
        <w:right w:val="none" w:sz="0" w:space="0" w:color="auto"/>
      </w:divBdr>
    </w:div>
    <w:div w:id="1493178996">
      <w:bodyDiv w:val="1"/>
      <w:marLeft w:val="0"/>
      <w:marRight w:val="0"/>
      <w:marTop w:val="0"/>
      <w:marBottom w:val="0"/>
      <w:divBdr>
        <w:top w:val="none" w:sz="0" w:space="0" w:color="auto"/>
        <w:left w:val="none" w:sz="0" w:space="0" w:color="auto"/>
        <w:bottom w:val="none" w:sz="0" w:space="0" w:color="auto"/>
        <w:right w:val="none" w:sz="0" w:space="0" w:color="auto"/>
      </w:divBdr>
    </w:div>
    <w:div w:id="1520311155">
      <w:bodyDiv w:val="1"/>
      <w:marLeft w:val="0"/>
      <w:marRight w:val="0"/>
      <w:marTop w:val="0"/>
      <w:marBottom w:val="0"/>
      <w:divBdr>
        <w:top w:val="none" w:sz="0" w:space="0" w:color="auto"/>
        <w:left w:val="none" w:sz="0" w:space="0" w:color="auto"/>
        <w:bottom w:val="none" w:sz="0" w:space="0" w:color="auto"/>
        <w:right w:val="none" w:sz="0" w:space="0" w:color="auto"/>
      </w:divBdr>
    </w:div>
    <w:div w:id="1528638447">
      <w:bodyDiv w:val="1"/>
      <w:marLeft w:val="0"/>
      <w:marRight w:val="0"/>
      <w:marTop w:val="0"/>
      <w:marBottom w:val="0"/>
      <w:divBdr>
        <w:top w:val="none" w:sz="0" w:space="0" w:color="auto"/>
        <w:left w:val="none" w:sz="0" w:space="0" w:color="auto"/>
        <w:bottom w:val="none" w:sz="0" w:space="0" w:color="auto"/>
        <w:right w:val="none" w:sz="0" w:space="0" w:color="auto"/>
      </w:divBdr>
    </w:div>
    <w:div w:id="1538619895">
      <w:bodyDiv w:val="1"/>
      <w:marLeft w:val="0"/>
      <w:marRight w:val="0"/>
      <w:marTop w:val="0"/>
      <w:marBottom w:val="0"/>
      <w:divBdr>
        <w:top w:val="none" w:sz="0" w:space="0" w:color="auto"/>
        <w:left w:val="none" w:sz="0" w:space="0" w:color="auto"/>
        <w:bottom w:val="none" w:sz="0" w:space="0" w:color="auto"/>
        <w:right w:val="none" w:sz="0" w:space="0" w:color="auto"/>
      </w:divBdr>
    </w:div>
    <w:div w:id="1539125358">
      <w:bodyDiv w:val="1"/>
      <w:marLeft w:val="0"/>
      <w:marRight w:val="0"/>
      <w:marTop w:val="0"/>
      <w:marBottom w:val="0"/>
      <w:divBdr>
        <w:top w:val="none" w:sz="0" w:space="0" w:color="auto"/>
        <w:left w:val="none" w:sz="0" w:space="0" w:color="auto"/>
        <w:bottom w:val="none" w:sz="0" w:space="0" w:color="auto"/>
        <w:right w:val="none" w:sz="0" w:space="0" w:color="auto"/>
      </w:divBdr>
    </w:div>
    <w:div w:id="1559780533">
      <w:bodyDiv w:val="1"/>
      <w:marLeft w:val="0"/>
      <w:marRight w:val="0"/>
      <w:marTop w:val="0"/>
      <w:marBottom w:val="0"/>
      <w:divBdr>
        <w:top w:val="none" w:sz="0" w:space="0" w:color="auto"/>
        <w:left w:val="none" w:sz="0" w:space="0" w:color="auto"/>
        <w:bottom w:val="none" w:sz="0" w:space="0" w:color="auto"/>
        <w:right w:val="none" w:sz="0" w:space="0" w:color="auto"/>
      </w:divBdr>
    </w:div>
    <w:div w:id="1579946111">
      <w:bodyDiv w:val="1"/>
      <w:marLeft w:val="0"/>
      <w:marRight w:val="0"/>
      <w:marTop w:val="0"/>
      <w:marBottom w:val="0"/>
      <w:divBdr>
        <w:top w:val="none" w:sz="0" w:space="0" w:color="auto"/>
        <w:left w:val="none" w:sz="0" w:space="0" w:color="auto"/>
        <w:bottom w:val="none" w:sz="0" w:space="0" w:color="auto"/>
        <w:right w:val="none" w:sz="0" w:space="0" w:color="auto"/>
      </w:divBdr>
    </w:div>
    <w:div w:id="1595242572">
      <w:bodyDiv w:val="1"/>
      <w:marLeft w:val="0"/>
      <w:marRight w:val="0"/>
      <w:marTop w:val="0"/>
      <w:marBottom w:val="0"/>
      <w:divBdr>
        <w:top w:val="none" w:sz="0" w:space="0" w:color="auto"/>
        <w:left w:val="none" w:sz="0" w:space="0" w:color="auto"/>
        <w:bottom w:val="none" w:sz="0" w:space="0" w:color="auto"/>
        <w:right w:val="none" w:sz="0" w:space="0" w:color="auto"/>
      </w:divBdr>
    </w:div>
    <w:div w:id="1602713401">
      <w:bodyDiv w:val="1"/>
      <w:marLeft w:val="0"/>
      <w:marRight w:val="0"/>
      <w:marTop w:val="0"/>
      <w:marBottom w:val="0"/>
      <w:divBdr>
        <w:top w:val="none" w:sz="0" w:space="0" w:color="auto"/>
        <w:left w:val="none" w:sz="0" w:space="0" w:color="auto"/>
        <w:bottom w:val="none" w:sz="0" w:space="0" w:color="auto"/>
        <w:right w:val="none" w:sz="0" w:space="0" w:color="auto"/>
      </w:divBdr>
    </w:div>
    <w:div w:id="1605915142">
      <w:bodyDiv w:val="1"/>
      <w:marLeft w:val="0"/>
      <w:marRight w:val="0"/>
      <w:marTop w:val="0"/>
      <w:marBottom w:val="0"/>
      <w:divBdr>
        <w:top w:val="none" w:sz="0" w:space="0" w:color="auto"/>
        <w:left w:val="none" w:sz="0" w:space="0" w:color="auto"/>
        <w:bottom w:val="none" w:sz="0" w:space="0" w:color="auto"/>
        <w:right w:val="none" w:sz="0" w:space="0" w:color="auto"/>
      </w:divBdr>
    </w:div>
    <w:div w:id="1660235593">
      <w:bodyDiv w:val="1"/>
      <w:marLeft w:val="0"/>
      <w:marRight w:val="0"/>
      <w:marTop w:val="0"/>
      <w:marBottom w:val="0"/>
      <w:divBdr>
        <w:top w:val="none" w:sz="0" w:space="0" w:color="auto"/>
        <w:left w:val="none" w:sz="0" w:space="0" w:color="auto"/>
        <w:bottom w:val="none" w:sz="0" w:space="0" w:color="auto"/>
        <w:right w:val="none" w:sz="0" w:space="0" w:color="auto"/>
      </w:divBdr>
    </w:div>
    <w:div w:id="1684361518">
      <w:bodyDiv w:val="1"/>
      <w:marLeft w:val="0"/>
      <w:marRight w:val="0"/>
      <w:marTop w:val="0"/>
      <w:marBottom w:val="0"/>
      <w:divBdr>
        <w:top w:val="none" w:sz="0" w:space="0" w:color="auto"/>
        <w:left w:val="none" w:sz="0" w:space="0" w:color="auto"/>
        <w:bottom w:val="none" w:sz="0" w:space="0" w:color="auto"/>
        <w:right w:val="none" w:sz="0" w:space="0" w:color="auto"/>
      </w:divBdr>
    </w:div>
    <w:div w:id="1693259011">
      <w:bodyDiv w:val="1"/>
      <w:marLeft w:val="0"/>
      <w:marRight w:val="0"/>
      <w:marTop w:val="0"/>
      <w:marBottom w:val="0"/>
      <w:divBdr>
        <w:top w:val="none" w:sz="0" w:space="0" w:color="auto"/>
        <w:left w:val="none" w:sz="0" w:space="0" w:color="auto"/>
        <w:bottom w:val="none" w:sz="0" w:space="0" w:color="auto"/>
        <w:right w:val="none" w:sz="0" w:space="0" w:color="auto"/>
      </w:divBdr>
    </w:div>
    <w:div w:id="1708483612">
      <w:bodyDiv w:val="1"/>
      <w:marLeft w:val="0"/>
      <w:marRight w:val="0"/>
      <w:marTop w:val="0"/>
      <w:marBottom w:val="0"/>
      <w:divBdr>
        <w:top w:val="none" w:sz="0" w:space="0" w:color="auto"/>
        <w:left w:val="none" w:sz="0" w:space="0" w:color="auto"/>
        <w:bottom w:val="none" w:sz="0" w:space="0" w:color="auto"/>
        <w:right w:val="none" w:sz="0" w:space="0" w:color="auto"/>
      </w:divBdr>
    </w:div>
    <w:div w:id="1727139946">
      <w:bodyDiv w:val="1"/>
      <w:marLeft w:val="0"/>
      <w:marRight w:val="0"/>
      <w:marTop w:val="0"/>
      <w:marBottom w:val="0"/>
      <w:divBdr>
        <w:top w:val="none" w:sz="0" w:space="0" w:color="auto"/>
        <w:left w:val="none" w:sz="0" w:space="0" w:color="auto"/>
        <w:bottom w:val="none" w:sz="0" w:space="0" w:color="auto"/>
        <w:right w:val="none" w:sz="0" w:space="0" w:color="auto"/>
      </w:divBdr>
    </w:div>
    <w:div w:id="1746998620">
      <w:bodyDiv w:val="1"/>
      <w:marLeft w:val="0"/>
      <w:marRight w:val="0"/>
      <w:marTop w:val="0"/>
      <w:marBottom w:val="0"/>
      <w:divBdr>
        <w:top w:val="none" w:sz="0" w:space="0" w:color="auto"/>
        <w:left w:val="none" w:sz="0" w:space="0" w:color="auto"/>
        <w:bottom w:val="none" w:sz="0" w:space="0" w:color="auto"/>
        <w:right w:val="none" w:sz="0" w:space="0" w:color="auto"/>
      </w:divBdr>
    </w:div>
    <w:div w:id="1783112791">
      <w:bodyDiv w:val="1"/>
      <w:marLeft w:val="0"/>
      <w:marRight w:val="0"/>
      <w:marTop w:val="0"/>
      <w:marBottom w:val="0"/>
      <w:divBdr>
        <w:top w:val="none" w:sz="0" w:space="0" w:color="auto"/>
        <w:left w:val="none" w:sz="0" w:space="0" w:color="auto"/>
        <w:bottom w:val="none" w:sz="0" w:space="0" w:color="auto"/>
        <w:right w:val="none" w:sz="0" w:space="0" w:color="auto"/>
      </w:divBdr>
    </w:div>
    <w:div w:id="1805000636">
      <w:bodyDiv w:val="1"/>
      <w:marLeft w:val="0"/>
      <w:marRight w:val="0"/>
      <w:marTop w:val="0"/>
      <w:marBottom w:val="0"/>
      <w:divBdr>
        <w:top w:val="none" w:sz="0" w:space="0" w:color="auto"/>
        <w:left w:val="none" w:sz="0" w:space="0" w:color="auto"/>
        <w:bottom w:val="none" w:sz="0" w:space="0" w:color="auto"/>
        <w:right w:val="none" w:sz="0" w:space="0" w:color="auto"/>
      </w:divBdr>
    </w:div>
    <w:div w:id="1814836542">
      <w:bodyDiv w:val="1"/>
      <w:marLeft w:val="0"/>
      <w:marRight w:val="0"/>
      <w:marTop w:val="0"/>
      <w:marBottom w:val="0"/>
      <w:divBdr>
        <w:top w:val="none" w:sz="0" w:space="0" w:color="auto"/>
        <w:left w:val="none" w:sz="0" w:space="0" w:color="auto"/>
        <w:bottom w:val="none" w:sz="0" w:space="0" w:color="auto"/>
        <w:right w:val="none" w:sz="0" w:space="0" w:color="auto"/>
      </w:divBdr>
    </w:div>
    <w:div w:id="1894149687">
      <w:bodyDiv w:val="1"/>
      <w:marLeft w:val="0"/>
      <w:marRight w:val="0"/>
      <w:marTop w:val="0"/>
      <w:marBottom w:val="0"/>
      <w:divBdr>
        <w:top w:val="none" w:sz="0" w:space="0" w:color="auto"/>
        <w:left w:val="none" w:sz="0" w:space="0" w:color="auto"/>
        <w:bottom w:val="none" w:sz="0" w:space="0" w:color="auto"/>
        <w:right w:val="none" w:sz="0" w:space="0" w:color="auto"/>
      </w:divBdr>
    </w:div>
    <w:div w:id="1953122555">
      <w:bodyDiv w:val="1"/>
      <w:marLeft w:val="0"/>
      <w:marRight w:val="0"/>
      <w:marTop w:val="0"/>
      <w:marBottom w:val="0"/>
      <w:divBdr>
        <w:top w:val="none" w:sz="0" w:space="0" w:color="auto"/>
        <w:left w:val="none" w:sz="0" w:space="0" w:color="auto"/>
        <w:bottom w:val="none" w:sz="0" w:space="0" w:color="auto"/>
        <w:right w:val="none" w:sz="0" w:space="0" w:color="auto"/>
      </w:divBdr>
    </w:div>
    <w:div w:id="1986736281">
      <w:bodyDiv w:val="1"/>
      <w:marLeft w:val="0"/>
      <w:marRight w:val="0"/>
      <w:marTop w:val="0"/>
      <w:marBottom w:val="0"/>
      <w:divBdr>
        <w:top w:val="none" w:sz="0" w:space="0" w:color="auto"/>
        <w:left w:val="none" w:sz="0" w:space="0" w:color="auto"/>
        <w:bottom w:val="none" w:sz="0" w:space="0" w:color="auto"/>
        <w:right w:val="none" w:sz="0" w:space="0" w:color="auto"/>
      </w:divBdr>
    </w:div>
    <w:div w:id="2052337994">
      <w:bodyDiv w:val="1"/>
      <w:marLeft w:val="0"/>
      <w:marRight w:val="0"/>
      <w:marTop w:val="0"/>
      <w:marBottom w:val="0"/>
      <w:divBdr>
        <w:top w:val="none" w:sz="0" w:space="0" w:color="auto"/>
        <w:left w:val="none" w:sz="0" w:space="0" w:color="auto"/>
        <w:bottom w:val="none" w:sz="0" w:space="0" w:color="auto"/>
        <w:right w:val="none" w:sz="0" w:space="0" w:color="auto"/>
      </w:divBdr>
    </w:div>
    <w:div w:id="2114200702">
      <w:bodyDiv w:val="1"/>
      <w:marLeft w:val="0"/>
      <w:marRight w:val="0"/>
      <w:marTop w:val="0"/>
      <w:marBottom w:val="0"/>
      <w:divBdr>
        <w:top w:val="none" w:sz="0" w:space="0" w:color="auto"/>
        <w:left w:val="none" w:sz="0" w:space="0" w:color="auto"/>
        <w:bottom w:val="none" w:sz="0" w:space="0" w:color="auto"/>
        <w:right w:val="none" w:sz="0" w:space="0" w:color="auto"/>
      </w:divBdr>
    </w:div>
    <w:div w:id="2128810496">
      <w:bodyDiv w:val="1"/>
      <w:marLeft w:val="0"/>
      <w:marRight w:val="0"/>
      <w:marTop w:val="0"/>
      <w:marBottom w:val="0"/>
      <w:divBdr>
        <w:top w:val="none" w:sz="0" w:space="0" w:color="auto"/>
        <w:left w:val="none" w:sz="0" w:space="0" w:color="auto"/>
        <w:bottom w:val="none" w:sz="0" w:space="0" w:color="auto"/>
        <w:right w:val="none" w:sz="0" w:space="0" w:color="auto"/>
      </w:divBdr>
    </w:div>
    <w:div w:id="2141606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tyles" Target="styles.xml"/><Relationship Id="rId13" Type="http://schemas.openxmlformats.org/officeDocument/2006/relationships/hyperlink" Target="https://www.hrmagazine.co.uk/content/features/uk-employment-law-after-brexit"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numbering" Target="numbering.xml"/><Relationship Id="rId12" Type="http://schemas.openxmlformats.org/officeDocument/2006/relationships/hyperlink" Target="https://www.gov.uk/government/publications/employment-status-and-employment-rights/employment-status-and-employment-rights-guidance-for-hr-professionals-legal-professionals-and-other-group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aternityaction.org.uk/wp-content/uploads/ShPlEvalParentalSurveyBriefing-July2022-FINAL.pdf" TargetMode="Externa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hyperlink" Target="https://www.acas.org.uk/dismissals/constructive-dismissal" TargetMode="External"/><Relationship Id="rId5" Type="http://schemas.openxmlformats.org/officeDocument/2006/relationships/customXml" Target="../customXml/item5.xml"/><Relationship Id="rId15" Type="http://schemas.openxmlformats.org/officeDocument/2006/relationships/hyperlink" Target="https://www.hrmagazine.co.uk/content/features/post-brexit-legal-changes-tupe-or-not-tupe" TargetMode="External"/><Relationship Id="rId10" Type="http://schemas.openxmlformats.org/officeDocument/2006/relationships/webSettings" Target="webSettings.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hyperlink" Target="https://www.hrmagazine.co.uk/content/news/how-is-holiday-pay-changin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elanie.Warne1\AppData\Local\Temp\Templafy\WordVsto\gdsm1xny.dotx" TargetMode="External"/></Relationships>
</file>

<file path=word/theme/theme1.xml><?xml version="1.0" encoding="utf-8"?>
<a:theme xmlns:a="http://schemas.openxmlformats.org/drawingml/2006/main" name="Office Theme">
  <a:themeElements>
    <a:clrScheme name="__Maximus">
      <a:dk1>
        <a:sysClr val="windowText" lastClr="000000"/>
      </a:dk1>
      <a:lt1>
        <a:sysClr val="window" lastClr="FFFFFF"/>
      </a:lt1>
      <a:dk2>
        <a:srgbClr val="200649"/>
      </a:dk2>
      <a:lt2>
        <a:srgbClr val="F2F2F2"/>
      </a:lt2>
      <a:accent1>
        <a:srgbClr val="200649"/>
      </a:accent1>
      <a:accent2>
        <a:srgbClr val="9F7FC9"/>
      </a:accent2>
      <a:accent3>
        <a:srgbClr val="6277B9"/>
      </a:accent3>
      <a:accent4>
        <a:srgbClr val="7EBE63"/>
      </a:accent4>
      <a:accent5>
        <a:srgbClr val="502E91"/>
      </a:accent5>
      <a:accent6>
        <a:srgbClr val="9CABD7"/>
      </a:accent6>
      <a:hlink>
        <a:srgbClr val="9F7FC9"/>
      </a:hlink>
      <a:folHlink>
        <a:srgbClr val="200649"/>
      </a:folHlink>
    </a:clrScheme>
    <a:fontScheme name="__Maximus">
      <a:majorFont>
        <a:latin typeface="Avenir Next LT Pro Light"/>
        <a:ea typeface=""/>
        <a:cs typeface=""/>
      </a:majorFont>
      <a:minorFont>
        <a:latin typeface="Avenir Next LT Pro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1"/>
        </a:solidFill>
        <a:ln>
          <a:solidFill>
            <a:schemeClr val="accent1"/>
          </a:solidFill>
        </a:ln>
      </a:spPr>
      <a:bodyPr rtlCol="0" anchor="ctr"/>
      <a:lstStyle/>
      <a:style>
        <a:lnRef idx="2">
          <a:schemeClr val="accent1">
            <a:shade val="15000"/>
          </a:schemeClr>
        </a:lnRef>
        <a:fillRef idx="1">
          <a:schemeClr val="accent1"/>
        </a:fillRef>
        <a:effectRef idx="0">
          <a:schemeClr val="accent1"/>
        </a:effectRef>
        <a:fontRef idx="minor">
          <a:schemeClr val="lt1"/>
        </a:fontRef>
      </a:style>
    </a:spDef>
    <a:lnDef>
      <a:spPr/>
      <a:bodyPr/>
      <a:lstStyle/>
      <a:style>
        <a:lnRef idx="1">
          <a:schemeClr val="accent1"/>
        </a:lnRef>
        <a:fillRef idx="0">
          <a:schemeClr val="accent1"/>
        </a:fillRef>
        <a:effectRef idx="0">
          <a:schemeClr val="accent1"/>
        </a:effectRef>
        <a:fontRef idx="minor">
          <a:schemeClr val="tx1"/>
        </a:fontRef>
      </a:style>
    </a:lnDef>
    <a:txDef>
      <a:spPr>
        <a:noFill/>
        <a:ln w="6350">
          <a:solidFill>
            <a:schemeClr val="accent1"/>
          </a:solidFill>
        </a:ln>
      </a:spPr>
      <a:bodyPr wrap="square" lIns="72000" tIns="72000" rIns="72000" bIns="72000" rtlCol="0"/>
      <a:lstStyle/>
    </a:txDef>
  </a:objectDefaults>
  <a:extraClrSchemeLst/>
  <a:custClrLst>
    <a:custClr name="Red">
      <a:srgbClr val="FF0000"/>
    </a:custClr>
    <a:custClr name="Amber">
      <a:srgbClr val="FFC000"/>
    </a:custClr>
    <a:custClr name="Green">
      <a:srgbClr val="7EBE63"/>
    </a:custClr>
  </a:custClr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Number xmlns="08719aca-9944-47ed-99d0-5d6a4bfa3e55" xsi:nil="true"/>
    <TaxCatchAll xmlns="26573516-4fdd-44dd-bdbd-8e5c736fef5f" xsi:nil="true"/>
    <_ip_UnifiedCompliancePolicyProperties xmlns="http://schemas.microsoft.com/sharepoint/v3" xsi:nil="true"/>
    <lcf76f155ced4ddcb4097134ff3c332f xmlns="08719aca-9944-47ed-99d0-5d6a4bfa3e55">
      <Terms xmlns="http://schemas.microsoft.com/office/infopath/2007/PartnerControls"/>
    </lcf76f155ced4ddcb4097134ff3c332f>
    <date_x0020_added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TemplafyFormConfiguration><![CDATA[{"formFields":[],"formDataEntries":[]}]]></TemplafyFormConfiguration>
</file>

<file path=customXml/item5.xml><?xml version="1.0" encoding="utf-8"?>
<TemplafyTemplateConfiguration><![CDATA[{"elementsMetadata":[],"transformationConfigurations":[],"templateName":"Maximus Blank Template","templateDescription":"","enableDocumentContentUpdater":false,"version":"2.0"}]]></TemplafyTemplateConfiguration>
</file>

<file path=customXml/item6.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22" ma:contentTypeDescription="Create a new document." ma:contentTypeScope="" ma:versionID="b699fd55927a34d257ed91fcb816b7cf">
  <xsd:schema xmlns:xsd="http://www.w3.org/2001/XMLSchema" xmlns:xs="http://www.w3.org/2001/XMLSchema" xmlns:p="http://schemas.microsoft.com/office/2006/metadata/properties" xmlns:ns1="http://schemas.microsoft.com/sharepoint/v3" xmlns:ns2="08719aca-9944-47ed-99d0-5d6a4bfa3e55" xmlns:ns3="5b2f617d-22f6-4a73-93de-44faf49dffb2" xmlns:ns4="26573516-4fdd-44dd-bdbd-8e5c736fef5f" targetNamespace="http://schemas.microsoft.com/office/2006/metadata/properties" ma:root="true" ma:fieldsID="a72eddf1b908bf265cbfbcdc0753b625" ns1:_="" ns2:_="" ns3:_="" ns4:_="">
    <xsd:import namespace="http://schemas.microsoft.com/sharepoint/v3"/>
    <xsd:import namespace="08719aca-9944-47ed-99d0-5d6a4bfa3e55"/>
    <xsd:import namespace="5b2f617d-22f6-4a73-93de-44faf49dffb2"/>
    <xsd:import namespace="26573516-4fdd-44dd-bdbd-8e5c736fef5f"/>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1:_ip_UnifiedCompliancePolicyProperties" minOccurs="0"/>
                <xsd:element ref="ns1:_ip_UnifiedCompliancePolicyUIAction" minOccurs="0"/>
                <xsd:element ref="ns3:SharedWithUsers" minOccurs="0"/>
                <xsd:element ref="ns3:SharedWithDetails" minOccurs="0"/>
                <xsd:element ref="ns2:MediaServiceDateTaken" minOccurs="0"/>
                <xsd:element ref="ns2:MediaServiceLocation" minOccurs="0"/>
                <xsd:element ref="ns2:MediaServiceAutoKeyPoints" minOccurs="0"/>
                <xsd:element ref="ns2:MediaServiceKeyPoints" minOccurs="0"/>
                <xsd:element ref="ns2:MediaLengthInSeconds" minOccurs="0"/>
                <xsd:element ref="ns2:Number" minOccurs="0"/>
                <xsd:element ref="ns2:lcf76f155ced4ddcb4097134ff3c332f" minOccurs="0"/>
                <xsd:element ref="ns4:TaxCatchAll" minOccurs="0"/>
                <xsd:element ref="ns2:date_x0020_added"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4" nillable="true" ma:displayName="Unified Compliance Policy Properties" ma:hidden="true" ma:internalName="_ip_UnifiedCompliancePolicyProperties">
      <xsd:simpleType>
        <xsd:restriction base="dms:Note"/>
      </xsd:simpleType>
    </xsd:element>
    <xsd:element name="_ip_UnifiedCompliancePolicyUIAction" ma:index="15"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element name="MediaLengthInSeconds" ma:index="22" nillable="true" ma:displayName="Length (seconds)" ma:internalName="MediaLengthInSeconds" ma:readOnly="true">
      <xsd:simpleType>
        <xsd:restriction base="dms:Unknown"/>
      </xsd:simpleType>
    </xsd:element>
    <xsd:element name="Number" ma:index="23" nillable="true" ma:displayName="Number" ma:format="Dropdown" ma:internalName="Number" ma:percentage="FALSE">
      <xsd:simpleType>
        <xsd:restriction base="dms:Number"/>
      </xsd:simpleType>
    </xsd:element>
    <xsd:element name="lcf76f155ced4ddcb4097134ff3c332f" ma:index="25" nillable="true" ma:taxonomy="true" ma:internalName="lcf76f155ced4ddcb4097134ff3c332f" ma:taxonomyFieldName="MediaServiceImageTags" ma:displayName="Image Tags" ma:readOnly="false" ma:fieldId="{5cf76f15-5ced-4ddc-b409-7134ff3c332f}" ma:taxonomyMulti="true" ma:sspId="0c10deb3-8dd7-4942-8006-05e787042858" ma:termSetId="09814cd3-568e-fe90-9814-8d621ff8fb84" ma:anchorId="fba54fb3-c3e1-fe81-a776-ca4b69148c4d" ma:open="true" ma:isKeyword="false">
      <xsd:complexType>
        <xsd:sequence>
          <xsd:element ref="pc:Terms" minOccurs="0" maxOccurs="1"/>
        </xsd:sequence>
      </xsd:complexType>
    </xsd:element>
    <xsd:element name="date_x0020_added" ma:index="27" nillable="true" ma:displayName="date added" ma:internalName="date_x0020_added">
      <xsd:simpleType>
        <xsd:restriction base="dms:Text">
          <xsd:maxLength value="255"/>
        </xsd:restriction>
      </xsd:simpleType>
    </xsd:element>
    <xsd:element name="MediaServiceObjectDetectorVersions" ma:index="28"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6573516-4fdd-44dd-bdbd-8e5c736fef5f" elementFormDefault="qualified">
    <xsd:import namespace="http://schemas.microsoft.com/office/2006/documentManagement/types"/>
    <xsd:import namespace="http://schemas.microsoft.com/office/infopath/2007/PartnerControls"/>
    <xsd:element name="TaxCatchAll" ma:index="26" nillable="true" ma:displayName="Taxonomy Catch All Column" ma:hidden="true" ma:list="{ed0fd8f8-565f-4be2-ae67-80b718644100}" ma:internalName="TaxCatchAll" ma:showField="CatchAllData" ma:web="5b2f617d-22f6-4a73-93de-44faf49dffb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BDCB66-26C6-4508-9A66-454DC7DFC531}">
  <ds:schemaRefs>
    <ds:schemaRef ds:uri="http://schemas.microsoft.com/office/2006/metadata/properties"/>
    <ds:schemaRef ds:uri="http://schemas.microsoft.com/office/infopath/2007/PartnerControls"/>
    <ds:schemaRef ds:uri="http://schemas.microsoft.com/sharepoint/v3"/>
    <ds:schemaRef ds:uri="08719aca-9944-47ed-99d0-5d6a4bfa3e55"/>
    <ds:schemaRef ds:uri="26573516-4fdd-44dd-bdbd-8e5c736fef5f"/>
  </ds:schemaRefs>
</ds:datastoreItem>
</file>

<file path=customXml/itemProps2.xml><?xml version="1.0" encoding="utf-8"?>
<ds:datastoreItem xmlns:ds="http://schemas.openxmlformats.org/officeDocument/2006/customXml" ds:itemID="{0A187A0D-BB7D-42EB-91AE-91D37FCE58F8}">
  <ds:schemaRefs>
    <ds:schemaRef ds:uri="http://schemas.microsoft.com/sharepoint/v3/contenttype/forms"/>
  </ds:schemaRefs>
</ds:datastoreItem>
</file>

<file path=customXml/itemProps3.xml><?xml version="1.0" encoding="utf-8"?>
<ds:datastoreItem xmlns:ds="http://schemas.openxmlformats.org/officeDocument/2006/customXml" ds:itemID="{1562AE6A-FDD3-4716-BFD7-BB1E2DA25C44}">
  <ds:schemaRefs>
    <ds:schemaRef ds:uri="http://schemas.openxmlformats.org/officeDocument/2006/bibliography"/>
  </ds:schemaRefs>
</ds:datastoreItem>
</file>

<file path=customXml/itemProps4.xml><?xml version="1.0" encoding="utf-8"?>
<ds:datastoreItem xmlns:ds="http://schemas.openxmlformats.org/officeDocument/2006/customXml" ds:itemID="{54D8B26B-C71C-4647-8122-8BF05397F6EE}">
  <ds:schemaRefs/>
</ds:datastoreItem>
</file>

<file path=customXml/itemProps5.xml><?xml version="1.0" encoding="utf-8"?>
<ds:datastoreItem xmlns:ds="http://schemas.openxmlformats.org/officeDocument/2006/customXml" ds:itemID="{1C209971-AE10-4F02-A3A9-C84D0350EE17}">
  <ds:schemaRefs/>
</ds:datastoreItem>
</file>

<file path=customXml/itemProps6.xml><?xml version="1.0" encoding="utf-8"?>
<ds:datastoreItem xmlns:ds="http://schemas.openxmlformats.org/officeDocument/2006/customXml" ds:itemID="{480C824C-C187-4FBA-B62E-EA4083D2C5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08719aca-9944-47ed-99d0-5d6a4bfa3e55"/>
    <ds:schemaRef ds:uri="5b2f617d-22f6-4a73-93de-44faf49dffb2"/>
    <ds:schemaRef ds:uri="26573516-4fdd-44dd-bdbd-8e5c736fef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gdsm1xny</Template>
  <TotalTime>1</TotalTime>
  <Pages>12</Pages>
  <Words>4647</Words>
  <Characters>26491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Warne</dc:creator>
  <cp:keywords/>
  <dc:description/>
  <cp:lastModifiedBy>Melanie Warne</cp:lastModifiedBy>
  <cp:revision>3</cp:revision>
  <cp:lastPrinted>2025-05-30T07:28:00Z</cp:lastPrinted>
  <dcterms:created xsi:type="dcterms:W3CDTF">2025-05-30T08:22:00Z</dcterms:created>
  <dcterms:modified xsi:type="dcterms:W3CDTF">2025-05-30T08:22:00Z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ediaServiceImageTags">
    <vt:lpwstr/>
  </property>
  <property fmtid="{D5CDD505-2E9C-101B-9397-08002B2CF9AE}" pid="4" name="TemplafyTenantId">
    <vt:lpwstr>maximusuk</vt:lpwstr>
  </property>
  <property fmtid="{D5CDD505-2E9C-101B-9397-08002B2CF9AE}" pid="5" name="TemplafyTemplateId">
    <vt:lpwstr>1155926495780144444</vt:lpwstr>
  </property>
  <property fmtid="{D5CDD505-2E9C-101B-9397-08002B2CF9AE}" pid="6" name="TemplafyUserProfileId">
    <vt:lpwstr>985279457155350535</vt:lpwstr>
  </property>
  <property fmtid="{D5CDD505-2E9C-101B-9397-08002B2CF9AE}" pid="7" name="TemplafyFromBlank">
    <vt:bool>true</vt:bool>
  </property>
</Properties>
</file>