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418B3" w14:textId="5C6B9247" w:rsidR="00D31B7C" w:rsidRDefault="00D31B7C" w:rsidP="00D31B7C">
      <w:pPr>
        <w:spacing w:line="360" w:lineRule="auto"/>
        <w:jc w:val="center"/>
        <w:rPr>
          <w:rFonts w:ascii="Arial" w:hAnsi="Arial" w:cs="Arial"/>
          <w:b/>
          <w:bCs/>
          <w:sz w:val="32"/>
          <w:szCs w:val="32"/>
          <w:lang/>
        </w:rPr>
      </w:pPr>
      <w:r w:rsidRPr="00D31B7C">
        <w:rPr>
          <w:rFonts w:ascii="Arial" w:hAnsi="Arial" w:cs="Arial"/>
          <w:b/>
          <w:bCs/>
          <w:sz w:val="32"/>
          <w:szCs w:val="32"/>
          <w:lang/>
        </w:rPr>
        <w:t xml:space="preserve"> </w:t>
      </w:r>
    </w:p>
    <w:p w14:paraId="7A0DA9D0" w14:textId="0DAE2167" w:rsidR="0046703A" w:rsidRPr="00D31B7C" w:rsidRDefault="00D31B7C" w:rsidP="00D31B7C">
      <w:pPr>
        <w:spacing w:line="360" w:lineRule="auto"/>
        <w:jc w:val="center"/>
        <w:rPr>
          <w:rFonts w:ascii="Arial" w:hAnsi="Arial" w:cs="Arial"/>
          <w:b/>
          <w:bCs/>
          <w:sz w:val="32"/>
          <w:szCs w:val="32"/>
          <w:lang/>
        </w:rPr>
      </w:pPr>
      <w:r w:rsidRPr="00D31B7C">
        <w:rPr>
          <w:rFonts w:ascii="Arial" w:hAnsi="Arial" w:cs="Arial"/>
          <w:b/>
          <w:bCs/>
          <w:sz w:val="32"/>
          <w:szCs w:val="32"/>
          <w:lang/>
        </w:rPr>
        <w:t>AN ANALYSIS OF THE CARE WORKER ROLE: ESSENTIAL SKILLS AND DEVELOPMENT STRATEGIES</w:t>
      </w:r>
    </w:p>
    <w:p w14:paraId="39F8EEB2" w14:textId="30DD4A9B" w:rsidR="00C43E52" w:rsidRPr="00C43E52" w:rsidRDefault="00D31B7C" w:rsidP="00C43E52">
      <w:pPr>
        <w:spacing w:line="360" w:lineRule="auto"/>
        <w:jc w:val="center"/>
        <w:rPr>
          <w:rFonts w:ascii="Arial" w:hAnsi="Arial" w:cs="Arial"/>
          <w:b/>
          <w:bCs/>
          <w:sz w:val="32"/>
          <w:szCs w:val="32"/>
          <w:lang/>
        </w:rPr>
      </w:pPr>
      <w:r w:rsidRPr="00D31B7C">
        <w:rPr>
          <w:rFonts w:ascii="Arial" w:hAnsi="Arial" w:cs="Arial"/>
          <w:b/>
          <w:bCs/>
          <w:sz w:val="32"/>
          <w:szCs w:val="32"/>
          <w:lang/>
        </w:rPr>
        <w:t>STUDENT NAME: </w:t>
      </w:r>
      <w:r w:rsidR="00C43E52">
        <w:rPr>
          <w:rFonts w:ascii="Arial" w:hAnsi="Arial" w:cs="Arial"/>
          <w:b/>
          <w:bCs/>
          <w:sz w:val="32"/>
          <w:szCs w:val="32"/>
          <w:lang/>
        </w:rPr>
        <w:t>Syed Faisal Nadeem</w:t>
      </w:r>
      <w:r w:rsidRPr="00D31B7C">
        <w:rPr>
          <w:rFonts w:ascii="Arial" w:hAnsi="Arial" w:cs="Arial"/>
          <w:b/>
          <w:bCs/>
          <w:sz w:val="32"/>
          <w:szCs w:val="32"/>
          <w:lang/>
        </w:rPr>
        <w:br/>
        <w:t>STUDENT ID: </w:t>
      </w:r>
      <w:r w:rsidR="00C43E52">
        <w:rPr>
          <w:rFonts w:ascii="Arial" w:hAnsi="Arial" w:cs="Arial"/>
          <w:b/>
          <w:bCs/>
          <w:sz w:val="32"/>
          <w:szCs w:val="32"/>
          <w:lang/>
        </w:rPr>
        <w:t>2313914</w:t>
      </w:r>
      <w:r w:rsidRPr="00D31B7C">
        <w:rPr>
          <w:rFonts w:ascii="Arial" w:hAnsi="Arial" w:cs="Arial"/>
          <w:b/>
          <w:bCs/>
          <w:sz w:val="32"/>
          <w:szCs w:val="32"/>
          <w:lang/>
        </w:rPr>
        <w:br/>
      </w:r>
      <w:r w:rsidR="00C43E52">
        <w:rPr>
          <w:rFonts w:ascii="Arial" w:hAnsi="Arial" w:cs="Arial"/>
          <w:b/>
          <w:bCs/>
          <w:sz w:val="32"/>
          <w:szCs w:val="32"/>
          <w:lang/>
        </w:rPr>
        <w:t>Module Code</w:t>
      </w:r>
      <w:r w:rsidRPr="00D31B7C">
        <w:rPr>
          <w:rFonts w:ascii="Arial" w:hAnsi="Arial" w:cs="Arial"/>
          <w:b/>
          <w:bCs/>
          <w:sz w:val="32"/>
          <w:szCs w:val="32"/>
          <w:lang/>
        </w:rPr>
        <w:t>: </w:t>
      </w:r>
      <w:r w:rsidR="00C43E52">
        <w:rPr>
          <w:rFonts w:ascii="Arial" w:hAnsi="Arial" w:cs="Arial"/>
          <w:b/>
          <w:bCs/>
          <w:sz w:val="32"/>
          <w:szCs w:val="32"/>
          <w:lang/>
        </w:rPr>
        <w:t>LCHS4001</w:t>
      </w:r>
    </w:p>
    <w:p w14:paraId="6D9DEAAE" w14:textId="77777777" w:rsidR="00C43E52" w:rsidRDefault="00C43E52" w:rsidP="00C43E52">
      <w:pPr>
        <w:spacing w:line="360" w:lineRule="auto"/>
        <w:jc w:val="center"/>
        <w:rPr>
          <w:rFonts w:ascii="Arial" w:hAnsi="Arial" w:cs="Arial"/>
          <w:b/>
          <w:bCs/>
          <w:sz w:val="32"/>
          <w:szCs w:val="32"/>
          <w:lang/>
        </w:rPr>
      </w:pPr>
      <w:r>
        <w:rPr>
          <w:rFonts w:ascii="Arial" w:hAnsi="Arial" w:cs="Arial"/>
          <w:b/>
          <w:bCs/>
          <w:sz w:val="32"/>
          <w:szCs w:val="32"/>
          <w:lang/>
        </w:rPr>
        <w:t>Module title: Academic and Employability Skills</w:t>
      </w:r>
    </w:p>
    <w:p w14:paraId="79387EEE" w14:textId="437F4378" w:rsidR="0046703A" w:rsidRPr="00C43E52" w:rsidRDefault="00C43E52" w:rsidP="00C43E52">
      <w:pPr>
        <w:spacing w:line="360" w:lineRule="auto"/>
        <w:jc w:val="center"/>
        <w:rPr>
          <w:rFonts w:ascii="Arial" w:hAnsi="Arial" w:cs="Arial"/>
          <w:b/>
          <w:bCs/>
          <w:sz w:val="32"/>
          <w:szCs w:val="32"/>
          <w:lang/>
        </w:rPr>
      </w:pPr>
      <w:r>
        <w:rPr>
          <w:rFonts w:ascii="Arial" w:hAnsi="Arial" w:cs="Arial"/>
          <w:b/>
          <w:bCs/>
          <w:sz w:val="32"/>
          <w:szCs w:val="32"/>
          <w:lang/>
        </w:rPr>
        <w:t xml:space="preserve"> Lecturer: Reza Taghizadeh</w:t>
      </w:r>
    </w:p>
    <w:p w14:paraId="72E4F010" w14:textId="33C6937A" w:rsidR="007B4C0E" w:rsidRPr="00D31B7C" w:rsidRDefault="007B4C0E" w:rsidP="00D31B7C">
      <w:pPr>
        <w:spacing w:line="360" w:lineRule="auto"/>
        <w:jc w:val="center"/>
        <w:rPr>
          <w:rFonts w:ascii="Arial" w:hAnsi="Arial" w:cs="Arial"/>
          <w:sz w:val="32"/>
          <w:szCs w:val="32"/>
        </w:rPr>
      </w:pPr>
      <w:r w:rsidRPr="00D31B7C">
        <w:rPr>
          <w:rFonts w:ascii="Arial" w:hAnsi="Arial" w:cs="Arial"/>
          <w:sz w:val="32"/>
          <w:szCs w:val="32"/>
        </w:rPr>
        <w:br w:type="page"/>
      </w:r>
    </w:p>
    <w:sdt>
      <w:sdtPr>
        <w:rPr>
          <w:rFonts w:ascii="Arial" w:eastAsiaTheme="minorHAnsi" w:hAnsi="Arial" w:cs="Arial"/>
          <w:color w:val="auto"/>
          <w:kern w:val="2"/>
          <w:sz w:val="24"/>
          <w:szCs w:val="24"/>
          <w:lang w:val="en-GB"/>
          <w14:ligatures w14:val="standardContextual"/>
        </w:rPr>
        <w:id w:val="-1344074704"/>
        <w:docPartObj>
          <w:docPartGallery w:val="Table of Contents"/>
          <w:docPartUnique/>
        </w:docPartObj>
      </w:sdtPr>
      <w:sdtEndPr>
        <w:rPr>
          <w:b/>
          <w:bCs/>
          <w:noProof/>
        </w:rPr>
      </w:sdtEndPr>
      <w:sdtContent>
        <w:p w14:paraId="734B9EAF" w14:textId="0DB1B2F3" w:rsidR="00D31B7C" w:rsidRPr="00D31B7C" w:rsidRDefault="00D31B7C" w:rsidP="00D31B7C">
          <w:pPr>
            <w:pStyle w:val="TOCHeading"/>
            <w:spacing w:line="360" w:lineRule="auto"/>
            <w:jc w:val="both"/>
            <w:rPr>
              <w:rFonts w:ascii="Arial" w:hAnsi="Arial" w:cs="Arial"/>
              <w:sz w:val="24"/>
              <w:szCs w:val="24"/>
            </w:rPr>
          </w:pPr>
          <w:r w:rsidRPr="00D31B7C">
            <w:rPr>
              <w:rFonts w:ascii="Arial" w:hAnsi="Arial" w:cs="Arial"/>
              <w:sz w:val="24"/>
              <w:szCs w:val="24"/>
            </w:rPr>
            <w:t>Table of Contents</w:t>
          </w:r>
        </w:p>
        <w:p w14:paraId="32ADB121" w14:textId="5E4D5616"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r w:rsidRPr="00D31B7C">
            <w:rPr>
              <w:rFonts w:ascii="Arial" w:hAnsi="Arial" w:cs="Arial"/>
              <w:sz w:val="24"/>
              <w:szCs w:val="24"/>
            </w:rPr>
            <w:fldChar w:fldCharType="begin"/>
          </w:r>
          <w:r w:rsidRPr="00D31B7C">
            <w:rPr>
              <w:rFonts w:ascii="Arial" w:hAnsi="Arial" w:cs="Arial"/>
              <w:sz w:val="24"/>
              <w:szCs w:val="24"/>
            </w:rPr>
            <w:instrText xml:space="preserve"> TOC \o "1-3" \h \z \u </w:instrText>
          </w:r>
          <w:r w:rsidRPr="00D31B7C">
            <w:rPr>
              <w:rFonts w:ascii="Arial" w:hAnsi="Arial" w:cs="Arial"/>
              <w:sz w:val="24"/>
              <w:szCs w:val="24"/>
            </w:rPr>
            <w:fldChar w:fldCharType="separate"/>
          </w:r>
          <w:hyperlink w:anchor="_Toc221152267" w:history="1">
            <w:r w:rsidRPr="00D31B7C">
              <w:rPr>
                <w:rStyle w:val="Hyperlink"/>
                <w:rFonts w:ascii="Arial" w:hAnsi="Arial" w:cs="Arial"/>
                <w:noProof/>
                <w:sz w:val="24"/>
                <w:szCs w:val="24"/>
              </w:rPr>
              <w:t>1.0 Introduction</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_Toc221152267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3</w:t>
            </w:r>
            <w:r w:rsidRPr="00D31B7C">
              <w:rPr>
                <w:rFonts w:ascii="Arial" w:hAnsi="Arial" w:cs="Arial"/>
                <w:noProof/>
                <w:webHidden/>
                <w:sz w:val="24"/>
                <w:szCs w:val="24"/>
              </w:rPr>
              <w:fldChar w:fldCharType="end"/>
            </w:r>
          </w:hyperlink>
        </w:p>
        <w:p w14:paraId="4C7102DF" w14:textId="33CB5F6F"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68" w:history="1">
            <w:r w:rsidRPr="00D31B7C">
              <w:rPr>
                <w:rStyle w:val="Hyperlink"/>
                <w:rFonts w:ascii="Arial" w:hAnsi="Arial" w:cs="Arial"/>
                <w:noProof/>
                <w:sz w:val="24"/>
                <w:szCs w:val="24"/>
              </w:rPr>
              <w:t>2.0 Job Title: The Care Worker</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_Toc221152268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3</w:t>
            </w:r>
            <w:r w:rsidRPr="00D31B7C">
              <w:rPr>
                <w:rFonts w:ascii="Arial" w:hAnsi="Arial" w:cs="Arial"/>
                <w:noProof/>
                <w:webHidden/>
                <w:sz w:val="24"/>
                <w:szCs w:val="24"/>
              </w:rPr>
              <w:fldChar w:fldCharType="end"/>
            </w:r>
          </w:hyperlink>
        </w:p>
        <w:p w14:paraId="26881495" w14:textId="7BD02DD4"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69" w:history="1">
            <w:r w:rsidRPr="00D31B7C">
              <w:rPr>
                <w:rStyle w:val="Hyperlink"/>
                <w:rFonts w:ascii="Arial" w:hAnsi="Arial" w:cs="Arial"/>
                <w:noProof/>
                <w:sz w:val="24"/>
                <w:szCs w:val="24"/>
              </w:rPr>
              <w:t>3.0 Essential Skill 1: Empathic and Clear Communication</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_Toc221152269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3</w:t>
            </w:r>
            <w:r w:rsidRPr="00D31B7C">
              <w:rPr>
                <w:rFonts w:ascii="Arial" w:hAnsi="Arial" w:cs="Arial"/>
                <w:noProof/>
                <w:webHidden/>
                <w:sz w:val="24"/>
                <w:szCs w:val="24"/>
              </w:rPr>
              <w:fldChar w:fldCharType="end"/>
            </w:r>
          </w:hyperlink>
        </w:p>
        <w:p w14:paraId="4D8A5D5D" w14:textId="0925EE80" w:rsidR="00D31B7C" w:rsidRPr="00D31B7C" w:rsidRDefault="00D31B7C" w:rsidP="00D31B7C">
          <w:pPr>
            <w:pStyle w:val="TOC2"/>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0" w:history="1">
            <w:r w:rsidRPr="00D31B7C">
              <w:rPr>
                <w:rStyle w:val="Hyperlink"/>
                <w:rFonts w:ascii="Arial" w:hAnsi="Arial" w:cs="Arial"/>
                <w:noProof/>
                <w:sz w:val="24"/>
                <w:szCs w:val="24"/>
              </w:rPr>
              <w:t>3.1 Development Strategy: Active Listening and Role-Play Training</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_Toc221152270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3</w:t>
            </w:r>
            <w:r w:rsidRPr="00D31B7C">
              <w:rPr>
                <w:rFonts w:ascii="Arial" w:hAnsi="Arial" w:cs="Arial"/>
                <w:noProof/>
                <w:webHidden/>
                <w:sz w:val="24"/>
                <w:szCs w:val="24"/>
              </w:rPr>
              <w:fldChar w:fldCharType="end"/>
            </w:r>
          </w:hyperlink>
        </w:p>
        <w:p w14:paraId="502C8C54" w14:textId="07235EE2"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1" w:history="1">
            <w:r w:rsidRPr="00D31B7C">
              <w:rPr>
                <w:rStyle w:val="Hyperlink"/>
                <w:rFonts w:ascii="Arial" w:hAnsi="Arial" w:cs="Arial"/>
                <w:noProof/>
                <w:sz w:val="24"/>
                <w:szCs w:val="24"/>
              </w:rPr>
              <w:t>4.0 Essential Skill 2: Emotional Self-Management and Resilience</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_Toc221152271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4</w:t>
            </w:r>
            <w:r w:rsidRPr="00D31B7C">
              <w:rPr>
                <w:rFonts w:ascii="Arial" w:hAnsi="Arial" w:cs="Arial"/>
                <w:noProof/>
                <w:webHidden/>
                <w:sz w:val="24"/>
                <w:szCs w:val="24"/>
              </w:rPr>
              <w:fldChar w:fldCharType="end"/>
            </w:r>
          </w:hyperlink>
        </w:p>
        <w:p w14:paraId="581060A9" w14:textId="6BAEAB82" w:rsidR="00D31B7C" w:rsidRPr="00D31B7C" w:rsidRDefault="00D31B7C" w:rsidP="00D31B7C">
          <w:pPr>
            <w:pStyle w:val="TOC2"/>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2" w:history="1">
            <w:r w:rsidRPr="00D31B7C">
              <w:rPr>
                <w:rStyle w:val="Hyperlink"/>
                <w:rFonts w:ascii="Arial" w:hAnsi="Arial" w:cs="Arial"/>
                <w:noProof/>
                <w:sz w:val="24"/>
                <w:szCs w:val="24"/>
              </w:rPr>
              <w:t>4.1 Development Strategy: Reflective Practice and Clinical Supervision</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_Toc221152272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4</w:t>
            </w:r>
            <w:r w:rsidRPr="00D31B7C">
              <w:rPr>
                <w:rFonts w:ascii="Arial" w:hAnsi="Arial" w:cs="Arial"/>
                <w:noProof/>
                <w:webHidden/>
                <w:sz w:val="24"/>
                <w:szCs w:val="24"/>
              </w:rPr>
              <w:fldChar w:fldCharType="end"/>
            </w:r>
          </w:hyperlink>
        </w:p>
        <w:p w14:paraId="07590DB0" w14:textId="57FBD280"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3" w:history="1">
            <w:r w:rsidRPr="00D31B7C">
              <w:rPr>
                <w:rStyle w:val="Hyperlink"/>
                <w:rFonts w:ascii="Arial" w:hAnsi="Arial" w:cs="Arial"/>
                <w:noProof/>
                <w:sz w:val="24"/>
                <w:szCs w:val="24"/>
              </w:rPr>
              <w:t>5.0 Basic Skill 3: Observing and Compiling of Reports</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_Toc221152273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4</w:t>
            </w:r>
            <w:r w:rsidRPr="00D31B7C">
              <w:rPr>
                <w:rFonts w:ascii="Arial" w:hAnsi="Arial" w:cs="Arial"/>
                <w:noProof/>
                <w:webHidden/>
                <w:sz w:val="24"/>
                <w:szCs w:val="24"/>
              </w:rPr>
              <w:fldChar w:fldCharType="end"/>
            </w:r>
          </w:hyperlink>
        </w:p>
        <w:p w14:paraId="7E6EC7B0" w14:textId="33B2CE45" w:rsidR="00D31B7C" w:rsidRPr="00D31B7C" w:rsidRDefault="00D31B7C" w:rsidP="00D31B7C">
          <w:pPr>
            <w:pStyle w:val="TOC2"/>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4" w:history="1">
            <w:r w:rsidRPr="00D31B7C">
              <w:rPr>
                <w:rStyle w:val="Hyperlink"/>
                <w:rFonts w:ascii="Arial" w:hAnsi="Arial" w:cs="Arial"/>
                <w:noProof/>
                <w:sz w:val="24"/>
                <w:szCs w:val="24"/>
              </w:rPr>
              <w:t>5.1 Development Strategy: Simulation-Based Training and Shadowing</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_Toc221152274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4</w:t>
            </w:r>
            <w:r w:rsidRPr="00D31B7C">
              <w:rPr>
                <w:rFonts w:ascii="Arial" w:hAnsi="Arial" w:cs="Arial"/>
                <w:noProof/>
                <w:webHidden/>
                <w:sz w:val="24"/>
                <w:szCs w:val="24"/>
              </w:rPr>
              <w:fldChar w:fldCharType="end"/>
            </w:r>
          </w:hyperlink>
        </w:p>
        <w:p w14:paraId="7AEFB853" w14:textId="31E8DB4C"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5" w:history="1">
            <w:r w:rsidRPr="00D31B7C">
              <w:rPr>
                <w:rStyle w:val="Hyperlink"/>
                <w:rFonts w:ascii="Arial" w:hAnsi="Arial" w:cs="Arial"/>
                <w:noProof/>
                <w:sz w:val="24"/>
                <w:szCs w:val="24"/>
              </w:rPr>
              <w:t>6.0 Conclusion</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_Toc221152275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5</w:t>
            </w:r>
            <w:r w:rsidRPr="00D31B7C">
              <w:rPr>
                <w:rFonts w:ascii="Arial" w:hAnsi="Arial" w:cs="Arial"/>
                <w:noProof/>
                <w:webHidden/>
                <w:sz w:val="24"/>
                <w:szCs w:val="24"/>
              </w:rPr>
              <w:fldChar w:fldCharType="end"/>
            </w:r>
          </w:hyperlink>
        </w:p>
        <w:p w14:paraId="597F3F10" w14:textId="20C7EE84" w:rsidR="00D31B7C" w:rsidRPr="00D31B7C" w:rsidRDefault="00D31B7C" w:rsidP="00D31B7C">
          <w:pPr>
            <w:pStyle w:val="TOC1"/>
            <w:tabs>
              <w:tab w:val="right" w:leader="dot" w:pos="9350"/>
            </w:tabs>
            <w:spacing w:line="360" w:lineRule="auto"/>
            <w:jc w:val="both"/>
            <w:rPr>
              <w:rFonts w:ascii="Arial" w:eastAsiaTheme="minorEastAsia" w:hAnsi="Arial" w:cs="Arial"/>
              <w:noProof/>
              <w:kern w:val="0"/>
              <w:sz w:val="24"/>
              <w:szCs w:val="24"/>
              <w:lang/>
              <w14:ligatures w14:val="none"/>
            </w:rPr>
          </w:pPr>
          <w:hyperlink w:anchor="_Toc221152276" w:history="1">
            <w:r w:rsidRPr="00D31B7C">
              <w:rPr>
                <w:rStyle w:val="Hyperlink"/>
                <w:rFonts w:ascii="Arial" w:hAnsi="Arial" w:cs="Arial"/>
                <w:noProof/>
                <w:sz w:val="24"/>
                <w:szCs w:val="24"/>
              </w:rPr>
              <w:t>References</w:t>
            </w:r>
            <w:r w:rsidRPr="00D31B7C">
              <w:rPr>
                <w:rFonts w:ascii="Arial" w:hAnsi="Arial" w:cs="Arial"/>
                <w:noProof/>
                <w:webHidden/>
                <w:sz w:val="24"/>
                <w:szCs w:val="24"/>
              </w:rPr>
              <w:tab/>
            </w:r>
            <w:r w:rsidRPr="00D31B7C">
              <w:rPr>
                <w:rFonts w:ascii="Arial" w:hAnsi="Arial" w:cs="Arial"/>
                <w:noProof/>
                <w:webHidden/>
                <w:sz w:val="24"/>
                <w:szCs w:val="24"/>
              </w:rPr>
              <w:fldChar w:fldCharType="begin"/>
            </w:r>
            <w:r w:rsidRPr="00D31B7C">
              <w:rPr>
                <w:rFonts w:ascii="Arial" w:hAnsi="Arial" w:cs="Arial"/>
                <w:noProof/>
                <w:webHidden/>
                <w:sz w:val="24"/>
                <w:szCs w:val="24"/>
              </w:rPr>
              <w:instrText xml:space="preserve"> PAGEREF _Toc221152276 \h </w:instrText>
            </w:r>
            <w:r w:rsidRPr="00D31B7C">
              <w:rPr>
                <w:rFonts w:ascii="Arial" w:hAnsi="Arial" w:cs="Arial"/>
                <w:noProof/>
                <w:webHidden/>
                <w:sz w:val="24"/>
                <w:szCs w:val="24"/>
              </w:rPr>
            </w:r>
            <w:r w:rsidRPr="00D31B7C">
              <w:rPr>
                <w:rFonts w:ascii="Arial" w:hAnsi="Arial" w:cs="Arial"/>
                <w:noProof/>
                <w:webHidden/>
                <w:sz w:val="24"/>
                <w:szCs w:val="24"/>
              </w:rPr>
              <w:fldChar w:fldCharType="separate"/>
            </w:r>
            <w:r w:rsidRPr="00D31B7C">
              <w:rPr>
                <w:rFonts w:ascii="Arial" w:hAnsi="Arial" w:cs="Arial"/>
                <w:noProof/>
                <w:webHidden/>
                <w:sz w:val="24"/>
                <w:szCs w:val="24"/>
              </w:rPr>
              <w:t>6</w:t>
            </w:r>
            <w:r w:rsidRPr="00D31B7C">
              <w:rPr>
                <w:rFonts w:ascii="Arial" w:hAnsi="Arial" w:cs="Arial"/>
                <w:noProof/>
                <w:webHidden/>
                <w:sz w:val="24"/>
                <w:szCs w:val="24"/>
              </w:rPr>
              <w:fldChar w:fldCharType="end"/>
            </w:r>
          </w:hyperlink>
        </w:p>
        <w:p w14:paraId="37138986" w14:textId="01A32CD9" w:rsidR="00D31B7C" w:rsidRPr="00D31B7C" w:rsidRDefault="00D31B7C" w:rsidP="00D31B7C">
          <w:pPr>
            <w:spacing w:line="360" w:lineRule="auto"/>
            <w:jc w:val="both"/>
            <w:rPr>
              <w:rFonts w:ascii="Arial" w:hAnsi="Arial" w:cs="Arial"/>
              <w:sz w:val="24"/>
              <w:szCs w:val="24"/>
            </w:rPr>
          </w:pPr>
          <w:r w:rsidRPr="00D31B7C">
            <w:rPr>
              <w:rFonts w:ascii="Arial" w:hAnsi="Arial" w:cs="Arial"/>
              <w:b/>
              <w:bCs/>
              <w:noProof/>
              <w:sz w:val="24"/>
              <w:szCs w:val="24"/>
            </w:rPr>
            <w:fldChar w:fldCharType="end"/>
          </w:r>
        </w:p>
      </w:sdtContent>
    </w:sdt>
    <w:p w14:paraId="6414833D" w14:textId="65FEB501" w:rsidR="007B4C0E" w:rsidRPr="00D31B7C" w:rsidRDefault="007B4C0E" w:rsidP="00D31B7C">
      <w:pPr>
        <w:spacing w:line="360" w:lineRule="auto"/>
        <w:jc w:val="both"/>
        <w:rPr>
          <w:rFonts w:ascii="Arial" w:hAnsi="Arial" w:cs="Arial"/>
          <w:sz w:val="24"/>
          <w:szCs w:val="24"/>
        </w:rPr>
      </w:pPr>
      <w:r w:rsidRPr="00D31B7C">
        <w:rPr>
          <w:rFonts w:ascii="Arial" w:hAnsi="Arial" w:cs="Arial"/>
          <w:sz w:val="24"/>
          <w:szCs w:val="24"/>
        </w:rPr>
        <w:br/>
      </w:r>
    </w:p>
    <w:p w14:paraId="4727FB76" w14:textId="77777777" w:rsidR="007B4C0E" w:rsidRPr="00D31B7C" w:rsidRDefault="007B4C0E" w:rsidP="00D31B7C">
      <w:pPr>
        <w:spacing w:line="360" w:lineRule="auto"/>
        <w:jc w:val="both"/>
        <w:rPr>
          <w:rFonts w:ascii="Arial" w:hAnsi="Arial" w:cs="Arial"/>
          <w:sz w:val="24"/>
          <w:szCs w:val="24"/>
        </w:rPr>
      </w:pPr>
      <w:r w:rsidRPr="00D31B7C">
        <w:rPr>
          <w:rFonts w:ascii="Arial" w:hAnsi="Arial" w:cs="Arial"/>
          <w:sz w:val="24"/>
          <w:szCs w:val="24"/>
        </w:rPr>
        <w:br w:type="page"/>
      </w:r>
    </w:p>
    <w:p w14:paraId="6FC63380" w14:textId="77777777" w:rsidR="00FC4EDC" w:rsidRPr="00D31B7C" w:rsidRDefault="00FC4EDC" w:rsidP="00D31B7C">
      <w:pPr>
        <w:pStyle w:val="Heading1"/>
        <w:spacing w:line="360" w:lineRule="auto"/>
        <w:jc w:val="both"/>
        <w:rPr>
          <w:rFonts w:ascii="Arial" w:hAnsi="Arial" w:cs="Arial"/>
          <w:sz w:val="24"/>
          <w:szCs w:val="24"/>
          <w:lang/>
        </w:rPr>
      </w:pPr>
      <w:bookmarkStart w:id="0" w:name="_Toc221152267"/>
      <w:r w:rsidRPr="00D31B7C">
        <w:rPr>
          <w:rFonts w:ascii="Arial" w:hAnsi="Arial" w:cs="Arial"/>
          <w:sz w:val="24"/>
          <w:szCs w:val="24"/>
        </w:rPr>
        <w:lastRenderedPageBreak/>
        <w:t>1.0 Introduction</w:t>
      </w:r>
      <w:bookmarkEnd w:id="0"/>
    </w:p>
    <w:p w14:paraId="21B2981C" w14:textId="081733AA" w:rsidR="00FC4EDC" w:rsidRPr="00D31B7C" w:rsidRDefault="00FC4EDC" w:rsidP="00D31B7C">
      <w:pPr>
        <w:pStyle w:val="NormalWeb"/>
        <w:spacing w:line="360" w:lineRule="auto"/>
        <w:jc w:val="both"/>
        <w:rPr>
          <w:rFonts w:ascii="Arial" w:hAnsi="Arial" w:cs="Arial"/>
        </w:rPr>
      </w:pPr>
      <w:r w:rsidRPr="00D31B7C">
        <w:rPr>
          <w:rFonts w:ascii="Arial" w:hAnsi="Arial" w:cs="Arial"/>
        </w:rPr>
        <w:t xml:space="preserve">The health and social care sector </w:t>
      </w:r>
      <w:r w:rsidR="00875B5D" w:rsidRPr="00D31B7C">
        <w:rPr>
          <w:rFonts w:ascii="Arial" w:hAnsi="Arial" w:cs="Arial"/>
        </w:rPr>
        <w:t>are</w:t>
      </w:r>
      <w:r w:rsidRPr="00D31B7C">
        <w:rPr>
          <w:rFonts w:ascii="Arial" w:hAnsi="Arial" w:cs="Arial"/>
        </w:rPr>
        <w:t xml:space="preserve"> established on a platform of direct and person-centered support, and a care worker is a key element of the sector. This report gives an analysis of the care worker role in adult social care in the UK. It will initially outline the essence of the duties and responsibilities of the position. The report will then discuss three of the key skills that one will need to carry out this role effectively; they are empathic and clear communication, resilience and emotional self-management, and observational skills and detailed reporting. The justification of why every skill is important will be given, with an example of the role-specific examples. Moreover, an effective plan on how every skill will be developed will be described and presented. This is meant to emphasize the multifaceted nature of the competence needed in this profession and the ongoing professional growth that would be needed to maintain high standards of care.</w:t>
      </w:r>
    </w:p>
    <w:p w14:paraId="5B821F25" w14:textId="621059D9" w:rsidR="00FC4EDC" w:rsidRPr="00D31B7C" w:rsidRDefault="00FC4EDC" w:rsidP="00D31B7C">
      <w:pPr>
        <w:pStyle w:val="Heading1"/>
        <w:spacing w:line="360" w:lineRule="auto"/>
        <w:jc w:val="both"/>
        <w:rPr>
          <w:rFonts w:ascii="Arial" w:hAnsi="Arial" w:cs="Arial"/>
          <w:sz w:val="24"/>
          <w:szCs w:val="24"/>
        </w:rPr>
      </w:pPr>
      <w:bookmarkStart w:id="1" w:name="_Toc221152268"/>
      <w:r w:rsidRPr="00D31B7C">
        <w:rPr>
          <w:rFonts w:ascii="Arial" w:hAnsi="Arial" w:cs="Arial"/>
          <w:sz w:val="24"/>
          <w:szCs w:val="24"/>
        </w:rPr>
        <w:t>2.0 Job Title: The Care Worker</w:t>
      </w:r>
      <w:bookmarkEnd w:id="1"/>
    </w:p>
    <w:p w14:paraId="29F1B864" w14:textId="1D57D76E" w:rsidR="00FC4EDC" w:rsidRPr="00D31B7C" w:rsidRDefault="00FC4EDC"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 xml:space="preserve">A care worker, sometimes called a care assistant or support worker, offers practical and emotional assistance to the individuals (clients or service users) in order to make them live as independently and comfortably as possible. The role is commonly provided in the homes of clients (domiciliary care) or residential care. Responsibilities are varied and depend on the individual care plan, yet the primary tasks are usually nursing care (helping with washing, changing, and toileting), helping with mobility, feeding, and medication administration </w:t>
      </w:r>
      <w:r w:rsidR="009F1321" w:rsidRPr="00D31B7C">
        <w:rPr>
          <w:rFonts w:ascii="Arial" w:eastAsia="Times New Roman" w:hAnsi="Arial" w:cs="Arial"/>
          <w:kern w:val="0"/>
          <w:sz w:val="24"/>
          <w:szCs w:val="24"/>
          <w:lang/>
          <w14:ligatures w14:val="none"/>
        </w:rPr>
        <w:t>(Goldenhart &amp; Nagy, 2022)</w:t>
      </w:r>
      <w:r w:rsidR="009F1321" w:rsidRPr="00D31B7C">
        <w:rPr>
          <w:rFonts w:ascii="Arial" w:eastAsia="Times New Roman" w:hAnsi="Arial" w:cs="Arial"/>
          <w:kern w:val="0"/>
          <w:sz w:val="24"/>
          <w:szCs w:val="24"/>
          <w:lang w:val="en-US"/>
          <w14:ligatures w14:val="none"/>
        </w:rPr>
        <w:t xml:space="preserve">. </w:t>
      </w:r>
      <w:r w:rsidRPr="00D31B7C">
        <w:rPr>
          <w:rFonts w:ascii="Arial" w:hAnsi="Arial" w:cs="Arial"/>
          <w:sz w:val="24"/>
          <w:szCs w:val="24"/>
        </w:rPr>
        <w:t xml:space="preserve">In addition to physical activities, the role also carries with it a lot of psychosocial support: encouraging the development of social life, offering companionship, and providing social support to engage in community activities. Most importantly, care workers must ensure that they keep the records of care given and any alterations in the state of a client, as they are one of the most critical connections between a client and his/her family and other medical specialists </w:t>
      </w:r>
      <w:r w:rsidR="007933E5" w:rsidRPr="00D31B7C">
        <w:rPr>
          <w:rFonts w:ascii="Arial" w:eastAsia="Times New Roman" w:hAnsi="Arial" w:cs="Arial"/>
          <w:kern w:val="0"/>
          <w:sz w:val="24"/>
          <w:szCs w:val="24"/>
          <w:lang/>
          <w14:ligatures w14:val="none"/>
        </w:rPr>
        <w:t>(Mathioudakis, 2016)</w:t>
      </w:r>
      <w:r w:rsidRPr="00D31B7C">
        <w:rPr>
          <w:rFonts w:ascii="Arial" w:hAnsi="Arial" w:cs="Arial"/>
          <w:sz w:val="24"/>
          <w:szCs w:val="24"/>
        </w:rPr>
        <w:t>. The position is regulated by the main principles of the sector, which are to promote dignity, respect, and empowerment of every human being.</w:t>
      </w:r>
    </w:p>
    <w:p w14:paraId="36F09435" w14:textId="7CA4ADBD" w:rsidR="003B167F" w:rsidRPr="00D31B7C" w:rsidRDefault="003B167F" w:rsidP="00D31B7C">
      <w:pPr>
        <w:pStyle w:val="Heading1"/>
        <w:spacing w:line="360" w:lineRule="auto"/>
        <w:jc w:val="both"/>
        <w:rPr>
          <w:rFonts w:ascii="Arial" w:hAnsi="Arial" w:cs="Arial"/>
          <w:sz w:val="24"/>
          <w:szCs w:val="24"/>
          <w:lang/>
        </w:rPr>
      </w:pPr>
      <w:bookmarkStart w:id="2" w:name="_Toc221152269"/>
      <w:r w:rsidRPr="00D31B7C">
        <w:rPr>
          <w:rFonts w:ascii="Arial" w:hAnsi="Arial" w:cs="Arial"/>
          <w:sz w:val="24"/>
          <w:szCs w:val="24"/>
        </w:rPr>
        <w:lastRenderedPageBreak/>
        <w:t>3.0 Essential Skill 1: Empathic and Clear Communication</w:t>
      </w:r>
      <w:bookmarkEnd w:id="2"/>
    </w:p>
    <w:p w14:paraId="46728594" w14:textId="6BC3AD8E" w:rsidR="003B167F" w:rsidRPr="00D31B7C" w:rsidRDefault="003B167F"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 xml:space="preserve">The care worker practice is based on effective communication. It should be emphatic, to establish trust and get emotional needs, and clear, to be safe and have proper information transfer. Empathy implies active listening and confirmation of the feelings of a client, which is the key to building a therapeutic relationship. As an illustration, a client with dementia experiencing agitation does not respond to logical arguments but can feel calm with the help of a care worker with a soft tone, non-complex words, and recognition of emotions: “I understand it is frustrating you; I am here to support you” </w:t>
      </w:r>
      <w:r w:rsidR="007933E5" w:rsidRPr="00D31B7C">
        <w:rPr>
          <w:rFonts w:ascii="Arial" w:eastAsia="Times New Roman" w:hAnsi="Arial" w:cs="Arial"/>
          <w:kern w:val="0"/>
          <w:sz w:val="24"/>
          <w:szCs w:val="24"/>
          <w:lang/>
          <w14:ligatures w14:val="none"/>
        </w:rPr>
        <w:t>(Carrarini et al., 2021)</w:t>
      </w:r>
      <w:r w:rsidR="007933E5" w:rsidRPr="00D31B7C">
        <w:rPr>
          <w:rFonts w:ascii="Arial" w:eastAsia="Times New Roman" w:hAnsi="Arial" w:cs="Arial"/>
          <w:kern w:val="0"/>
          <w:sz w:val="24"/>
          <w:szCs w:val="24"/>
          <w:lang w:val="en-US"/>
          <w14:ligatures w14:val="none"/>
        </w:rPr>
        <w:t xml:space="preserve">. </w:t>
      </w:r>
      <w:r w:rsidRPr="00D31B7C">
        <w:rPr>
          <w:rFonts w:ascii="Arial" w:hAnsi="Arial" w:cs="Arial"/>
          <w:sz w:val="24"/>
          <w:szCs w:val="24"/>
        </w:rPr>
        <w:t>Effective communication is also essential during communication with other professionals. An example is when a change in the appetite of a client or mobility is reported accurately to a district nurse, timely clinical intervention will be taken. In the absence of such dual-faceted skill, care will be task-based instead of person-</w:t>
      </w:r>
      <w:proofErr w:type="spellStart"/>
      <w:r w:rsidRPr="00D31B7C">
        <w:rPr>
          <w:rFonts w:ascii="Arial" w:hAnsi="Arial" w:cs="Arial"/>
          <w:sz w:val="24"/>
          <w:szCs w:val="24"/>
        </w:rPr>
        <w:t>centered</w:t>
      </w:r>
      <w:proofErr w:type="spellEnd"/>
      <w:r w:rsidRPr="00D31B7C">
        <w:rPr>
          <w:rFonts w:ascii="Arial" w:hAnsi="Arial" w:cs="Arial"/>
          <w:sz w:val="24"/>
          <w:szCs w:val="24"/>
        </w:rPr>
        <w:t>, which may undermine well-being as well as safety.</w:t>
      </w:r>
    </w:p>
    <w:p w14:paraId="327B4DD1" w14:textId="4C11DAD6" w:rsidR="003B167F" w:rsidRPr="00D31B7C" w:rsidRDefault="003B167F" w:rsidP="00D31B7C">
      <w:pPr>
        <w:pStyle w:val="Heading2"/>
        <w:spacing w:line="360" w:lineRule="auto"/>
        <w:jc w:val="both"/>
        <w:rPr>
          <w:rFonts w:ascii="Arial" w:hAnsi="Arial" w:cs="Arial"/>
          <w:sz w:val="24"/>
          <w:szCs w:val="24"/>
        </w:rPr>
      </w:pPr>
      <w:bookmarkStart w:id="3" w:name="_Toc221152270"/>
      <w:r w:rsidRPr="00D31B7C">
        <w:rPr>
          <w:rFonts w:ascii="Arial" w:hAnsi="Arial" w:cs="Arial"/>
          <w:sz w:val="24"/>
          <w:szCs w:val="24"/>
        </w:rPr>
        <w:t>3.1 Development Strategy: Active Listening and Role-Play Training</w:t>
      </w:r>
      <w:bookmarkEnd w:id="3"/>
    </w:p>
    <w:p w14:paraId="3F65169B" w14:textId="74ECA9E9" w:rsidR="003B167F" w:rsidRPr="00D31B7C" w:rsidRDefault="003B167F" w:rsidP="00D31B7C">
      <w:pPr>
        <w:pStyle w:val="NormalWeb"/>
        <w:spacing w:line="360" w:lineRule="auto"/>
        <w:jc w:val="both"/>
        <w:rPr>
          <w:rFonts w:ascii="Arial" w:hAnsi="Arial" w:cs="Arial"/>
        </w:rPr>
      </w:pPr>
      <w:r w:rsidRPr="00D31B7C">
        <w:rPr>
          <w:rFonts w:ascii="Arial" w:hAnsi="Arial" w:cs="Arial"/>
        </w:rPr>
        <w:t xml:space="preserve">Structured active listening and role-play training in a safe learning environment is one of the main approaches to improving communication skills. During these sessions, the trainees would be role-playing situations like how to talk to a non-verbal client using their body language and eye contact or describe a complex procedure like a hoist transfer in simple and understandable steps. Through role play of the difficult dialogues, say, a client who declines personal care, the care worker is able to train on de-escalation and empathy without the stress of a situation on the ground. Getting instant feedback in the form of trainers and peers will assist in detecting habits such as jargon use and interrupting. </w:t>
      </w:r>
    </w:p>
    <w:p w14:paraId="76CBA59E" w14:textId="35316184" w:rsidR="00905902" w:rsidRPr="00D31B7C" w:rsidRDefault="00905902" w:rsidP="00D31B7C">
      <w:pPr>
        <w:pStyle w:val="Heading1"/>
        <w:spacing w:line="360" w:lineRule="auto"/>
        <w:jc w:val="both"/>
        <w:rPr>
          <w:rFonts w:ascii="Arial" w:hAnsi="Arial" w:cs="Arial"/>
          <w:sz w:val="24"/>
          <w:szCs w:val="24"/>
          <w:lang/>
        </w:rPr>
      </w:pPr>
      <w:bookmarkStart w:id="4" w:name="_Toc221152271"/>
      <w:r w:rsidRPr="00D31B7C">
        <w:rPr>
          <w:rFonts w:ascii="Arial" w:hAnsi="Arial" w:cs="Arial"/>
          <w:sz w:val="24"/>
          <w:szCs w:val="24"/>
        </w:rPr>
        <w:t>4.0 Essential Skill 2: Emotional Self-Management and Resilience</w:t>
      </w:r>
      <w:bookmarkEnd w:id="4"/>
    </w:p>
    <w:p w14:paraId="7D9D838C" w14:textId="20A714F5" w:rsidR="00905902" w:rsidRPr="00D31B7C" w:rsidRDefault="00905902"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 xml:space="preserve">As care work is an emotionally charged activity, it requires working with human suffering, grief, and, at other times, difficult </w:t>
      </w:r>
      <w:proofErr w:type="spellStart"/>
      <w:r w:rsidRPr="00D31B7C">
        <w:rPr>
          <w:rFonts w:ascii="Arial" w:hAnsi="Arial" w:cs="Arial"/>
          <w:sz w:val="24"/>
          <w:szCs w:val="24"/>
        </w:rPr>
        <w:t>behaviors</w:t>
      </w:r>
      <w:proofErr w:type="spellEnd"/>
      <w:r w:rsidRPr="00D31B7C">
        <w:rPr>
          <w:rFonts w:ascii="Arial" w:hAnsi="Arial" w:cs="Arial"/>
          <w:sz w:val="24"/>
          <w:szCs w:val="24"/>
        </w:rPr>
        <w:t xml:space="preserve">. The capacity to change, handle stress, and recover after experiencing hard times is thus not a luxury but a necessity in the profession. In its absence, care workers are exposed to burnout and compassion fatigue and the deterioration of the quality of their services rendered </w:t>
      </w:r>
      <w:r w:rsidR="007933E5" w:rsidRPr="00D31B7C">
        <w:rPr>
          <w:rFonts w:ascii="Arial" w:eastAsia="Times New Roman" w:hAnsi="Arial" w:cs="Arial"/>
          <w:kern w:val="0"/>
          <w:sz w:val="24"/>
          <w:szCs w:val="24"/>
          <w:lang/>
          <w14:ligatures w14:val="none"/>
        </w:rPr>
        <w:t>(Deriglazov et al., 2025)</w:t>
      </w:r>
      <w:r w:rsidR="007933E5" w:rsidRPr="00D31B7C">
        <w:rPr>
          <w:rFonts w:ascii="Arial" w:eastAsia="Times New Roman" w:hAnsi="Arial" w:cs="Arial"/>
          <w:kern w:val="0"/>
          <w:sz w:val="24"/>
          <w:szCs w:val="24"/>
          <w:lang w:val="en-US"/>
          <w14:ligatures w14:val="none"/>
        </w:rPr>
        <w:t xml:space="preserve">. </w:t>
      </w:r>
      <w:r w:rsidRPr="00D31B7C">
        <w:rPr>
          <w:rFonts w:ascii="Arial" w:hAnsi="Arial" w:cs="Arial"/>
          <w:sz w:val="24"/>
          <w:szCs w:val="24"/>
        </w:rPr>
        <w:t xml:space="preserve">Emotional self-management is the ability to identify an individual's own emotional responses and </w:t>
      </w:r>
      <w:r w:rsidRPr="00D31B7C">
        <w:rPr>
          <w:rFonts w:ascii="Arial" w:hAnsi="Arial" w:cs="Arial"/>
          <w:sz w:val="24"/>
          <w:szCs w:val="24"/>
        </w:rPr>
        <w:lastRenderedPageBreak/>
        <w:t xml:space="preserve">make use of methods that make sure that they do not affect the client in a negative manner. </w:t>
      </w:r>
    </w:p>
    <w:p w14:paraId="1ECC9A75" w14:textId="7DCF0573" w:rsidR="00905902" w:rsidRPr="00D31B7C" w:rsidRDefault="00905902" w:rsidP="00D31B7C">
      <w:pPr>
        <w:pStyle w:val="Heading2"/>
        <w:spacing w:line="360" w:lineRule="auto"/>
        <w:jc w:val="both"/>
        <w:rPr>
          <w:rFonts w:ascii="Arial" w:hAnsi="Arial" w:cs="Arial"/>
          <w:sz w:val="24"/>
          <w:szCs w:val="24"/>
        </w:rPr>
      </w:pPr>
      <w:bookmarkStart w:id="5" w:name="_Toc221152272"/>
      <w:r w:rsidRPr="00D31B7C">
        <w:rPr>
          <w:rFonts w:ascii="Arial" w:hAnsi="Arial" w:cs="Arial"/>
          <w:sz w:val="24"/>
          <w:szCs w:val="24"/>
        </w:rPr>
        <w:t>4.1 Development Strategy: Reflective Practice and Clinical Supervision</w:t>
      </w:r>
      <w:bookmarkEnd w:id="5"/>
    </w:p>
    <w:p w14:paraId="2A4E3314" w14:textId="46F24FC1" w:rsidR="00905902" w:rsidRPr="00D31B7C" w:rsidRDefault="00905902"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The formal adoption of reflective practice with regular clinical supervision is a powerful strategy for building resilience</w:t>
      </w:r>
      <w:r w:rsidR="00AB2A60" w:rsidRPr="00D31B7C">
        <w:rPr>
          <w:rFonts w:ascii="Arial" w:hAnsi="Arial" w:cs="Arial"/>
          <w:sz w:val="24"/>
          <w:szCs w:val="24"/>
          <w:lang w:val="en-US"/>
        </w:rPr>
        <w:t>.</w:t>
      </w:r>
      <w:r w:rsidRPr="00D31B7C">
        <w:rPr>
          <w:rFonts w:ascii="Arial" w:hAnsi="Arial" w:cs="Arial"/>
          <w:sz w:val="24"/>
          <w:szCs w:val="24"/>
        </w:rPr>
        <w:t xml:space="preserve"> A reflective practice is keeping a secret journal of challenging shifts, writing down thoughts in the format of a model such as Gibbs Reflective Cycle, reflecting on what actually occurred, how they felt, and what they have learned</w:t>
      </w:r>
      <w:r w:rsidR="00AB2A60" w:rsidRPr="00D31B7C">
        <w:rPr>
          <w:rFonts w:ascii="Arial" w:hAnsi="Arial" w:cs="Arial"/>
          <w:sz w:val="24"/>
          <w:szCs w:val="24"/>
          <w:lang w:val="en-US"/>
        </w:rPr>
        <w:t xml:space="preserve"> </w:t>
      </w:r>
      <w:r w:rsidR="00AB2A60" w:rsidRPr="00D31B7C">
        <w:rPr>
          <w:rFonts w:ascii="Arial" w:eastAsia="Times New Roman" w:hAnsi="Arial" w:cs="Arial"/>
          <w:kern w:val="0"/>
          <w:sz w:val="24"/>
          <w:szCs w:val="24"/>
          <w:lang/>
          <w14:ligatures w14:val="none"/>
        </w:rPr>
        <w:t>(McLeod, 2025)</w:t>
      </w:r>
      <w:r w:rsidR="00AB2A60" w:rsidRPr="00D31B7C">
        <w:rPr>
          <w:rFonts w:ascii="Arial" w:eastAsia="Times New Roman" w:hAnsi="Arial" w:cs="Arial"/>
          <w:kern w:val="0"/>
          <w:sz w:val="24"/>
          <w:szCs w:val="24"/>
          <w:lang w:val="en-US"/>
          <w14:ligatures w14:val="none"/>
        </w:rPr>
        <w:t>.</w:t>
      </w:r>
      <w:r w:rsidRPr="00D31B7C">
        <w:rPr>
          <w:rFonts w:ascii="Arial" w:hAnsi="Arial" w:cs="Arial"/>
          <w:sz w:val="24"/>
          <w:szCs w:val="24"/>
        </w:rPr>
        <w:t xml:space="preserve"> This is done to process emotions cognitively as opposed to suppressing them. This reflection is guided when it is supplemented by frequent clinical supervision meetings with a senior practitioner. The care worker is also able to talk about the complicated cases confidentially in supervision, develop coping mechanisms, and talk about emotional responses with the mentor. The continuous process of emotional difficulty normalization, isolation minimization, and a framework of converting the difficult experiences to professional development systematizes resilience enhancement.</w:t>
      </w:r>
    </w:p>
    <w:p w14:paraId="150A3F10" w14:textId="352384D6" w:rsidR="00905902" w:rsidRPr="00D31B7C" w:rsidRDefault="00905902" w:rsidP="00D31B7C">
      <w:pPr>
        <w:pStyle w:val="Heading1"/>
        <w:spacing w:line="360" w:lineRule="auto"/>
        <w:jc w:val="both"/>
        <w:rPr>
          <w:rFonts w:ascii="Arial" w:hAnsi="Arial" w:cs="Arial"/>
          <w:sz w:val="24"/>
          <w:szCs w:val="24"/>
        </w:rPr>
      </w:pPr>
      <w:bookmarkStart w:id="6" w:name="_Toc221152273"/>
      <w:r w:rsidRPr="00D31B7C">
        <w:rPr>
          <w:rFonts w:ascii="Arial" w:hAnsi="Arial" w:cs="Arial"/>
          <w:sz w:val="24"/>
          <w:szCs w:val="24"/>
        </w:rPr>
        <w:t>5.0 Basic Skill 3: Observing and Compiling of Reports</w:t>
      </w:r>
      <w:bookmarkEnd w:id="6"/>
    </w:p>
    <w:p w14:paraId="45221683" w14:textId="4680D720" w:rsidR="00905902" w:rsidRPr="00D31B7C" w:rsidRDefault="00905902"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A care worker may be the face who is present most of the time in the life of a client, and therefore, it becomes an essential witness to the slightest shifts in health and well-being</w:t>
      </w:r>
      <w:r w:rsidR="0002769A" w:rsidRPr="00D31B7C">
        <w:rPr>
          <w:rFonts w:ascii="Arial" w:hAnsi="Arial" w:cs="Arial"/>
          <w:sz w:val="24"/>
          <w:szCs w:val="24"/>
          <w:lang w:val="en-US"/>
        </w:rPr>
        <w:t xml:space="preserve"> </w:t>
      </w:r>
      <w:r w:rsidR="0002769A" w:rsidRPr="00D31B7C">
        <w:rPr>
          <w:rFonts w:ascii="Arial" w:eastAsia="Times New Roman" w:hAnsi="Arial" w:cs="Arial"/>
          <w:kern w:val="0"/>
          <w:sz w:val="24"/>
          <w:szCs w:val="24"/>
          <w:lang/>
          <w14:ligatures w14:val="none"/>
        </w:rPr>
        <w:t>(Flaubert et al., 2021)</w:t>
      </w:r>
      <w:r w:rsidR="0002769A" w:rsidRPr="00D31B7C">
        <w:rPr>
          <w:rFonts w:ascii="Arial" w:eastAsia="Times New Roman" w:hAnsi="Arial" w:cs="Arial"/>
          <w:kern w:val="0"/>
          <w:sz w:val="24"/>
          <w:szCs w:val="24"/>
          <w:lang w:val="en-US"/>
          <w14:ligatures w14:val="none"/>
        </w:rPr>
        <w:t xml:space="preserve">. </w:t>
      </w:r>
      <w:r w:rsidRPr="00D31B7C">
        <w:rPr>
          <w:rFonts w:ascii="Arial" w:hAnsi="Arial" w:cs="Arial"/>
          <w:sz w:val="24"/>
          <w:szCs w:val="24"/>
        </w:rPr>
        <w:t>Observational skills are not limited to sight but also include the ability to detect change in smell, sound (e.g., a new cough), and touch (e.g., skin temperature). This should be accompanied by the capability to record observations in a way that is accurate and succinct. As an example, a note of “client appeared not to be talking as she usually did, ate half of the lunch, and there was some slight tremor in her left hand” is much more clinically helpful than a note of “client was not herself.” When used in such detail, such reporting may be the initial warning of a urinary tract infection in an elderly individual, medication side effects, or the development of a chronic condition. This competency is critical towards early intervention, protection, and a coordinated multidisciplinary response.</w:t>
      </w:r>
    </w:p>
    <w:p w14:paraId="5BF137F2" w14:textId="578C1C42" w:rsidR="00777413" w:rsidRPr="00D31B7C" w:rsidRDefault="00777413" w:rsidP="00D31B7C">
      <w:pPr>
        <w:pStyle w:val="Heading2"/>
        <w:spacing w:line="360" w:lineRule="auto"/>
        <w:jc w:val="both"/>
        <w:rPr>
          <w:rFonts w:ascii="Arial" w:hAnsi="Arial" w:cs="Arial"/>
          <w:sz w:val="24"/>
          <w:szCs w:val="24"/>
          <w:lang/>
        </w:rPr>
      </w:pPr>
      <w:bookmarkStart w:id="7" w:name="_Toc221152274"/>
      <w:r w:rsidRPr="00D31B7C">
        <w:rPr>
          <w:rFonts w:ascii="Arial" w:hAnsi="Arial" w:cs="Arial"/>
          <w:sz w:val="24"/>
          <w:szCs w:val="24"/>
        </w:rPr>
        <w:t>5.1 Development Strategy: Simulation-Based Training and Shadowing</w:t>
      </w:r>
      <w:bookmarkEnd w:id="7"/>
    </w:p>
    <w:p w14:paraId="4FFC2989" w14:textId="1CED0C72" w:rsidR="00777413" w:rsidRPr="00D31B7C" w:rsidRDefault="00777413" w:rsidP="00D31B7C">
      <w:pPr>
        <w:spacing w:line="360" w:lineRule="auto"/>
        <w:jc w:val="both"/>
        <w:rPr>
          <w:rFonts w:ascii="Arial" w:eastAsia="Times New Roman" w:hAnsi="Arial" w:cs="Arial"/>
          <w:kern w:val="0"/>
          <w:sz w:val="24"/>
          <w:szCs w:val="24"/>
          <w:lang/>
          <w14:ligatures w14:val="none"/>
        </w:rPr>
      </w:pPr>
      <w:r w:rsidRPr="00D31B7C">
        <w:rPr>
          <w:rFonts w:ascii="Arial" w:hAnsi="Arial" w:cs="Arial"/>
          <w:sz w:val="24"/>
          <w:szCs w:val="24"/>
        </w:rPr>
        <w:t>Simulation-based training, as well as expert shadowing, can be used to develop observational and reporting skills successfully</w:t>
      </w:r>
      <w:r w:rsidR="003566E7" w:rsidRPr="00D31B7C">
        <w:rPr>
          <w:rFonts w:ascii="Arial" w:hAnsi="Arial" w:cs="Arial"/>
          <w:sz w:val="24"/>
          <w:szCs w:val="24"/>
          <w:lang w:val="en-US"/>
        </w:rPr>
        <w:t xml:space="preserve"> </w:t>
      </w:r>
      <w:r w:rsidR="003566E7" w:rsidRPr="00D31B7C">
        <w:rPr>
          <w:rFonts w:ascii="Arial" w:eastAsia="Times New Roman" w:hAnsi="Arial" w:cs="Arial"/>
          <w:kern w:val="0"/>
          <w:sz w:val="24"/>
          <w:szCs w:val="24"/>
          <w:lang/>
          <w14:ligatures w14:val="none"/>
        </w:rPr>
        <w:t>(LeBel et al., 2018)</w:t>
      </w:r>
      <w:r w:rsidR="003566E7" w:rsidRPr="00D31B7C">
        <w:rPr>
          <w:rFonts w:ascii="Arial" w:eastAsia="Times New Roman" w:hAnsi="Arial" w:cs="Arial"/>
          <w:kern w:val="0"/>
          <w:sz w:val="24"/>
          <w:szCs w:val="24"/>
          <w:lang w:val="en-US"/>
          <w14:ligatures w14:val="none"/>
        </w:rPr>
        <w:t>.</w:t>
      </w:r>
      <w:r w:rsidRPr="00D31B7C">
        <w:rPr>
          <w:rFonts w:ascii="Arial" w:hAnsi="Arial" w:cs="Arial"/>
          <w:sz w:val="24"/>
          <w:szCs w:val="24"/>
        </w:rPr>
        <w:t xml:space="preserve"> The trainees in </w:t>
      </w:r>
      <w:r w:rsidRPr="00D31B7C">
        <w:rPr>
          <w:rFonts w:ascii="Arial" w:hAnsi="Arial" w:cs="Arial"/>
          <w:sz w:val="24"/>
          <w:szCs w:val="24"/>
        </w:rPr>
        <w:lastRenderedPageBreak/>
        <w:t>simulations would be able to test a realistic mannequin or a trained actor in a simulated home set, where they would be required to detect prese</w:t>
      </w:r>
      <w:proofErr w:type="spellStart"/>
      <w:r w:rsidR="003B511D" w:rsidRPr="00D31B7C">
        <w:rPr>
          <w:rFonts w:ascii="Arial" w:hAnsi="Arial" w:cs="Arial"/>
          <w:sz w:val="24"/>
          <w:szCs w:val="24"/>
          <w:lang w:val="en-US"/>
        </w:rPr>
        <w:t>nt</w:t>
      </w:r>
      <w:proofErr w:type="spellEnd"/>
      <w:r w:rsidRPr="00D31B7C">
        <w:rPr>
          <w:rFonts w:ascii="Arial" w:hAnsi="Arial" w:cs="Arial"/>
          <w:sz w:val="24"/>
          <w:szCs w:val="24"/>
        </w:rPr>
        <w:t xml:space="preserve"> red flags, including indicators of mild dehydration, early development of pressure ulcers, or indicators of depression. After the simulation, they would rehearse the process of making a factual, non-judgmental entry in a simulated care log. This can be supplemented by shadowing an experienced senior care worker so that the trainee may observe the performance of expert observation in practice and how subtlety can be registered on records. This is a two-pronged approach to theory and practice, sharpening the perceptions of the trainee and aiding them in the professional language needed to accurately report.</w:t>
      </w:r>
    </w:p>
    <w:p w14:paraId="17D258D2" w14:textId="77777777" w:rsidR="00777413" w:rsidRPr="00D31B7C" w:rsidRDefault="00777413" w:rsidP="00D31B7C">
      <w:pPr>
        <w:pStyle w:val="Heading1"/>
        <w:spacing w:line="360" w:lineRule="auto"/>
        <w:jc w:val="both"/>
        <w:rPr>
          <w:rFonts w:ascii="Arial" w:hAnsi="Arial" w:cs="Arial"/>
          <w:sz w:val="24"/>
          <w:szCs w:val="24"/>
        </w:rPr>
      </w:pPr>
      <w:bookmarkStart w:id="8" w:name="_Toc221152275"/>
      <w:r w:rsidRPr="00D31B7C">
        <w:rPr>
          <w:rFonts w:ascii="Arial" w:hAnsi="Arial" w:cs="Arial"/>
          <w:sz w:val="24"/>
          <w:szCs w:val="24"/>
        </w:rPr>
        <w:t>6.0 Conclusion</w:t>
      </w:r>
      <w:bookmarkEnd w:id="8"/>
    </w:p>
    <w:p w14:paraId="7BA620EA" w14:textId="1F49536C" w:rsidR="00777413" w:rsidRPr="00D31B7C" w:rsidRDefault="00777413" w:rsidP="00D31B7C">
      <w:pPr>
        <w:pStyle w:val="NormalWeb"/>
        <w:spacing w:line="360" w:lineRule="auto"/>
        <w:jc w:val="both"/>
        <w:rPr>
          <w:rFonts w:ascii="Arial" w:hAnsi="Arial" w:cs="Arial"/>
        </w:rPr>
      </w:pPr>
      <w:r w:rsidRPr="00D31B7C">
        <w:rPr>
          <w:rFonts w:ascii="Arial" w:hAnsi="Arial" w:cs="Arial"/>
        </w:rPr>
        <w:t xml:space="preserve">To sum up, the profession of the care worker is a complex one, requiring much more than the accomplishment of practical assignments. It involves a complex combination of interpersonal, intrapersonal, and cognitive skills. As has been shown, person-centered care depends on empathic communication, sustained practice requires resilience, and client safety depends on observational acuity. </w:t>
      </w:r>
    </w:p>
    <w:p w14:paraId="529C6D7B" w14:textId="4D033D3E" w:rsidR="003566E7" w:rsidRPr="00D31B7C" w:rsidRDefault="003566E7" w:rsidP="00D31B7C">
      <w:pPr>
        <w:spacing w:line="360" w:lineRule="auto"/>
        <w:jc w:val="both"/>
        <w:rPr>
          <w:rFonts w:ascii="Arial" w:hAnsi="Arial" w:cs="Arial"/>
          <w:sz w:val="24"/>
          <w:szCs w:val="24"/>
        </w:rPr>
      </w:pPr>
      <w:r w:rsidRPr="00D31B7C">
        <w:rPr>
          <w:rFonts w:ascii="Arial" w:hAnsi="Arial" w:cs="Arial"/>
          <w:sz w:val="24"/>
          <w:szCs w:val="24"/>
        </w:rPr>
        <w:br w:type="page"/>
      </w:r>
    </w:p>
    <w:p w14:paraId="4A3CE801" w14:textId="77777777" w:rsidR="003566E7" w:rsidRPr="00D31B7C" w:rsidRDefault="003566E7" w:rsidP="00D31B7C">
      <w:pPr>
        <w:pStyle w:val="Heading1"/>
        <w:spacing w:before="0" w:line="360" w:lineRule="auto"/>
        <w:jc w:val="both"/>
        <w:rPr>
          <w:rFonts w:ascii="Arial" w:hAnsi="Arial" w:cs="Arial"/>
          <w:sz w:val="24"/>
          <w:szCs w:val="24"/>
          <w:lang/>
        </w:rPr>
      </w:pPr>
      <w:bookmarkStart w:id="9" w:name="_Toc221152276"/>
      <w:r w:rsidRPr="00D31B7C">
        <w:rPr>
          <w:rFonts w:ascii="Arial" w:hAnsi="Arial" w:cs="Arial"/>
          <w:sz w:val="24"/>
          <w:szCs w:val="24"/>
        </w:rPr>
        <w:lastRenderedPageBreak/>
        <w:t>References</w:t>
      </w:r>
      <w:bookmarkEnd w:id="9"/>
    </w:p>
    <w:p w14:paraId="1D9D5E02"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Carrarini, C., Russo, M., Dono, F., Barbone, F., Rispoli, M. G., Ferri, L., Di Pietro, M., Digiovanni, A., Ajdinaj, P., Speranza, R., Granzotto, A., Frazzini, V., Thomas, A., Pilotto, A., Padovani, A., Onofrj, M., Sensi, S. L., &amp; Bonanni, L. (2021). Agitation and Dementia: Prevention and Treatment Strategies in Acute and Chronic Conditions. </w:t>
      </w:r>
      <w:r w:rsidRPr="00D31B7C">
        <w:rPr>
          <w:rFonts w:ascii="Arial" w:hAnsi="Arial" w:cs="Arial"/>
          <w:i/>
          <w:iCs/>
        </w:rPr>
        <w:t>Frontiers in Neurology</w:t>
      </w:r>
      <w:r w:rsidRPr="00D31B7C">
        <w:rPr>
          <w:rFonts w:ascii="Arial" w:hAnsi="Arial" w:cs="Arial"/>
        </w:rPr>
        <w:t xml:space="preserve">, </w:t>
      </w:r>
      <w:r w:rsidRPr="00D31B7C">
        <w:rPr>
          <w:rFonts w:ascii="Arial" w:hAnsi="Arial" w:cs="Arial"/>
          <w:i/>
          <w:iCs/>
        </w:rPr>
        <w:t>12</w:t>
      </w:r>
      <w:r w:rsidRPr="00D31B7C">
        <w:rPr>
          <w:rFonts w:ascii="Arial" w:hAnsi="Arial" w:cs="Arial"/>
        </w:rPr>
        <w:t>. https://doi.org/10.3389/fneur.2021.644317</w:t>
      </w:r>
    </w:p>
    <w:p w14:paraId="392C3EEE"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Deriglazov, D., Halamová, J., &amp; Kernová, L. (2025). Burnout, Compassion Fatigue, and Compassion Satisfaction Interventions via Mobile Applications: A Systematic Review and a Meta</w:t>
      </w:r>
      <w:r w:rsidRPr="00D31B7C">
        <w:rPr>
          <w:rFonts w:ascii="Cambria Math" w:hAnsi="Cambria Math" w:cs="Cambria Math"/>
        </w:rPr>
        <w:t>‐</w:t>
      </w:r>
      <w:r w:rsidRPr="00D31B7C">
        <w:rPr>
          <w:rFonts w:ascii="Arial" w:hAnsi="Arial" w:cs="Arial"/>
        </w:rPr>
        <w:t xml:space="preserve">Analysis. </w:t>
      </w:r>
      <w:r w:rsidRPr="00D31B7C">
        <w:rPr>
          <w:rFonts w:ascii="Arial" w:hAnsi="Arial" w:cs="Arial"/>
          <w:i/>
          <w:iCs/>
        </w:rPr>
        <w:t>Worldviews on Evidence-Based Nursing</w:t>
      </w:r>
      <w:r w:rsidRPr="00D31B7C">
        <w:rPr>
          <w:rFonts w:ascii="Arial" w:hAnsi="Arial" w:cs="Arial"/>
        </w:rPr>
        <w:t xml:space="preserve">, </w:t>
      </w:r>
      <w:r w:rsidRPr="00D31B7C">
        <w:rPr>
          <w:rFonts w:ascii="Arial" w:hAnsi="Arial" w:cs="Arial"/>
          <w:i/>
          <w:iCs/>
        </w:rPr>
        <w:t>22</w:t>
      </w:r>
      <w:r w:rsidRPr="00D31B7C">
        <w:rPr>
          <w:rFonts w:ascii="Arial" w:hAnsi="Arial" w:cs="Arial"/>
        </w:rPr>
        <w:t>(3). https://doi.org/10.1111/wvn.70033</w:t>
      </w:r>
    </w:p>
    <w:p w14:paraId="7176FFE2"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Flaubert, J. L., Menestrel, S. L., Williams, D. R., &amp; Wakefield, M. K. (2021). Supporting the health and professional well-being of nurses. In </w:t>
      </w:r>
      <w:r w:rsidRPr="00D31B7C">
        <w:rPr>
          <w:rFonts w:ascii="Arial" w:hAnsi="Arial" w:cs="Arial"/>
          <w:i/>
          <w:iCs/>
        </w:rPr>
        <w:t>www.ncbi.nlm.nih.gov</w:t>
      </w:r>
      <w:r w:rsidRPr="00D31B7C">
        <w:rPr>
          <w:rFonts w:ascii="Arial" w:hAnsi="Arial" w:cs="Arial"/>
        </w:rPr>
        <w:t>. National Academies Press. https://www.ncbi.nlm.nih.gov/books/NBK573902/</w:t>
      </w:r>
    </w:p>
    <w:p w14:paraId="7D436F9E"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Goldenhart, A., &amp; Nagy, H. (2022). </w:t>
      </w:r>
      <w:r w:rsidRPr="00D31B7C">
        <w:rPr>
          <w:rFonts w:ascii="Arial" w:hAnsi="Arial" w:cs="Arial"/>
          <w:i/>
          <w:iCs/>
        </w:rPr>
        <w:t>Assisting Patients With Personal Hygiene</w:t>
      </w:r>
      <w:r w:rsidRPr="00D31B7C">
        <w:rPr>
          <w:rFonts w:ascii="Arial" w:hAnsi="Arial" w:cs="Arial"/>
        </w:rPr>
        <w:t>. PubMed; StatPearls Publishing. https://www.ncbi.nlm.nih.gov/books/NBK563155/</w:t>
      </w:r>
    </w:p>
    <w:p w14:paraId="1F1DFD9B"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LeBel, M.-E., Haverstock, J., Cristancho, S., van Eimeren, L., &amp; Buckingham, G. (2018). Observational Learning During Simulation-Based Training in Arthroscopy: Is It Useful to Novices? </w:t>
      </w:r>
      <w:r w:rsidRPr="00D31B7C">
        <w:rPr>
          <w:rFonts w:ascii="Arial" w:hAnsi="Arial" w:cs="Arial"/>
          <w:i/>
          <w:iCs/>
        </w:rPr>
        <w:t>Journal of Surgical Education</w:t>
      </w:r>
      <w:r w:rsidRPr="00D31B7C">
        <w:rPr>
          <w:rFonts w:ascii="Arial" w:hAnsi="Arial" w:cs="Arial"/>
        </w:rPr>
        <w:t xml:space="preserve">, </w:t>
      </w:r>
      <w:r w:rsidRPr="00D31B7C">
        <w:rPr>
          <w:rFonts w:ascii="Arial" w:hAnsi="Arial" w:cs="Arial"/>
          <w:i/>
          <w:iCs/>
        </w:rPr>
        <w:t>75</w:t>
      </w:r>
      <w:r w:rsidRPr="00D31B7C">
        <w:rPr>
          <w:rFonts w:ascii="Arial" w:hAnsi="Arial" w:cs="Arial"/>
        </w:rPr>
        <w:t>(1), 222–230. https://doi.org/10.1016/j.jsurg.2017.06.005</w:t>
      </w:r>
    </w:p>
    <w:p w14:paraId="5C96EADD" w14:textId="77777777" w:rsidR="003566E7"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Mathioudakis, A. (2016). How to Keep Good Clinical Records. </w:t>
      </w:r>
      <w:r w:rsidRPr="00D31B7C">
        <w:rPr>
          <w:rFonts w:ascii="Arial" w:hAnsi="Arial" w:cs="Arial"/>
          <w:i/>
          <w:iCs/>
        </w:rPr>
        <w:t>Breathe</w:t>
      </w:r>
      <w:r w:rsidRPr="00D31B7C">
        <w:rPr>
          <w:rFonts w:ascii="Arial" w:hAnsi="Arial" w:cs="Arial"/>
        </w:rPr>
        <w:t xml:space="preserve">, </w:t>
      </w:r>
      <w:r w:rsidRPr="00D31B7C">
        <w:rPr>
          <w:rFonts w:ascii="Arial" w:hAnsi="Arial" w:cs="Arial"/>
          <w:i/>
          <w:iCs/>
        </w:rPr>
        <w:t>12</w:t>
      </w:r>
      <w:r w:rsidRPr="00D31B7C">
        <w:rPr>
          <w:rFonts w:ascii="Arial" w:hAnsi="Arial" w:cs="Arial"/>
        </w:rPr>
        <w:t>(4), 369–373. https://doi.org/10.1183/20734735.018016</w:t>
      </w:r>
    </w:p>
    <w:p w14:paraId="10514679" w14:textId="51BD0AA9" w:rsidR="006517D0" w:rsidRPr="00D31B7C" w:rsidRDefault="003566E7" w:rsidP="00D31B7C">
      <w:pPr>
        <w:pStyle w:val="NormalWeb"/>
        <w:spacing w:before="0" w:beforeAutospacing="0" w:after="0" w:afterAutospacing="0" w:line="360" w:lineRule="auto"/>
        <w:ind w:left="720" w:hanging="720"/>
        <w:jc w:val="both"/>
        <w:rPr>
          <w:rFonts w:ascii="Arial" w:hAnsi="Arial" w:cs="Arial"/>
        </w:rPr>
      </w:pPr>
      <w:r w:rsidRPr="00D31B7C">
        <w:rPr>
          <w:rFonts w:ascii="Arial" w:hAnsi="Arial" w:cs="Arial"/>
        </w:rPr>
        <w:t xml:space="preserve">McLeod, S. (2025). </w:t>
      </w:r>
      <w:r w:rsidRPr="00D31B7C">
        <w:rPr>
          <w:rFonts w:ascii="Arial" w:hAnsi="Arial" w:cs="Arial"/>
          <w:i/>
          <w:iCs/>
        </w:rPr>
        <w:t>Gibbs Reflective Cycle</w:t>
      </w:r>
      <w:r w:rsidRPr="00D31B7C">
        <w:rPr>
          <w:rFonts w:ascii="Arial" w:hAnsi="Arial" w:cs="Arial"/>
        </w:rPr>
        <w:t>. Simply Psychology. https://www.simplypsychology.org/gibbs-reflective-cycle.html</w:t>
      </w:r>
    </w:p>
    <w:sectPr w:rsidR="006517D0" w:rsidRPr="00D31B7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8B6D9" w14:textId="77777777" w:rsidR="00C16BC6" w:rsidRDefault="00C16BC6" w:rsidP="00D31B7C">
      <w:pPr>
        <w:spacing w:after="0" w:line="240" w:lineRule="auto"/>
      </w:pPr>
      <w:r>
        <w:separator/>
      </w:r>
    </w:p>
  </w:endnote>
  <w:endnote w:type="continuationSeparator" w:id="0">
    <w:p w14:paraId="20FB778F" w14:textId="77777777" w:rsidR="00C16BC6" w:rsidRDefault="00C16BC6" w:rsidP="00D31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90738"/>
      <w:docPartObj>
        <w:docPartGallery w:val="Page Numbers (Bottom of Page)"/>
        <w:docPartUnique/>
      </w:docPartObj>
    </w:sdtPr>
    <w:sdtEndPr>
      <w:rPr>
        <w:color w:val="7F7F7F" w:themeColor="background1" w:themeShade="7F"/>
        <w:spacing w:val="60"/>
      </w:rPr>
    </w:sdtEndPr>
    <w:sdtContent>
      <w:p w14:paraId="5766D74D" w14:textId="0853364E" w:rsidR="00D31B7C" w:rsidRDefault="00D31B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356CFE" w14:textId="77777777" w:rsidR="00D31B7C" w:rsidRDefault="00D31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FAF53" w14:textId="77777777" w:rsidR="00C16BC6" w:rsidRDefault="00C16BC6" w:rsidP="00D31B7C">
      <w:pPr>
        <w:spacing w:after="0" w:line="240" w:lineRule="auto"/>
      </w:pPr>
      <w:r>
        <w:separator/>
      </w:r>
    </w:p>
  </w:footnote>
  <w:footnote w:type="continuationSeparator" w:id="0">
    <w:p w14:paraId="4C752600" w14:textId="77777777" w:rsidR="00C16BC6" w:rsidRDefault="00C16BC6" w:rsidP="00D31B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37"/>
    <w:rsid w:val="0002769A"/>
    <w:rsid w:val="003566E7"/>
    <w:rsid w:val="003947F0"/>
    <w:rsid w:val="003A3024"/>
    <w:rsid w:val="003B167F"/>
    <w:rsid w:val="003B511D"/>
    <w:rsid w:val="0046703A"/>
    <w:rsid w:val="004E4847"/>
    <w:rsid w:val="005949E3"/>
    <w:rsid w:val="00597583"/>
    <w:rsid w:val="006517D0"/>
    <w:rsid w:val="00777413"/>
    <w:rsid w:val="007933E5"/>
    <w:rsid w:val="007B4C0E"/>
    <w:rsid w:val="00875B5D"/>
    <w:rsid w:val="00905902"/>
    <w:rsid w:val="009F1321"/>
    <w:rsid w:val="00AB2A60"/>
    <w:rsid w:val="00AD0167"/>
    <w:rsid w:val="00BE0BD9"/>
    <w:rsid w:val="00C16BC6"/>
    <w:rsid w:val="00C43E52"/>
    <w:rsid w:val="00D31B7C"/>
    <w:rsid w:val="00F12837"/>
    <w:rsid w:val="00FB20FC"/>
    <w:rsid w:val="00FC4E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071DE"/>
  <w15:chartTrackingRefBased/>
  <w15:docId w15:val="{72D5C309-CF54-4FB6-9AD9-060061769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B20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FB20FC"/>
    <w:pPr>
      <w:keepNext/>
      <w:keepLines/>
      <w:spacing w:before="40" w:after="0"/>
      <w:outlineLvl w:val="1"/>
    </w:pPr>
    <w:rPr>
      <w:rFonts w:asciiTheme="majorHAnsi" w:eastAsiaTheme="majorEastAsia" w:hAnsiTheme="majorHAnsi" w:cstheme="majorBidi"/>
      <w:b/>
      <w:i/>
      <w:color w:val="2F5496" w:themeColor="accent1" w:themeShade="BF"/>
      <w:sz w:val="26"/>
      <w:szCs w:val="26"/>
    </w:rPr>
  </w:style>
  <w:style w:type="paragraph" w:styleId="Heading3">
    <w:name w:val="heading 3"/>
    <w:basedOn w:val="Normal"/>
    <w:link w:val="Heading3Char"/>
    <w:uiPriority w:val="9"/>
    <w:qFormat/>
    <w:rsid w:val="0046703A"/>
    <w:pPr>
      <w:spacing w:before="100" w:beforeAutospacing="1" w:after="100" w:afterAutospacing="1" w:line="240" w:lineRule="auto"/>
      <w:outlineLvl w:val="2"/>
    </w:pPr>
    <w:rPr>
      <w:rFonts w:ascii="Times New Roman" w:eastAsia="Times New Roman" w:hAnsi="Times New Roman" w:cs="Times New Roman"/>
      <w:b/>
      <w:bCs/>
      <w:kern w:val="0"/>
      <w:sz w:val="27"/>
      <w:szCs w:val="27"/>
      <w:lang/>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6703A"/>
    <w:rPr>
      <w:rFonts w:ascii="Times New Roman" w:eastAsia="Times New Roman" w:hAnsi="Times New Roman" w:cs="Times New Roman"/>
      <w:b/>
      <w:bCs/>
      <w:kern w:val="0"/>
      <w:sz w:val="27"/>
      <w:szCs w:val="27"/>
      <w:lang/>
      <w14:ligatures w14:val="none"/>
    </w:rPr>
  </w:style>
  <w:style w:type="character" w:styleId="Strong">
    <w:name w:val="Strong"/>
    <w:basedOn w:val="DefaultParagraphFont"/>
    <w:uiPriority w:val="22"/>
    <w:qFormat/>
    <w:rsid w:val="0046703A"/>
    <w:rPr>
      <w:b/>
      <w:bCs/>
    </w:rPr>
  </w:style>
  <w:style w:type="paragraph" w:customStyle="1" w:styleId="ds-markdown-paragraph">
    <w:name w:val="ds-markdown-paragraph"/>
    <w:basedOn w:val="Normal"/>
    <w:rsid w:val="0046703A"/>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paragraph" w:styleId="NormalWeb">
    <w:name w:val="Normal (Web)"/>
    <w:basedOn w:val="Normal"/>
    <w:uiPriority w:val="99"/>
    <w:unhideWhenUsed/>
    <w:rsid w:val="00FC4EDC"/>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Heading1Char">
    <w:name w:val="Heading 1 Char"/>
    <w:basedOn w:val="DefaultParagraphFont"/>
    <w:link w:val="Heading1"/>
    <w:uiPriority w:val="9"/>
    <w:rsid w:val="00FB20FC"/>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FB20FC"/>
    <w:rPr>
      <w:rFonts w:asciiTheme="majorHAnsi" w:eastAsiaTheme="majorEastAsia" w:hAnsiTheme="majorHAnsi" w:cstheme="majorBidi"/>
      <w:b/>
      <w:i/>
      <w:color w:val="2F5496" w:themeColor="accent1" w:themeShade="BF"/>
      <w:sz w:val="26"/>
      <w:szCs w:val="26"/>
      <w:lang w:val="en-GB"/>
    </w:rPr>
  </w:style>
  <w:style w:type="paragraph" w:styleId="TOCHeading">
    <w:name w:val="TOC Heading"/>
    <w:basedOn w:val="Heading1"/>
    <w:next w:val="Normal"/>
    <w:uiPriority w:val="39"/>
    <w:unhideWhenUsed/>
    <w:qFormat/>
    <w:rsid w:val="00D31B7C"/>
    <w:pPr>
      <w:outlineLvl w:val="9"/>
    </w:pPr>
    <w:rPr>
      <w:b w:val="0"/>
      <w:color w:val="2F5496" w:themeColor="accent1" w:themeShade="BF"/>
      <w:kern w:val="0"/>
      <w:lang w:val="en-US"/>
      <w14:ligatures w14:val="none"/>
    </w:rPr>
  </w:style>
  <w:style w:type="paragraph" w:styleId="TOC3">
    <w:name w:val="toc 3"/>
    <w:basedOn w:val="Normal"/>
    <w:next w:val="Normal"/>
    <w:autoRedefine/>
    <w:uiPriority w:val="39"/>
    <w:unhideWhenUsed/>
    <w:rsid w:val="00D31B7C"/>
    <w:pPr>
      <w:spacing w:after="100"/>
      <w:ind w:left="440"/>
    </w:pPr>
  </w:style>
  <w:style w:type="paragraph" w:styleId="TOC1">
    <w:name w:val="toc 1"/>
    <w:basedOn w:val="Normal"/>
    <w:next w:val="Normal"/>
    <w:autoRedefine/>
    <w:uiPriority w:val="39"/>
    <w:unhideWhenUsed/>
    <w:rsid w:val="00D31B7C"/>
    <w:pPr>
      <w:spacing w:after="100"/>
    </w:pPr>
  </w:style>
  <w:style w:type="paragraph" w:styleId="TOC2">
    <w:name w:val="toc 2"/>
    <w:basedOn w:val="Normal"/>
    <w:next w:val="Normal"/>
    <w:autoRedefine/>
    <w:uiPriority w:val="39"/>
    <w:unhideWhenUsed/>
    <w:rsid w:val="00D31B7C"/>
    <w:pPr>
      <w:spacing w:after="100"/>
      <w:ind w:left="220"/>
    </w:pPr>
  </w:style>
  <w:style w:type="character" w:styleId="Hyperlink">
    <w:name w:val="Hyperlink"/>
    <w:basedOn w:val="DefaultParagraphFont"/>
    <w:uiPriority w:val="99"/>
    <w:unhideWhenUsed/>
    <w:rsid w:val="00D31B7C"/>
    <w:rPr>
      <w:color w:val="0563C1" w:themeColor="hyperlink"/>
      <w:u w:val="single"/>
    </w:rPr>
  </w:style>
  <w:style w:type="paragraph" w:styleId="Header">
    <w:name w:val="header"/>
    <w:basedOn w:val="Normal"/>
    <w:link w:val="HeaderChar"/>
    <w:uiPriority w:val="99"/>
    <w:unhideWhenUsed/>
    <w:rsid w:val="00D31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1B7C"/>
    <w:rPr>
      <w:lang w:val="en-GB"/>
    </w:rPr>
  </w:style>
  <w:style w:type="paragraph" w:styleId="Footer">
    <w:name w:val="footer"/>
    <w:basedOn w:val="Normal"/>
    <w:link w:val="FooterChar"/>
    <w:uiPriority w:val="99"/>
    <w:unhideWhenUsed/>
    <w:rsid w:val="00D31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1B7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440808">
      <w:bodyDiv w:val="1"/>
      <w:marLeft w:val="0"/>
      <w:marRight w:val="0"/>
      <w:marTop w:val="0"/>
      <w:marBottom w:val="0"/>
      <w:divBdr>
        <w:top w:val="none" w:sz="0" w:space="0" w:color="auto"/>
        <w:left w:val="none" w:sz="0" w:space="0" w:color="auto"/>
        <w:bottom w:val="none" w:sz="0" w:space="0" w:color="auto"/>
        <w:right w:val="none" w:sz="0" w:space="0" w:color="auto"/>
      </w:divBdr>
    </w:div>
    <w:div w:id="338311409">
      <w:bodyDiv w:val="1"/>
      <w:marLeft w:val="0"/>
      <w:marRight w:val="0"/>
      <w:marTop w:val="0"/>
      <w:marBottom w:val="0"/>
      <w:divBdr>
        <w:top w:val="none" w:sz="0" w:space="0" w:color="auto"/>
        <w:left w:val="none" w:sz="0" w:space="0" w:color="auto"/>
        <w:bottom w:val="none" w:sz="0" w:space="0" w:color="auto"/>
        <w:right w:val="none" w:sz="0" w:space="0" w:color="auto"/>
      </w:divBdr>
    </w:div>
    <w:div w:id="360783940">
      <w:bodyDiv w:val="1"/>
      <w:marLeft w:val="0"/>
      <w:marRight w:val="0"/>
      <w:marTop w:val="0"/>
      <w:marBottom w:val="0"/>
      <w:divBdr>
        <w:top w:val="none" w:sz="0" w:space="0" w:color="auto"/>
        <w:left w:val="none" w:sz="0" w:space="0" w:color="auto"/>
        <w:bottom w:val="none" w:sz="0" w:space="0" w:color="auto"/>
        <w:right w:val="none" w:sz="0" w:space="0" w:color="auto"/>
      </w:divBdr>
    </w:div>
    <w:div w:id="537279657">
      <w:bodyDiv w:val="1"/>
      <w:marLeft w:val="0"/>
      <w:marRight w:val="0"/>
      <w:marTop w:val="0"/>
      <w:marBottom w:val="0"/>
      <w:divBdr>
        <w:top w:val="none" w:sz="0" w:space="0" w:color="auto"/>
        <w:left w:val="none" w:sz="0" w:space="0" w:color="auto"/>
        <w:bottom w:val="none" w:sz="0" w:space="0" w:color="auto"/>
        <w:right w:val="none" w:sz="0" w:space="0" w:color="auto"/>
      </w:divBdr>
    </w:div>
    <w:div w:id="993680168">
      <w:bodyDiv w:val="1"/>
      <w:marLeft w:val="0"/>
      <w:marRight w:val="0"/>
      <w:marTop w:val="0"/>
      <w:marBottom w:val="0"/>
      <w:divBdr>
        <w:top w:val="none" w:sz="0" w:space="0" w:color="auto"/>
        <w:left w:val="none" w:sz="0" w:space="0" w:color="auto"/>
        <w:bottom w:val="none" w:sz="0" w:space="0" w:color="auto"/>
        <w:right w:val="none" w:sz="0" w:space="0" w:color="auto"/>
      </w:divBdr>
    </w:div>
    <w:div w:id="998969089">
      <w:bodyDiv w:val="1"/>
      <w:marLeft w:val="0"/>
      <w:marRight w:val="0"/>
      <w:marTop w:val="0"/>
      <w:marBottom w:val="0"/>
      <w:divBdr>
        <w:top w:val="none" w:sz="0" w:space="0" w:color="auto"/>
        <w:left w:val="none" w:sz="0" w:space="0" w:color="auto"/>
        <w:bottom w:val="none" w:sz="0" w:space="0" w:color="auto"/>
        <w:right w:val="none" w:sz="0" w:space="0" w:color="auto"/>
      </w:divBdr>
    </w:div>
    <w:div w:id="1119493944">
      <w:bodyDiv w:val="1"/>
      <w:marLeft w:val="0"/>
      <w:marRight w:val="0"/>
      <w:marTop w:val="0"/>
      <w:marBottom w:val="0"/>
      <w:divBdr>
        <w:top w:val="none" w:sz="0" w:space="0" w:color="auto"/>
        <w:left w:val="none" w:sz="0" w:space="0" w:color="auto"/>
        <w:bottom w:val="none" w:sz="0" w:space="0" w:color="auto"/>
        <w:right w:val="none" w:sz="0" w:space="0" w:color="auto"/>
      </w:divBdr>
    </w:div>
    <w:div w:id="1150748697">
      <w:bodyDiv w:val="1"/>
      <w:marLeft w:val="0"/>
      <w:marRight w:val="0"/>
      <w:marTop w:val="0"/>
      <w:marBottom w:val="0"/>
      <w:divBdr>
        <w:top w:val="none" w:sz="0" w:space="0" w:color="auto"/>
        <w:left w:val="none" w:sz="0" w:space="0" w:color="auto"/>
        <w:bottom w:val="none" w:sz="0" w:space="0" w:color="auto"/>
        <w:right w:val="none" w:sz="0" w:space="0" w:color="auto"/>
      </w:divBdr>
    </w:div>
    <w:div w:id="1353454971">
      <w:bodyDiv w:val="1"/>
      <w:marLeft w:val="0"/>
      <w:marRight w:val="0"/>
      <w:marTop w:val="0"/>
      <w:marBottom w:val="0"/>
      <w:divBdr>
        <w:top w:val="none" w:sz="0" w:space="0" w:color="auto"/>
        <w:left w:val="none" w:sz="0" w:space="0" w:color="auto"/>
        <w:bottom w:val="none" w:sz="0" w:space="0" w:color="auto"/>
        <w:right w:val="none" w:sz="0" w:space="0" w:color="auto"/>
      </w:divBdr>
    </w:div>
    <w:div w:id="1456287864">
      <w:bodyDiv w:val="1"/>
      <w:marLeft w:val="0"/>
      <w:marRight w:val="0"/>
      <w:marTop w:val="0"/>
      <w:marBottom w:val="0"/>
      <w:divBdr>
        <w:top w:val="none" w:sz="0" w:space="0" w:color="auto"/>
        <w:left w:val="none" w:sz="0" w:space="0" w:color="auto"/>
        <w:bottom w:val="none" w:sz="0" w:space="0" w:color="auto"/>
        <w:right w:val="none" w:sz="0" w:space="0" w:color="auto"/>
      </w:divBdr>
    </w:div>
    <w:div w:id="1525048443">
      <w:bodyDiv w:val="1"/>
      <w:marLeft w:val="0"/>
      <w:marRight w:val="0"/>
      <w:marTop w:val="0"/>
      <w:marBottom w:val="0"/>
      <w:divBdr>
        <w:top w:val="none" w:sz="0" w:space="0" w:color="auto"/>
        <w:left w:val="none" w:sz="0" w:space="0" w:color="auto"/>
        <w:bottom w:val="none" w:sz="0" w:space="0" w:color="auto"/>
        <w:right w:val="none" w:sz="0" w:space="0" w:color="auto"/>
      </w:divBdr>
      <w:divsChild>
        <w:div w:id="476993831">
          <w:marLeft w:val="-720"/>
          <w:marRight w:val="0"/>
          <w:marTop w:val="0"/>
          <w:marBottom w:val="0"/>
          <w:divBdr>
            <w:top w:val="none" w:sz="0" w:space="0" w:color="auto"/>
            <w:left w:val="none" w:sz="0" w:space="0" w:color="auto"/>
            <w:bottom w:val="none" w:sz="0" w:space="0" w:color="auto"/>
            <w:right w:val="none" w:sz="0" w:space="0" w:color="auto"/>
          </w:divBdr>
        </w:div>
      </w:divsChild>
    </w:div>
    <w:div w:id="1862084824">
      <w:bodyDiv w:val="1"/>
      <w:marLeft w:val="0"/>
      <w:marRight w:val="0"/>
      <w:marTop w:val="0"/>
      <w:marBottom w:val="0"/>
      <w:divBdr>
        <w:top w:val="none" w:sz="0" w:space="0" w:color="auto"/>
        <w:left w:val="none" w:sz="0" w:space="0" w:color="auto"/>
        <w:bottom w:val="none" w:sz="0" w:space="0" w:color="auto"/>
        <w:right w:val="none" w:sz="0" w:space="0" w:color="auto"/>
      </w:divBdr>
    </w:div>
    <w:div w:id="213124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8AB73-F1BA-4D9F-BAFE-28E2D60EB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1680</Words>
  <Characters>9579</Characters>
  <Application>Microsoft Office Word</Application>
  <DocSecurity>0</DocSecurity>
  <Lines>79</Lines>
  <Paragraphs>22</Paragraphs>
  <ScaleCrop>false</ScaleCrop>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Syed Nadeem (2313914)</cp:lastModifiedBy>
  <cp:revision>21</cp:revision>
  <dcterms:created xsi:type="dcterms:W3CDTF">2026-02-01T23:24:00Z</dcterms:created>
  <dcterms:modified xsi:type="dcterms:W3CDTF">2026-03-19T08:43:00Z</dcterms:modified>
</cp:coreProperties>
</file>