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pPr>
      <w:bookmarkStart w:colFirst="0" w:colLast="0" w:name="_bsdrf9ky00b3" w:id="0"/>
      <w:bookmarkEnd w:id="0"/>
      <w:r w:rsidDel="00000000" w:rsidR="00000000" w:rsidRPr="00000000">
        <w:rPr>
          <w:rtl w:val="0"/>
        </w:rPr>
        <w:t xml:space="preserve">Lab 5</w:t>
      </w:r>
    </w:p>
    <w:p w:rsidR="00000000" w:rsidDel="00000000" w:rsidP="00000000" w:rsidRDefault="00000000" w:rsidRPr="00000000" w14:paraId="00000002">
      <w:pPr>
        <w:rPr/>
      </w:pPr>
      <w:r w:rsidDel="00000000" w:rsidR="00000000" w:rsidRPr="00000000">
        <w:rPr>
          <w:rtl w:val="0"/>
        </w:rPr>
        <w:t xml:space="preserve">API documentation is a collection of rules and instructions that describe how to utilize an application programming interface in writing (API). It frequently contains information about the functions, arguments, data structures, and error messages of the API. Developers benefit from well-documented APIs because they can integrate them into their applications more rapidly and experience a smaller learning curve.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An open standard for describing RESTful APIs is called OpenAPI Specification, formerly known as Swagger Specification. It gives you a way to give a machine-readable description of an API's endpoints, parameters, request and response bodies, and authentication procedures. The OpenAPI Standard can be utilized with a range of tools and programming languages and is based on JSON or YAML files.</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Developers can create, test, and document APIs using Postman, a well-liked collaborative platform for API development. Developers can use the user-friendly interface to send HTTP queries to an API and receive replies. REST, SOAP, and GraphQL API testing may be done with Postman, which also supports a number of different types of authentication.</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In general, it is crucial to check the response bodies and codes when utilizing RESTful APIs to make sure that the actions are successful and the desired data is returned. While other codes, such as 400, 401, 404, etc., may indicate errors or specific conditions related to the API, a code of 200 typically means that the operation was successful.</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When using APIs, it is also essential to take security and access control precautions into account, especially when carrying out actions that involve sensitive or secret data. To guarantee that only authorized individuals may access and edit the data, proper authentication and authorisation processes must be in place.</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successfully list all the books and retrieve the details of a specific book using the School Library API.</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