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0CC6" w14:textId="77777777" w:rsidR="00207A17" w:rsidRDefault="00207A17">
      <w:pPr>
        <w:jc w:val="center"/>
        <w:rPr>
          <w:rFonts w:cs="Arial"/>
          <w:sz w:val="32"/>
          <w:szCs w:val="32"/>
        </w:rPr>
      </w:pPr>
    </w:p>
    <w:p w14:paraId="1DD21CFC" w14:textId="652C78FA" w:rsidR="00C1353F" w:rsidRDefault="00207A17">
      <w:pPr>
        <w:jc w:val="center"/>
        <w:rPr>
          <w:rFonts w:cs="Arial"/>
          <w:sz w:val="32"/>
          <w:szCs w:val="32"/>
        </w:rPr>
      </w:pPr>
      <w:r>
        <w:rPr>
          <w:noProof/>
        </w:rPr>
        <w:drawing>
          <wp:inline distT="0" distB="0" distL="0" distR="0" wp14:anchorId="1800B503" wp14:editId="7E10CA43">
            <wp:extent cx="5486400" cy="1777944"/>
            <wp:effectExtent l="0" t="0" r="0" b="0"/>
            <wp:docPr id="601911999" name="Picture 1"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777944"/>
                    </a:xfrm>
                    <a:prstGeom prst="rect">
                      <a:avLst/>
                    </a:prstGeom>
                    <a:noFill/>
                    <a:ln>
                      <a:noFill/>
                    </a:ln>
                  </pic:spPr>
                </pic:pic>
              </a:graphicData>
            </a:graphic>
          </wp:inline>
        </w:drawing>
      </w:r>
    </w:p>
    <w:p w14:paraId="66BC6E55" w14:textId="77777777" w:rsidR="00C1353F" w:rsidRDefault="00C1353F">
      <w:pPr>
        <w:jc w:val="center"/>
        <w:rPr>
          <w:rFonts w:cs="Arial"/>
          <w:sz w:val="32"/>
          <w:szCs w:val="32"/>
        </w:rPr>
      </w:pPr>
    </w:p>
    <w:p w14:paraId="11D11A98" w14:textId="77777777" w:rsidR="00C1353F" w:rsidRDefault="00C1353F">
      <w:pPr>
        <w:jc w:val="center"/>
        <w:rPr>
          <w:rFonts w:cs="Arial"/>
          <w:sz w:val="32"/>
          <w:szCs w:val="32"/>
        </w:rPr>
      </w:pPr>
    </w:p>
    <w:p w14:paraId="7F60B081" w14:textId="77777777" w:rsidR="00C1353F" w:rsidRDefault="00C1353F">
      <w:pPr>
        <w:jc w:val="center"/>
        <w:rPr>
          <w:rFonts w:cs="Arial"/>
          <w:sz w:val="32"/>
          <w:szCs w:val="32"/>
        </w:rPr>
      </w:pPr>
    </w:p>
    <w:p w14:paraId="5A310A50" w14:textId="1DF5F264" w:rsidR="001A6E52" w:rsidRPr="00C1353F" w:rsidRDefault="00281488">
      <w:pPr>
        <w:jc w:val="center"/>
        <w:rPr>
          <w:rFonts w:cs="Arial"/>
          <w:sz w:val="32"/>
          <w:szCs w:val="32"/>
        </w:rPr>
      </w:pPr>
      <w:r w:rsidRPr="00C1353F">
        <w:rPr>
          <w:rFonts w:cs="Arial"/>
          <w:sz w:val="32"/>
          <w:szCs w:val="32"/>
        </w:rPr>
        <w:t>Module Title: Understanding and Engaging Stakeholders</w:t>
      </w:r>
    </w:p>
    <w:p w14:paraId="2665923B" w14:textId="77777777" w:rsidR="001A6E52" w:rsidRPr="00C1353F" w:rsidRDefault="00281488">
      <w:pPr>
        <w:jc w:val="center"/>
        <w:rPr>
          <w:rFonts w:cs="Arial"/>
          <w:sz w:val="32"/>
          <w:szCs w:val="32"/>
        </w:rPr>
      </w:pPr>
      <w:r w:rsidRPr="00C1353F">
        <w:rPr>
          <w:rFonts w:cs="Arial"/>
          <w:sz w:val="32"/>
          <w:szCs w:val="32"/>
        </w:rPr>
        <w:t>Module Code: LCLM 5001</w:t>
      </w:r>
    </w:p>
    <w:p w14:paraId="21A79BE1" w14:textId="77777777" w:rsidR="001A6E52" w:rsidRPr="00C1353F" w:rsidRDefault="00281488">
      <w:pPr>
        <w:jc w:val="center"/>
        <w:rPr>
          <w:rFonts w:cs="Arial"/>
          <w:sz w:val="32"/>
          <w:szCs w:val="32"/>
        </w:rPr>
      </w:pPr>
      <w:r w:rsidRPr="00C1353F">
        <w:rPr>
          <w:rFonts w:cs="Arial"/>
          <w:sz w:val="32"/>
          <w:szCs w:val="32"/>
        </w:rPr>
        <w:t>Assessment: Component 1</w:t>
      </w:r>
    </w:p>
    <w:p w14:paraId="31C3F4A6" w14:textId="77777777" w:rsidR="001A6E52" w:rsidRPr="00C1353F" w:rsidRDefault="00281488">
      <w:pPr>
        <w:jc w:val="center"/>
        <w:rPr>
          <w:rFonts w:cs="Arial"/>
          <w:sz w:val="32"/>
          <w:szCs w:val="32"/>
          <w:lang w:val="pt-BR"/>
        </w:rPr>
      </w:pPr>
      <w:proofErr w:type="spellStart"/>
      <w:r w:rsidRPr="00C1353F">
        <w:rPr>
          <w:rFonts w:cs="Arial"/>
          <w:sz w:val="32"/>
          <w:szCs w:val="32"/>
          <w:lang w:val="pt-BR"/>
        </w:rPr>
        <w:t>Student</w:t>
      </w:r>
      <w:proofErr w:type="spellEnd"/>
      <w:r w:rsidRPr="00C1353F">
        <w:rPr>
          <w:rFonts w:cs="Arial"/>
          <w:sz w:val="32"/>
          <w:szCs w:val="32"/>
          <w:lang w:val="pt-BR"/>
        </w:rPr>
        <w:t xml:space="preserve"> </w:t>
      </w:r>
      <w:proofErr w:type="spellStart"/>
      <w:r w:rsidRPr="00C1353F">
        <w:rPr>
          <w:rFonts w:cs="Arial"/>
          <w:sz w:val="32"/>
          <w:szCs w:val="32"/>
          <w:lang w:val="pt-BR"/>
        </w:rPr>
        <w:t>Name</w:t>
      </w:r>
      <w:proofErr w:type="spellEnd"/>
      <w:r w:rsidRPr="00C1353F">
        <w:rPr>
          <w:rFonts w:cs="Arial"/>
          <w:sz w:val="32"/>
          <w:szCs w:val="32"/>
          <w:lang w:val="pt-BR"/>
        </w:rPr>
        <w:t>: Luciana de Lara Franco</w:t>
      </w:r>
    </w:p>
    <w:p w14:paraId="458D4F02" w14:textId="77777777" w:rsidR="001A6E52" w:rsidRPr="00C1353F" w:rsidRDefault="00281488">
      <w:pPr>
        <w:jc w:val="center"/>
        <w:rPr>
          <w:rFonts w:cs="Arial"/>
          <w:sz w:val="32"/>
          <w:szCs w:val="32"/>
        </w:rPr>
      </w:pPr>
      <w:r w:rsidRPr="00C1353F">
        <w:rPr>
          <w:rFonts w:cs="Arial"/>
          <w:sz w:val="32"/>
          <w:szCs w:val="32"/>
        </w:rPr>
        <w:t>Student Number: 2431984</w:t>
      </w:r>
    </w:p>
    <w:p w14:paraId="591CDD3C" w14:textId="77777777" w:rsidR="001A6E52" w:rsidRPr="00C1353F" w:rsidRDefault="00281488">
      <w:pPr>
        <w:jc w:val="center"/>
        <w:rPr>
          <w:rFonts w:cs="Arial"/>
          <w:sz w:val="32"/>
          <w:szCs w:val="32"/>
        </w:rPr>
      </w:pPr>
      <w:r w:rsidRPr="00C1353F">
        <w:rPr>
          <w:rFonts w:cs="Arial"/>
          <w:sz w:val="32"/>
          <w:szCs w:val="32"/>
        </w:rPr>
        <w:t>Lecturer’s Name: Aso Abdullah</w:t>
      </w:r>
    </w:p>
    <w:p w14:paraId="43603B03" w14:textId="77777777" w:rsidR="001A6E52" w:rsidRPr="00A51736" w:rsidRDefault="00281488">
      <w:pPr>
        <w:rPr>
          <w:rFonts w:cs="Arial"/>
        </w:rPr>
      </w:pPr>
      <w:r w:rsidRPr="00A51736">
        <w:rPr>
          <w:rFonts w:cs="Arial"/>
        </w:rPr>
        <w:br w:type="page"/>
      </w:r>
    </w:p>
    <w:p w14:paraId="1B13304B" w14:textId="77777777" w:rsidR="00D62C48" w:rsidRDefault="00D62C48">
      <w:pPr>
        <w:rPr>
          <w:rFonts w:cs="Arial"/>
        </w:rPr>
      </w:pPr>
    </w:p>
    <w:p w14:paraId="3C26B473" w14:textId="77777777" w:rsidR="00D62C48" w:rsidRDefault="00D62C48">
      <w:pPr>
        <w:rPr>
          <w:rFonts w:cs="Arial"/>
        </w:rPr>
      </w:pPr>
    </w:p>
    <w:sdt>
      <w:sdtPr>
        <w:id w:val="-1440371816"/>
        <w:docPartObj>
          <w:docPartGallery w:val="Table of Contents"/>
          <w:docPartUnique/>
        </w:docPartObj>
      </w:sdtPr>
      <w:sdtEndPr>
        <w:rPr>
          <w:rFonts w:ascii="Arial" w:eastAsiaTheme="minorEastAsia" w:hAnsi="Arial" w:cstheme="minorBidi"/>
          <w:noProof/>
          <w:color w:val="auto"/>
          <w:sz w:val="22"/>
          <w:szCs w:val="22"/>
        </w:rPr>
      </w:sdtEndPr>
      <w:sdtContent>
        <w:p w14:paraId="36297DB3" w14:textId="7CE76B79" w:rsidR="00A24F10" w:rsidRDefault="00A24F10">
          <w:pPr>
            <w:pStyle w:val="TOCHeading"/>
          </w:pPr>
          <w:r>
            <w:t>Contents</w:t>
          </w:r>
        </w:p>
        <w:p w14:paraId="1F19A413" w14:textId="47E2B06A" w:rsidR="00A24F10" w:rsidRDefault="00A24F10">
          <w:pPr>
            <w:pStyle w:val="TOC1"/>
            <w:tabs>
              <w:tab w:val="right" w:leader="dot" w:pos="8630"/>
            </w:tabs>
            <w:rPr>
              <w:rFonts w:asciiTheme="minorHAnsi" w:hAnsiTheme="minorHAnsi"/>
              <w:noProof/>
              <w:kern w:val="2"/>
              <w:sz w:val="24"/>
              <w:szCs w:val="24"/>
              <w14:ligatures w14:val="standardContextual"/>
            </w:rPr>
          </w:pPr>
          <w:r>
            <w:fldChar w:fldCharType="begin"/>
          </w:r>
          <w:r>
            <w:instrText xml:space="preserve"> TOC \o "1-3" \h \z \u </w:instrText>
          </w:r>
          <w:r>
            <w:fldChar w:fldCharType="separate"/>
          </w:r>
          <w:hyperlink w:anchor="_Toc235200893" w:history="1">
            <w:r w:rsidRPr="004220F5">
              <w:rPr>
                <w:rStyle w:val="Hyperlink"/>
                <w:rFonts w:cs="Arial"/>
                <w:noProof/>
              </w:rPr>
              <w:t>Executive Summary</w:t>
            </w:r>
            <w:r>
              <w:rPr>
                <w:noProof/>
                <w:webHidden/>
              </w:rPr>
              <w:tab/>
            </w:r>
            <w:r>
              <w:rPr>
                <w:noProof/>
                <w:webHidden/>
              </w:rPr>
              <w:fldChar w:fldCharType="begin"/>
            </w:r>
            <w:r>
              <w:rPr>
                <w:noProof/>
                <w:webHidden/>
              </w:rPr>
              <w:instrText xml:space="preserve"> PAGEREF _Toc235200893 \h </w:instrText>
            </w:r>
            <w:r>
              <w:rPr>
                <w:noProof/>
                <w:webHidden/>
              </w:rPr>
            </w:r>
            <w:r>
              <w:rPr>
                <w:noProof/>
                <w:webHidden/>
              </w:rPr>
              <w:fldChar w:fldCharType="separate"/>
            </w:r>
            <w:r>
              <w:rPr>
                <w:noProof/>
                <w:webHidden/>
              </w:rPr>
              <w:t>3</w:t>
            </w:r>
            <w:r>
              <w:rPr>
                <w:noProof/>
                <w:webHidden/>
              </w:rPr>
              <w:fldChar w:fldCharType="end"/>
            </w:r>
          </w:hyperlink>
        </w:p>
        <w:p w14:paraId="35B81D4F" w14:textId="5416F2BF" w:rsidR="00A24F10" w:rsidRDefault="00A24F10">
          <w:pPr>
            <w:pStyle w:val="TOC1"/>
            <w:tabs>
              <w:tab w:val="right" w:leader="dot" w:pos="8630"/>
            </w:tabs>
            <w:rPr>
              <w:rFonts w:asciiTheme="minorHAnsi" w:hAnsiTheme="minorHAnsi"/>
              <w:noProof/>
              <w:kern w:val="2"/>
              <w:sz w:val="24"/>
              <w:szCs w:val="24"/>
              <w14:ligatures w14:val="standardContextual"/>
            </w:rPr>
          </w:pPr>
          <w:hyperlink w:anchor="_Toc235200894" w:history="1">
            <w:r w:rsidRPr="004220F5">
              <w:rPr>
                <w:rStyle w:val="Hyperlink"/>
                <w:rFonts w:cs="Arial"/>
                <w:noProof/>
              </w:rPr>
              <w:t>1. Introduction</w:t>
            </w:r>
            <w:r>
              <w:rPr>
                <w:noProof/>
                <w:webHidden/>
              </w:rPr>
              <w:tab/>
            </w:r>
            <w:r>
              <w:rPr>
                <w:noProof/>
                <w:webHidden/>
              </w:rPr>
              <w:fldChar w:fldCharType="begin"/>
            </w:r>
            <w:r>
              <w:rPr>
                <w:noProof/>
                <w:webHidden/>
              </w:rPr>
              <w:instrText xml:space="preserve"> PAGEREF _Toc235200894 \h </w:instrText>
            </w:r>
            <w:r>
              <w:rPr>
                <w:noProof/>
                <w:webHidden/>
              </w:rPr>
            </w:r>
            <w:r>
              <w:rPr>
                <w:noProof/>
                <w:webHidden/>
              </w:rPr>
              <w:fldChar w:fldCharType="separate"/>
            </w:r>
            <w:r>
              <w:rPr>
                <w:noProof/>
                <w:webHidden/>
              </w:rPr>
              <w:t>4</w:t>
            </w:r>
            <w:r>
              <w:rPr>
                <w:noProof/>
                <w:webHidden/>
              </w:rPr>
              <w:fldChar w:fldCharType="end"/>
            </w:r>
          </w:hyperlink>
        </w:p>
        <w:p w14:paraId="73492036" w14:textId="27236A3A" w:rsidR="00A24F10" w:rsidRDefault="00A24F10">
          <w:pPr>
            <w:pStyle w:val="TOC1"/>
            <w:tabs>
              <w:tab w:val="right" w:leader="dot" w:pos="8630"/>
            </w:tabs>
            <w:rPr>
              <w:rFonts w:asciiTheme="minorHAnsi" w:hAnsiTheme="minorHAnsi"/>
              <w:noProof/>
              <w:kern w:val="2"/>
              <w:sz w:val="24"/>
              <w:szCs w:val="24"/>
              <w14:ligatures w14:val="standardContextual"/>
            </w:rPr>
          </w:pPr>
          <w:hyperlink w:anchor="_Toc235200895" w:history="1">
            <w:r w:rsidRPr="004220F5">
              <w:rPr>
                <w:rStyle w:val="Hyperlink"/>
                <w:rFonts w:cs="Arial"/>
                <w:noProof/>
              </w:rPr>
              <w:t>2. SMART Objectives</w:t>
            </w:r>
            <w:r>
              <w:rPr>
                <w:noProof/>
                <w:webHidden/>
              </w:rPr>
              <w:tab/>
            </w:r>
            <w:r>
              <w:rPr>
                <w:noProof/>
                <w:webHidden/>
              </w:rPr>
              <w:fldChar w:fldCharType="begin"/>
            </w:r>
            <w:r>
              <w:rPr>
                <w:noProof/>
                <w:webHidden/>
              </w:rPr>
              <w:instrText xml:space="preserve"> PAGEREF _Toc235200895 \h </w:instrText>
            </w:r>
            <w:r>
              <w:rPr>
                <w:noProof/>
                <w:webHidden/>
              </w:rPr>
            </w:r>
            <w:r>
              <w:rPr>
                <w:noProof/>
                <w:webHidden/>
              </w:rPr>
              <w:fldChar w:fldCharType="separate"/>
            </w:r>
            <w:r>
              <w:rPr>
                <w:noProof/>
                <w:webHidden/>
              </w:rPr>
              <w:t>5</w:t>
            </w:r>
            <w:r>
              <w:rPr>
                <w:noProof/>
                <w:webHidden/>
              </w:rPr>
              <w:fldChar w:fldCharType="end"/>
            </w:r>
          </w:hyperlink>
        </w:p>
        <w:p w14:paraId="5765A084" w14:textId="155F1411" w:rsidR="00A24F10" w:rsidRDefault="00A24F10">
          <w:pPr>
            <w:pStyle w:val="TOC1"/>
            <w:tabs>
              <w:tab w:val="right" w:leader="dot" w:pos="8630"/>
            </w:tabs>
            <w:rPr>
              <w:rFonts w:asciiTheme="minorHAnsi" w:hAnsiTheme="minorHAnsi"/>
              <w:noProof/>
              <w:kern w:val="2"/>
              <w:sz w:val="24"/>
              <w:szCs w:val="24"/>
              <w14:ligatures w14:val="standardContextual"/>
            </w:rPr>
          </w:pPr>
          <w:hyperlink w:anchor="_Toc235200896" w:history="1">
            <w:r w:rsidRPr="004220F5">
              <w:rPr>
                <w:rStyle w:val="Hyperlink"/>
                <w:rFonts w:cs="Arial"/>
                <w:noProof/>
              </w:rPr>
              <w:t>3. Stakeholder Identification and Analysis</w:t>
            </w:r>
            <w:r>
              <w:rPr>
                <w:noProof/>
                <w:webHidden/>
              </w:rPr>
              <w:tab/>
            </w:r>
            <w:r>
              <w:rPr>
                <w:noProof/>
                <w:webHidden/>
              </w:rPr>
              <w:fldChar w:fldCharType="begin"/>
            </w:r>
            <w:r>
              <w:rPr>
                <w:noProof/>
                <w:webHidden/>
              </w:rPr>
              <w:instrText xml:space="preserve"> PAGEREF _Toc235200896 \h </w:instrText>
            </w:r>
            <w:r>
              <w:rPr>
                <w:noProof/>
                <w:webHidden/>
              </w:rPr>
            </w:r>
            <w:r>
              <w:rPr>
                <w:noProof/>
                <w:webHidden/>
              </w:rPr>
              <w:fldChar w:fldCharType="separate"/>
            </w:r>
            <w:r>
              <w:rPr>
                <w:noProof/>
                <w:webHidden/>
              </w:rPr>
              <w:t>5</w:t>
            </w:r>
            <w:r>
              <w:rPr>
                <w:noProof/>
                <w:webHidden/>
              </w:rPr>
              <w:fldChar w:fldCharType="end"/>
            </w:r>
          </w:hyperlink>
        </w:p>
        <w:p w14:paraId="70CBCD2E" w14:textId="1C00C67A" w:rsidR="00A24F10" w:rsidRDefault="00A24F10">
          <w:pPr>
            <w:pStyle w:val="TOC2"/>
            <w:tabs>
              <w:tab w:val="right" w:leader="dot" w:pos="8630"/>
            </w:tabs>
            <w:rPr>
              <w:rFonts w:asciiTheme="minorHAnsi" w:hAnsiTheme="minorHAnsi"/>
              <w:noProof/>
              <w:kern w:val="2"/>
              <w:sz w:val="24"/>
              <w:szCs w:val="24"/>
              <w14:ligatures w14:val="standardContextual"/>
            </w:rPr>
          </w:pPr>
          <w:hyperlink w:anchor="_Toc235200897" w:history="1">
            <w:r w:rsidRPr="004220F5">
              <w:rPr>
                <w:rStyle w:val="Hyperlink"/>
                <w:rFonts w:cs="Arial"/>
                <w:noProof/>
              </w:rPr>
              <w:t>3.1 Primary Internal Stakeholders</w:t>
            </w:r>
            <w:r>
              <w:rPr>
                <w:noProof/>
                <w:webHidden/>
              </w:rPr>
              <w:tab/>
            </w:r>
            <w:r>
              <w:rPr>
                <w:noProof/>
                <w:webHidden/>
              </w:rPr>
              <w:fldChar w:fldCharType="begin"/>
            </w:r>
            <w:r>
              <w:rPr>
                <w:noProof/>
                <w:webHidden/>
              </w:rPr>
              <w:instrText xml:space="preserve"> PAGEREF _Toc235200897 \h </w:instrText>
            </w:r>
            <w:r>
              <w:rPr>
                <w:noProof/>
                <w:webHidden/>
              </w:rPr>
            </w:r>
            <w:r>
              <w:rPr>
                <w:noProof/>
                <w:webHidden/>
              </w:rPr>
              <w:fldChar w:fldCharType="separate"/>
            </w:r>
            <w:r>
              <w:rPr>
                <w:noProof/>
                <w:webHidden/>
              </w:rPr>
              <w:t>6</w:t>
            </w:r>
            <w:r>
              <w:rPr>
                <w:noProof/>
                <w:webHidden/>
              </w:rPr>
              <w:fldChar w:fldCharType="end"/>
            </w:r>
          </w:hyperlink>
        </w:p>
        <w:p w14:paraId="558B46C2" w14:textId="57BD05AD" w:rsidR="00A24F10" w:rsidRDefault="00A24F10">
          <w:pPr>
            <w:pStyle w:val="TOC2"/>
            <w:tabs>
              <w:tab w:val="right" w:leader="dot" w:pos="8630"/>
            </w:tabs>
            <w:rPr>
              <w:rFonts w:asciiTheme="minorHAnsi" w:hAnsiTheme="minorHAnsi"/>
              <w:noProof/>
              <w:kern w:val="2"/>
              <w:sz w:val="24"/>
              <w:szCs w:val="24"/>
              <w14:ligatures w14:val="standardContextual"/>
            </w:rPr>
          </w:pPr>
          <w:hyperlink w:anchor="_Toc235200898" w:history="1">
            <w:r w:rsidRPr="004220F5">
              <w:rPr>
                <w:rStyle w:val="Hyperlink"/>
                <w:rFonts w:cs="Arial"/>
                <w:noProof/>
              </w:rPr>
              <w:t>3.2 Primary External Stakeholders</w:t>
            </w:r>
            <w:r>
              <w:rPr>
                <w:noProof/>
                <w:webHidden/>
              </w:rPr>
              <w:tab/>
            </w:r>
            <w:r>
              <w:rPr>
                <w:noProof/>
                <w:webHidden/>
              </w:rPr>
              <w:fldChar w:fldCharType="begin"/>
            </w:r>
            <w:r>
              <w:rPr>
                <w:noProof/>
                <w:webHidden/>
              </w:rPr>
              <w:instrText xml:space="preserve"> PAGEREF _Toc235200898 \h </w:instrText>
            </w:r>
            <w:r>
              <w:rPr>
                <w:noProof/>
                <w:webHidden/>
              </w:rPr>
            </w:r>
            <w:r>
              <w:rPr>
                <w:noProof/>
                <w:webHidden/>
              </w:rPr>
              <w:fldChar w:fldCharType="separate"/>
            </w:r>
            <w:r>
              <w:rPr>
                <w:noProof/>
                <w:webHidden/>
              </w:rPr>
              <w:t>7</w:t>
            </w:r>
            <w:r>
              <w:rPr>
                <w:noProof/>
                <w:webHidden/>
              </w:rPr>
              <w:fldChar w:fldCharType="end"/>
            </w:r>
          </w:hyperlink>
        </w:p>
        <w:p w14:paraId="5B2673CA" w14:textId="6716B173" w:rsidR="00A24F10" w:rsidRDefault="00A24F10">
          <w:pPr>
            <w:pStyle w:val="TOC2"/>
            <w:tabs>
              <w:tab w:val="right" w:leader="dot" w:pos="8630"/>
            </w:tabs>
            <w:rPr>
              <w:rFonts w:asciiTheme="minorHAnsi" w:hAnsiTheme="minorHAnsi"/>
              <w:noProof/>
              <w:kern w:val="2"/>
              <w:sz w:val="24"/>
              <w:szCs w:val="24"/>
              <w14:ligatures w14:val="standardContextual"/>
            </w:rPr>
          </w:pPr>
          <w:hyperlink w:anchor="_Toc235200899" w:history="1">
            <w:r w:rsidRPr="004220F5">
              <w:rPr>
                <w:rStyle w:val="Hyperlink"/>
                <w:rFonts w:cs="Arial"/>
                <w:noProof/>
              </w:rPr>
              <w:t>3.3 Stakeholder Analysis Framework</w:t>
            </w:r>
            <w:r>
              <w:rPr>
                <w:noProof/>
                <w:webHidden/>
              </w:rPr>
              <w:tab/>
            </w:r>
            <w:r>
              <w:rPr>
                <w:noProof/>
                <w:webHidden/>
              </w:rPr>
              <w:fldChar w:fldCharType="begin"/>
            </w:r>
            <w:r>
              <w:rPr>
                <w:noProof/>
                <w:webHidden/>
              </w:rPr>
              <w:instrText xml:space="preserve"> PAGEREF _Toc235200899 \h </w:instrText>
            </w:r>
            <w:r>
              <w:rPr>
                <w:noProof/>
                <w:webHidden/>
              </w:rPr>
            </w:r>
            <w:r>
              <w:rPr>
                <w:noProof/>
                <w:webHidden/>
              </w:rPr>
              <w:fldChar w:fldCharType="separate"/>
            </w:r>
            <w:r>
              <w:rPr>
                <w:noProof/>
                <w:webHidden/>
              </w:rPr>
              <w:t>7</w:t>
            </w:r>
            <w:r>
              <w:rPr>
                <w:noProof/>
                <w:webHidden/>
              </w:rPr>
              <w:fldChar w:fldCharType="end"/>
            </w:r>
          </w:hyperlink>
        </w:p>
        <w:p w14:paraId="6D34FB20" w14:textId="2F267C9F" w:rsidR="00A24F10" w:rsidRDefault="00A24F10">
          <w:pPr>
            <w:pStyle w:val="TOC1"/>
            <w:tabs>
              <w:tab w:val="right" w:leader="dot" w:pos="8630"/>
            </w:tabs>
            <w:rPr>
              <w:rFonts w:asciiTheme="minorHAnsi" w:hAnsiTheme="minorHAnsi"/>
              <w:noProof/>
              <w:kern w:val="2"/>
              <w:sz w:val="24"/>
              <w:szCs w:val="24"/>
              <w14:ligatures w14:val="standardContextual"/>
            </w:rPr>
          </w:pPr>
          <w:hyperlink w:anchor="_Toc235200900" w:history="1">
            <w:r w:rsidRPr="004220F5">
              <w:rPr>
                <w:rStyle w:val="Hyperlink"/>
                <w:rFonts w:cs="Arial"/>
                <w:noProof/>
              </w:rPr>
              <w:t>4. Stakeholder Roles and Communication</w:t>
            </w:r>
            <w:r>
              <w:rPr>
                <w:noProof/>
                <w:webHidden/>
              </w:rPr>
              <w:tab/>
            </w:r>
            <w:r>
              <w:rPr>
                <w:noProof/>
                <w:webHidden/>
              </w:rPr>
              <w:fldChar w:fldCharType="begin"/>
            </w:r>
            <w:r>
              <w:rPr>
                <w:noProof/>
                <w:webHidden/>
              </w:rPr>
              <w:instrText xml:space="preserve"> PAGEREF _Toc235200900 \h </w:instrText>
            </w:r>
            <w:r>
              <w:rPr>
                <w:noProof/>
                <w:webHidden/>
              </w:rPr>
            </w:r>
            <w:r>
              <w:rPr>
                <w:noProof/>
                <w:webHidden/>
              </w:rPr>
              <w:fldChar w:fldCharType="separate"/>
            </w:r>
            <w:r>
              <w:rPr>
                <w:noProof/>
                <w:webHidden/>
              </w:rPr>
              <w:t>9</w:t>
            </w:r>
            <w:r>
              <w:rPr>
                <w:noProof/>
                <w:webHidden/>
              </w:rPr>
              <w:fldChar w:fldCharType="end"/>
            </w:r>
          </w:hyperlink>
        </w:p>
        <w:p w14:paraId="2492E64D" w14:textId="58394509" w:rsidR="00A24F10" w:rsidRDefault="00A24F10">
          <w:pPr>
            <w:pStyle w:val="TOC1"/>
            <w:tabs>
              <w:tab w:val="right" w:leader="dot" w:pos="8630"/>
            </w:tabs>
            <w:rPr>
              <w:rFonts w:asciiTheme="minorHAnsi" w:hAnsiTheme="minorHAnsi"/>
              <w:noProof/>
              <w:kern w:val="2"/>
              <w:sz w:val="24"/>
              <w:szCs w:val="24"/>
              <w14:ligatures w14:val="standardContextual"/>
            </w:rPr>
          </w:pPr>
          <w:hyperlink w:anchor="_Toc235200901" w:history="1">
            <w:r w:rsidRPr="004220F5">
              <w:rPr>
                <w:rStyle w:val="Hyperlink"/>
                <w:rFonts w:cs="Arial"/>
                <w:noProof/>
              </w:rPr>
              <w:t>5. Stakeholder Engagement Process and Conflict Management</w:t>
            </w:r>
            <w:r>
              <w:rPr>
                <w:noProof/>
                <w:webHidden/>
              </w:rPr>
              <w:tab/>
            </w:r>
            <w:r>
              <w:rPr>
                <w:noProof/>
                <w:webHidden/>
              </w:rPr>
              <w:fldChar w:fldCharType="begin"/>
            </w:r>
            <w:r>
              <w:rPr>
                <w:noProof/>
                <w:webHidden/>
              </w:rPr>
              <w:instrText xml:space="preserve"> PAGEREF _Toc235200901 \h </w:instrText>
            </w:r>
            <w:r>
              <w:rPr>
                <w:noProof/>
                <w:webHidden/>
              </w:rPr>
            </w:r>
            <w:r>
              <w:rPr>
                <w:noProof/>
                <w:webHidden/>
              </w:rPr>
              <w:fldChar w:fldCharType="separate"/>
            </w:r>
            <w:r>
              <w:rPr>
                <w:noProof/>
                <w:webHidden/>
              </w:rPr>
              <w:t>10</w:t>
            </w:r>
            <w:r>
              <w:rPr>
                <w:noProof/>
                <w:webHidden/>
              </w:rPr>
              <w:fldChar w:fldCharType="end"/>
            </w:r>
          </w:hyperlink>
        </w:p>
        <w:p w14:paraId="3299CC33" w14:textId="140128D8" w:rsidR="00A24F10" w:rsidRDefault="00A24F10">
          <w:pPr>
            <w:pStyle w:val="TOC2"/>
            <w:tabs>
              <w:tab w:val="right" w:leader="dot" w:pos="8630"/>
            </w:tabs>
            <w:rPr>
              <w:rFonts w:asciiTheme="minorHAnsi" w:hAnsiTheme="minorHAnsi"/>
              <w:noProof/>
              <w:kern w:val="2"/>
              <w:sz w:val="24"/>
              <w:szCs w:val="24"/>
              <w14:ligatures w14:val="standardContextual"/>
            </w:rPr>
          </w:pPr>
          <w:hyperlink w:anchor="_Toc235200902" w:history="1">
            <w:r w:rsidRPr="004220F5">
              <w:rPr>
                <w:rStyle w:val="Hyperlink"/>
                <w:rFonts w:cs="Arial"/>
                <w:noProof/>
              </w:rPr>
              <w:t>5.1 Monitoring and Continuous Stakeholder Engagement</w:t>
            </w:r>
            <w:r>
              <w:rPr>
                <w:noProof/>
                <w:webHidden/>
              </w:rPr>
              <w:tab/>
            </w:r>
            <w:r>
              <w:rPr>
                <w:noProof/>
                <w:webHidden/>
              </w:rPr>
              <w:fldChar w:fldCharType="begin"/>
            </w:r>
            <w:r>
              <w:rPr>
                <w:noProof/>
                <w:webHidden/>
              </w:rPr>
              <w:instrText xml:space="preserve"> PAGEREF _Toc235200902 \h </w:instrText>
            </w:r>
            <w:r>
              <w:rPr>
                <w:noProof/>
                <w:webHidden/>
              </w:rPr>
            </w:r>
            <w:r>
              <w:rPr>
                <w:noProof/>
                <w:webHidden/>
              </w:rPr>
              <w:fldChar w:fldCharType="separate"/>
            </w:r>
            <w:r>
              <w:rPr>
                <w:noProof/>
                <w:webHidden/>
              </w:rPr>
              <w:t>11</w:t>
            </w:r>
            <w:r>
              <w:rPr>
                <w:noProof/>
                <w:webHidden/>
              </w:rPr>
              <w:fldChar w:fldCharType="end"/>
            </w:r>
          </w:hyperlink>
        </w:p>
        <w:p w14:paraId="513B8B28" w14:textId="158EC7AC" w:rsidR="00A24F10" w:rsidRDefault="00A24F10">
          <w:pPr>
            <w:pStyle w:val="TOC1"/>
            <w:tabs>
              <w:tab w:val="right" w:leader="dot" w:pos="8630"/>
            </w:tabs>
            <w:rPr>
              <w:rFonts w:asciiTheme="minorHAnsi" w:hAnsiTheme="minorHAnsi"/>
              <w:noProof/>
              <w:kern w:val="2"/>
              <w:sz w:val="24"/>
              <w:szCs w:val="24"/>
              <w14:ligatures w14:val="standardContextual"/>
            </w:rPr>
          </w:pPr>
          <w:hyperlink w:anchor="_Toc235200903" w:history="1">
            <w:r w:rsidRPr="004220F5">
              <w:rPr>
                <w:rStyle w:val="Hyperlink"/>
                <w:rFonts w:cs="Arial"/>
                <w:noProof/>
              </w:rPr>
              <w:t>6. Impact of Sustainable Stakeholder Engagement on Business Performance</w:t>
            </w:r>
            <w:r>
              <w:rPr>
                <w:noProof/>
                <w:webHidden/>
              </w:rPr>
              <w:tab/>
            </w:r>
            <w:r>
              <w:rPr>
                <w:noProof/>
                <w:webHidden/>
              </w:rPr>
              <w:fldChar w:fldCharType="begin"/>
            </w:r>
            <w:r>
              <w:rPr>
                <w:noProof/>
                <w:webHidden/>
              </w:rPr>
              <w:instrText xml:space="preserve"> PAGEREF _Toc235200903 \h </w:instrText>
            </w:r>
            <w:r>
              <w:rPr>
                <w:noProof/>
                <w:webHidden/>
              </w:rPr>
            </w:r>
            <w:r>
              <w:rPr>
                <w:noProof/>
                <w:webHidden/>
              </w:rPr>
              <w:fldChar w:fldCharType="separate"/>
            </w:r>
            <w:r>
              <w:rPr>
                <w:noProof/>
                <w:webHidden/>
              </w:rPr>
              <w:t>13</w:t>
            </w:r>
            <w:r>
              <w:rPr>
                <w:noProof/>
                <w:webHidden/>
              </w:rPr>
              <w:fldChar w:fldCharType="end"/>
            </w:r>
          </w:hyperlink>
        </w:p>
        <w:p w14:paraId="74565412" w14:textId="7D0FE412" w:rsidR="00A24F10" w:rsidRDefault="00A24F10">
          <w:pPr>
            <w:pStyle w:val="TOC2"/>
            <w:tabs>
              <w:tab w:val="right" w:leader="dot" w:pos="8630"/>
            </w:tabs>
            <w:rPr>
              <w:rFonts w:asciiTheme="minorHAnsi" w:hAnsiTheme="minorHAnsi"/>
              <w:noProof/>
              <w:kern w:val="2"/>
              <w:sz w:val="24"/>
              <w:szCs w:val="24"/>
              <w14:ligatures w14:val="standardContextual"/>
            </w:rPr>
          </w:pPr>
          <w:hyperlink w:anchor="_Toc235200904" w:history="1">
            <w:r w:rsidRPr="004220F5">
              <w:rPr>
                <w:rStyle w:val="Hyperlink"/>
                <w:rFonts w:cs="Arial"/>
                <w:noProof/>
              </w:rPr>
              <w:t>6.1 Long-Term Strategic Value of Stakeholder Engagement</w:t>
            </w:r>
            <w:r>
              <w:rPr>
                <w:noProof/>
                <w:webHidden/>
              </w:rPr>
              <w:tab/>
            </w:r>
            <w:r>
              <w:rPr>
                <w:noProof/>
                <w:webHidden/>
              </w:rPr>
              <w:fldChar w:fldCharType="begin"/>
            </w:r>
            <w:r>
              <w:rPr>
                <w:noProof/>
                <w:webHidden/>
              </w:rPr>
              <w:instrText xml:space="preserve"> PAGEREF _Toc235200904 \h </w:instrText>
            </w:r>
            <w:r>
              <w:rPr>
                <w:noProof/>
                <w:webHidden/>
              </w:rPr>
            </w:r>
            <w:r>
              <w:rPr>
                <w:noProof/>
                <w:webHidden/>
              </w:rPr>
              <w:fldChar w:fldCharType="separate"/>
            </w:r>
            <w:r>
              <w:rPr>
                <w:noProof/>
                <w:webHidden/>
              </w:rPr>
              <w:t>14</w:t>
            </w:r>
            <w:r>
              <w:rPr>
                <w:noProof/>
                <w:webHidden/>
              </w:rPr>
              <w:fldChar w:fldCharType="end"/>
            </w:r>
          </w:hyperlink>
        </w:p>
        <w:p w14:paraId="2EE42EE0" w14:textId="4C36C2DB" w:rsidR="00A24F10" w:rsidRDefault="00A24F10">
          <w:pPr>
            <w:pStyle w:val="TOC1"/>
            <w:tabs>
              <w:tab w:val="right" w:leader="dot" w:pos="8630"/>
            </w:tabs>
            <w:rPr>
              <w:rFonts w:asciiTheme="minorHAnsi" w:hAnsiTheme="minorHAnsi"/>
              <w:noProof/>
              <w:kern w:val="2"/>
              <w:sz w:val="24"/>
              <w:szCs w:val="24"/>
              <w14:ligatures w14:val="standardContextual"/>
            </w:rPr>
          </w:pPr>
          <w:hyperlink w:anchor="_Toc235200905" w:history="1">
            <w:r w:rsidRPr="004220F5">
              <w:rPr>
                <w:rStyle w:val="Hyperlink"/>
                <w:rFonts w:cs="Arial"/>
                <w:noProof/>
              </w:rPr>
              <w:t>7. Recommendations and Conclusion</w:t>
            </w:r>
            <w:r>
              <w:rPr>
                <w:noProof/>
                <w:webHidden/>
              </w:rPr>
              <w:tab/>
            </w:r>
            <w:r>
              <w:rPr>
                <w:noProof/>
                <w:webHidden/>
              </w:rPr>
              <w:fldChar w:fldCharType="begin"/>
            </w:r>
            <w:r>
              <w:rPr>
                <w:noProof/>
                <w:webHidden/>
              </w:rPr>
              <w:instrText xml:space="preserve"> PAGEREF _Toc235200905 \h </w:instrText>
            </w:r>
            <w:r>
              <w:rPr>
                <w:noProof/>
                <w:webHidden/>
              </w:rPr>
            </w:r>
            <w:r>
              <w:rPr>
                <w:noProof/>
                <w:webHidden/>
              </w:rPr>
              <w:fldChar w:fldCharType="separate"/>
            </w:r>
            <w:r>
              <w:rPr>
                <w:noProof/>
                <w:webHidden/>
              </w:rPr>
              <w:t>15</w:t>
            </w:r>
            <w:r>
              <w:rPr>
                <w:noProof/>
                <w:webHidden/>
              </w:rPr>
              <w:fldChar w:fldCharType="end"/>
            </w:r>
          </w:hyperlink>
        </w:p>
        <w:p w14:paraId="02E7166E" w14:textId="47754763" w:rsidR="00A24F10" w:rsidRDefault="00A24F10">
          <w:pPr>
            <w:pStyle w:val="TOC2"/>
            <w:tabs>
              <w:tab w:val="right" w:leader="dot" w:pos="8630"/>
            </w:tabs>
            <w:rPr>
              <w:rFonts w:asciiTheme="minorHAnsi" w:hAnsiTheme="minorHAnsi"/>
              <w:noProof/>
              <w:kern w:val="2"/>
              <w:sz w:val="24"/>
              <w:szCs w:val="24"/>
              <w14:ligatures w14:val="standardContextual"/>
            </w:rPr>
          </w:pPr>
          <w:hyperlink w:anchor="_Toc235200906" w:history="1">
            <w:r w:rsidRPr="004220F5">
              <w:rPr>
                <w:rStyle w:val="Hyperlink"/>
                <w:rFonts w:cs="Arial"/>
                <w:noProof/>
              </w:rPr>
              <w:t>7.1 Recommendations</w:t>
            </w:r>
            <w:r>
              <w:rPr>
                <w:noProof/>
                <w:webHidden/>
              </w:rPr>
              <w:tab/>
            </w:r>
            <w:r>
              <w:rPr>
                <w:noProof/>
                <w:webHidden/>
              </w:rPr>
              <w:fldChar w:fldCharType="begin"/>
            </w:r>
            <w:r>
              <w:rPr>
                <w:noProof/>
                <w:webHidden/>
              </w:rPr>
              <w:instrText xml:space="preserve"> PAGEREF _Toc235200906 \h </w:instrText>
            </w:r>
            <w:r>
              <w:rPr>
                <w:noProof/>
                <w:webHidden/>
              </w:rPr>
            </w:r>
            <w:r>
              <w:rPr>
                <w:noProof/>
                <w:webHidden/>
              </w:rPr>
              <w:fldChar w:fldCharType="separate"/>
            </w:r>
            <w:r>
              <w:rPr>
                <w:noProof/>
                <w:webHidden/>
              </w:rPr>
              <w:t>15</w:t>
            </w:r>
            <w:r>
              <w:rPr>
                <w:noProof/>
                <w:webHidden/>
              </w:rPr>
              <w:fldChar w:fldCharType="end"/>
            </w:r>
          </w:hyperlink>
        </w:p>
        <w:p w14:paraId="76541F46" w14:textId="38948F71" w:rsidR="00A24F10" w:rsidRDefault="00A24F10">
          <w:pPr>
            <w:pStyle w:val="TOC2"/>
            <w:tabs>
              <w:tab w:val="right" w:leader="dot" w:pos="8630"/>
            </w:tabs>
            <w:rPr>
              <w:rFonts w:asciiTheme="minorHAnsi" w:hAnsiTheme="minorHAnsi"/>
              <w:noProof/>
              <w:kern w:val="2"/>
              <w:sz w:val="24"/>
              <w:szCs w:val="24"/>
              <w14:ligatures w14:val="standardContextual"/>
            </w:rPr>
          </w:pPr>
          <w:hyperlink w:anchor="_Toc235200907" w:history="1">
            <w:r w:rsidRPr="004220F5">
              <w:rPr>
                <w:rStyle w:val="Hyperlink"/>
                <w:rFonts w:cs="Arial"/>
                <w:noProof/>
              </w:rPr>
              <w:t>7.2 Conclusion</w:t>
            </w:r>
            <w:r>
              <w:rPr>
                <w:noProof/>
                <w:webHidden/>
              </w:rPr>
              <w:tab/>
            </w:r>
            <w:r>
              <w:rPr>
                <w:noProof/>
                <w:webHidden/>
              </w:rPr>
              <w:fldChar w:fldCharType="begin"/>
            </w:r>
            <w:r>
              <w:rPr>
                <w:noProof/>
                <w:webHidden/>
              </w:rPr>
              <w:instrText xml:space="preserve"> PAGEREF _Toc235200907 \h </w:instrText>
            </w:r>
            <w:r>
              <w:rPr>
                <w:noProof/>
                <w:webHidden/>
              </w:rPr>
            </w:r>
            <w:r>
              <w:rPr>
                <w:noProof/>
                <w:webHidden/>
              </w:rPr>
              <w:fldChar w:fldCharType="separate"/>
            </w:r>
            <w:r>
              <w:rPr>
                <w:noProof/>
                <w:webHidden/>
              </w:rPr>
              <w:t>16</w:t>
            </w:r>
            <w:r>
              <w:rPr>
                <w:noProof/>
                <w:webHidden/>
              </w:rPr>
              <w:fldChar w:fldCharType="end"/>
            </w:r>
          </w:hyperlink>
        </w:p>
        <w:p w14:paraId="1440ABCF" w14:textId="2A60FD17" w:rsidR="00A24F10" w:rsidRDefault="00A24F10">
          <w:pPr>
            <w:pStyle w:val="TOC1"/>
            <w:tabs>
              <w:tab w:val="right" w:leader="dot" w:pos="8630"/>
            </w:tabs>
            <w:rPr>
              <w:rFonts w:asciiTheme="minorHAnsi" w:hAnsiTheme="minorHAnsi"/>
              <w:noProof/>
              <w:kern w:val="2"/>
              <w:sz w:val="24"/>
              <w:szCs w:val="24"/>
              <w14:ligatures w14:val="standardContextual"/>
            </w:rPr>
          </w:pPr>
          <w:hyperlink w:anchor="_Toc235200908" w:history="1">
            <w:r w:rsidRPr="004220F5">
              <w:rPr>
                <w:rStyle w:val="Hyperlink"/>
                <w:rFonts w:cs="Arial"/>
                <w:noProof/>
              </w:rPr>
              <w:t>8. References</w:t>
            </w:r>
            <w:r>
              <w:rPr>
                <w:noProof/>
                <w:webHidden/>
              </w:rPr>
              <w:tab/>
            </w:r>
            <w:r>
              <w:rPr>
                <w:noProof/>
                <w:webHidden/>
              </w:rPr>
              <w:fldChar w:fldCharType="begin"/>
            </w:r>
            <w:r>
              <w:rPr>
                <w:noProof/>
                <w:webHidden/>
              </w:rPr>
              <w:instrText xml:space="preserve"> PAGEREF _Toc235200908 \h </w:instrText>
            </w:r>
            <w:r>
              <w:rPr>
                <w:noProof/>
                <w:webHidden/>
              </w:rPr>
            </w:r>
            <w:r>
              <w:rPr>
                <w:noProof/>
                <w:webHidden/>
              </w:rPr>
              <w:fldChar w:fldCharType="separate"/>
            </w:r>
            <w:r>
              <w:rPr>
                <w:noProof/>
                <w:webHidden/>
              </w:rPr>
              <w:t>18</w:t>
            </w:r>
            <w:r>
              <w:rPr>
                <w:noProof/>
                <w:webHidden/>
              </w:rPr>
              <w:fldChar w:fldCharType="end"/>
            </w:r>
          </w:hyperlink>
        </w:p>
        <w:p w14:paraId="70C80B60" w14:textId="65DA25C2" w:rsidR="00A24F10" w:rsidRDefault="00A24F10">
          <w:r>
            <w:rPr>
              <w:b/>
              <w:bCs/>
              <w:noProof/>
            </w:rPr>
            <w:fldChar w:fldCharType="end"/>
          </w:r>
        </w:p>
      </w:sdtContent>
    </w:sdt>
    <w:p w14:paraId="051B7836" w14:textId="77777777" w:rsidR="00D62C48" w:rsidRDefault="00D62C48">
      <w:pPr>
        <w:rPr>
          <w:rFonts w:cs="Arial"/>
        </w:rPr>
      </w:pPr>
    </w:p>
    <w:p w14:paraId="5C5C0532" w14:textId="77777777" w:rsidR="00D62C48" w:rsidRDefault="00D62C48">
      <w:pPr>
        <w:rPr>
          <w:rFonts w:cs="Arial"/>
        </w:rPr>
      </w:pPr>
    </w:p>
    <w:p w14:paraId="3AAC6B29" w14:textId="77777777" w:rsidR="001A6E52" w:rsidRPr="00A51736" w:rsidRDefault="00281488">
      <w:pPr>
        <w:rPr>
          <w:rFonts w:cs="Arial"/>
        </w:rPr>
      </w:pPr>
      <w:r w:rsidRPr="00A51736">
        <w:rPr>
          <w:rFonts w:cs="Arial"/>
        </w:rPr>
        <w:br w:type="page"/>
      </w:r>
    </w:p>
    <w:p w14:paraId="0397D772" w14:textId="77777777" w:rsidR="001A6E52" w:rsidRPr="00D41CBB" w:rsidRDefault="00281488" w:rsidP="006D2C8B">
      <w:pPr>
        <w:pStyle w:val="Heading1"/>
        <w:spacing w:line="360" w:lineRule="auto"/>
        <w:contextualSpacing/>
        <w:jc w:val="both"/>
        <w:rPr>
          <w:rFonts w:ascii="Arial" w:hAnsi="Arial" w:cs="Arial"/>
          <w:color w:val="0070C0"/>
        </w:rPr>
      </w:pPr>
      <w:bookmarkStart w:id="0" w:name="_Toc235200893"/>
      <w:r w:rsidRPr="00D41CBB">
        <w:rPr>
          <w:rFonts w:ascii="Arial" w:hAnsi="Arial" w:cs="Arial"/>
          <w:color w:val="0070C0"/>
        </w:rPr>
        <w:lastRenderedPageBreak/>
        <w:t>Executive Summary</w:t>
      </w:r>
      <w:bookmarkEnd w:id="0"/>
    </w:p>
    <w:p w14:paraId="7330D1D4" w14:textId="2BDDF8C5" w:rsidR="001A6E52" w:rsidRPr="006D2C8B" w:rsidRDefault="00281488" w:rsidP="006D2C8B">
      <w:pPr>
        <w:spacing w:line="360" w:lineRule="auto"/>
        <w:contextualSpacing/>
        <w:jc w:val="both"/>
        <w:rPr>
          <w:rFonts w:cs="Arial"/>
        </w:rPr>
      </w:pPr>
      <w:r w:rsidRPr="006D2C8B">
        <w:rPr>
          <w:rFonts w:cs="Arial"/>
        </w:rPr>
        <w:t xml:space="preserve">The </w:t>
      </w:r>
      <w:r w:rsidR="00591301" w:rsidRPr="006D2C8B">
        <w:rPr>
          <w:rFonts w:cs="Arial"/>
        </w:rPr>
        <w:t xml:space="preserve">Amazon </w:t>
      </w:r>
      <w:proofErr w:type="spellStart"/>
      <w:r w:rsidR="00591301" w:rsidRPr="006D2C8B">
        <w:rPr>
          <w:rFonts w:cs="Arial"/>
        </w:rPr>
        <w:t>ConnectPlus</w:t>
      </w:r>
      <w:proofErr w:type="spellEnd"/>
      <w:r w:rsidR="00591301" w:rsidRPr="006D2C8B">
        <w:rPr>
          <w:rFonts w:cs="Arial"/>
        </w:rPr>
        <w:t xml:space="preserve"> project</w:t>
      </w:r>
      <w:r w:rsidRPr="006D2C8B">
        <w:rPr>
          <w:rFonts w:cs="Arial"/>
        </w:rPr>
        <w:t xml:space="preserve"> represents a strategic initiative to launch an AI-powered customer loyalty and engagement platform across five major markets within eighteen months. This report provides a comprehensive stakeholder analysis and engagement strategy grounded in Freema</w:t>
      </w:r>
      <w:r w:rsidR="00A51736" w:rsidRPr="006D2C8B">
        <w:rPr>
          <w:rFonts w:cs="Arial"/>
        </w:rPr>
        <w:t>n’s</w:t>
      </w:r>
      <w:r w:rsidRPr="006D2C8B">
        <w:rPr>
          <w:rFonts w:cs="Arial"/>
        </w:rPr>
        <w:t xml:space="preserve"> Stakeholder Theory, examining the complex ecosystem of internal and external stakeholders whose interests must be managed for project success. The project is critical for Amazo</w:t>
      </w:r>
      <w:r w:rsidR="00A51736" w:rsidRPr="006D2C8B">
        <w:rPr>
          <w:rFonts w:cs="Arial"/>
        </w:rPr>
        <w:t>n’s</w:t>
      </w:r>
      <w:r w:rsidRPr="006D2C8B">
        <w:rPr>
          <w:rFonts w:cs="Arial"/>
        </w:rPr>
        <w:t xml:space="preserve"> competitive positioning in the increasingly competitive e-commerce market, where customer acquisition costs continue to rise and customer retention becomes increasingly important.</w:t>
      </w:r>
    </w:p>
    <w:p w14:paraId="32EEB2AB" w14:textId="3C67B2D9" w:rsidR="001A6E52" w:rsidRPr="006D2C8B" w:rsidRDefault="00281488" w:rsidP="006D2C8B">
      <w:pPr>
        <w:spacing w:line="360" w:lineRule="auto"/>
        <w:contextualSpacing/>
        <w:jc w:val="both"/>
        <w:rPr>
          <w:rFonts w:cs="Arial"/>
        </w:rPr>
      </w:pPr>
      <w:r w:rsidRPr="006D2C8B">
        <w:rPr>
          <w:rFonts w:cs="Arial"/>
        </w:rPr>
        <w:t xml:space="preserve">The analysis identifies six primary stakeholder categories: executive leadership, product development teams, marketing and sales departments, customers and end users, regulatory bodies, and technology partners. A critical finding is that stakeholder interests are fundamentally misaligned and asymmetrically distributed, creating inevitable tensions that require explicit management rather than consensus-seeking approaches. For example, executive leadership </w:t>
      </w:r>
      <w:proofErr w:type="spellStart"/>
      <w:r w:rsidRPr="006D2C8B">
        <w:rPr>
          <w:rFonts w:cs="Arial"/>
        </w:rPr>
        <w:t>prioritises</w:t>
      </w:r>
      <w:proofErr w:type="spellEnd"/>
      <w:r w:rsidRPr="006D2C8B">
        <w:rPr>
          <w:rFonts w:cs="Arial"/>
        </w:rPr>
        <w:t xml:space="preserve"> rapid market launch and financial returns, while regulatory bodies </w:t>
      </w:r>
      <w:proofErr w:type="spellStart"/>
      <w:r w:rsidR="00AB1EA3" w:rsidRPr="006D2C8B">
        <w:rPr>
          <w:rFonts w:cs="Arial"/>
        </w:rPr>
        <w:t>emphasise</w:t>
      </w:r>
      <w:proofErr w:type="spellEnd"/>
      <w:r w:rsidRPr="006D2C8B">
        <w:rPr>
          <w:rFonts w:cs="Arial"/>
        </w:rPr>
        <w:t xml:space="preserve"> data protection compliance and algorithmic fairness. These tensions cannot be eliminated but must be managed transparently.</w:t>
      </w:r>
    </w:p>
    <w:p w14:paraId="0A491F51" w14:textId="4C15CF17" w:rsidR="001A6E52" w:rsidRPr="006D2C8B" w:rsidRDefault="00281488" w:rsidP="006D2C8B">
      <w:pPr>
        <w:spacing w:line="360" w:lineRule="auto"/>
        <w:contextualSpacing/>
        <w:jc w:val="both"/>
        <w:rPr>
          <w:rFonts w:cs="Arial"/>
        </w:rPr>
      </w:pPr>
      <w:r w:rsidRPr="006D2C8B">
        <w:rPr>
          <w:rFonts w:cs="Arial"/>
        </w:rPr>
        <w:t xml:space="preserve">This report critically examines the importance of stakeholder engagement in ensuring the successful implementation of </w:t>
      </w:r>
      <w:proofErr w:type="spellStart"/>
      <w:r w:rsidRPr="006D2C8B">
        <w:rPr>
          <w:rFonts w:cs="Arial"/>
        </w:rPr>
        <w:t>ConnectPlus</w:t>
      </w:r>
      <w:proofErr w:type="spellEnd"/>
      <w:r w:rsidRPr="006D2C8B">
        <w:rPr>
          <w:rFonts w:cs="Arial"/>
        </w:rPr>
        <w:t>. Drawing upon Freema</w:t>
      </w:r>
      <w:r w:rsidR="00A51736" w:rsidRPr="006D2C8B">
        <w:rPr>
          <w:rFonts w:cs="Arial"/>
        </w:rPr>
        <w:t>n’s</w:t>
      </w:r>
      <w:r w:rsidRPr="006D2C8B">
        <w:rPr>
          <w:rFonts w:cs="Arial"/>
        </w:rPr>
        <w:t xml:space="preserve"> Stakeholder Theory, the Mendelow Power–Interest Matrix, the Mitchell, Agle and Wood (1997) Salience Model, the 4Cs Model, and the RACI Matrix, the report identifies and analyses the project</w:t>
      </w:r>
      <w:r w:rsidR="00FF5ABB" w:rsidRPr="006D2C8B">
        <w:rPr>
          <w:rFonts w:cs="Arial"/>
        </w:rPr>
        <w:t>’</w:t>
      </w:r>
      <w:r w:rsidRPr="006D2C8B">
        <w:rPr>
          <w:rFonts w:cs="Arial"/>
        </w:rPr>
        <w:t>s key stakeholders, evaluates their influence and expectations, and proposes appropriate engagement strategies. Furthermore, the report examines the benefits and challenges of stakeholder engagement and concludes with practical recommendations to support successful project implementation and long-term organisational performance.</w:t>
      </w:r>
    </w:p>
    <w:p w14:paraId="32432E0F" w14:textId="77777777" w:rsidR="001A6E52" w:rsidRPr="006D2C8B" w:rsidRDefault="00281488" w:rsidP="006D2C8B">
      <w:pPr>
        <w:spacing w:line="360" w:lineRule="auto"/>
        <w:contextualSpacing/>
        <w:jc w:val="both"/>
        <w:rPr>
          <w:rFonts w:cs="Arial"/>
        </w:rPr>
      </w:pPr>
      <w:r w:rsidRPr="006D2C8B">
        <w:rPr>
          <w:rFonts w:cs="Arial"/>
        </w:rPr>
        <w:br w:type="page"/>
      </w:r>
    </w:p>
    <w:p w14:paraId="564AC1CD" w14:textId="77777777" w:rsidR="001A6E52" w:rsidRPr="00D41CBB" w:rsidRDefault="00281488" w:rsidP="006D2C8B">
      <w:pPr>
        <w:pStyle w:val="Heading1"/>
        <w:spacing w:line="360" w:lineRule="auto"/>
        <w:contextualSpacing/>
        <w:jc w:val="both"/>
        <w:rPr>
          <w:rFonts w:ascii="Arial" w:hAnsi="Arial" w:cs="Arial"/>
          <w:color w:val="0070C0"/>
        </w:rPr>
      </w:pPr>
      <w:bookmarkStart w:id="1" w:name="_Toc235200894"/>
      <w:r w:rsidRPr="00D41CBB">
        <w:rPr>
          <w:rFonts w:ascii="Arial" w:hAnsi="Arial" w:cs="Arial"/>
          <w:color w:val="0070C0"/>
        </w:rPr>
        <w:lastRenderedPageBreak/>
        <w:t>1. Introduction</w:t>
      </w:r>
      <w:bookmarkEnd w:id="1"/>
    </w:p>
    <w:p w14:paraId="0CF9B2D6" w14:textId="25E973EE" w:rsidR="001A6E52" w:rsidRPr="006D2C8B" w:rsidRDefault="00281488" w:rsidP="006D2C8B">
      <w:pPr>
        <w:spacing w:line="360" w:lineRule="auto"/>
        <w:contextualSpacing/>
        <w:jc w:val="both"/>
        <w:rPr>
          <w:rFonts w:cs="Arial"/>
        </w:rPr>
      </w:pPr>
      <w:r w:rsidRPr="006D2C8B">
        <w:rPr>
          <w:rFonts w:cs="Arial"/>
        </w:rPr>
        <w:t>Amazon is one of the world</w:t>
      </w:r>
      <w:r w:rsidR="00FF5ABB" w:rsidRPr="006D2C8B">
        <w:rPr>
          <w:rFonts w:cs="Arial"/>
        </w:rPr>
        <w:t>’</w:t>
      </w:r>
      <w:r w:rsidRPr="006D2C8B">
        <w:rPr>
          <w:rFonts w:cs="Arial"/>
        </w:rPr>
        <w:t xml:space="preserve">s leading e-commerce and technology companies, continuously investing in innovation to enhance customer experience, operational efficiency, and market competitiveness. In line with this commitment, the company is preparing to launch </w:t>
      </w:r>
      <w:proofErr w:type="spellStart"/>
      <w:r w:rsidRPr="006D2C8B">
        <w:rPr>
          <w:rFonts w:cs="Arial"/>
        </w:rPr>
        <w:t>ConnectPlus</w:t>
      </w:r>
      <w:proofErr w:type="spellEnd"/>
      <w:r w:rsidRPr="006D2C8B">
        <w:rPr>
          <w:rFonts w:cs="Arial"/>
        </w:rPr>
        <w:t xml:space="preserve">, an AI-powered customer loyalty and engagement platform designed to strengthen customer relationships and </w:t>
      </w:r>
      <w:proofErr w:type="spellStart"/>
      <w:r w:rsidRPr="006D2C8B">
        <w:rPr>
          <w:rFonts w:cs="Arial"/>
        </w:rPr>
        <w:t>optimise</w:t>
      </w:r>
      <w:proofErr w:type="spellEnd"/>
      <w:r w:rsidRPr="006D2C8B">
        <w:rPr>
          <w:rFonts w:cs="Arial"/>
        </w:rPr>
        <w:t xml:space="preserve"> interactions across domestic and international markets. The platform represents a strategic investment in customer retention and lifetime customer value, responding to increasing competition within the global e-commerce sector. The successful implementation of this initiative requires not only technological innovation but also effective stakeholder engagement throughout the project lifecycle.</w:t>
      </w:r>
    </w:p>
    <w:p w14:paraId="624E7BA7" w14:textId="77777777" w:rsidR="001A6E52" w:rsidRPr="006D2C8B" w:rsidRDefault="00281488" w:rsidP="006D2C8B">
      <w:pPr>
        <w:spacing w:line="360" w:lineRule="auto"/>
        <w:contextualSpacing/>
        <w:jc w:val="both"/>
        <w:rPr>
          <w:rFonts w:cs="Arial"/>
        </w:rPr>
      </w:pPr>
      <w:proofErr w:type="spellStart"/>
      <w:r w:rsidRPr="006D2C8B">
        <w:rPr>
          <w:rFonts w:cs="Arial"/>
        </w:rPr>
        <w:t>ConnectPlus</w:t>
      </w:r>
      <w:proofErr w:type="spellEnd"/>
      <w:r w:rsidRPr="006D2C8B">
        <w:rPr>
          <w:rFonts w:cs="Arial"/>
        </w:rPr>
        <w:t xml:space="preserve"> will provide several key features intended to improve customer engagement and competitive advantage. These include </w:t>
      </w:r>
      <w:proofErr w:type="spellStart"/>
      <w:r w:rsidRPr="006D2C8B">
        <w:rPr>
          <w:rFonts w:cs="Arial"/>
        </w:rPr>
        <w:t>personalised</w:t>
      </w:r>
      <w:proofErr w:type="spellEnd"/>
      <w:r w:rsidRPr="006D2C8B">
        <w:rPr>
          <w:rFonts w:cs="Arial"/>
        </w:rPr>
        <w:t xml:space="preserve"> product recommendations based on machine learning algorithms, digital reward programmes, customer data analytics to generate valuable business insights, and </w:t>
      </w:r>
      <w:proofErr w:type="gramStart"/>
      <w:r w:rsidRPr="006D2C8B">
        <w:rPr>
          <w:rFonts w:cs="Arial"/>
        </w:rPr>
        <w:t>an enhanced</w:t>
      </w:r>
      <w:proofErr w:type="gramEnd"/>
      <w:r w:rsidRPr="006D2C8B">
        <w:rPr>
          <w:rFonts w:cs="Arial"/>
        </w:rPr>
        <w:t xml:space="preserve"> user experience through intelligent and responsive digital interfaces. Together, these features are expected to improve customer satisfaction, encourage repeat purchases, and strengthen long-term customer loyalty.</w:t>
      </w:r>
    </w:p>
    <w:p w14:paraId="77EAB38B" w14:textId="0742079B" w:rsidR="001A6E52" w:rsidRPr="006D2C8B" w:rsidRDefault="00281488" w:rsidP="006D2C8B">
      <w:pPr>
        <w:spacing w:line="360" w:lineRule="auto"/>
        <w:contextualSpacing/>
        <w:jc w:val="both"/>
        <w:rPr>
          <w:rFonts w:cs="Arial"/>
        </w:rPr>
      </w:pPr>
      <w:r w:rsidRPr="006D2C8B">
        <w:rPr>
          <w:rFonts w:cs="Arial"/>
        </w:rPr>
        <w:t xml:space="preserve">The successful implementation of </w:t>
      </w:r>
      <w:proofErr w:type="spellStart"/>
      <w:r w:rsidRPr="006D2C8B">
        <w:rPr>
          <w:rFonts w:cs="Arial"/>
        </w:rPr>
        <w:t>ConnectPlus</w:t>
      </w:r>
      <w:proofErr w:type="spellEnd"/>
      <w:r w:rsidRPr="006D2C8B">
        <w:rPr>
          <w:rFonts w:cs="Arial"/>
        </w:rPr>
        <w:t xml:space="preserve"> depends on the effective engagement of both internal and external stakeholders. Large-scale digital transformation projects frequently experience delays, increased costs, or implementation failure when stakeholder expectations are not effectively managed. This report is underpinned by Freema</w:t>
      </w:r>
      <w:r w:rsidR="00A51736" w:rsidRPr="006D2C8B">
        <w:rPr>
          <w:rFonts w:cs="Arial"/>
        </w:rPr>
        <w:t>n’s</w:t>
      </w:r>
      <w:r w:rsidRPr="006D2C8B">
        <w:rPr>
          <w:rFonts w:cs="Arial"/>
        </w:rPr>
        <w:t xml:space="preserve"> (1984) Stakeholder Theory, which argues that organisations should consider the interests of all individuals and groups that can affect or be affected by organisational activities. This theoretical perspective provides the foundation for analysing stakeholder relationships and their contribution to project success.</w:t>
      </w:r>
    </w:p>
    <w:p w14:paraId="01F6E1B2" w14:textId="77777777" w:rsidR="001A6E52" w:rsidRPr="006D2C8B" w:rsidRDefault="00281488" w:rsidP="006D2C8B">
      <w:pPr>
        <w:spacing w:line="360" w:lineRule="auto"/>
        <w:contextualSpacing/>
        <w:jc w:val="both"/>
        <w:rPr>
          <w:rFonts w:cs="Arial"/>
        </w:rPr>
      </w:pPr>
      <w:r w:rsidRPr="006D2C8B">
        <w:rPr>
          <w:rFonts w:cs="Arial"/>
        </w:rPr>
        <w:t xml:space="preserve">To support this analysis, the report also applies the Mendelow Power–Interest Matrix (Mendelow, 1991) and the Stakeholder Salience Model developed by Mitchell, Agle and Wood (1997). These frameworks are used to identify, </w:t>
      </w:r>
      <w:proofErr w:type="spellStart"/>
      <w:r w:rsidRPr="006D2C8B">
        <w:rPr>
          <w:rFonts w:cs="Arial"/>
        </w:rPr>
        <w:t>prioritise</w:t>
      </w:r>
      <w:proofErr w:type="spellEnd"/>
      <w:r w:rsidRPr="006D2C8B">
        <w:rPr>
          <w:rFonts w:cs="Arial"/>
        </w:rPr>
        <w:t xml:space="preserve"> and evaluate stakeholders according to their influence, interests, legitimacy and urgency, enabling the development of appropriate stakeholder engagement strategies throughout the project lifecycle.</w:t>
      </w:r>
    </w:p>
    <w:p w14:paraId="773D296D" w14:textId="57C4161D" w:rsidR="001A6E52" w:rsidRPr="006D2C8B" w:rsidRDefault="00281488" w:rsidP="006D2C8B">
      <w:pPr>
        <w:spacing w:line="360" w:lineRule="auto"/>
        <w:contextualSpacing/>
        <w:jc w:val="both"/>
        <w:rPr>
          <w:rFonts w:cs="Arial"/>
        </w:rPr>
      </w:pPr>
      <w:r w:rsidRPr="006D2C8B">
        <w:rPr>
          <w:rFonts w:cs="Arial"/>
        </w:rPr>
        <w:t xml:space="preserve">Therefore, this report aims to identify and critically evaluate the key stakeholders involved in the </w:t>
      </w:r>
      <w:proofErr w:type="spellStart"/>
      <w:r w:rsidRPr="006D2C8B">
        <w:rPr>
          <w:rFonts w:cs="Arial"/>
        </w:rPr>
        <w:t>ConnectPlus</w:t>
      </w:r>
      <w:proofErr w:type="spellEnd"/>
      <w:r w:rsidRPr="006D2C8B">
        <w:rPr>
          <w:rFonts w:cs="Arial"/>
        </w:rPr>
        <w:t xml:space="preserve"> project, assess their roles, interests and influence, and recommend appropriate stakeholder engagement strategies. </w:t>
      </w:r>
      <w:r w:rsidR="00227D80" w:rsidRPr="006D2C8B">
        <w:rPr>
          <w:rFonts w:cs="Arial"/>
        </w:rPr>
        <w:t xml:space="preserve">Furthermore, the report examines the </w:t>
      </w:r>
      <w:r w:rsidR="00227D80" w:rsidRPr="006D2C8B">
        <w:rPr>
          <w:rFonts w:cs="Arial"/>
        </w:rPr>
        <w:lastRenderedPageBreak/>
        <w:t>benefits, challenges, and ethical considerations associated with implementing an AI-powered customer engagement platform, demonstrating how effective stakeholder engagement contributes to organisational performance, sustainable business growth and long-term competitive advantage.</w:t>
      </w:r>
    </w:p>
    <w:p w14:paraId="006B2A8C" w14:textId="31BA03D0" w:rsidR="001A6E52" w:rsidRPr="002B402C" w:rsidRDefault="00281488" w:rsidP="006D2C8B">
      <w:pPr>
        <w:pStyle w:val="Heading1"/>
        <w:spacing w:line="360" w:lineRule="auto"/>
        <w:contextualSpacing/>
        <w:jc w:val="both"/>
        <w:rPr>
          <w:rFonts w:ascii="Arial" w:hAnsi="Arial" w:cs="Arial"/>
          <w:color w:val="0070C0"/>
        </w:rPr>
      </w:pPr>
      <w:bookmarkStart w:id="2" w:name="_Toc235200895"/>
      <w:r w:rsidRPr="002B402C">
        <w:rPr>
          <w:rFonts w:ascii="Arial" w:hAnsi="Arial" w:cs="Arial"/>
          <w:color w:val="0070C0"/>
        </w:rPr>
        <w:t>2. SMART Objectives</w:t>
      </w:r>
      <w:bookmarkEnd w:id="2"/>
    </w:p>
    <w:p w14:paraId="2A4BEF4A" w14:textId="169487E9" w:rsidR="001A6E52" w:rsidRPr="006D2C8B" w:rsidRDefault="00281488" w:rsidP="006D2C8B">
      <w:pPr>
        <w:spacing w:line="360" w:lineRule="auto"/>
        <w:contextualSpacing/>
        <w:jc w:val="both"/>
        <w:rPr>
          <w:rFonts w:cs="Arial"/>
        </w:rPr>
      </w:pPr>
      <w:r w:rsidRPr="006D2C8B">
        <w:rPr>
          <w:rFonts w:cs="Arial"/>
        </w:rPr>
        <w:t>To ensure the project</w:t>
      </w:r>
      <w:r w:rsidR="00FF5ABB" w:rsidRPr="006D2C8B">
        <w:rPr>
          <w:rFonts w:cs="Arial"/>
        </w:rPr>
        <w:t>’</w:t>
      </w:r>
      <w:r w:rsidRPr="006D2C8B">
        <w:rPr>
          <w:rFonts w:cs="Arial"/>
        </w:rPr>
        <w:t xml:space="preserve">s success, the following SMART objectives have been defined for the </w:t>
      </w:r>
      <w:proofErr w:type="spellStart"/>
      <w:r w:rsidRPr="006D2C8B">
        <w:rPr>
          <w:rFonts w:cs="Arial"/>
        </w:rPr>
        <w:t>ConnectPlus</w:t>
      </w:r>
      <w:proofErr w:type="spellEnd"/>
      <w:r w:rsidRPr="006D2C8B">
        <w:rPr>
          <w:rFonts w:cs="Arial"/>
        </w:rPr>
        <w:t xml:space="preserve"> platform rollout:</w:t>
      </w:r>
    </w:p>
    <w:p w14:paraId="3E27A6BA" w14:textId="77777777" w:rsidR="001A6E52" w:rsidRPr="006D2C8B" w:rsidRDefault="00281488" w:rsidP="006D2C8B">
      <w:pPr>
        <w:spacing w:line="360" w:lineRule="auto"/>
        <w:contextualSpacing/>
        <w:jc w:val="both"/>
        <w:rPr>
          <w:rFonts w:cs="Arial"/>
        </w:rPr>
      </w:pPr>
      <w:r w:rsidRPr="006D2C8B">
        <w:rPr>
          <w:rFonts w:cs="Arial"/>
        </w:rPr>
        <w:t xml:space="preserve">Table 1. SMART Objectives for the </w:t>
      </w:r>
      <w:proofErr w:type="spellStart"/>
      <w:r w:rsidRPr="006D2C8B">
        <w:rPr>
          <w:rFonts w:cs="Arial"/>
        </w:rPr>
        <w:t>ConnectPlus</w:t>
      </w:r>
      <w:proofErr w:type="spellEnd"/>
      <w:r w:rsidRPr="006D2C8B">
        <w:rPr>
          <w:rFonts w:cs="Arial"/>
        </w:rPr>
        <w:t xml:space="preserve"> Platform Rollout</w:t>
      </w:r>
    </w:p>
    <w:tbl>
      <w:tblPr>
        <w:tblStyle w:val="TableGrid"/>
        <w:tblW w:w="0" w:type="auto"/>
        <w:tblLook w:val="04A0" w:firstRow="1" w:lastRow="0" w:firstColumn="1" w:lastColumn="0" w:noHBand="0" w:noVBand="1"/>
      </w:tblPr>
      <w:tblGrid>
        <w:gridCol w:w="4315"/>
        <w:gridCol w:w="4315"/>
      </w:tblGrid>
      <w:tr w:rsidR="001A6E52" w:rsidRPr="006D2C8B" w14:paraId="3E3445E5" w14:textId="77777777">
        <w:tc>
          <w:tcPr>
            <w:tcW w:w="4320" w:type="dxa"/>
          </w:tcPr>
          <w:p w14:paraId="1233FF6F" w14:textId="77777777" w:rsidR="001A6E52" w:rsidRPr="006D2C8B" w:rsidRDefault="00281488" w:rsidP="006D2C8B">
            <w:pPr>
              <w:spacing w:line="360" w:lineRule="auto"/>
              <w:contextualSpacing/>
              <w:jc w:val="center"/>
              <w:rPr>
                <w:rFonts w:cs="Arial"/>
                <w:b/>
                <w:bCs/>
              </w:rPr>
            </w:pPr>
            <w:r w:rsidRPr="006D2C8B">
              <w:rPr>
                <w:rFonts w:cs="Arial"/>
                <w:b/>
                <w:bCs/>
              </w:rPr>
              <w:t>SMART Element</w:t>
            </w:r>
          </w:p>
        </w:tc>
        <w:tc>
          <w:tcPr>
            <w:tcW w:w="4320" w:type="dxa"/>
          </w:tcPr>
          <w:p w14:paraId="6FDAF6A0" w14:textId="77777777" w:rsidR="001A6E52" w:rsidRPr="006D2C8B" w:rsidRDefault="00281488" w:rsidP="006D2C8B">
            <w:pPr>
              <w:spacing w:line="360" w:lineRule="auto"/>
              <w:contextualSpacing/>
              <w:jc w:val="center"/>
              <w:rPr>
                <w:rFonts w:cs="Arial"/>
                <w:b/>
                <w:bCs/>
              </w:rPr>
            </w:pPr>
            <w:r w:rsidRPr="006D2C8B">
              <w:rPr>
                <w:rFonts w:cs="Arial"/>
                <w:b/>
                <w:bCs/>
              </w:rPr>
              <w:t>Objective</w:t>
            </w:r>
          </w:p>
        </w:tc>
      </w:tr>
      <w:tr w:rsidR="001A6E52" w:rsidRPr="006D2C8B" w14:paraId="7261ED40" w14:textId="77777777">
        <w:tc>
          <w:tcPr>
            <w:tcW w:w="4320" w:type="dxa"/>
          </w:tcPr>
          <w:p w14:paraId="766A4013" w14:textId="77777777" w:rsidR="001A6E52" w:rsidRPr="006D2C8B" w:rsidRDefault="00281488" w:rsidP="006D2C8B">
            <w:pPr>
              <w:spacing w:line="360" w:lineRule="auto"/>
              <w:contextualSpacing/>
              <w:jc w:val="both"/>
              <w:rPr>
                <w:rFonts w:cs="Arial"/>
              </w:rPr>
            </w:pPr>
            <w:r w:rsidRPr="006D2C8B">
              <w:rPr>
                <w:rFonts w:cs="Arial"/>
              </w:rPr>
              <w:t>Specific</w:t>
            </w:r>
          </w:p>
        </w:tc>
        <w:tc>
          <w:tcPr>
            <w:tcW w:w="4320" w:type="dxa"/>
          </w:tcPr>
          <w:p w14:paraId="65290998" w14:textId="77777777" w:rsidR="001A6E52" w:rsidRPr="006D2C8B" w:rsidRDefault="00281488" w:rsidP="006D2C8B">
            <w:pPr>
              <w:spacing w:line="360" w:lineRule="auto"/>
              <w:contextualSpacing/>
              <w:jc w:val="both"/>
              <w:rPr>
                <w:rFonts w:cs="Arial"/>
              </w:rPr>
            </w:pPr>
            <w:r w:rsidRPr="006D2C8B">
              <w:rPr>
                <w:rFonts w:cs="Arial"/>
              </w:rPr>
              <w:t xml:space="preserve">Launch </w:t>
            </w:r>
            <w:proofErr w:type="spellStart"/>
            <w:r w:rsidRPr="006D2C8B">
              <w:rPr>
                <w:rFonts w:cs="Arial"/>
              </w:rPr>
              <w:t>ConnectPlus</w:t>
            </w:r>
            <w:proofErr w:type="spellEnd"/>
            <w:r w:rsidRPr="006D2C8B">
              <w:rPr>
                <w:rFonts w:cs="Arial"/>
              </w:rPr>
              <w:t xml:space="preserve"> in five major markets (UK, Germany, France, Japan, and USA) within 18 months.</w:t>
            </w:r>
          </w:p>
        </w:tc>
      </w:tr>
      <w:tr w:rsidR="001A6E52" w:rsidRPr="006D2C8B" w14:paraId="1CD3451A" w14:textId="77777777">
        <w:tc>
          <w:tcPr>
            <w:tcW w:w="4320" w:type="dxa"/>
          </w:tcPr>
          <w:p w14:paraId="31D792B5" w14:textId="77777777" w:rsidR="001A6E52" w:rsidRPr="006D2C8B" w:rsidRDefault="00281488" w:rsidP="006D2C8B">
            <w:pPr>
              <w:spacing w:line="360" w:lineRule="auto"/>
              <w:contextualSpacing/>
              <w:jc w:val="both"/>
              <w:rPr>
                <w:rFonts w:cs="Arial"/>
              </w:rPr>
            </w:pPr>
            <w:r w:rsidRPr="006D2C8B">
              <w:rPr>
                <w:rFonts w:cs="Arial"/>
              </w:rPr>
              <w:t>Measurable</w:t>
            </w:r>
          </w:p>
        </w:tc>
        <w:tc>
          <w:tcPr>
            <w:tcW w:w="4320" w:type="dxa"/>
          </w:tcPr>
          <w:p w14:paraId="3623F74E" w14:textId="77777777" w:rsidR="001A6E52" w:rsidRPr="006D2C8B" w:rsidRDefault="00281488" w:rsidP="006D2C8B">
            <w:pPr>
              <w:spacing w:line="360" w:lineRule="auto"/>
              <w:contextualSpacing/>
              <w:jc w:val="both"/>
              <w:rPr>
                <w:rFonts w:cs="Arial"/>
              </w:rPr>
            </w:pPr>
            <w:r w:rsidRPr="006D2C8B">
              <w:rPr>
                <w:rFonts w:cs="Arial"/>
              </w:rPr>
              <w:t>Achieve at least 70% customer engagement rate and increase customer retention by 40% within the first year of rollout.</w:t>
            </w:r>
          </w:p>
        </w:tc>
      </w:tr>
      <w:tr w:rsidR="001A6E52" w:rsidRPr="006D2C8B" w14:paraId="11236D48" w14:textId="77777777">
        <w:tc>
          <w:tcPr>
            <w:tcW w:w="4320" w:type="dxa"/>
          </w:tcPr>
          <w:p w14:paraId="700EC125" w14:textId="77777777" w:rsidR="001A6E52" w:rsidRPr="006D2C8B" w:rsidRDefault="00281488" w:rsidP="006D2C8B">
            <w:pPr>
              <w:spacing w:line="360" w:lineRule="auto"/>
              <w:contextualSpacing/>
              <w:jc w:val="both"/>
              <w:rPr>
                <w:rFonts w:cs="Arial"/>
              </w:rPr>
            </w:pPr>
            <w:r w:rsidRPr="006D2C8B">
              <w:rPr>
                <w:rFonts w:cs="Arial"/>
              </w:rPr>
              <w:t>Achievable</w:t>
            </w:r>
          </w:p>
        </w:tc>
        <w:tc>
          <w:tcPr>
            <w:tcW w:w="4320" w:type="dxa"/>
          </w:tcPr>
          <w:p w14:paraId="0114AC52" w14:textId="77777777" w:rsidR="001A6E52" w:rsidRPr="006D2C8B" w:rsidRDefault="00281488" w:rsidP="006D2C8B">
            <w:pPr>
              <w:spacing w:line="360" w:lineRule="auto"/>
              <w:contextualSpacing/>
              <w:jc w:val="both"/>
              <w:rPr>
                <w:rFonts w:cs="Arial"/>
              </w:rPr>
            </w:pPr>
            <w:r w:rsidRPr="006D2C8B">
              <w:rPr>
                <w:rFonts w:cs="Arial"/>
              </w:rPr>
              <w:t>Allocate sufficient AI specialists, marketing personnel, and customer service staff to support successful implementation.</w:t>
            </w:r>
          </w:p>
        </w:tc>
      </w:tr>
      <w:tr w:rsidR="001A6E52" w:rsidRPr="006D2C8B" w14:paraId="77AED5A2" w14:textId="77777777">
        <w:tc>
          <w:tcPr>
            <w:tcW w:w="4320" w:type="dxa"/>
          </w:tcPr>
          <w:p w14:paraId="17240C12" w14:textId="77777777" w:rsidR="001A6E52" w:rsidRPr="006D2C8B" w:rsidRDefault="00281488" w:rsidP="006D2C8B">
            <w:pPr>
              <w:spacing w:line="360" w:lineRule="auto"/>
              <w:contextualSpacing/>
              <w:jc w:val="both"/>
              <w:rPr>
                <w:rFonts w:cs="Arial"/>
              </w:rPr>
            </w:pPr>
            <w:r w:rsidRPr="006D2C8B">
              <w:rPr>
                <w:rFonts w:cs="Arial"/>
              </w:rPr>
              <w:t>Relevant</w:t>
            </w:r>
          </w:p>
        </w:tc>
        <w:tc>
          <w:tcPr>
            <w:tcW w:w="4320" w:type="dxa"/>
          </w:tcPr>
          <w:p w14:paraId="5CEFD442" w14:textId="07E5D732" w:rsidR="001A6E52" w:rsidRPr="006D2C8B" w:rsidRDefault="00281488" w:rsidP="006D2C8B">
            <w:pPr>
              <w:spacing w:line="360" w:lineRule="auto"/>
              <w:contextualSpacing/>
              <w:jc w:val="both"/>
              <w:rPr>
                <w:rFonts w:cs="Arial"/>
              </w:rPr>
            </w:pPr>
            <w:r w:rsidRPr="006D2C8B">
              <w:rPr>
                <w:rFonts w:cs="Arial"/>
              </w:rPr>
              <w:t xml:space="preserve">Strengthen customer loyalty and improve </w:t>
            </w:r>
            <w:r w:rsidR="002C647E" w:rsidRPr="006D2C8B">
              <w:rPr>
                <w:rFonts w:cs="Arial"/>
              </w:rPr>
              <w:t>Amazon’s</w:t>
            </w:r>
            <w:r w:rsidRPr="006D2C8B">
              <w:rPr>
                <w:rFonts w:cs="Arial"/>
              </w:rPr>
              <w:t xml:space="preserve"> competitive advantage by leveraging AI-driven </w:t>
            </w:r>
            <w:proofErr w:type="spellStart"/>
            <w:r w:rsidRPr="006D2C8B">
              <w:rPr>
                <w:rFonts w:cs="Arial"/>
              </w:rPr>
              <w:t>personalisation</w:t>
            </w:r>
            <w:proofErr w:type="spellEnd"/>
            <w:r w:rsidRPr="006D2C8B">
              <w:rPr>
                <w:rFonts w:cs="Arial"/>
              </w:rPr>
              <w:t>.</w:t>
            </w:r>
          </w:p>
        </w:tc>
      </w:tr>
      <w:tr w:rsidR="001A6E52" w:rsidRPr="006D2C8B" w14:paraId="307AF55F" w14:textId="77777777">
        <w:tc>
          <w:tcPr>
            <w:tcW w:w="4320" w:type="dxa"/>
          </w:tcPr>
          <w:p w14:paraId="09468E5B" w14:textId="77777777" w:rsidR="001A6E52" w:rsidRPr="006D2C8B" w:rsidRDefault="00281488" w:rsidP="006D2C8B">
            <w:pPr>
              <w:spacing w:line="360" w:lineRule="auto"/>
              <w:contextualSpacing/>
              <w:jc w:val="both"/>
              <w:rPr>
                <w:rFonts w:cs="Arial"/>
              </w:rPr>
            </w:pPr>
            <w:r w:rsidRPr="006D2C8B">
              <w:rPr>
                <w:rFonts w:cs="Arial"/>
              </w:rPr>
              <w:t>Time-bound</w:t>
            </w:r>
          </w:p>
        </w:tc>
        <w:tc>
          <w:tcPr>
            <w:tcW w:w="4320" w:type="dxa"/>
          </w:tcPr>
          <w:p w14:paraId="72CFFF1D" w14:textId="77777777" w:rsidR="001A6E52" w:rsidRPr="006D2C8B" w:rsidRDefault="00281488" w:rsidP="006D2C8B">
            <w:pPr>
              <w:spacing w:line="360" w:lineRule="auto"/>
              <w:contextualSpacing/>
              <w:jc w:val="both"/>
              <w:rPr>
                <w:rFonts w:cs="Arial"/>
              </w:rPr>
            </w:pPr>
            <w:r w:rsidRPr="006D2C8B">
              <w:rPr>
                <w:rFonts w:cs="Arial"/>
              </w:rPr>
              <w:t>Complete platform development by Month 12 and achieve full global rollout by Month 18.</w:t>
            </w:r>
          </w:p>
        </w:tc>
      </w:tr>
    </w:tbl>
    <w:p w14:paraId="7823FE79" w14:textId="77777777" w:rsidR="001A6E52" w:rsidRPr="006D2C8B" w:rsidRDefault="00281488" w:rsidP="006D2C8B">
      <w:pPr>
        <w:spacing w:line="360" w:lineRule="auto"/>
        <w:contextualSpacing/>
        <w:jc w:val="both"/>
        <w:rPr>
          <w:rFonts w:cs="Arial"/>
        </w:rPr>
      </w:pPr>
      <w:r w:rsidRPr="006D2C8B">
        <w:rPr>
          <w:rFonts w:cs="Arial"/>
        </w:rPr>
        <w:t>Source: Author (2026).</w:t>
      </w:r>
    </w:p>
    <w:p w14:paraId="17E6544E" w14:textId="77777777" w:rsidR="001A6E52" w:rsidRPr="002B402C" w:rsidRDefault="00281488" w:rsidP="006D2C8B">
      <w:pPr>
        <w:pStyle w:val="Heading1"/>
        <w:spacing w:line="360" w:lineRule="auto"/>
        <w:contextualSpacing/>
        <w:jc w:val="both"/>
        <w:rPr>
          <w:rFonts w:ascii="Arial" w:hAnsi="Arial" w:cs="Arial"/>
          <w:color w:val="0070C0"/>
        </w:rPr>
      </w:pPr>
      <w:bookmarkStart w:id="3" w:name="_Toc235200896"/>
      <w:r w:rsidRPr="002B402C">
        <w:rPr>
          <w:rFonts w:ascii="Arial" w:hAnsi="Arial" w:cs="Arial"/>
          <w:color w:val="0070C0"/>
        </w:rPr>
        <w:t>3. Stakeholder Identification and Analysis</w:t>
      </w:r>
      <w:bookmarkEnd w:id="3"/>
    </w:p>
    <w:p w14:paraId="7A3D00FC" w14:textId="795CB22F" w:rsidR="001A6E52" w:rsidRPr="006D2C8B" w:rsidRDefault="00281488" w:rsidP="006D2C8B">
      <w:pPr>
        <w:spacing w:line="360" w:lineRule="auto"/>
        <w:contextualSpacing/>
        <w:jc w:val="both"/>
        <w:rPr>
          <w:rFonts w:cs="Arial"/>
        </w:rPr>
      </w:pPr>
      <w:r w:rsidRPr="006D2C8B">
        <w:rPr>
          <w:rFonts w:cs="Arial"/>
        </w:rPr>
        <w:t xml:space="preserve">Stakeholder identification and analysis is a critical component of project management, particularly for large-scale initiatives such as the </w:t>
      </w:r>
      <w:proofErr w:type="spellStart"/>
      <w:r w:rsidRPr="006D2C8B">
        <w:rPr>
          <w:rFonts w:cs="Arial"/>
        </w:rPr>
        <w:t>ConnectPlus</w:t>
      </w:r>
      <w:proofErr w:type="spellEnd"/>
      <w:r w:rsidRPr="006D2C8B">
        <w:rPr>
          <w:rFonts w:cs="Arial"/>
        </w:rPr>
        <w:t xml:space="preserve"> platform launch. Freema</w:t>
      </w:r>
      <w:r w:rsidR="00A51736" w:rsidRPr="006D2C8B">
        <w:rPr>
          <w:rFonts w:cs="Arial"/>
        </w:rPr>
        <w:t>n’s</w:t>
      </w:r>
      <w:r w:rsidRPr="006D2C8B">
        <w:rPr>
          <w:rFonts w:cs="Arial"/>
        </w:rPr>
        <w:t xml:space="preserve"> Stakeholder Theory provides a robust framework for understanding the diverse groups whose interests must be considered for project success (Freeman, 1984).</w:t>
      </w:r>
    </w:p>
    <w:p w14:paraId="6CEF1F70" w14:textId="183A398E" w:rsidR="00FE4C7F" w:rsidRPr="006D2C8B" w:rsidRDefault="00FE4C7F" w:rsidP="006D2C8B">
      <w:pPr>
        <w:spacing w:line="360" w:lineRule="auto"/>
        <w:contextualSpacing/>
        <w:jc w:val="both"/>
        <w:rPr>
          <w:rFonts w:cs="Arial"/>
        </w:rPr>
      </w:pPr>
      <w:r w:rsidRPr="006D2C8B">
        <w:rPr>
          <w:rFonts w:cs="Arial"/>
        </w:rPr>
        <w:lastRenderedPageBreak/>
        <w:t xml:space="preserve">Effective stakeholder analysis goes beyond simply identifying who the stakeholders are. It requires </w:t>
      </w:r>
      <w:proofErr w:type="gramStart"/>
      <w:r w:rsidRPr="006D2C8B">
        <w:rPr>
          <w:rFonts w:cs="Arial"/>
        </w:rPr>
        <w:t>understanding</w:t>
      </w:r>
      <w:proofErr w:type="gramEnd"/>
      <w:r w:rsidRPr="006D2C8B">
        <w:rPr>
          <w:rFonts w:cs="Arial"/>
        </w:rPr>
        <w:t xml:space="preserve"> their level of influence, expectations, potential concerns and the extent to which they can affect the success or failure of the project. In the case of </w:t>
      </w:r>
      <w:proofErr w:type="spellStart"/>
      <w:r w:rsidRPr="006D2C8B">
        <w:rPr>
          <w:rFonts w:cs="Arial"/>
        </w:rPr>
        <w:t>ConnectPlus</w:t>
      </w:r>
      <w:proofErr w:type="spellEnd"/>
      <w:r w:rsidRPr="006D2C8B">
        <w:rPr>
          <w:rFonts w:cs="Arial"/>
        </w:rPr>
        <w:t xml:space="preserve">, stakeholder interests are not always aligned. While executive leadership is primarily concerned with achieving strategic objectives, financial performance and competitive advantage, customers expect transparency, data security and </w:t>
      </w:r>
      <w:proofErr w:type="spellStart"/>
      <w:r w:rsidRPr="006D2C8B">
        <w:rPr>
          <w:rFonts w:cs="Arial"/>
        </w:rPr>
        <w:t>personalised</w:t>
      </w:r>
      <w:proofErr w:type="spellEnd"/>
      <w:r w:rsidRPr="006D2C8B">
        <w:rPr>
          <w:rFonts w:cs="Arial"/>
        </w:rPr>
        <w:t xml:space="preserve"> services. Similarly, regulatory authorities </w:t>
      </w:r>
      <w:proofErr w:type="spellStart"/>
      <w:r w:rsidRPr="006D2C8B">
        <w:rPr>
          <w:rFonts w:cs="Arial"/>
        </w:rPr>
        <w:t>prioritise</w:t>
      </w:r>
      <w:proofErr w:type="spellEnd"/>
      <w:r w:rsidRPr="006D2C8B">
        <w:rPr>
          <w:rFonts w:cs="Arial"/>
        </w:rPr>
        <w:t xml:space="preserve"> legal compliance and ethical AI practices, which may occasionally slow down implementation. These competing priorities highlight the importance of balancing stakeholder expectations throughout the project lifecycle to </w:t>
      </w:r>
      <w:proofErr w:type="spellStart"/>
      <w:r w:rsidRPr="006D2C8B">
        <w:rPr>
          <w:rFonts w:cs="Arial"/>
        </w:rPr>
        <w:t>minimise</w:t>
      </w:r>
      <w:proofErr w:type="spellEnd"/>
      <w:r w:rsidRPr="006D2C8B">
        <w:rPr>
          <w:rFonts w:cs="Arial"/>
        </w:rPr>
        <w:t xml:space="preserve"> conflict and </w:t>
      </w:r>
      <w:proofErr w:type="spellStart"/>
      <w:r w:rsidRPr="006D2C8B">
        <w:rPr>
          <w:rFonts w:cs="Arial"/>
        </w:rPr>
        <w:t>maximise</w:t>
      </w:r>
      <w:proofErr w:type="spellEnd"/>
      <w:r w:rsidRPr="006D2C8B">
        <w:rPr>
          <w:rFonts w:cs="Arial"/>
        </w:rPr>
        <w:t xml:space="preserve"> long-term project success.</w:t>
      </w:r>
    </w:p>
    <w:p w14:paraId="115BBCC9" w14:textId="77777777" w:rsidR="001A6E52" w:rsidRPr="002B402C" w:rsidRDefault="00281488" w:rsidP="006D2C8B">
      <w:pPr>
        <w:pStyle w:val="Heading2"/>
        <w:spacing w:line="360" w:lineRule="auto"/>
        <w:contextualSpacing/>
        <w:jc w:val="both"/>
        <w:rPr>
          <w:rFonts w:ascii="Arial" w:hAnsi="Arial" w:cs="Arial"/>
          <w:color w:val="0070C0"/>
          <w:sz w:val="24"/>
          <w:szCs w:val="24"/>
        </w:rPr>
      </w:pPr>
      <w:bookmarkStart w:id="4" w:name="_Toc235200897"/>
      <w:r w:rsidRPr="002B402C">
        <w:rPr>
          <w:rFonts w:ascii="Arial" w:hAnsi="Arial" w:cs="Arial"/>
          <w:color w:val="0070C0"/>
          <w:sz w:val="24"/>
          <w:szCs w:val="24"/>
        </w:rPr>
        <w:t>3.1 Primary Internal Stakeholders</w:t>
      </w:r>
      <w:bookmarkEnd w:id="4"/>
    </w:p>
    <w:p w14:paraId="07661A9A" w14:textId="77777777" w:rsidR="001A6E52" w:rsidRPr="006D2C8B" w:rsidRDefault="00281488" w:rsidP="006D2C8B">
      <w:pPr>
        <w:spacing w:line="360" w:lineRule="auto"/>
        <w:contextualSpacing/>
        <w:jc w:val="both"/>
        <w:rPr>
          <w:rFonts w:cs="Arial"/>
        </w:rPr>
      </w:pPr>
      <w:r w:rsidRPr="006D2C8B">
        <w:rPr>
          <w:rFonts w:cs="Arial"/>
        </w:rPr>
        <w:t xml:space="preserve">Executive Leadership and Board of Directors: This group is primarily concerned with strategic alignment, financial returns, and competitive positioning. Their interest in </w:t>
      </w:r>
      <w:proofErr w:type="spellStart"/>
      <w:r w:rsidRPr="006D2C8B">
        <w:rPr>
          <w:rFonts w:cs="Arial"/>
        </w:rPr>
        <w:t>ConnectPlus</w:t>
      </w:r>
      <w:proofErr w:type="spellEnd"/>
      <w:r w:rsidRPr="006D2C8B">
        <w:rPr>
          <w:rFonts w:cs="Arial"/>
        </w:rPr>
        <w:t xml:space="preserve"> stems from its potential to generate revenue and establish Amazon as a leader in AI-driven engagement.</w:t>
      </w:r>
    </w:p>
    <w:p w14:paraId="73174688" w14:textId="77777777" w:rsidR="001A6E52" w:rsidRPr="006D2C8B" w:rsidRDefault="00281488" w:rsidP="006D2C8B">
      <w:pPr>
        <w:spacing w:line="360" w:lineRule="auto"/>
        <w:contextualSpacing/>
        <w:jc w:val="both"/>
        <w:rPr>
          <w:rFonts w:cs="Arial"/>
        </w:rPr>
      </w:pPr>
      <w:r w:rsidRPr="006D2C8B">
        <w:rPr>
          <w:rFonts w:cs="Arial"/>
        </w:rPr>
        <w:t>Product Development and Engineering Teams: Responsible for designing and maintaining the platform. They are invested in technical feasibility, innovation, and product quality.</w:t>
      </w:r>
    </w:p>
    <w:p w14:paraId="5EF9BF46" w14:textId="77777777" w:rsidR="001A6E52" w:rsidRPr="006D2C8B" w:rsidRDefault="00281488" w:rsidP="006D2C8B">
      <w:pPr>
        <w:spacing w:line="360" w:lineRule="auto"/>
        <w:contextualSpacing/>
        <w:jc w:val="both"/>
        <w:rPr>
          <w:rFonts w:cs="Arial"/>
        </w:rPr>
      </w:pPr>
      <w:r w:rsidRPr="006D2C8B">
        <w:rPr>
          <w:rFonts w:cs="Arial"/>
        </w:rPr>
        <w:t xml:space="preserve">Marketing and Sales Departments: Crucial for promoting </w:t>
      </w:r>
      <w:proofErr w:type="spellStart"/>
      <w:r w:rsidRPr="006D2C8B">
        <w:rPr>
          <w:rFonts w:cs="Arial"/>
        </w:rPr>
        <w:t>ConnectPlus</w:t>
      </w:r>
      <w:proofErr w:type="spellEnd"/>
      <w:r w:rsidRPr="006D2C8B">
        <w:rPr>
          <w:rFonts w:cs="Arial"/>
        </w:rPr>
        <w:t xml:space="preserve"> and driving customer adoption. They focus on market positioning and revenue generation.</w:t>
      </w:r>
    </w:p>
    <w:p w14:paraId="2E2BC19D" w14:textId="646A781D" w:rsidR="001A6E52" w:rsidRPr="006D2C8B" w:rsidRDefault="00B550DD" w:rsidP="006D2C8B">
      <w:pPr>
        <w:spacing w:line="360" w:lineRule="auto"/>
        <w:contextualSpacing/>
        <w:jc w:val="both"/>
        <w:rPr>
          <w:rFonts w:cs="Arial"/>
        </w:rPr>
      </w:pPr>
      <w:r w:rsidRPr="006D2C8B">
        <w:rPr>
          <w:rFonts w:cs="Arial"/>
        </w:rPr>
        <w:t>Human Resources and Organisational Development: Responsible for managing workforce requirements, training programmes, and organisational change management.</w:t>
      </w:r>
      <w:r w:rsidR="00281488" w:rsidRPr="006D2C8B">
        <w:rPr>
          <w:rFonts w:cs="Arial"/>
        </w:rPr>
        <w:t xml:space="preserve"> Their interests include employee engagement, skill development, and ensuring staff are prepared for the platform launch.</w:t>
      </w:r>
    </w:p>
    <w:p w14:paraId="668CAACE" w14:textId="5D426334" w:rsidR="008918E4" w:rsidRPr="006D2C8B" w:rsidRDefault="00773DC8" w:rsidP="006D2C8B">
      <w:pPr>
        <w:spacing w:line="360" w:lineRule="auto"/>
        <w:contextualSpacing/>
        <w:jc w:val="both"/>
        <w:rPr>
          <w:rFonts w:cs="Arial"/>
        </w:rPr>
      </w:pPr>
      <w:r w:rsidRPr="006D2C8B">
        <w:rPr>
          <w:rFonts w:cs="Arial"/>
        </w:rPr>
        <w:t>I</w:t>
      </w:r>
      <w:r w:rsidR="008918E4" w:rsidRPr="006D2C8B">
        <w:rPr>
          <w:rFonts w:cs="Arial"/>
        </w:rPr>
        <w:t xml:space="preserve">nternal stakeholders play a decisive role in determining whether the </w:t>
      </w:r>
      <w:proofErr w:type="spellStart"/>
      <w:r w:rsidR="008918E4" w:rsidRPr="006D2C8B">
        <w:rPr>
          <w:rFonts w:cs="Arial"/>
        </w:rPr>
        <w:t>ConnectPlus</w:t>
      </w:r>
      <w:proofErr w:type="spellEnd"/>
      <w:r w:rsidR="008918E4" w:rsidRPr="006D2C8B">
        <w:rPr>
          <w:rFonts w:cs="Arial"/>
        </w:rPr>
        <w:t xml:space="preserve"> project achieves its strategic objectives. Executive Leadership provides strategic direction and financial resources, while Product Development Teams transform business objectives into technological solutions. Marketing and Sales Departments are responsible for ensuring customer adoption and communicating the platform's value proposition, whereas Human Resources supports organisational readiness through training and </w:t>
      </w:r>
      <w:proofErr w:type="gramStart"/>
      <w:r w:rsidR="008918E4" w:rsidRPr="006D2C8B">
        <w:rPr>
          <w:rFonts w:cs="Arial"/>
        </w:rPr>
        <w:t>change</w:t>
      </w:r>
      <w:proofErr w:type="gramEnd"/>
      <w:r w:rsidR="008918E4" w:rsidRPr="006D2C8B">
        <w:rPr>
          <w:rFonts w:cs="Arial"/>
        </w:rPr>
        <w:t xml:space="preserve"> management initiatives. Failure to coordinate these internal stakeholders effectively could result in communication breakdowns, delays in implementation and resistance to organisational change.</w:t>
      </w:r>
    </w:p>
    <w:p w14:paraId="5FAF6E10" w14:textId="77777777" w:rsidR="001A6E52" w:rsidRPr="002B402C" w:rsidRDefault="00281488" w:rsidP="006D2C8B">
      <w:pPr>
        <w:pStyle w:val="Heading2"/>
        <w:spacing w:line="360" w:lineRule="auto"/>
        <w:contextualSpacing/>
        <w:jc w:val="both"/>
        <w:rPr>
          <w:rFonts w:ascii="Arial" w:hAnsi="Arial" w:cs="Arial"/>
          <w:color w:val="0070C0"/>
          <w:sz w:val="24"/>
          <w:szCs w:val="24"/>
        </w:rPr>
      </w:pPr>
      <w:bookmarkStart w:id="5" w:name="_Toc235200898"/>
      <w:r w:rsidRPr="002B402C">
        <w:rPr>
          <w:rFonts w:ascii="Arial" w:hAnsi="Arial" w:cs="Arial"/>
          <w:color w:val="0070C0"/>
          <w:sz w:val="24"/>
          <w:szCs w:val="24"/>
        </w:rPr>
        <w:lastRenderedPageBreak/>
        <w:t>3.2 Primary External Stakeholders</w:t>
      </w:r>
      <w:bookmarkEnd w:id="5"/>
    </w:p>
    <w:p w14:paraId="681E4755" w14:textId="282275ED" w:rsidR="001A6E52" w:rsidRPr="006D2C8B" w:rsidRDefault="00281488" w:rsidP="006D2C8B">
      <w:pPr>
        <w:spacing w:line="360" w:lineRule="auto"/>
        <w:contextualSpacing/>
        <w:jc w:val="both"/>
        <w:rPr>
          <w:rFonts w:cs="Arial"/>
        </w:rPr>
      </w:pPr>
      <w:r w:rsidRPr="006D2C8B">
        <w:rPr>
          <w:rFonts w:cs="Arial"/>
        </w:rPr>
        <w:t xml:space="preserve">Customers and End Users: The ultimate beneficiaries. </w:t>
      </w:r>
      <w:r w:rsidR="00B550DD" w:rsidRPr="006D2C8B">
        <w:rPr>
          <w:rFonts w:cs="Arial"/>
        </w:rPr>
        <w:t xml:space="preserve">Their interests </w:t>
      </w:r>
      <w:proofErr w:type="spellStart"/>
      <w:r w:rsidR="00B550DD" w:rsidRPr="006D2C8B">
        <w:rPr>
          <w:rFonts w:cs="Arial"/>
        </w:rPr>
        <w:t>centre</w:t>
      </w:r>
      <w:proofErr w:type="spellEnd"/>
      <w:r w:rsidR="00B550DD" w:rsidRPr="006D2C8B">
        <w:rPr>
          <w:rFonts w:cs="Arial"/>
        </w:rPr>
        <w:t xml:space="preserve"> on </w:t>
      </w:r>
      <w:proofErr w:type="spellStart"/>
      <w:r w:rsidR="00B550DD" w:rsidRPr="006D2C8B">
        <w:rPr>
          <w:rFonts w:cs="Arial"/>
        </w:rPr>
        <w:t>personalised</w:t>
      </w:r>
      <w:proofErr w:type="spellEnd"/>
      <w:r w:rsidR="00B550DD" w:rsidRPr="006D2C8B">
        <w:rPr>
          <w:rFonts w:cs="Arial"/>
        </w:rPr>
        <w:t xml:space="preserve"> experiences</w:t>
      </w:r>
      <w:r w:rsidRPr="006D2C8B">
        <w:rPr>
          <w:rFonts w:cs="Arial"/>
        </w:rPr>
        <w:t>, data privacy, and value for money.</w:t>
      </w:r>
    </w:p>
    <w:p w14:paraId="6CA37AD1" w14:textId="77777777" w:rsidR="001A6E52" w:rsidRPr="006D2C8B" w:rsidRDefault="00281488" w:rsidP="006D2C8B">
      <w:pPr>
        <w:spacing w:line="360" w:lineRule="auto"/>
        <w:contextualSpacing/>
        <w:jc w:val="both"/>
        <w:rPr>
          <w:rFonts w:cs="Arial"/>
        </w:rPr>
      </w:pPr>
      <w:r w:rsidRPr="006D2C8B">
        <w:rPr>
          <w:rFonts w:cs="Arial"/>
        </w:rPr>
        <w:t>Regulatory Bodies and Government Agencies: Oversee compliance with data protection laws (e.g., GDPR, CCPA). They require transparency regarding data handling and algorithmic fairness.</w:t>
      </w:r>
    </w:p>
    <w:p w14:paraId="56AB9631" w14:textId="77777777" w:rsidR="001A6E52" w:rsidRPr="006D2C8B" w:rsidRDefault="00281488" w:rsidP="006D2C8B">
      <w:pPr>
        <w:spacing w:line="360" w:lineRule="auto"/>
        <w:contextualSpacing/>
        <w:jc w:val="both"/>
        <w:rPr>
          <w:rFonts w:cs="Arial"/>
        </w:rPr>
      </w:pPr>
      <w:r w:rsidRPr="006D2C8B">
        <w:rPr>
          <w:rFonts w:cs="Arial"/>
        </w:rPr>
        <w:t>Technology Partners and Vendors: Provide essential infrastructure. They are interested in long-term business relationships and revenue opportunities.</w:t>
      </w:r>
    </w:p>
    <w:p w14:paraId="0FADAFCB" w14:textId="77777777" w:rsidR="001A6E52" w:rsidRPr="006D2C8B" w:rsidRDefault="00281488" w:rsidP="006D2C8B">
      <w:pPr>
        <w:spacing w:line="360" w:lineRule="auto"/>
        <w:contextualSpacing/>
        <w:jc w:val="both"/>
        <w:rPr>
          <w:rFonts w:cs="Arial"/>
        </w:rPr>
      </w:pPr>
      <w:r w:rsidRPr="006D2C8B">
        <w:rPr>
          <w:rFonts w:cs="Arial"/>
        </w:rPr>
        <w:t>Media and Public Opinion: Shape public perception and brand reputation. Their interests relate to corporate responsibility, innovation, ethical practices, and data privacy.</w:t>
      </w:r>
    </w:p>
    <w:p w14:paraId="51C62555" w14:textId="0D7D7F27" w:rsidR="00BF4B0F" w:rsidRPr="006D2C8B" w:rsidRDefault="00BF4B0F" w:rsidP="006D2C8B">
      <w:pPr>
        <w:spacing w:line="360" w:lineRule="auto"/>
        <w:contextualSpacing/>
        <w:jc w:val="both"/>
        <w:rPr>
          <w:rFonts w:cs="Arial"/>
        </w:rPr>
      </w:pPr>
      <w:r w:rsidRPr="006D2C8B">
        <w:rPr>
          <w:rFonts w:cs="Arial"/>
        </w:rPr>
        <w:t>External stakeholders are equally important because they directly influence public trust, legal compliance and long-term business sustainability. Customers determine the commercial success of the platform through adoption and continued engagement, while regulatory authorities ensure that Amazon complies with legislation such as the General Data Protection Regulation (GDPR) and other data protection requirements. Technology partners provide essential infrastructure and innovation capabilities, whereas the media significantly influences public perception of Amazon's ethical practices. Consequently, maintaining transparent and collaborative relationships with external stakeholders is essential for protecting organisational reputation and sustaining competitive advantage.</w:t>
      </w:r>
    </w:p>
    <w:p w14:paraId="153DB7FF" w14:textId="77777777" w:rsidR="001A6E52" w:rsidRPr="002B402C" w:rsidRDefault="00281488" w:rsidP="006D2C8B">
      <w:pPr>
        <w:pStyle w:val="Heading2"/>
        <w:spacing w:line="360" w:lineRule="auto"/>
        <w:contextualSpacing/>
        <w:jc w:val="both"/>
        <w:rPr>
          <w:rFonts w:ascii="Arial" w:hAnsi="Arial" w:cs="Arial"/>
          <w:color w:val="0070C0"/>
          <w:sz w:val="24"/>
          <w:szCs w:val="24"/>
        </w:rPr>
      </w:pPr>
      <w:bookmarkStart w:id="6" w:name="_Toc235200899"/>
      <w:r w:rsidRPr="002B402C">
        <w:rPr>
          <w:rFonts w:ascii="Arial" w:hAnsi="Arial" w:cs="Arial"/>
          <w:color w:val="0070C0"/>
          <w:sz w:val="24"/>
          <w:szCs w:val="24"/>
        </w:rPr>
        <w:t>3.3 Stakeholder Analysis Framework</w:t>
      </w:r>
      <w:bookmarkEnd w:id="6"/>
    </w:p>
    <w:p w14:paraId="7BC85C6B" w14:textId="7D8AB379" w:rsidR="001A6E52" w:rsidRDefault="00281488" w:rsidP="006D2C8B">
      <w:pPr>
        <w:spacing w:line="360" w:lineRule="auto"/>
        <w:contextualSpacing/>
        <w:jc w:val="both"/>
        <w:rPr>
          <w:rFonts w:cs="Arial"/>
        </w:rPr>
      </w:pPr>
      <w:r w:rsidRPr="006D2C8B">
        <w:rPr>
          <w:rFonts w:cs="Arial"/>
        </w:rPr>
        <w:t xml:space="preserve">To effectively manage stakeholder relationships, it is essential to </w:t>
      </w:r>
      <w:proofErr w:type="spellStart"/>
      <w:r w:rsidR="002C647E" w:rsidRPr="006D2C8B">
        <w:rPr>
          <w:rFonts w:cs="Arial"/>
        </w:rPr>
        <w:t>analyse</w:t>
      </w:r>
      <w:proofErr w:type="spellEnd"/>
      <w:r w:rsidR="002C647E" w:rsidRPr="006D2C8B">
        <w:rPr>
          <w:rFonts w:cs="Arial"/>
        </w:rPr>
        <w:t xml:space="preserve"> stakeholders</w:t>
      </w:r>
      <w:r w:rsidRPr="006D2C8B">
        <w:rPr>
          <w:rFonts w:cs="Arial"/>
        </w:rPr>
        <w:t xml:space="preserve"> based on their power and interest in the project. The Mendelow Matrix provides a practical tool for </w:t>
      </w:r>
      <w:proofErr w:type="spellStart"/>
      <w:r w:rsidRPr="006D2C8B">
        <w:rPr>
          <w:rFonts w:cs="Arial"/>
        </w:rPr>
        <w:t>prioritising</w:t>
      </w:r>
      <w:proofErr w:type="spellEnd"/>
      <w:r w:rsidRPr="006D2C8B">
        <w:rPr>
          <w:rFonts w:cs="Arial"/>
        </w:rPr>
        <w:t xml:space="preserve"> stakeholders according to their level of power and interest in the project, helping project managers allocate engagement resources efficiently (Mendelow, 1991). Additionally, according to Mitchell, Agle and Wood (1997), stakeholder salience is determined by three attributes: power, legitimacy and urgency. Executive leadership and regulatory bodies may be classified as definitive stakeholders because they possess all three attributes and therefore require the highest level of engagement and management attention. This Salience Model complements the Mendelow Matrix by providing a deeper understanding of stakeholder classification based on these three critical dimensions.</w:t>
      </w:r>
    </w:p>
    <w:p w14:paraId="5A2AB6F0" w14:textId="77777777" w:rsidR="00D41CBB" w:rsidRDefault="00D41CBB" w:rsidP="006D2C8B">
      <w:pPr>
        <w:spacing w:line="360" w:lineRule="auto"/>
        <w:contextualSpacing/>
        <w:jc w:val="both"/>
        <w:rPr>
          <w:rFonts w:cs="Arial"/>
        </w:rPr>
      </w:pPr>
    </w:p>
    <w:p w14:paraId="15CA997B" w14:textId="77777777" w:rsidR="00A24F10" w:rsidRDefault="00A24F10" w:rsidP="006D2C8B">
      <w:pPr>
        <w:spacing w:line="360" w:lineRule="auto"/>
        <w:contextualSpacing/>
        <w:jc w:val="both"/>
        <w:rPr>
          <w:rFonts w:cs="Arial"/>
        </w:rPr>
      </w:pPr>
    </w:p>
    <w:p w14:paraId="599046B2" w14:textId="77777777" w:rsidR="00A24F10" w:rsidRPr="006D2C8B" w:rsidRDefault="00A24F10" w:rsidP="006D2C8B">
      <w:pPr>
        <w:spacing w:line="360" w:lineRule="auto"/>
        <w:contextualSpacing/>
        <w:jc w:val="both"/>
        <w:rPr>
          <w:rFonts w:cs="Arial"/>
        </w:rPr>
      </w:pPr>
    </w:p>
    <w:p w14:paraId="508E6A35" w14:textId="4831BE09" w:rsidR="001A6E52" w:rsidRPr="006D2C8B" w:rsidRDefault="00281488" w:rsidP="006D2C8B">
      <w:pPr>
        <w:spacing w:line="360" w:lineRule="auto"/>
        <w:contextualSpacing/>
        <w:jc w:val="both"/>
        <w:rPr>
          <w:rFonts w:cs="Arial"/>
        </w:rPr>
      </w:pPr>
      <w:r w:rsidRPr="006D2C8B">
        <w:rPr>
          <w:rFonts w:cs="Arial"/>
        </w:rPr>
        <w:lastRenderedPageBreak/>
        <w:t>Table 2. Mendelow</w:t>
      </w:r>
      <w:r w:rsidR="00FF5ABB" w:rsidRPr="006D2C8B">
        <w:rPr>
          <w:rFonts w:cs="Arial"/>
        </w:rPr>
        <w:t>’</w:t>
      </w:r>
      <w:r w:rsidRPr="006D2C8B">
        <w:rPr>
          <w:rFonts w:cs="Arial"/>
        </w:rPr>
        <w:t xml:space="preserve">s Power–Interest Matrix for the </w:t>
      </w:r>
      <w:proofErr w:type="spellStart"/>
      <w:r w:rsidRPr="006D2C8B">
        <w:rPr>
          <w:rFonts w:cs="Arial"/>
        </w:rPr>
        <w:t>ConnectPlus</w:t>
      </w:r>
      <w:proofErr w:type="spellEnd"/>
      <w:r w:rsidRPr="006D2C8B">
        <w:rPr>
          <w:rFonts w:cs="Arial"/>
        </w:rPr>
        <w:t xml:space="preserve"> Project</w:t>
      </w:r>
    </w:p>
    <w:tbl>
      <w:tblPr>
        <w:tblStyle w:val="TableGrid"/>
        <w:tblW w:w="0" w:type="auto"/>
        <w:tblLook w:val="04A0" w:firstRow="1" w:lastRow="0" w:firstColumn="1" w:lastColumn="0" w:noHBand="0" w:noVBand="1"/>
      </w:tblPr>
      <w:tblGrid>
        <w:gridCol w:w="2876"/>
        <w:gridCol w:w="2877"/>
        <w:gridCol w:w="2877"/>
      </w:tblGrid>
      <w:tr w:rsidR="001A6E52" w:rsidRPr="006D2C8B" w14:paraId="6F1B431A" w14:textId="77777777">
        <w:tc>
          <w:tcPr>
            <w:tcW w:w="2880" w:type="dxa"/>
          </w:tcPr>
          <w:p w14:paraId="028D5E7B" w14:textId="77777777" w:rsidR="001A6E52" w:rsidRPr="006D2C8B" w:rsidRDefault="001A6E52" w:rsidP="006D2C8B">
            <w:pPr>
              <w:spacing w:line="360" w:lineRule="auto"/>
              <w:contextualSpacing/>
              <w:jc w:val="both"/>
              <w:rPr>
                <w:rFonts w:cs="Arial"/>
              </w:rPr>
            </w:pPr>
          </w:p>
        </w:tc>
        <w:tc>
          <w:tcPr>
            <w:tcW w:w="2880" w:type="dxa"/>
          </w:tcPr>
          <w:p w14:paraId="046E4564" w14:textId="77777777" w:rsidR="001A6E52" w:rsidRPr="006D2C8B" w:rsidRDefault="00281488" w:rsidP="006D2C8B">
            <w:pPr>
              <w:spacing w:line="360" w:lineRule="auto"/>
              <w:contextualSpacing/>
              <w:jc w:val="center"/>
              <w:rPr>
                <w:rFonts w:cs="Arial"/>
                <w:b/>
                <w:bCs/>
              </w:rPr>
            </w:pPr>
            <w:r w:rsidRPr="006D2C8B">
              <w:rPr>
                <w:rFonts w:cs="Arial"/>
                <w:b/>
                <w:bCs/>
              </w:rPr>
              <w:t>High Interest</w:t>
            </w:r>
          </w:p>
        </w:tc>
        <w:tc>
          <w:tcPr>
            <w:tcW w:w="2880" w:type="dxa"/>
          </w:tcPr>
          <w:p w14:paraId="1568C35B" w14:textId="77777777" w:rsidR="001A6E52" w:rsidRPr="006D2C8B" w:rsidRDefault="00281488" w:rsidP="006D2C8B">
            <w:pPr>
              <w:spacing w:line="360" w:lineRule="auto"/>
              <w:contextualSpacing/>
              <w:jc w:val="center"/>
              <w:rPr>
                <w:rFonts w:cs="Arial"/>
                <w:b/>
                <w:bCs/>
              </w:rPr>
            </w:pPr>
            <w:r w:rsidRPr="006D2C8B">
              <w:rPr>
                <w:rFonts w:cs="Arial"/>
                <w:b/>
                <w:bCs/>
              </w:rPr>
              <w:t>Low Interest</w:t>
            </w:r>
          </w:p>
        </w:tc>
      </w:tr>
      <w:tr w:rsidR="001A6E52" w:rsidRPr="006D2C8B" w14:paraId="1C67F2C2" w14:textId="77777777">
        <w:tc>
          <w:tcPr>
            <w:tcW w:w="2880" w:type="dxa"/>
          </w:tcPr>
          <w:p w14:paraId="03EA313A" w14:textId="77777777" w:rsidR="001A6E52" w:rsidRPr="006D2C8B" w:rsidRDefault="00281488" w:rsidP="006D2C8B">
            <w:pPr>
              <w:spacing w:line="360" w:lineRule="auto"/>
              <w:contextualSpacing/>
              <w:jc w:val="both"/>
              <w:rPr>
                <w:rFonts w:cs="Arial"/>
              </w:rPr>
            </w:pPr>
            <w:r w:rsidRPr="006D2C8B">
              <w:rPr>
                <w:rFonts w:cs="Arial"/>
              </w:rPr>
              <w:t>High Power</w:t>
            </w:r>
          </w:p>
        </w:tc>
        <w:tc>
          <w:tcPr>
            <w:tcW w:w="2880" w:type="dxa"/>
          </w:tcPr>
          <w:p w14:paraId="4A6F21D0" w14:textId="77777777" w:rsidR="001A6E52" w:rsidRPr="006D2C8B" w:rsidRDefault="00281488" w:rsidP="006D2C8B">
            <w:pPr>
              <w:spacing w:line="360" w:lineRule="auto"/>
              <w:contextualSpacing/>
              <w:jc w:val="both"/>
              <w:rPr>
                <w:rFonts w:cs="Arial"/>
              </w:rPr>
            </w:pPr>
            <w:r w:rsidRPr="006D2C8B">
              <w:rPr>
                <w:rFonts w:cs="Arial"/>
              </w:rPr>
              <w:t>Manage Closely: Executive Leadership, Product Development Teams</w:t>
            </w:r>
          </w:p>
        </w:tc>
        <w:tc>
          <w:tcPr>
            <w:tcW w:w="2880" w:type="dxa"/>
          </w:tcPr>
          <w:p w14:paraId="2470F4B1" w14:textId="77777777" w:rsidR="001A6E52" w:rsidRPr="006D2C8B" w:rsidRDefault="00281488" w:rsidP="006D2C8B">
            <w:pPr>
              <w:spacing w:line="360" w:lineRule="auto"/>
              <w:contextualSpacing/>
              <w:jc w:val="both"/>
              <w:rPr>
                <w:rFonts w:cs="Arial"/>
              </w:rPr>
            </w:pPr>
            <w:r w:rsidRPr="006D2C8B">
              <w:rPr>
                <w:rFonts w:cs="Arial"/>
              </w:rPr>
              <w:t>Keep Satisfied: Regulatory Bodies, Government Agencies</w:t>
            </w:r>
          </w:p>
        </w:tc>
      </w:tr>
      <w:tr w:rsidR="001A6E52" w:rsidRPr="006D2C8B" w14:paraId="1FA6FE7C" w14:textId="77777777">
        <w:tc>
          <w:tcPr>
            <w:tcW w:w="2880" w:type="dxa"/>
          </w:tcPr>
          <w:p w14:paraId="5AD8C8C1" w14:textId="77777777" w:rsidR="001A6E52" w:rsidRPr="006D2C8B" w:rsidRDefault="00281488" w:rsidP="006D2C8B">
            <w:pPr>
              <w:spacing w:line="360" w:lineRule="auto"/>
              <w:contextualSpacing/>
              <w:jc w:val="both"/>
              <w:rPr>
                <w:rFonts w:cs="Arial"/>
              </w:rPr>
            </w:pPr>
            <w:r w:rsidRPr="006D2C8B">
              <w:rPr>
                <w:rFonts w:cs="Arial"/>
              </w:rPr>
              <w:t>Low Power</w:t>
            </w:r>
          </w:p>
        </w:tc>
        <w:tc>
          <w:tcPr>
            <w:tcW w:w="2880" w:type="dxa"/>
          </w:tcPr>
          <w:p w14:paraId="499A6A81" w14:textId="77777777" w:rsidR="001A6E52" w:rsidRPr="006D2C8B" w:rsidRDefault="00281488" w:rsidP="006D2C8B">
            <w:pPr>
              <w:spacing w:line="360" w:lineRule="auto"/>
              <w:contextualSpacing/>
              <w:jc w:val="both"/>
              <w:rPr>
                <w:rFonts w:cs="Arial"/>
              </w:rPr>
            </w:pPr>
            <w:r w:rsidRPr="006D2C8B">
              <w:rPr>
                <w:rFonts w:cs="Arial"/>
              </w:rPr>
              <w:t>Keep Informed: Customers, Employees</w:t>
            </w:r>
          </w:p>
        </w:tc>
        <w:tc>
          <w:tcPr>
            <w:tcW w:w="2880" w:type="dxa"/>
          </w:tcPr>
          <w:p w14:paraId="43F4C143" w14:textId="77777777" w:rsidR="001A6E52" w:rsidRPr="006D2C8B" w:rsidRDefault="00281488" w:rsidP="006D2C8B">
            <w:pPr>
              <w:spacing w:line="360" w:lineRule="auto"/>
              <w:contextualSpacing/>
              <w:jc w:val="both"/>
              <w:rPr>
                <w:rFonts w:cs="Arial"/>
              </w:rPr>
            </w:pPr>
            <w:r w:rsidRPr="006D2C8B">
              <w:rPr>
                <w:rFonts w:cs="Arial"/>
              </w:rPr>
              <w:t>Monitor: Competitors, General Public, Industry Peers</w:t>
            </w:r>
          </w:p>
        </w:tc>
      </w:tr>
    </w:tbl>
    <w:p w14:paraId="647D9809" w14:textId="77777777" w:rsidR="001A6E52" w:rsidRPr="006D2C8B" w:rsidRDefault="00281488" w:rsidP="006D2C8B">
      <w:pPr>
        <w:spacing w:line="360" w:lineRule="auto"/>
        <w:contextualSpacing/>
        <w:jc w:val="both"/>
        <w:rPr>
          <w:rFonts w:cs="Arial"/>
        </w:rPr>
      </w:pPr>
      <w:r w:rsidRPr="006D2C8B">
        <w:rPr>
          <w:rFonts w:cs="Arial"/>
        </w:rPr>
        <w:t>Source: Adapted from Mendelow (1991).</w:t>
      </w:r>
    </w:p>
    <w:p w14:paraId="413E8BED" w14:textId="77777777" w:rsidR="001A6E52" w:rsidRPr="006D2C8B" w:rsidRDefault="00281488" w:rsidP="006D2C8B">
      <w:pPr>
        <w:spacing w:line="360" w:lineRule="auto"/>
        <w:contextualSpacing/>
        <w:jc w:val="both"/>
        <w:rPr>
          <w:rFonts w:cs="Arial"/>
        </w:rPr>
      </w:pPr>
      <w:r w:rsidRPr="006D2C8B">
        <w:rPr>
          <w:rFonts w:cs="Arial"/>
        </w:rPr>
        <w:t xml:space="preserve">The Mendelow Power–Interest Matrix demonstrates that Executive Leadership and Product Development Teams should be managed closely because they possess both high levels of power and interest in the </w:t>
      </w:r>
      <w:proofErr w:type="spellStart"/>
      <w:r w:rsidRPr="006D2C8B">
        <w:rPr>
          <w:rFonts w:cs="Arial"/>
        </w:rPr>
        <w:t>ConnectPlus</w:t>
      </w:r>
      <w:proofErr w:type="spellEnd"/>
      <w:r w:rsidRPr="006D2C8B">
        <w:rPr>
          <w:rFonts w:cs="Arial"/>
        </w:rPr>
        <w:t xml:space="preserve"> project. Regulatory Bodies should be kept satisfied due to their significant influence over compliance and legal approval, despite having lower day-to-day involvement. Customers and employees should be kept informed throughout the project lifecycle to encourage engagement and reduce resistance to change, while competitors and the </w:t>
      </w:r>
      <w:proofErr w:type="gramStart"/>
      <w:r w:rsidRPr="006D2C8B">
        <w:rPr>
          <w:rFonts w:cs="Arial"/>
        </w:rPr>
        <w:t>general public</w:t>
      </w:r>
      <w:proofErr w:type="gramEnd"/>
      <w:r w:rsidRPr="006D2C8B">
        <w:rPr>
          <w:rFonts w:cs="Arial"/>
        </w:rPr>
        <w:t xml:space="preserve"> require regular monitoring to identify any changes in their level of influence or interest (Mendelow, 1991).</w:t>
      </w:r>
    </w:p>
    <w:p w14:paraId="53FF6BB2" w14:textId="08D224BF" w:rsidR="00FA1B55" w:rsidRPr="006D2C8B" w:rsidRDefault="00FA1B55" w:rsidP="006D2C8B">
      <w:pPr>
        <w:spacing w:line="360" w:lineRule="auto"/>
        <w:contextualSpacing/>
        <w:jc w:val="both"/>
        <w:rPr>
          <w:rFonts w:cs="Arial"/>
        </w:rPr>
      </w:pPr>
      <w:r w:rsidRPr="006D2C8B">
        <w:rPr>
          <w:rFonts w:cs="Arial"/>
        </w:rPr>
        <w:t xml:space="preserve">However, although the Mendelow Matrix is highly effective for </w:t>
      </w:r>
      <w:proofErr w:type="spellStart"/>
      <w:r w:rsidRPr="006D2C8B">
        <w:rPr>
          <w:rFonts w:cs="Arial"/>
        </w:rPr>
        <w:t>prioritising</w:t>
      </w:r>
      <w:proofErr w:type="spellEnd"/>
      <w:r w:rsidRPr="006D2C8B">
        <w:rPr>
          <w:rFonts w:cs="Arial"/>
        </w:rPr>
        <w:t xml:space="preserve"> stakeholders according to power and interest, it does not fully capture the dynamic nature of stakeholder relationships. Consequently, combining the Mendelow Matrix with the Stakeholder Salience Model provides a more comprehensive approach because it also considers legitimacy and urgency, enabling Amazon to respond more effectively to changing stakeholder expectations throughout the </w:t>
      </w:r>
      <w:proofErr w:type="spellStart"/>
      <w:r w:rsidRPr="006D2C8B">
        <w:rPr>
          <w:rFonts w:cs="Arial"/>
        </w:rPr>
        <w:t>ConnectPlus</w:t>
      </w:r>
      <w:proofErr w:type="spellEnd"/>
      <w:r w:rsidRPr="006D2C8B">
        <w:rPr>
          <w:rFonts w:cs="Arial"/>
        </w:rPr>
        <w:t xml:space="preserve"> project.</w:t>
      </w:r>
    </w:p>
    <w:p w14:paraId="229522B3" w14:textId="11DDEBB3" w:rsidR="00D11F51" w:rsidRPr="006D2C8B" w:rsidRDefault="00D11F51" w:rsidP="006D2C8B">
      <w:pPr>
        <w:spacing w:line="360" w:lineRule="auto"/>
        <w:contextualSpacing/>
        <w:jc w:val="both"/>
        <w:rPr>
          <w:rFonts w:cs="Arial"/>
        </w:rPr>
      </w:pPr>
      <w:r w:rsidRPr="006D2C8B">
        <w:rPr>
          <w:rFonts w:cs="Arial"/>
        </w:rPr>
        <w:t xml:space="preserve">The combined use of these frameworks is particularly suitable for the </w:t>
      </w:r>
      <w:proofErr w:type="spellStart"/>
      <w:r w:rsidRPr="006D2C8B">
        <w:rPr>
          <w:rFonts w:cs="Arial"/>
        </w:rPr>
        <w:t>ConnectPlus</w:t>
      </w:r>
      <w:proofErr w:type="spellEnd"/>
      <w:r w:rsidRPr="006D2C8B">
        <w:rPr>
          <w:rFonts w:cs="Arial"/>
        </w:rPr>
        <w:t xml:space="preserve"> project because stakeholder influence may change throughout the project lifecycle. For example, customers may initially possess relatively low formal power during platform development, but their influence can increase significantly during testing and implementation if concerns about privacy, usability or algorithmic fairness affect adoption. Similarly, regulatory bodies may appear less involved during the early design stages, yet their urgency and power can increase rapidly if compliance issues emerge. This demonstrates that stakeholder classification should not be treated as fixed. Amazon should therefore review the stakeholder map at key project milestones and adjust engagement strategies accordingly. Although the Mendelow Matrix offers a clear and practical overview, the Salience Model provides greater flexibility by </w:t>
      </w:r>
      <w:proofErr w:type="spellStart"/>
      <w:r w:rsidRPr="006D2C8B">
        <w:rPr>
          <w:rFonts w:cs="Arial"/>
        </w:rPr>
        <w:t>recognising</w:t>
      </w:r>
      <w:proofErr w:type="spellEnd"/>
      <w:r w:rsidRPr="006D2C8B">
        <w:rPr>
          <w:rFonts w:cs="Arial"/>
        </w:rPr>
        <w:t xml:space="preserve"> that stakeholder legitimacy and urgency may </w:t>
      </w:r>
      <w:r w:rsidRPr="006D2C8B">
        <w:rPr>
          <w:rFonts w:cs="Arial"/>
        </w:rPr>
        <w:lastRenderedPageBreak/>
        <w:t>change over time. Using both frameworks together enables more informed decision-making, supports efficient allocation of engagement resources and reduces the risk that emerging stakeholders are overlooked.</w:t>
      </w:r>
    </w:p>
    <w:p w14:paraId="178AEA34" w14:textId="4CC0C3F2" w:rsidR="001A6E52" w:rsidRPr="002B402C" w:rsidRDefault="00281488" w:rsidP="006D2C8B">
      <w:pPr>
        <w:pStyle w:val="Heading1"/>
        <w:spacing w:line="360" w:lineRule="auto"/>
        <w:contextualSpacing/>
        <w:jc w:val="both"/>
        <w:rPr>
          <w:rFonts w:ascii="Arial" w:hAnsi="Arial" w:cs="Arial"/>
          <w:color w:val="0070C0"/>
        </w:rPr>
      </w:pPr>
      <w:bookmarkStart w:id="7" w:name="_Toc235200900"/>
      <w:r w:rsidRPr="002B402C">
        <w:rPr>
          <w:rFonts w:ascii="Arial" w:hAnsi="Arial" w:cs="Arial"/>
          <w:color w:val="0070C0"/>
        </w:rPr>
        <w:t xml:space="preserve">4. </w:t>
      </w:r>
      <w:r w:rsidR="004E5A0A" w:rsidRPr="002B402C">
        <w:rPr>
          <w:rFonts w:ascii="Arial" w:hAnsi="Arial" w:cs="Arial"/>
          <w:color w:val="0070C0"/>
        </w:rPr>
        <w:t>Stakeholder Roles and Communication</w:t>
      </w:r>
      <w:bookmarkEnd w:id="7"/>
    </w:p>
    <w:p w14:paraId="47477DF8" w14:textId="77777777" w:rsidR="001A6E52" w:rsidRPr="006D2C8B" w:rsidRDefault="00281488" w:rsidP="006D2C8B">
      <w:pPr>
        <w:spacing w:line="360" w:lineRule="auto"/>
        <w:contextualSpacing/>
        <w:jc w:val="both"/>
        <w:rPr>
          <w:rFonts w:cs="Arial"/>
        </w:rPr>
      </w:pPr>
      <w:r w:rsidRPr="006D2C8B">
        <w:rPr>
          <w:rFonts w:cs="Arial"/>
        </w:rPr>
        <w:t>Table 3. Communication Plan for Key Stakeholders</w:t>
      </w:r>
    </w:p>
    <w:tbl>
      <w:tblPr>
        <w:tblStyle w:val="TableGrid"/>
        <w:tblW w:w="0" w:type="auto"/>
        <w:tblLook w:val="04A0" w:firstRow="1" w:lastRow="0" w:firstColumn="1" w:lastColumn="0" w:noHBand="0" w:noVBand="1"/>
      </w:tblPr>
      <w:tblGrid>
        <w:gridCol w:w="1668"/>
        <w:gridCol w:w="1964"/>
        <w:gridCol w:w="1709"/>
        <w:gridCol w:w="1617"/>
        <w:gridCol w:w="1672"/>
      </w:tblGrid>
      <w:tr w:rsidR="001A6E52" w:rsidRPr="006D2C8B" w14:paraId="7058EC7B" w14:textId="77777777">
        <w:tc>
          <w:tcPr>
            <w:tcW w:w="1728" w:type="dxa"/>
          </w:tcPr>
          <w:p w14:paraId="1CB86BF6" w14:textId="77777777" w:rsidR="001A6E52" w:rsidRPr="006D2C8B" w:rsidRDefault="00281488" w:rsidP="006D2C8B">
            <w:pPr>
              <w:spacing w:line="360" w:lineRule="auto"/>
              <w:contextualSpacing/>
              <w:jc w:val="center"/>
              <w:rPr>
                <w:rFonts w:cs="Arial"/>
                <w:b/>
                <w:bCs/>
              </w:rPr>
            </w:pPr>
            <w:r w:rsidRPr="006D2C8B">
              <w:rPr>
                <w:rFonts w:cs="Arial"/>
                <w:b/>
                <w:bCs/>
              </w:rPr>
              <w:t>Stakeholder</w:t>
            </w:r>
          </w:p>
        </w:tc>
        <w:tc>
          <w:tcPr>
            <w:tcW w:w="1728" w:type="dxa"/>
          </w:tcPr>
          <w:p w14:paraId="6A12802D" w14:textId="77777777" w:rsidR="001A6E52" w:rsidRPr="006D2C8B" w:rsidRDefault="00281488" w:rsidP="006D2C8B">
            <w:pPr>
              <w:spacing w:line="360" w:lineRule="auto"/>
              <w:contextualSpacing/>
              <w:jc w:val="center"/>
              <w:rPr>
                <w:rFonts w:cs="Arial"/>
                <w:b/>
                <w:bCs/>
              </w:rPr>
            </w:pPr>
            <w:r w:rsidRPr="006D2C8B">
              <w:rPr>
                <w:rFonts w:cs="Arial"/>
                <w:b/>
                <w:bCs/>
              </w:rPr>
              <w:t>Role/Information Needs</w:t>
            </w:r>
          </w:p>
        </w:tc>
        <w:tc>
          <w:tcPr>
            <w:tcW w:w="1728" w:type="dxa"/>
          </w:tcPr>
          <w:p w14:paraId="62CC26F2" w14:textId="77777777" w:rsidR="001A6E52" w:rsidRPr="006D2C8B" w:rsidRDefault="00281488" w:rsidP="006D2C8B">
            <w:pPr>
              <w:spacing w:line="360" w:lineRule="auto"/>
              <w:contextualSpacing/>
              <w:jc w:val="center"/>
              <w:rPr>
                <w:rFonts w:cs="Arial"/>
                <w:b/>
                <w:bCs/>
              </w:rPr>
            </w:pPr>
            <w:r w:rsidRPr="006D2C8B">
              <w:rPr>
                <w:rFonts w:cs="Arial"/>
                <w:b/>
                <w:bCs/>
              </w:rPr>
              <w:t>Channel</w:t>
            </w:r>
          </w:p>
        </w:tc>
        <w:tc>
          <w:tcPr>
            <w:tcW w:w="1728" w:type="dxa"/>
          </w:tcPr>
          <w:p w14:paraId="4CFF01A2" w14:textId="77777777" w:rsidR="001A6E52" w:rsidRPr="006D2C8B" w:rsidRDefault="00281488" w:rsidP="006D2C8B">
            <w:pPr>
              <w:spacing w:line="360" w:lineRule="auto"/>
              <w:contextualSpacing/>
              <w:jc w:val="center"/>
              <w:rPr>
                <w:rFonts w:cs="Arial"/>
                <w:b/>
                <w:bCs/>
              </w:rPr>
            </w:pPr>
            <w:r w:rsidRPr="006D2C8B">
              <w:rPr>
                <w:rFonts w:cs="Arial"/>
                <w:b/>
                <w:bCs/>
              </w:rPr>
              <w:t>Frequency</w:t>
            </w:r>
          </w:p>
        </w:tc>
        <w:tc>
          <w:tcPr>
            <w:tcW w:w="1728" w:type="dxa"/>
          </w:tcPr>
          <w:p w14:paraId="6DEE7705" w14:textId="77777777" w:rsidR="001A6E52" w:rsidRPr="006D2C8B" w:rsidRDefault="00281488" w:rsidP="006D2C8B">
            <w:pPr>
              <w:spacing w:line="360" w:lineRule="auto"/>
              <w:contextualSpacing/>
              <w:jc w:val="center"/>
              <w:rPr>
                <w:rFonts w:cs="Arial"/>
                <w:b/>
                <w:bCs/>
              </w:rPr>
            </w:pPr>
            <w:r w:rsidRPr="006D2C8B">
              <w:rPr>
                <w:rFonts w:cs="Arial"/>
                <w:b/>
                <w:bCs/>
              </w:rPr>
              <w:t>Responsible</w:t>
            </w:r>
          </w:p>
        </w:tc>
      </w:tr>
      <w:tr w:rsidR="001A6E52" w:rsidRPr="006D2C8B" w14:paraId="5F5E1831" w14:textId="77777777">
        <w:tc>
          <w:tcPr>
            <w:tcW w:w="1728" w:type="dxa"/>
          </w:tcPr>
          <w:p w14:paraId="1E7519A8" w14:textId="77777777" w:rsidR="001A6E52" w:rsidRPr="006D2C8B" w:rsidRDefault="00281488" w:rsidP="006D2C8B">
            <w:pPr>
              <w:spacing w:line="360" w:lineRule="auto"/>
              <w:contextualSpacing/>
              <w:jc w:val="both"/>
              <w:rPr>
                <w:rFonts w:cs="Arial"/>
              </w:rPr>
            </w:pPr>
            <w:r w:rsidRPr="006D2C8B">
              <w:rPr>
                <w:rFonts w:cs="Arial"/>
              </w:rPr>
              <w:t>Executive Leadership</w:t>
            </w:r>
          </w:p>
        </w:tc>
        <w:tc>
          <w:tcPr>
            <w:tcW w:w="1728" w:type="dxa"/>
          </w:tcPr>
          <w:p w14:paraId="0D65F5F6" w14:textId="77777777" w:rsidR="001A6E52" w:rsidRPr="006D2C8B" w:rsidRDefault="00281488" w:rsidP="006D2C8B">
            <w:pPr>
              <w:spacing w:line="360" w:lineRule="auto"/>
              <w:contextualSpacing/>
              <w:jc w:val="both"/>
              <w:rPr>
                <w:rFonts w:cs="Arial"/>
              </w:rPr>
            </w:pPr>
            <w:r w:rsidRPr="006D2C8B">
              <w:rPr>
                <w:rFonts w:cs="Arial"/>
              </w:rPr>
              <w:t>Strategic progress &amp; ROI</w:t>
            </w:r>
          </w:p>
        </w:tc>
        <w:tc>
          <w:tcPr>
            <w:tcW w:w="1728" w:type="dxa"/>
          </w:tcPr>
          <w:p w14:paraId="1B998D20" w14:textId="77777777" w:rsidR="001A6E52" w:rsidRPr="006D2C8B" w:rsidRDefault="00281488" w:rsidP="006D2C8B">
            <w:pPr>
              <w:spacing w:line="360" w:lineRule="auto"/>
              <w:contextualSpacing/>
              <w:jc w:val="both"/>
              <w:rPr>
                <w:rFonts w:cs="Arial"/>
              </w:rPr>
            </w:pPr>
            <w:r w:rsidRPr="006D2C8B">
              <w:rPr>
                <w:rFonts w:cs="Arial"/>
              </w:rPr>
              <w:t>Executive meetings</w:t>
            </w:r>
          </w:p>
        </w:tc>
        <w:tc>
          <w:tcPr>
            <w:tcW w:w="1728" w:type="dxa"/>
          </w:tcPr>
          <w:p w14:paraId="6CC7C549" w14:textId="77777777" w:rsidR="001A6E52" w:rsidRPr="006D2C8B" w:rsidRDefault="00281488" w:rsidP="006D2C8B">
            <w:pPr>
              <w:spacing w:line="360" w:lineRule="auto"/>
              <w:contextualSpacing/>
              <w:jc w:val="both"/>
              <w:rPr>
                <w:rFonts w:cs="Arial"/>
              </w:rPr>
            </w:pPr>
            <w:r w:rsidRPr="006D2C8B">
              <w:rPr>
                <w:rFonts w:cs="Arial"/>
              </w:rPr>
              <w:t>Weekly</w:t>
            </w:r>
          </w:p>
        </w:tc>
        <w:tc>
          <w:tcPr>
            <w:tcW w:w="1728" w:type="dxa"/>
          </w:tcPr>
          <w:p w14:paraId="46E8785B" w14:textId="77777777" w:rsidR="001A6E52" w:rsidRPr="006D2C8B" w:rsidRDefault="00281488" w:rsidP="006D2C8B">
            <w:pPr>
              <w:spacing w:line="360" w:lineRule="auto"/>
              <w:contextualSpacing/>
              <w:jc w:val="both"/>
              <w:rPr>
                <w:rFonts w:cs="Arial"/>
              </w:rPr>
            </w:pPr>
            <w:r w:rsidRPr="006D2C8B">
              <w:rPr>
                <w:rFonts w:cs="Arial"/>
              </w:rPr>
              <w:t>Project Manager</w:t>
            </w:r>
          </w:p>
        </w:tc>
      </w:tr>
      <w:tr w:rsidR="001A6E52" w:rsidRPr="006D2C8B" w14:paraId="380CF981" w14:textId="77777777">
        <w:tc>
          <w:tcPr>
            <w:tcW w:w="1728" w:type="dxa"/>
          </w:tcPr>
          <w:p w14:paraId="37D30789" w14:textId="77777777" w:rsidR="001A6E52" w:rsidRPr="006D2C8B" w:rsidRDefault="00281488" w:rsidP="006D2C8B">
            <w:pPr>
              <w:spacing w:line="360" w:lineRule="auto"/>
              <w:contextualSpacing/>
              <w:jc w:val="both"/>
              <w:rPr>
                <w:rFonts w:cs="Arial"/>
              </w:rPr>
            </w:pPr>
            <w:r w:rsidRPr="006D2C8B">
              <w:rPr>
                <w:rFonts w:cs="Arial"/>
              </w:rPr>
              <w:t>Product Development</w:t>
            </w:r>
          </w:p>
        </w:tc>
        <w:tc>
          <w:tcPr>
            <w:tcW w:w="1728" w:type="dxa"/>
          </w:tcPr>
          <w:p w14:paraId="35D4F6A6" w14:textId="77777777" w:rsidR="001A6E52" w:rsidRPr="006D2C8B" w:rsidRDefault="00281488" w:rsidP="006D2C8B">
            <w:pPr>
              <w:spacing w:line="360" w:lineRule="auto"/>
              <w:contextualSpacing/>
              <w:jc w:val="both"/>
              <w:rPr>
                <w:rFonts w:cs="Arial"/>
              </w:rPr>
            </w:pPr>
            <w:r w:rsidRPr="006D2C8B">
              <w:rPr>
                <w:rFonts w:cs="Arial"/>
              </w:rPr>
              <w:t>Technical updates &amp; issues</w:t>
            </w:r>
          </w:p>
        </w:tc>
        <w:tc>
          <w:tcPr>
            <w:tcW w:w="1728" w:type="dxa"/>
          </w:tcPr>
          <w:p w14:paraId="46071D04" w14:textId="77777777" w:rsidR="001A6E52" w:rsidRPr="006D2C8B" w:rsidRDefault="00281488" w:rsidP="006D2C8B">
            <w:pPr>
              <w:spacing w:line="360" w:lineRule="auto"/>
              <w:contextualSpacing/>
              <w:jc w:val="both"/>
              <w:rPr>
                <w:rFonts w:cs="Arial"/>
              </w:rPr>
            </w:pPr>
            <w:r w:rsidRPr="006D2C8B">
              <w:rPr>
                <w:rFonts w:cs="Arial"/>
              </w:rPr>
              <w:t>Scrum meetings</w:t>
            </w:r>
          </w:p>
        </w:tc>
        <w:tc>
          <w:tcPr>
            <w:tcW w:w="1728" w:type="dxa"/>
          </w:tcPr>
          <w:p w14:paraId="19F0ECB6" w14:textId="77777777" w:rsidR="001A6E52" w:rsidRPr="006D2C8B" w:rsidRDefault="00281488" w:rsidP="006D2C8B">
            <w:pPr>
              <w:spacing w:line="360" w:lineRule="auto"/>
              <w:contextualSpacing/>
              <w:jc w:val="both"/>
              <w:rPr>
                <w:rFonts w:cs="Arial"/>
              </w:rPr>
            </w:pPr>
            <w:r w:rsidRPr="006D2C8B">
              <w:rPr>
                <w:rFonts w:cs="Arial"/>
              </w:rPr>
              <w:t>Daily</w:t>
            </w:r>
          </w:p>
        </w:tc>
        <w:tc>
          <w:tcPr>
            <w:tcW w:w="1728" w:type="dxa"/>
          </w:tcPr>
          <w:p w14:paraId="4AB5B5D1" w14:textId="77777777" w:rsidR="001A6E52" w:rsidRPr="006D2C8B" w:rsidRDefault="00281488" w:rsidP="006D2C8B">
            <w:pPr>
              <w:spacing w:line="360" w:lineRule="auto"/>
              <w:contextualSpacing/>
              <w:jc w:val="both"/>
              <w:rPr>
                <w:rFonts w:cs="Arial"/>
              </w:rPr>
            </w:pPr>
            <w:r w:rsidRPr="006D2C8B">
              <w:rPr>
                <w:rFonts w:cs="Arial"/>
              </w:rPr>
              <w:t>Technical Lead</w:t>
            </w:r>
          </w:p>
        </w:tc>
      </w:tr>
      <w:tr w:rsidR="001A6E52" w:rsidRPr="006D2C8B" w14:paraId="131101A6" w14:textId="77777777">
        <w:tc>
          <w:tcPr>
            <w:tcW w:w="1728" w:type="dxa"/>
          </w:tcPr>
          <w:p w14:paraId="64CC96E3" w14:textId="77777777" w:rsidR="001A6E52" w:rsidRPr="006D2C8B" w:rsidRDefault="00281488" w:rsidP="006D2C8B">
            <w:pPr>
              <w:spacing w:line="360" w:lineRule="auto"/>
              <w:contextualSpacing/>
              <w:jc w:val="both"/>
              <w:rPr>
                <w:rFonts w:cs="Arial"/>
              </w:rPr>
            </w:pPr>
            <w:r w:rsidRPr="006D2C8B">
              <w:rPr>
                <w:rFonts w:cs="Arial"/>
              </w:rPr>
              <w:t>Customers</w:t>
            </w:r>
          </w:p>
        </w:tc>
        <w:tc>
          <w:tcPr>
            <w:tcW w:w="1728" w:type="dxa"/>
          </w:tcPr>
          <w:p w14:paraId="17C5782E" w14:textId="77777777" w:rsidR="001A6E52" w:rsidRPr="006D2C8B" w:rsidRDefault="00281488" w:rsidP="006D2C8B">
            <w:pPr>
              <w:spacing w:line="360" w:lineRule="auto"/>
              <w:contextualSpacing/>
              <w:jc w:val="both"/>
              <w:rPr>
                <w:rFonts w:cs="Arial"/>
              </w:rPr>
            </w:pPr>
            <w:r w:rsidRPr="006D2C8B">
              <w:rPr>
                <w:rFonts w:cs="Arial"/>
              </w:rPr>
              <w:t>New features &amp; benefits</w:t>
            </w:r>
          </w:p>
        </w:tc>
        <w:tc>
          <w:tcPr>
            <w:tcW w:w="1728" w:type="dxa"/>
          </w:tcPr>
          <w:p w14:paraId="0DA03DE7" w14:textId="77777777" w:rsidR="001A6E52" w:rsidRPr="006D2C8B" w:rsidRDefault="00281488" w:rsidP="006D2C8B">
            <w:pPr>
              <w:spacing w:line="360" w:lineRule="auto"/>
              <w:contextualSpacing/>
              <w:jc w:val="both"/>
              <w:rPr>
                <w:rFonts w:cs="Arial"/>
              </w:rPr>
            </w:pPr>
            <w:r w:rsidRPr="006D2C8B">
              <w:rPr>
                <w:rFonts w:cs="Arial"/>
              </w:rPr>
              <w:t>Email/App notifications</w:t>
            </w:r>
          </w:p>
        </w:tc>
        <w:tc>
          <w:tcPr>
            <w:tcW w:w="1728" w:type="dxa"/>
          </w:tcPr>
          <w:p w14:paraId="57737B71" w14:textId="77777777" w:rsidR="001A6E52" w:rsidRPr="006D2C8B" w:rsidRDefault="00281488" w:rsidP="006D2C8B">
            <w:pPr>
              <w:spacing w:line="360" w:lineRule="auto"/>
              <w:contextualSpacing/>
              <w:jc w:val="both"/>
              <w:rPr>
                <w:rFonts w:cs="Arial"/>
              </w:rPr>
            </w:pPr>
            <w:r w:rsidRPr="006D2C8B">
              <w:rPr>
                <w:rFonts w:cs="Arial"/>
              </w:rPr>
              <w:t>Monthly</w:t>
            </w:r>
          </w:p>
        </w:tc>
        <w:tc>
          <w:tcPr>
            <w:tcW w:w="1728" w:type="dxa"/>
          </w:tcPr>
          <w:p w14:paraId="0453848F" w14:textId="77777777" w:rsidR="001A6E52" w:rsidRPr="006D2C8B" w:rsidRDefault="00281488" w:rsidP="006D2C8B">
            <w:pPr>
              <w:spacing w:line="360" w:lineRule="auto"/>
              <w:contextualSpacing/>
              <w:jc w:val="both"/>
              <w:rPr>
                <w:rFonts w:cs="Arial"/>
              </w:rPr>
            </w:pPr>
            <w:r w:rsidRPr="006D2C8B">
              <w:rPr>
                <w:rFonts w:cs="Arial"/>
              </w:rPr>
              <w:t>Marketing Team</w:t>
            </w:r>
          </w:p>
        </w:tc>
      </w:tr>
      <w:tr w:rsidR="001A6E52" w:rsidRPr="006D2C8B" w14:paraId="7A2466FB" w14:textId="77777777">
        <w:tc>
          <w:tcPr>
            <w:tcW w:w="1728" w:type="dxa"/>
          </w:tcPr>
          <w:p w14:paraId="0E78EA6A" w14:textId="77777777" w:rsidR="001A6E52" w:rsidRPr="006D2C8B" w:rsidRDefault="00281488" w:rsidP="006D2C8B">
            <w:pPr>
              <w:spacing w:line="360" w:lineRule="auto"/>
              <w:contextualSpacing/>
              <w:jc w:val="both"/>
              <w:rPr>
                <w:rFonts w:cs="Arial"/>
              </w:rPr>
            </w:pPr>
            <w:r w:rsidRPr="006D2C8B">
              <w:rPr>
                <w:rFonts w:cs="Arial"/>
              </w:rPr>
              <w:t>Regulatory Bodies</w:t>
            </w:r>
          </w:p>
        </w:tc>
        <w:tc>
          <w:tcPr>
            <w:tcW w:w="1728" w:type="dxa"/>
          </w:tcPr>
          <w:p w14:paraId="4FC5A552" w14:textId="77777777" w:rsidR="001A6E52" w:rsidRPr="006D2C8B" w:rsidRDefault="00281488" w:rsidP="006D2C8B">
            <w:pPr>
              <w:spacing w:line="360" w:lineRule="auto"/>
              <w:contextualSpacing/>
              <w:jc w:val="both"/>
              <w:rPr>
                <w:rFonts w:cs="Arial"/>
              </w:rPr>
            </w:pPr>
            <w:r w:rsidRPr="006D2C8B">
              <w:rPr>
                <w:rFonts w:cs="Arial"/>
              </w:rPr>
              <w:t>Compliance reports</w:t>
            </w:r>
          </w:p>
        </w:tc>
        <w:tc>
          <w:tcPr>
            <w:tcW w:w="1728" w:type="dxa"/>
          </w:tcPr>
          <w:p w14:paraId="6C641932" w14:textId="77777777" w:rsidR="001A6E52" w:rsidRPr="006D2C8B" w:rsidRDefault="00281488" w:rsidP="006D2C8B">
            <w:pPr>
              <w:spacing w:line="360" w:lineRule="auto"/>
              <w:contextualSpacing/>
              <w:jc w:val="both"/>
              <w:rPr>
                <w:rFonts w:cs="Arial"/>
              </w:rPr>
            </w:pPr>
            <w:r w:rsidRPr="006D2C8B">
              <w:rPr>
                <w:rFonts w:cs="Arial"/>
              </w:rPr>
              <w:t>Formal documentation</w:t>
            </w:r>
          </w:p>
        </w:tc>
        <w:tc>
          <w:tcPr>
            <w:tcW w:w="1728" w:type="dxa"/>
          </w:tcPr>
          <w:p w14:paraId="57278E45" w14:textId="77777777" w:rsidR="001A6E52" w:rsidRPr="006D2C8B" w:rsidRDefault="00281488" w:rsidP="006D2C8B">
            <w:pPr>
              <w:spacing w:line="360" w:lineRule="auto"/>
              <w:contextualSpacing/>
              <w:jc w:val="both"/>
              <w:rPr>
                <w:rFonts w:cs="Arial"/>
              </w:rPr>
            </w:pPr>
            <w:r w:rsidRPr="006D2C8B">
              <w:rPr>
                <w:rFonts w:cs="Arial"/>
              </w:rPr>
              <w:t>Quarterly</w:t>
            </w:r>
          </w:p>
        </w:tc>
        <w:tc>
          <w:tcPr>
            <w:tcW w:w="1728" w:type="dxa"/>
          </w:tcPr>
          <w:p w14:paraId="2389D7B1" w14:textId="77777777" w:rsidR="001A6E52" w:rsidRPr="006D2C8B" w:rsidRDefault="00281488" w:rsidP="006D2C8B">
            <w:pPr>
              <w:spacing w:line="360" w:lineRule="auto"/>
              <w:contextualSpacing/>
              <w:jc w:val="both"/>
              <w:rPr>
                <w:rFonts w:cs="Arial"/>
              </w:rPr>
            </w:pPr>
            <w:r w:rsidRPr="006D2C8B">
              <w:rPr>
                <w:rFonts w:cs="Arial"/>
              </w:rPr>
              <w:t>Legal Team</w:t>
            </w:r>
          </w:p>
        </w:tc>
      </w:tr>
      <w:tr w:rsidR="001A6E52" w:rsidRPr="006D2C8B" w14:paraId="18FA1C74" w14:textId="77777777">
        <w:tc>
          <w:tcPr>
            <w:tcW w:w="1728" w:type="dxa"/>
          </w:tcPr>
          <w:p w14:paraId="618FA889" w14:textId="77777777" w:rsidR="001A6E52" w:rsidRPr="006D2C8B" w:rsidRDefault="00281488" w:rsidP="006D2C8B">
            <w:pPr>
              <w:spacing w:line="360" w:lineRule="auto"/>
              <w:contextualSpacing/>
              <w:jc w:val="both"/>
              <w:rPr>
                <w:rFonts w:cs="Arial"/>
              </w:rPr>
            </w:pPr>
            <w:r w:rsidRPr="006D2C8B">
              <w:rPr>
                <w:rFonts w:cs="Arial"/>
              </w:rPr>
              <w:t>Technology Partners</w:t>
            </w:r>
          </w:p>
        </w:tc>
        <w:tc>
          <w:tcPr>
            <w:tcW w:w="1728" w:type="dxa"/>
          </w:tcPr>
          <w:p w14:paraId="5F418BA0" w14:textId="77777777" w:rsidR="001A6E52" w:rsidRPr="006D2C8B" w:rsidRDefault="00281488" w:rsidP="006D2C8B">
            <w:pPr>
              <w:spacing w:line="360" w:lineRule="auto"/>
              <w:contextualSpacing/>
              <w:jc w:val="both"/>
              <w:rPr>
                <w:rFonts w:cs="Arial"/>
              </w:rPr>
            </w:pPr>
            <w:r w:rsidRPr="006D2C8B">
              <w:rPr>
                <w:rFonts w:cs="Arial"/>
              </w:rPr>
              <w:t>Integration status</w:t>
            </w:r>
          </w:p>
        </w:tc>
        <w:tc>
          <w:tcPr>
            <w:tcW w:w="1728" w:type="dxa"/>
          </w:tcPr>
          <w:p w14:paraId="70965CA1" w14:textId="77777777" w:rsidR="001A6E52" w:rsidRPr="006D2C8B" w:rsidRDefault="00281488" w:rsidP="006D2C8B">
            <w:pPr>
              <w:spacing w:line="360" w:lineRule="auto"/>
              <w:contextualSpacing/>
              <w:jc w:val="both"/>
              <w:rPr>
                <w:rFonts w:cs="Arial"/>
              </w:rPr>
            </w:pPr>
            <w:r w:rsidRPr="006D2C8B">
              <w:rPr>
                <w:rFonts w:cs="Arial"/>
              </w:rPr>
              <w:t>Online meetings</w:t>
            </w:r>
          </w:p>
        </w:tc>
        <w:tc>
          <w:tcPr>
            <w:tcW w:w="1728" w:type="dxa"/>
          </w:tcPr>
          <w:p w14:paraId="536C6EB8" w14:textId="77777777" w:rsidR="001A6E52" w:rsidRPr="006D2C8B" w:rsidRDefault="00281488" w:rsidP="006D2C8B">
            <w:pPr>
              <w:spacing w:line="360" w:lineRule="auto"/>
              <w:contextualSpacing/>
              <w:jc w:val="both"/>
              <w:rPr>
                <w:rFonts w:cs="Arial"/>
              </w:rPr>
            </w:pPr>
            <w:r w:rsidRPr="006D2C8B">
              <w:rPr>
                <w:rFonts w:cs="Arial"/>
              </w:rPr>
              <w:t>Monthly</w:t>
            </w:r>
          </w:p>
        </w:tc>
        <w:tc>
          <w:tcPr>
            <w:tcW w:w="1728" w:type="dxa"/>
          </w:tcPr>
          <w:p w14:paraId="01E067C8" w14:textId="77777777" w:rsidR="001A6E52" w:rsidRPr="006D2C8B" w:rsidRDefault="00281488" w:rsidP="006D2C8B">
            <w:pPr>
              <w:spacing w:line="360" w:lineRule="auto"/>
              <w:contextualSpacing/>
              <w:jc w:val="both"/>
              <w:rPr>
                <w:rFonts w:cs="Arial"/>
              </w:rPr>
            </w:pPr>
            <w:r w:rsidRPr="006D2C8B">
              <w:rPr>
                <w:rFonts w:cs="Arial"/>
              </w:rPr>
              <w:t>Project Manager</w:t>
            </w:r>
          </w:p>
        </w:tc>
      </w:tr>
    </w:tbl>
    <w:p w14:paraId="4E225BD8" w14:textId="77777777" w:rsidR="001A6E52" w:rsidRPr="006D2C8B" w:rsidRDefault="00281488" w:rsidP="006D2C8B">
      <w:pPr>
        <w:spacing w:line="360" w:lineRule="auto"/>
        <w:contextualSpacing/>
        <w:jc w:val="both"/>
        <w:rPr>
          <w:rFonts w:cs="Arial"/>
        </w:rPr>
      </w:pPr>
      <w:r w:rsidRPr="006D2C8B">
        <w:rPr>
          <w:rFonts w:cs="Arial"/>
        </w:rPr>
        <w:t>Source: Author (2026).</w:t>
      </w:r>
    </w:p>
    <w:p w14:paraId="172A45D0" w14:textId="77777777" w:rsidR="001A6E52" w:rsidRPr="006D2C8B" w:rsidRDefault="00281488" w:rsidP="006D2C8B">
      <w:pPr>
        <w:spacing w:line="360" w:lineRule="auto"/>
        <w:contextualSpacing/>
        <w:jc w:val="both"/>
        <w:rPr>
          <w:rFonts w:cs="Arial"/>
        </w:rPr>
      </w:pPr>
      <w:r w:rsidRPr="006D2C8B">
        <w:rPr>
          <w:rFonts w:cs="Arial"/>
        </w:rPr>
        <w:t xml:space="preserve">The communication plan outlines how information will be shared with each stakeholder group throughout the </w:t>
      </w:r>
      <w:proofErr w:type="spellStart"/>
      <w:r w:rsidRPr="006D2C8B">
        <w:rPr>
          <w:rFonts w:cs="Arial"/>
        </w:rPr>
        <w:t>ConnectPlus</w:t>
      </w:r>
      <w:proofErr w:type="spellEnd"/>
      <w:r w:rsidRPr="006D2C8B">
        <w:rPr>
          <w:rFonts w:cs="Arial"/>
        </w:rPr>
        <w:t xml:space="preserve"> project. Regular and transparent communication helps build trust, manage expectations, and improve stakeholder engagement.</w:t>
      </w:r>
    </w:p>
    <w:p w14:paraId="4BC4F5F5" w14:textId="0BBC03C9" w:rsidR="001A6E52" w:rsidRPr="006D2C8B" w:rsidRDefault="00281488" w:rsidP="006D2C8B">
      <w:pPr>
        <w:spacing w:line="360" w:lineRule="auto"/>
        <w:contextualSpacing/>
        <w:jc w:val="both"/>
        <w:rPr>
          <w:rFonts w:cs="Arial"/>
        </w:rPr>
      </w:pPr>
      <w:r w:rsidRPr="006D2C8B">
        <w:rPr>
          <w:rFonts w:cs="Arial"/>
          <w:b/>
          <w:bCs/>
        </w:rPr>
        <w:t>Executive Leadership</w:t>
      </w:r>
      <w:r w:rsidR="005773FE" w:rsidRPr="006D2C8B">
        <w:rPr>
          <w:rFonts w:cs="Arial"/>
          <w:b/>
          <w:bCs/>
        </w:rPr>
        <w:t>:</w:t>
      </w:r>
      <w:r w:rsidRPr="006D2C8B">
        <w:rPr>
          <w:rFonts w:cs="Arial"/>
        </w:rPr>
        <w:t xml:space="preserve"> </w:t>
      </w:r>
      <w:r w:rsidR="001051DA" w:rsidRPr="006D2C8B">
        <w:rPr>
          <w:rFonts w:cs="Arial"/>
        </w:rPr>
        <w:t>B</w:t>
      </w:r>
      <w:r w:rsidRPr="006D2C8B">
        <w:rPr>
          <w:rFonts w:cs="Arial"/>
        </w:rPr>
        <w:t>ears ultimate responsibility for strategic direction, resource allocation, and organisational accountability. Benefits include positioning Amazon as an innovation leader in AI-driven customer engagement, generating substantial revenue streams, and enhancing shareholder value. However, executives face significant financial risk, as large-scale technology projects frequently experience cost overruns and timeline delays (Flyvbjerg et al., 2003).</w:t>
      </w:r>
    </w:p>
    <w:p w14:paraId="5E1C9716" w14:textId="6686ADE7" w:rsidR="001A6E52" w:rsidRPr="006D2C8B" w:rsidRDefault="00FE547D" w:rsidP="006D2C8B">
      <w:pPr>
        <w:spacing w:line="360" w:lineRule="auto"/>
        <w:contextualSpacing/>
        <w:jc w:val="both"/>
        <w:rPr>
          <w:rFonts w:cs="Arial"/>
        </w:rPr>
      </w:pPr>
      <w:r w:rsidRPr="006D2C8B">
        <w:rPr>
          <w:rFonts w:cs="Arial"/>
          <w:b/>
          <w:bCs/>
        </w:rPr>
        <w:t xml:space="preserve">Product Development Teams: </w:t>
      </w:r>
      <w:r w:rsidRPr="006D2C8B">
        <w:rPr>
          <w:rFonts w:cs="Arial"/>
        </w:rPr>
        <w:t>Translate the strategic vision into functional reality</w:t>
      </w:r>
      <w:r w:rsidR="00281488" w:rsidRPr="006D2C8B">
        <w:rPr>
          <w:rFonts w:cs="Arial"/>
        </w:rPr>
        <w:t>. Benefits include enhanced team reputation, opportunities for career advancement, and skill development in cutting-edge AI technologies. Challenges include intense pressure to meet aggressive timelines while maintaining code quality and system security (Brynjolfsson and McAfee, 2014).</w:t>
      </w:r>
    </w:p>
    <w:p w14:paraId="09DD1417" w14:textId="159B8B3A" w:rsidR="001A6E52" w:rsidRPr="006D2C8B" w:rsidRDefault="00281488" w:rsidP="006D2C8B">
      <w:pPr>
        <w:spacing w:line="360" w:lineRule="auto"/>
        <w:contextualSpacing/>
        <w:jc w:val="both"/>
        <w:rPr>
          <w:rFonts w:cs="Arial"/>
        </w:rPr>
      </w:pPr>
      <w:r w:rsidRPr="006D2C8B">
        <w:rPr>
          <w:rFonts w:cs="Arial"/>
          <w:b/>
          <w:bCs/>
        </w:rPr>
        <w:lastRenderedPageBreak/>
        <w:t>Marketing and Sales Departments</w:t>
      </w:r>
      <w:r w:rsidR="00822494" w:rsidRPr="006D2C8B">
        <w:rPr>
          <w:rFonts w:cs="Arial"/>
          <w:b/>
          <w:bCs/>
        </w:rPr>
        <w:t>:</w:t>
      </w:r>
      <w:r w:rsidRPr="006D2C8B">
        <w:rPr>
          <w:rFonts w:cs="Arial"/>
        </w:rPr>
        <w:t xml:space="preserve"> </w:t>
      </w:r>
      <w:r w:rsidR="001051DA" w:rsidRPr="006D2C8B">
        <w:rPr>
          <w:rFonts w:cs="Arial"/>
        </w:rPr>
        <w:t>M</w:t>
      </w:r>
      <w:r w:rsidRPr="006D2C8B">
        <w:rPr>
          <w:rFonts w:cs="Arial"/>
        </w:rPr>
        <w:t xml:space="preserve">ust create compelling narratives about platform capabilities and drive adoption. Benefits include revenue generation and </w:t>
      </w:r>
      <w:proofErr w:type="gramStart"/>
      <w:r w:rsidRPr="006D2C8B">
        <w:rPr>
          <w:rFonts w:cs="Arial"/>
        </w:rPr>
        <w:t>increased</w:t>
      </w:r>
      <w:proofErr w:type="gramEnd"/>
      <w:r w:rsidRPr="006D2C8B">
        <w:rPr>
          <w:rFonts w:cs="Arial"/>
        </w:rPr>
        <w:t xml:space="preserve"> organisational visibility. A critical tension emerges between marketing promises and product reality, requiring careful expectation management (Kotler and Keller, 2016).</w:t>
      </w:r>
    </w:p>
    <w:p w14:paraId="01587BD1" w14:textId="2238EF9E" w:rsidR="001A6E52" w:rsidRPr="006D2C8B" w:rsidRDefault="00281488" w:rsidP="006D2C8B">
      <w:pPr>
        <w:spacing w:line="360" w:lineRule="auto"/>
        <w:contextualSpacing/>
        <w:jc w:val="both"/>
        <w:rPr>
          <w:rFonts w:cs="Arial"/>
        </w:rPr>
      </w:pPr>
      <w:r w:rsidRPr="006D2C8B">
        <w:rPr>
          <w:rFonts w:cs="Arial"/>
          <w:b/>
          <w:bCs/>
        </w:rPr>
        <w:t>Customers and End Users</w:t>
      </w:r>
      <w:r w:rsidR="00822494" w:rsidRPr="006D2C8B">
        <w:rPr>
          <w:rFonts w:cs="Arial"/>
          <w:b/>
          <w:bCs/>
        </w:rPr>
        <w:t>:</w:t>
      </w:r>
      <w:r w:rsidRPr="006D2C8B">
        <w:rPr>
          <w:rFonts w:cs="Arial"/>
        </w:rPr>
        <w:t xml:space="preserve"> </w:t>
      </w:r>
      <w:r w:rsidR="001051DA" w:rsidRPr="006D2C8B">
        <w:rPr>
          <w:rFonts w:cs="Arial"/>
        </w:rPr>
        <w:t>G</w:t>
      </w:r>
      <w:r w:rsidRPr="006D2C8B">
        <w:rPr>
          <w:rFonts w:cs="Arial"/>
        </w:rPr>
        <w:t xml:space="preserve">ain access to </w:t>
      </w:r>
      <w:proofErr w:type="spellStart"/>
      <w:r w:rsidRPr="006D2C8B">
        <w:rPr>
          <w:rFonts w:cs="Arial"/>
        </w:rPr>
        <w:t>personalised</w:t>
      </w:r>
      <w:proofErr w:type="spellEnd"/>
      <w:r w:rsidRPr="006D2C8B">
        <w:rPr>
          <w:rFonts w:cs="Arial"/>
        </w:rPr>
        <w:t xml:space="preserve"> recommendations and tailored rewards. However, a fundamental tension exists between </w:t>
      </w:r>
      <w:proofErr w:type="spellStart"/>
      <w:r w:rsidRPr="006D2C8B">
        <w:rPr>
          <w:rFonts w:cs="Arial"/>
        </w:rPr>
        <w:t>personalisation</w:t>
      </w:r>
      <w:proofErr w:type="spellEnd"/>
      <w:r w:rsidRPr="006D2C8B">
        <w:rPr>
          <w:rFonts w:cs="Arial"/>
        </w:rPr>
        <w:t xml:space="preserve"> benefits and data privacy concerns, requiring trust in Amazo</w:t>
      </w:r>
      <w:r w:rsidR="00A51736" w:rsidRPr="006D2C8B">
        <w:rPr>
          <w:rFonts w:cs="Arial"/>
        </w:rPr>
        <w:t>n’s</w:t>
      </w:r>
      <w:r w:rsidRPr="006D2C8B">
        <w:rPr>
          <w:rFonts w:cs="Arial"/>
        </w:rPr>
        <w:t xml:space="preserve"> data handling (Zuboff, 2019).</w:t>
      </w:r>
    </w:p>
    <w:p w14:paraId="3A92C303" w14:textId="185B4C90" w:rsidR="001A6E52" w:rsidRPr="006D2C8B" w:rsidRDefault="00281488" w:rsidP="006D2C8B">
      <w:pPr>
        <w:spacing w:line="360" w:lineRule="auto"/>
        <w:contextualSpacing/>
        <w:jc w:val="both"/>
        <w:rPr>
          <w:rFonts w:cs="Arial"/>
        </w:rPr>
      </w:pPr>
      <w:r w:rsidRPr="006D2C8B">
        <w:rPr>
          <w:rFonts w:cs="Arial"/>
          <w:b/>
          <w:bCs/>
        </w:rPr>
        <w:t>Regulatory Bodies</w:t>
      </w:r>
      <w:r w:rsidR="00FF5ABB" w:rsidRPr="006D2C8B">
        <w:rPr>
          <w:rFonts w:cs="Arial"/>
        </w:rPr>
        <w:t xml:space="preserve">: </w:t>
      </w:r>
      <w:r w:rsidR="001051DA" w:rsidRPr="006D2C8B">
        <w:rPr>
          <w:rFonts w:cs="Arial"/>
        </w:rPr>
        <w:t>M</w:t>
      </w:r>
      <w:r w:rsidRPr="006D2C8B">
        <w:rPr>
          <w:rFonts w:cs="Arial"/>
        </w:rPr>
        <w:t xml:space="preserve">ust ensure compliance with data protection laws and consumer protection regulations. They increasingly </w:t>
      </w:r>
      <w:proofErr w:type="spellStart"/>
      <w:r w:rsidRPr="006D2C8B">
        <w:rPr>
          <w:rFonts w:cs="Arial"/>
        </w:rPr>
        <w:t>scrutinise</w:t>
      </w:r>
      <w:proofErr w:type="spellEnd"/>
      <w:r w:rsidRPr="006D2C8B">
        <w:rPr>
          <w:rFonts w:cs="Arial"/>
        </w:rPr>
        <w:t xml:space="preserve"> AI systems for bias and fairness, requiring transparent communication regarding data handling practices.</w:t>
      </w:r>
    </w:p>
    <w:p w14:paraId="2B502BE0" w14:textId="4AD36CF2" w:rsidR="001A6E52" w:rsidRPr="006D2C8B" w:rsidRDefault="00FF5ABB" w:rsidP="006D2C8B">
      <w:pPr>
        <w:spacing w:line="360" w:lineRule="auto"/>
        <w:contextualSpacing/>
        <w:jc w:val="both"/>
        <w:rPr>
          <w:rFonts w:cs="Arial"/>
        </w:rPr>
      </w:pPr>
      <w:r w:rsidRPr="006D2C8B">
        <w:rPr>
          <w:rFonts w:cs="Arial"/>
          <w:b/>
          <w:bCs/>
        </w:rPr>
        <w:t>Te</w:t>
      </w:r>
      <w:r w:rsidR="00281488" w:rsidRPr="006D2C8B">
        <w:rPr>
          <w:rFonts w:cs="Arial"/>
          <w:b/>
          <w:bCs/>
        </w:rPr>
        <w:t>chnology Partners and Vendors</w:t>
      </w:r>
      <w:r w:rsidRPr="006D2C8B">
        <w:rPr>
          <w:rFonts w:cs="Arial"/>
          <w:b/>
          <w:bCs/>
        </w:rPr>
        <w:t>:</w:t>
      </w:r>
      <w:r w:rsidR="00281488" w:rsidRPr="006D2C8B">
        <w:rPr>
          <w:rFonts w:cs="Arial"/>
        </w:rPr>
        <w:t xml:space="preserve"> </w:t>
      </w:r>
      <w:r w:rsidR="001051DA" w:rsidRPr="006D2C8B">
        <w:rPr>
          <w:rFonts w:cs="Arial"/>
        </w:rPr>
        <w:t>P</w:t>
      </w:r>
      <w:r w:rsidR="00281488" w:rsidRPr="006D2C8B">
        <w:rPr>
          <w:rFonts w:cs="Arial"/>
        </w:rPr>
        <w:t>rovide critical infrastructure. Benefits include revenue opportunities and long-term business relationships. A tension exists between vendor dependency and Amazo</w:t>
      </w:r>
      <w:r w:rsidR="00A51736" w:rsidRPr="006D2C8B">
        <w:rPr>
          <w:rFonts w:cs="Arial"/>
        </w:rPr>
        <w:t>n’s</w:t>
      </w:r>
      <w:r w:rsidR="00281488" w:rsidRPr="006D2C8B">
        <w:rPr>
          <w:rFonts w:cs="Arial"/>
        </w:rPr>
        <w:t xml:space="preserve"> desire for technological autonomy (Porter, 1985).</w:t>
      </w:r>
    </w:p>
    <w:p w14:paraId="373A70DE" w14:textId="033E12F6" w:rsidR="00A873AF" w:rsidRPr="006D2C8B" w:rsidRDefault="00A873AF" w:rsidP="006D2C8B">
      <w:pPr>
        <w:spacing w:line="360" w:lineRule="auto"/>
        <w:contextualSpacing/>
        <w:jc w:val="both"/>
        <w:rPr>
          <w:rFonts w:cs="Arial"/>
        </w:rPr>
      </w:pPr>
      <w:r w:rsidRPr="006D2C8B">
        <w:rPr>
          <w:rFonts w:cs="Arial"/>
        </w:rPr>
        <w:t xml:space="preserve">The roles and responsibilities of stakeholders extend beyond their individual contributions and require continuous collaboration throughout the project lifecycle. Effective stakeholder communication ensures that expectations remain aligned with organisational objectives while reducing uncertainty and resistance to change. For the </w:t>
      </w:r>
      <w:proofErr w:type="spellStart"/>
      <w:r w:rsidRPr="006D2C8B">
        <w:rPr>
          <w:rFonts w:cs="Arial"/>
        </w:rPr>
        <w:t>ConnectPlus</w:t>
      </w:r>
      <w:proofErr w:type="spellEnd"/>
      <w:r w:rsidRPr="006D2C8B">
        <w:rPr>
          <w:rFonts w:cs="Arial"/>
        </w:rPr>
        <w:t xml:space="preserve"> project, maintaining open communication channels between executive leadership, technical teams, customers and regulatory bodies enables Amazon to respond proactively to emerging risks and changing stakeholder expectations. Furthermore, clearly defined responsibilities improve accountability, strengthen decision-making and encourage greater stakeholder commitment, ultimately increasing the likelihood of successful project delivery.</w:t>
      </w:r>
    </w:p>
    <w:p w14:paraId="3DAFF0E4" w14:textId="77777777" w:rsidR="001A6E52" w:rsidRPr="002B402C" w:rsidRDefault="00281488" w:rsidP="006D2C8B">
      <w:pPr>
        <w:pStyle w:val="Heading1"/>
        <w:spacing w:line="360" w:lineRule="auto"/>
        <w:contextualSpacing/>
        <w:jc w:val="both"/>
        <w:rPr>
          <w:rFonts w:ascii="Arial" w:hAnsi="Arial" w:cs="Arial"/>
          <w:color w:val="0070C0"/>
        </w:rPr>
      </w:pPr>
      <w:bookmarkStart w:id="8" w:name="_Toc235200901"/>
      <w:r w:rsidRPr="002B402C">
        <w:rPr>
          <w:rFonts w:ascii="Arial" w:hAnsi="Arial" w:cs="Arial"/>
          <w:color w:val="0070C0"/>
        </w:rPr>
        <w:t>5. Stakeholder Engagement Process and Conflict Management</w:t>
      </w:r>
      <w:bookmarkEnd w:id="8"/>
    </w:p>
    <w:p w14:paraId="21B91D5E" w14:textId="23B22D5C" w:rsidR="001A6E52" w:rsidRPr="006D2C8B" w:rsidRDefault="00281488" w:rsidP="006D2C8B">
      <w:pPr>
        <w:spacing w:line="360" w:lineRule="auto"/>
        <w:contextualSpacing/>
        <w:jc w:val="both"/>
        <w:rPr>
          <w:rFonts w:cs="Arial"/>
        </w:rPr>
      </w:pPr>
      <w:r w:rsidRPr="006D2C8B">
        <w:rPr>
          <w:rFonts w:cs="Arial"/>
        </w:rPr>
        <w:t>Effective stakeholder engagement requires a systematic five-step process: Planning and Preparation (identifying interests and concerns), Engagement and Communication (tailored communication), Collaboration and Partnership Development (forums for input), Conflict Resolution and Issue Management (negotiation and compromise), and Evaluation and Relationship Maintenance (ongoing assessment) (Savage et al., 1991).</w:t>
      </w:r>
    </w:p>
    <w:p w14:paraId="55A85E03" w14:textId="1A703094" w:rsidR="001A6E52" w:rsidRPr="006D2C8B" w:rsidRDefault="00281488" w:rsidP="006D2C8B">
      <w:pPr>
        <w:spacing w:line="360" w:lineRule="auto"/>
        <w:contextualSpacing/>
        <w:jc w:val="both"/>
        <w:rPr>
          <w:rFonts w:cs="Arial"/>
        </w:rPr>
      </w:pPr>
      <w:r w:rsidRPr="006D2C8B">
        <w:rPr>
          <w:rFonts w:cs="Arial"/>
        </w:rPr>
        <w:t xml:space="preserve">To manage the gap between Stakeholder Wants and Needs (SWANS) and the </w:t>
      </w:r>
      <w:proofErr w:type="spellStart"/>
      <w:r w:rsidR="002C647E" w:rsidRPr="006D2C8B">
        <w:rPr>
          <w:rFonts w:cs="Arial"/>
        </w:rPr>
        <w:t>Organisation’s</w:t>
      </w:r>
      <w:proofErr w:type="spellEnd"/>
      <w:r w:rsidRPr="006D2C8B">
        <w:rPr>
          <w:rFonts w:cs="Arial"/>
        </w:rPr>
        <w:t xml:space="preserve"> Wants and Needs (OWANS), the project manager must align expectations early in the project lifecycle. SWANS refers to what stakeholders expect and desire from </w:t>
      </w:r>
      <w:r w:rsidRPr="006D2C8B">
        <w:rPr>
          <w:rFonts w:cs="Arial"/>
        </w:rPr>
        <w:lastRenderedPageBreak/>
        <w:t xml:space="preserve">the project, while OWANS represents the </w:t>
      </w:r>
      <w:proofErr w:type="spellStart"/>
      <w:r w:rsidRPr="006D2C8B">
        <w:rPr>
          <w:rFonts w:cs="Arial"/>
        </w:rPr>
        <w:t>organisatio</w:t>
      </w:r>
      <w:r w:rsidR="00A51736" w:rsidRPr="006D2C8B">
        <w:rPr>
          <w:rFonts w:cs="Arial"/>
        </w:rPr>
        <w:t>n’s</w:t>
      </w:r>
      <w:proofErr w:type="spellEnd"/>
      <w:r w:rsidRPr="006D2C8B">
        <w:rPr>
          <w:rFonts w:cs="Arial"/>
        </w:rPr>
        <w:t xml:space="preserve"> objectives and requirements. Effective alignment between SWANS and OWANS is crucial for reducing risks and increasing opportunities for project success, ensuring that the expectations of both parties are considered and managed transparently.</w:t>
      </w:r>
    </w:p>
    <w:p w14:paraId="08C86521" w14:textId="5CD125CB" w:rsidR="00A118F0" w:rsidRPr="006D2C8B" w:rsidRDefault="00A118F0" w:rsidP="006D2C8B">
      <w:pPr>
        <w:spacing w:line="360" w:lineRule="auto"/>
        <w:contextualSpacing/>
        <w:jc w:val="both"/>
        <w:rPr>
          <w:rFonts w:cs="Arial"/>
        </w:rPr>
      </w:pPr>
      <w:r w:rsidRPr="006D2C8B">
        <w:rPr>
          <w:rFonts w:cs="Arial"/>
        </w:rPr>
        <w:t xml:space="preserve">The success of stakeholder engagement depends on continuous dialogue rather than one-off communication activities. Throughout the </w:t>
      </w:r>
      <w:proofErr w:type="spellStart"/>
      <w:r w:rsidRPr="006D2C8B">
        <w:rPr>
          <w:rFonts w:cs="Arial"/>
        </w:rPr>
        <w:t>ConnectPlus</w:t>
      </w:r>
      <w:proofErr w:type="spellEnd"/>
      <w:r w:rsidRPr="006D2C8B">
        <w:rPr>
          <w:rFonts w:cs="Arial"/>
        </w:rPr>
        <w:t xml:space="preserve"> project, stakeholder expectations are likely to evolve as the platform moves from development to implementation and post-launch evaluation. Consequently, Amazon should establish regular review meetings, stakeholder feedback mechanisms and performance monitoring processes to identify emerging concerns before they develop into significant project risks. This proactive approach enables project managers to adapt engagement strategies according to stakeholder feedback, strengthening trust, improving stakeholder satisfaction and supporting long-term collaboration. Furthermore, continuous engagement allows Amazon to respond more effectively to changing market conditions, regulatory developments and technological advancements, ensuring that stakeholder expectations remain aligned with organisational objectives throughout the project lifecycle.</w:t>
      </w:r>
    </w:p>
    <w:p w14:paraId="372B8224" w14:textId="5071EE4C" w:rsidR="001A6E52" w:rsidRPr="006D2C8B" w:rsidRDefault="00281488" w:rsidP="006D2C8B">
      <w:pPr>
        <w:spacing w:line="360" w:lineRule="auto"/>
        <w:contextualSpacing/>
        <w:jc w:val="both"/>
        <w:rPr>
          <w:rFonts w:cs="Arial"/>
        </w:rPr>
      </w:pPr>
      <w:r w:rsidRPr="006D2C8B">
        <w:rPr>
          <w:rFonts w:cs="Arial"/>
        </w:rPr>
        <w:t>The RACI Matrix (Responsible, Accountable, Consulted, Informed) is fundamental for clarifying decision-making authority and preventing confusion about who is responsible for each activity, who is ultimately accountable, who should be consulted during decision-making, and who should be informed about project progress.</w:t>
      </w:r>
      <w:r w:rsidR="00620B1C" w:rsidRPr="006D2C8B">
        <w:rPr>
          <w:rFonts w:cs="Arial"/>
        </w:rPr>
        <w:t xml:space="preserve"> </w:t>
      </w:r>
    </w:p>
    <w:p w14:paraId="374FD9F3" w14:textId="77777777" w:rsidR="00DB551A" w:rsidRPr="002B402C" w:rsidRDefault="00DB551A" w:rsidP="006D2C8B">
      <w:pPr>
        <w:pStyle w:val="Heading2"/>
        <w:spacing w:line="360" w:lineRule="auto"/>
        <w:contextualSpacing/>
        <w:rPr>
          <w:rFonts w:ascii="Arial" w:hAnsi="Arial" w:cs="Arial"/>
          <w:color w:val="0070C0"/>
          <w:sz w:val="24"/>
          <w:szCs w:val="24"/>
        </w:rPr>
      </w:pPr>
      <w:bookmarkStart w:id="9" w:name="_Toc235200902"/>
      <w:r w:rsidRPr="002B402C">
        <w:rPr>
          <w:rFonts w:ascii="Arial" w:hAnsi="Arial" w:cs="Arial"/>
          <w:color w:val="0070C0"/>
          <w:sz w:val="24"/>
          <w:szCs w:val="24"/>
        </w:rPr>
        <w:t>5.1 Monitoring and Continuous Stakeholder Engagement</w:t>
      </w:r>
      <w:bookmarkEnd w:id="9"/>
    </w:p>
    <w:p w14:paraId="0D692110" w14:textId="77777777" w:rsidR="00DB551A" w:rsidRPr="006D2C8B" w:rsidRDefault="00DB551A" w:rsidP="006D2C8B">
      <w:pPr>
        <w:spacing w:line="360" w:lineRule="auto"/>
        <w:contextualSpacing/>
        <w:jc w:val="both"/>
        <w:rPr>
          <w:rFonts w:cs="Arial"/>
        </w:rPr>
      </w:pPr>
      <w:r w:rsidRPr="006D2C8B">
        <w:rPr>
          <w:rFonts w:cs="Arial"/>
        </w:rPr>
        <w:t xml:space="preserve">Stakeholder engagement should not end once communication plans have been implemented. Instead, organisations should continuously monitor stakeholder satisfaction, expectations and levels of support throughout the project lifecycle. In the </w:t>
      </w:r>
      <w:proofErr w:type="spellStart"/>
      <w:r w:rsidRPr="006D2C8B">
        <w:rPr>
          <w:rFonts w:cs="Arial"/>
        </w:rPr>
        <w:t>ConnectPlus</w:t>
      </w:r>
      <w:proofErr w:type="spellEnd"/>
      <w:r w:rsidRPr="006D2C8B">
        <w:rPr>
          <w:rFonts w:cs="Arial"/>
        </w:rPr>
        <w:t xml:space="preserve"> project, Amazon can achieve this by establishing Key Performance Indicators (KPIs) that measure stakeholder engagement, such as customer satisfaction scores, employee engagement surveys, response times to stakeholder concerns, regulatory compliance performance and stakeholder participation in consultation activities. Regular monitoring enables project managers to identify potential issues before they escalate into significant risks and allows engagement strategies to be adapted as stakeholder expectations evolve.</w:t>
      </w:r>
    </w:p>
    <w:p w14:paraId="152617DD" w14:textId="77777777" w:rsidR="00DB551A" w:rsidRPr="006D2C8B" w:rsidRDefault="00DB551A" w:rsidP="006D2C8B">
      <w:pPr>
        <w:spacing w:line="360" w:lineRule="auto"/>
        <w:contextualSpacing/>
        <w:jc w:val="both"/>
        <w:rPr>
          <w:rFonts w:cs="Arial"/>
        </w:rPr>
      </w:pPr>
      <w:r w:rsidRPr="006D2C8B">
        <w:rPr>
          <w:rFonts w:cs="Arial"/>
        </w:rPr>
        <w:t xml:space="preserve">Continuous stakeholder engagement also contributes to organisational learning. Feedback collected during each stage of the project can be used to improve future decision-making, strengthen collaboration between departments and enhance the </w:t>
      </w:r>
      <w:r w:rsidRPr="006D2C8B">
        <w:rPr>
          <w:rFonts w:cs="Arial"/>
        </w:rPr>
        <w:lastRenderedPageBreak/>
        <w:t>effectiveness of project governance. For example, customer feedback collected during pilot testing may reveal concerns regarding AI-generated recommendations or data privacy, enabling Amazon to make improvements before the platform is fully launched. Likewise, feedback from employees and technology partners may identify operational challenges that require additional training or technical adjustments.</w:t>
      </w:r>
    </w:p>
    <w:p w14:paraId="716E43D6" w14:textId="77777777" w:rsidR="00DB551A" w:rsidRPr="006D2C8B" w:rsidRDefault="00DB551A" w:rsidP="006D2C8B">
      <w:pPr>
        <w:spacing w:line="360" w:lineRule="auto"/>
        <w:contextualSpacing/>
        <w:jc w:val="both"/>
        <w:rPr>
          <w:rFonts w:cs="Arial"/>
        </w:rPr>
      </w:pPr>
      <w:r w:rsidRPr="006D2C8B">
        <w:rPr>
          <w:rFonts w:cs="Arial"/>
        </w:rPr>
        <w:t xml:space="preserve">Furthermore, maintaining continuous engagement demonstrates organisational transparency and accountability, which are essential for building long-term stakeholder trust. Organisations that actively review stakeholder relationships are generally better positioned to respond to changing market conditions, technological developments and regulatory requirements. Therefore, stakeholder engagement should be viewed as an ongoing strategic process rather than a series of isolated communication activities. This proactive approach strengthens stakeholder confidence, reduces resistance to change and increases the likelihood of delivering sustainable business value through the </w:t>
      </w:r>
      <w:proofErr w:type="spellStart"/>
      <w:r w:rsidRPr="006D2C8B">
        <w:rPr>
          <w:rFonts w:cs="Arial"/>
        </w:rPr>
        <w:t>ConnectPlus</w:t>
      </w:r>
      <w:proofErr w:type="spellEnd"/>
      <w:r w:rsidRPr="006D2C8B">
        <w:rPr>
          <w:rFonts w:cs="Arial"/>
        </w:rPr>
        <w:t xml:space="preserve"> platform.</w:t>
      </w:r>
    </w:p>
    <w:p w14:paraId="1B2C6BE2" w14:textId="77777777" w:rsidR="001A6E52" w:rsidRPr="006D2C8B" w:rsidRDefault="00281488" w:rsidP="006D2C8B">
      <w:pPr>
        <w:spacing w:line="360" w:lineRule="auto"/>
        <w:contextualSpacing/>
        <w:jc w:val="both"/>
        <w:rPr>
          <w:rFonts w:cs="Arial"/>
        </w:rPr>
      </w:pPr>
      <w:r w:rsidRPr="006D2C8B">
        <w:rPr>
          <w:rFonts w:cs="Arial"/>
        </w:rPr>
        <w:t xml:space="preserve">Table 4. RACI Matrix for the </w:t>
      </w:r>
      <w:proofErr w:type="spellStart"/>
      <w:r w:rsidRPr="006D2C8B">
        <w:rPr>
          <w:rFonts w:cs="Arial"/>
        </w:rPr>
        <w:t>ConnectPlus</w:t>
      </w:r>
      <w:proofErr w:type="spellEnd"/>
      <w:r w:rsidRPr="006D2C8B">
        <w:rPr>
          <w:rFonts w:cs="Arial"/>
        </w:rPr>
        <w:t xml:space="preserve"> Project</w:t>
      </w:r>
    </w:p>
    <w:tbl>
      <w:tblPr>
        <w:tblStyle w:val="TableGrid"/>
        <w:tblW w:w="0" w:type="auto"/>
        <w:tblLook w:val="04A0" w:firstRow="1" w:lastRow="0" w:firstColumn="1" w:lastColumn="0" w:noHBand="0" w:noVBand="1"/>
      </w:tblPr>
      <w:tblGrid>
        <w:gridCol w:w="1726"/>
        <w:gridCol w:w="1726"/>
        <w:gridCol w:w="1726"/>
        <w:gridCol w:w="1726"/>
        <w:gridCol w:w="1726"/>
      </w:tblGrid>
      <w:tr w:rsidR="001A6E52" w:rsidRPr="006D2C8B" w14:paraId="63662C51" w14:textId="77777777">
        <w:tc>
          <w:tcPr>
            <w:tcW w:w="1728" w:type="dxa"/>
          </w:tcPr>
          <w:p w14:paraId="1233778C" w14:textId="77777777" w:rsidR="001A6E52" w:rsidRPr="006D2C8B" w:rsidRDefault="00281488" w:rsidP="006D2C8B">
            <w:pPr>
              <w:spacing w:line="360" w:lineRule="auto"/>
              <w:contextualSpacing/>
              <w:jc w:val="center"/>
              <w:rPr>
                <w:rFonts w:cs="Arial"/>
                <w:b/>
                <w:bCs/>
              </w:rPr>
            </w:pPr>
            <w:r w:rsidRPr="006D2C8B">
              <w:rPr>
                <w:rFonts w:cs="Arial"/>
                <w:b/>
                <w:bCs/>
              </w:rPr>
              <w:t>Project Activity</w:t>
            </w:r>
          </w:p>
        </w:tc>
        <w:tc>
          <w:tcPr>
            <w:tcW w:w="1728" w:type="dxa"/>
          </w:tcPr>
          <w:p w14:paraId="5B7E0369" w14:textId="77777777" w:rsidR="001A6E52" w:rsidRPr="006D2C8B" w:rsidRDefault="00281488" w:rsidP="006D2C8B">
            <w:pPr>
              <w:spacing w:line="360" w:lineRule="auto"/>
              <w:contextualSpacing/>
              <w:jc w:val="center"/>
              <w:rPr>
                <w:rFonts w:cs="Arial"/>
                <w:b/>
                <w:bCs/>
              </w:rPr>
            </w:pPr>
            <w:r w:rsidRPr="006D2C8B">
              <w:rPr>
                <w:rFonts w:cs="Arial"/>
                <w:b/>
                <w:bCs/>
              </w:rPr>
              <w:t>Responsible (R)</w:t>
            </w:r>
          </w:p>
        </w:tc>
        <w:tc>
          <w:tcPr>
            <w:tcW w:w="1728" w:type="dxa"/>
          </w:tcPr>
          <w:p w14:paraId="0C55ACE9" w14:textId="77777777" w:rsidR="001A6E52" w:rsidRPr="006D2C8B" w:rsidRDefault="00281488" w:rsidP="006D2C8B">
            <w:pPr>
              <w:spacing w:line="360" w:lineRule="auto"/>
              <w:contextualSpacing/>
              <w:jc w:val="center"/>
              <w:rPr>
                <w:rFonts w:cs="Arial"/>
                <w:b/>
                <w:bCs/>
              </w:rPr>
            </w:pPr>
            <w:r w:rsidRPr="006D2C8B">
              <w:rPr>
                <w:rFonts w:cs="Arial"/>
                <w:b/>
                <w:bCs/>
              </w:rPr>
              <w:t>Accountable (A)</w:t>
            </w:r>
          </w:p>
        </w:tc>
        <w:tc>
          <w:tcPr>
            <w:tcW w:w="1728" w:type="dxa"/>
          </w:tcPr>
          <w:p w14:paraId="1536E635" w14:textId="77777777" w:rsidR="00A73D6A" w:rsidRPr="006D2C8B" w:rsidRDefault="00281488" w:rsidP="006D2C8B">
            <w:pPr>
              <w:spacing w:line="360" w:lineRule="auto"/>
              <w:contextualSpacing/>
              <w:jc w:val="center"/>
              <w:rPr>
                <w:rFonts w:cs="Arial"/>
                <w:b/>
                <w:bCs/>
              </w:rPr>
            </w:pPr>
            <w:r w:rsidRPr="006D2C8B">
              <w:rPr>
                <w:rFonts w:cs="Arial"/>
                <w:b/>
                <w:bCs/>
              </w:rPr>
              <w:t>Consulted</w:t>
            </w:r>
          </w:p>
          <w:p w14:paraId="4DD73159" w14:textId="2730F0AC" w:rsidR="001A6E52" w:rsidRPr="006D2C8B" w:rsidRDefault="00281488" w:rsidP="006D2C8B">
            <w:pPr>
              <w:spacing w:line="360" w:lineRule="auto"/>
              <w:contextualSpacing/>
              <w:jc w:val="center"/>
              <w:rPr>
                <w:rFonts w:cs="Arial"/>
                <w:b/>
                <w:bCs/>
              </w:rPr>
            </w:pPr>
            <w:r w:rsidRPr="006D2C8B">
              <w:rPr>
                <w:rFonts w:cs="Arial"/>
                <w:b/>
                <w:bCs/>
              </w:rPr>
              <w:t>(C)</w:t>
            </w:r>
          </w:p>
        </w:tc>
        <w:tc>
          <w:tcPr>
            <w:tcW w:w="1728" w:type="dxa"/>
          </w:tcPr>
          <w:p w14:paraId="4D253361" w14:textId="77777777" w:rsidR="00A73D6A" w:rsidRPr="006D2C8B" w:rsidRDefault="00281488" w:rsidP="006D2C8B">
            <w:pPr>
              <w:spacing w:line="360" w:lineRule="auto"/>
              <w:contextualSpacing/>
              <w:jc w:val="center"/>
              <w:rPr>
                <w:rFonts w:cs="Arial"/>
                <w:b/>
                <w:bCs/>
              </w:rPr>
            </w:pPr>
            <w:r w:rsidRPr="006D2C8B">
              <w:rPr>
                <w:rFonts w:cs="Arial"/>
                <w:b/>
                <w:bCs/>
              </w:rPr>
              <w:t>Informed</w:t>
            </w:r>
          </w:p>
          <w:p w14:paraId="538D00D7" w14:textId="1B8DC78F" w:rsidR="001A6E52" w:rsidRPr="006D2C8B" w:rsidRDefault="00281488" w:rsidP="006D2C8B">
            <w:pPr>
              <w:spacing w:line="360" w:lineRule="auto"/>
              <w:contextualSpacing/>
              <w:jc w:val="center"/>
              <w:rPr>
                <w:rFonts w:cs="Arial"/>
                <w:b/>
                <w:bCs/>
              </w:rPr>
            </w:pPr>
            <w:r w:rsidRPr="006D2C8B">
              <w:rPr>
                <w:rFonts w:cs="Arial"/>
                <w:b/>
                <w:bCs/>
              </w:rPr>
              <w:t>(I)</w:t>
            </w:r>
          </w:p>
        </w:tc>
      </w:tr>
      <w:tr w:rsidR="001A6E52" w:rsidRPr="006D2C8B" w14:paraId="36A19F40" w14:textId="77777777">
        <w:tc>
          <w:tcPr>
            <w:tcW w:w="1728" w:type="dxa"/>
          </w:tcPr>
          <w:p w14:paraId="61BF1510" w14:textId="77777777" w:rsidR="001A6E52" w:rsidRPr="006D2C8B" w:rsidRDefault="00281488" w:rsidP="006D2C8B">
            <w:pPr>
              <w:spacing w:line="360" w:lineRule="auto"/>
              <w:contextualSpacing/>
              <w:jc w:val="both"/>
              <w:rPr>
                <w:rFonts w:cs="Arial"/>
              </w:rPr>
            </w:pPr>
            <w:r w:rsidRPr="006D2C8B">
              <w:rPr>
                <w:rFonts w:cs="Arial"/>
              </w:rPr>
              <w:t>Platform Development</w:t>
            </w:r>
          </w:p>
        </w:tc>
        <w:tc>
          <w:tcPr>
            <w:tcW w:w="1728" w:type="dxa"/>
          </w:tcPr>
          <w:p w14:paraId="7A97E764" w14:textId="5E2E4E88" w:rsidR="001A6E52" w:rsidRPr="006D2C8B" w:rsidRDefault="00B203CB" w:rsidP="006D2C8B">
            <w:pPr>
              <w:spacing w:line="360" w:lineRule="auto"/>
              <w:contextualSpacing/>
              <w:jc w:val="both"/>
              <w:rPr>
                <w:rFonts w:cs="Arial"/>
              </w:rPr>
            </w:pPr>
            <w:r w:rsidRPr="006D2C8B">
              <w:rPr>
                <w:rFonts w:cs="Arial"/>
              </w:rPr>
              <w:t>Development Team</w:t>
            </w:r>
          </w:p>
        </w:tc>
        <w:tc>
          <w:tcPr>
            <w:tcW w:w="1728" w:type="dxa"/>
          </w:tcPr>
          <w:p w14:paraId="3094ECB4" w14:textId="77777777" w:rsidR="001A6E52" w:rsidRPr="006D2C8B" w:rsidRDefault="00281488" w:rsidP="006D2C8B">
            <w:pPr>
              <w:spacing w:line="360" w:lineRule="auto"/>
              <w:contextualSpacing/>
              <w:jc w:val="both"/>
              <w:rPr>
                <w:rFonts w:cs="Arial"/>
              </w:rPr>
            </w:pPr>
            <w:r w:rsidRPr="006D2C8B">
              <w:rPr>
                <w:rFonts w:cs="Arial"/>
              </w:rPr>
              <w:t>Project Manager</w:t>
            </w:r>
          </w:p>
        </w:tc>
        <w:tc>
          <w:tcPr>
            <w:tcW w:w="1728" w:type="dxa"/>
          </w:tcPr>
          <w:p w14:paraId="5C497527" w14:textId="41E06711" w:rsidR="001A6E52" w:rsidRPr="006D2C8B" w:rsidRDefault="0056733E" w:rsidP="006D2C8B">
            <w:pPr>
              <w:spacing w:line="360" w:lineRule="auto"/>
              <w:contextualSpacing/>
              <w:jc w:val="both"/>
              <w:rPr>
                <w:rFonts w:cs="Arial"/>
              </w:rPr>
            </w:pPr>
            <w:r w:rsidRPr="006D2C8B">
              <w:rPr>
                <w:rFonts w:cs="Arial"/>
              </w:rPr>
              <w:t>Product Management</w:t>
            </w:r>
          </w:p>
        </w:tc>
        <w:tc>
          <w:tcPr>
            <w:tcW w:w="1728" w:type="dxa"/>
          </w:tcPr>
          <w:p w14:paraId="0920491D" w14:textId="569A9DAA" w:rsidR="001A6E52" w:rsidRPr="006D2C8B" w:rsidRDefault="009524CE" w:rsidP="006D2C8B">
            <w:pPr>
              <w:spacing w:line="360" w:lineRule="auto"/>
              <w:contextualSpacing/>
              <w:jc w:val="both"/>
              <w:rPr>
                <w:rFonts w:cs="Arial"/>
              </w:rPr>
            </w:pPr>
            <w:r w:rsidRPr="006D2C8B">
              <w:rPr>
                <w:rFonts w:cs="Arial"/>
              </w:rPr>
              <w:t>Board of Directors</w:t>
            </w:r>
          </w:p>
        </w:tc>
      </w:tr>
      <w:tr w:rsidR="001A6E52" w:rsidRPr="006D2C8B" w14:paraId="5EAE8F16" w14:textId="77777777">
        <w:tc>
          <w:tcPr>
            <w:tcW w:w="1728" w:type="dxa"/>
          </w:tcPr>
          <w:p w14:paraId="71671930" w14:textId="77777777" w:rsidR="001A6E52" w:rsidRPr="006D2C8B" w:rsidRDefault="00281488" w:rsidP="006D2C8B">
            <w:pPr>
              <w:spacing w:line="360" w:lineRule="auto"/>
              <w:contextualSpacing/>
              <w:jc w:val="both"/>
              <w:rPr>
                <w:rFonts w:cs="Arial"/>
              </w:rPr>
            </w:pPr>
            <w:r w:rsidRPr="006D2C8B">
              <w:rPr>
                <w:rFonts w:cs="Arial"/>
              </w:rPr>
              <w:t>Customer Testing</w:t>
            </w:r>
          </w:p>
        </w:tc>
        <w:tc>
          <w:tcPr>
            <w:tcW w:w="1728" w:type="dxa"/>
          </w:tcPr>
          <w:p w14:paraId="1B3E3675" w14:textId="39C0B712" w:rsidR="001A6E52" w:rsidRPr="006D2C8B" w:rsidRDefault="0056733E" w:rsidP="006D2C8B">
            <w:pPr>
              <w:spacing w:line="360" w:lineRule="auto"/>
              <w:contextualSpacing/>
              <w:jc w:val="both"/>
              <w:rPr>
                <w:rFonts w:cs="Arial"/>
              </w:rPr>
            </w:pPr>
            <w:r w:rsidRPr="006D2C8B">
              <w:rPr>
                <w:rFonts w:cs="Arial"/>
              </w:rPr>
              <w:t>Customer Service Team</w:t>
            </w:r>
          </w:p>
        </w:tc>
        <w:tc>
          <w:tcPr>
            <w:tcW w:w="1728" w:type="dxa"/>
          </w:tcPr>
          <w:p w14:paraId="3CBBEF43" w14:textId="77777777" w:rsidR="001A6E52" w:rsidRPr="006D2C8B" w:rsidRDefault="00281488" w:rsidP="006D2C8B">
            <w:pPr>
              <w:spacing w:line="360" w:lineRule="auto"/>
              <w:contextualSpacing/>
              <w:jc w:val="both"/>
              <w:rPr>
                <w:rFonts w:cs="Arial"/>
              </w:rPr>
            </w:pPr>
            <w:r w:rsidRPr="006D2C8B">
              <w:rPr>
                <w:rFonts w:cs="Arial"/>
              </w:rPr>
              <w:t>Project Manager</w:t>
            </w:r>
          </w:p>
        </w:tc>
        <w:tc>
          <w:tcPr>
            <w:tcW w:w="1728" w:type="dxa"/>
          </w:tcPr>
          <w:p w14:paraId="10D69F21" w14:textId="77777777" w:rsidR="001A6E52" w:rsidRPr="006D2C8B" w:rsidRDefault="00281488" w:rsidP="006D2C8B">
            <w:pPr>
              <w:spacing w:line="360" w:lineRule="auto"/>
              <w:contextualSpacing/>
              <w:jc w:val="both"/>
              <w:rPr>
                <w:rFonts w:cs="Arial"/>
              </w:rPr>
            </w:pPr>
            <w:r w:rsidRPr="006D2C8B">
              <w:rPr>
                <w:rFonts w:cs="Arial"/>
              </w:rPr>
              <w:t>Customers</w:t>
            </w:r>
          </w:p>
        </w:tc>
        <w:tc>
          <w:tcPr>
            <w:tcW w:w="1728" w:type="dxa"/>
          </w:tcPr>
          <w:p w14:paraId="14A37AE6" w14:textId="44BDC114" w:rsidR="001A6E52" w:rsidRPr="006D2C8B" w:rsidRDefault="006013BD" w:rsidP="006D2C8B">
            <w:pPr>
              <w:spacing w:line="360" w:lineRule="auto"/>
              <w:contextualSpacing/>
              <w:jc w:val="both"/>
              <w:rPr>
                <w:rFonts w:cs="Arial"/>
              </w:rPr>
            </w:pPr>
            <w:r w:rsidRPr="006D2C8B">
              <w:rPr>
                <w:rFonts w:cs="Arial"/>
              </w:rPr>
              <w:t>Executive Leadership</w:t>
            </w:r>
          </w:p>
        </w:tc>
      </w:tr>
      <w:tr w:rsidR="001A6E52" w:rsidRPr="006D2C8B" w14:paraId="6424A340" w14:textId="77777777">
        <w:tc>
          <w:tcPr>
            <w:tcW w:w="1728" w:type="dxa"/>
          </w:tcPr>
          <w:p w14:paraId="69B42E69" w14:textId="77777777" w:rsidR="001A6E52" w:rsidRPr="006D2C8B" w:rsidRDefault="00281488" w:rsidP="006D2C8B">
            <w:pPr>
              <w:spacing w:line="360" w:lineRule="auto"/>
              <w:contextualSpacing/>
              <w:jc w:val="both"/>
              <w:rPr>
                <w:rFonts w:cs="Arial"/>
              </w:rPr>
            </w:pPr>
            <w:r w:rsidRPr="006D2C8B">
              <w:rPr>
                <w:rFonts w:cs="Arial"/>
              </w:rPr>
              <w:t>Marketing Campaign Launch</w:t>
            </w:r>
          </w:p>
        </w:tc>
        <w:tc>
          <w:tcPr>
            <w:tcW w:w="1728" w:type="dxa"/>
          </w:tcPr>
          <w:p w14:paraId="40654FCE" w14:textId="77777777" w:rsidR="001A6E52" w:rsidRPr="006D2C8B" w:rsidRDefault="00281488" w:rsidP="006D2C8B">
            <w:pPr>
              <w:spacing w:line="360" w:lineRule="auto"/>
              <w:contextualSpacing/>
              <w:jc w:val="both"/>
              <w:rPr>
                <w:rFonts w:cs="Arial"/>
              </w:rPr>
            </w:pPr>
            <w:r w:rsidRPr="006D2C8B">
              <w:rPr>
                <w:rFonts w:cs="Arial"/>
              </w:rPr>
              <w:t>Marketing Team</w:t>
            </w:r>
          </w:p>
        </w:tc>
        <w:tc>
          <w:tcPr>
            <w:tcW w:w="1728" w:type="dxa"/>
          </w:tcPr>
          <w:p w14:paraId="09B36DA0" w14:textId="77777777" w:rsidR="001A6E52" w:rsidRPr="006D2C8B" w:rsidRDefault="00281488" w:rsidP="006D2C8B">
            <w:pPr>
              <w:spacing w:line="360" w:lineRule="auto"/>
              <w:contextualSpacing/>
              <w:jc w:val="both"/>
              <w:rPr>
                <w:rFonts w:cs="Arial"/>
              </w:rPr>
            </w:pPr>
            <w:r w:rsidRPr="006D2C8B">
              <w:rPr>
                <w:rFonts w:cs="Arial"/>
              </w:rPr>
              <w:t>Project Manager</w:t>
            </w:r>
          </w:p>
        </w:tc>
        <w:tc>
          <w:tcPr>
            <w:tcW w:w="1728" w:type="dxa"/>
          </w:tcPr>
          <w:p w14:paraId="43815A28" w14:textId="77777777" w:rsidR="001A6E52" w:rsidRPr="006D2C8B" w:rsidRDefault="00281488" w:rsidP="006D2C8B">
            <w:pPr>
              <w:spacing w:line="360" w:lineRule="auto"/>
              <w:contextualSpacing/>
              <w:jc w:val="both"/>
              <w:rPr>
                <w:rFonts w:cs="Arial"/>
              </w:rPr>
            </w:pPr>
            <w:r w:rsidRPr="006D2C8B">
              <w:rPr>
                <w:rFonts w:cs="Arial"/>
              </w:rPr>
              <w:t>Sales Team</w:t>
            </w:r>
          </w:p>
        </w:tc>
        <w:tc>
          <w:tcPr>
            <w:tcW w:w="1728" w:type="dxa"/>
          </w:tcPr>
          <w:p w14:paraId="546C91DD" w14:textId="77777777" w:rsidR="001A6E52" w:rsidRPr="006D2C8B" w:rsidRDefault="00281488" w:rsidP="006D2C8B">
            <w:pPr>
              <w:spacing w:line="360" w:lineRule="auto"/>
              <w:contextualSpacing/>
              <w:jc w:val="both"/>
              <w:rPr>
                <w:rFonts w:cs="Arial"/>
              </w:rPr>
            </w:pPr>
            <w:r w:rsidRPr="006D2C8B">
              <w:rPr>
                <w:rFonts w:cs="Arial"/>
              </w:rPr>
              <w:t>All Stakeholders</w:t>
            </w:r>
          </w:p>
        </w:tc>
      </w:tr>
      <w:tr w:rsidR="001A6E52" w:rsidRPr="006D2C8B" w14:paraId="7E2A6481" w14:textId="77777777">
        <w:tc>
          <w:tcPr>
            <w:tcW w:w="1728" w:type="dxa"/>
          </w:tcPr>
          <w:p w14:paraId="6C97B187" w14:textId="77777777" w:rsidR="001A6E52" w:rsidRPr="006D2C8B" w:rsidRDefault="00281488" w:rsidP="006D2C8B">
            <w:pPr>
              <w:spacing w:line="360" w:lineRule="auto"/>
              <w:contextualSpacing/>
              <w:jc w:val="both"/>
              <w:rPr>
                <w:rFonts w:cs="Arial"/>
              </w:rPr>
            </w:pPr>
            <w:r w:rsidRPr="006D2C8B">
              <w:rPr>
                <w:rFonts w:cs="Arial"/>
              </w:rPr>
              <w:t>GDPR Compliance</w:t>
            </w:r>
          </w:p>
        </w:tc>
        <w:tc>
          <w:tcPr>
            <w:tcW w:w="1728" w:type="dxa"/>
          </w:tcPr>
          <w:p w14:paraId="12827BBC" w14:textId="77777777" w:rsidR="001A6E52" w:rsidRPr="006D2C8B" w:rsidRDefault="00281488" w:rsidP="006D2C8B">
            <w:pPr>
              <w:spacing w:line="360" w:lineRule="auto"/>
              <w:contextualSpacing/>
              <w:jc w:val="both"/>
              <w:rPr>
                <w:rFonts w:cs="Arial"/>
              </w:rPr>
            </w:pPr>
            <w:r w:rsidRPr="006D2C8B">
              <w:rPr>
                <w:rFonts w:cs="Arial"/>
              </w:rPr>
              <w:t>Legal Team</w:t>
            </w:r>
          </w:p>
        </w:tc>
        <w:tc>
          <w:tcPr>
            <w:tcW w:w="1728" w:type="dxa"/>
          </w:tcPr>
          <w:p w14:paraId="32D1A028" w14:textId="77777777" w:rsidR="001A6E52" w:rsidRPr="006D2C8B" w:rsidRDefault="00281488" w:rsidP="006D2C8B">
            <w:pPr>
              <w:spacing w:line="360" w:lineRule="auto"/>
              <w:contextualSpacing/>
              <w:jc w:val="both"/>
              <w:rPr>
                <w:rFonts w:cs="Arial"/>
              </w:rPr>
            </w:pPr>
            <w:r w:rsidRPr="006D2C8B">
              <w:rPr>
                <w:rFonts w:cs="Arial"/>
              </w:rPr>
              <w:t>Executive Leadership</w:t>
            </w:r>
          </w:p>
        </w:tc>
        <w:tc>
          <w:tcPr>
            <w:tcW w:w="1728" w:type="dxa"/>
          </w:tcPr>
          <w:p w14:paraId="2EF9F599" w14:textId="77777777" w:rsidR="001A6E52" w:rsidRPr="006D2C8B" w:rsidRDefault="00281488" w:rsidP="006D2C8B">
            <w:pPr>
              <w:spacing w:line="360" w:lineRule="auto"/>
              <w:contextualSpacing/>
              <w:jc w:val="both"/>
              <w:rPr>
                <w:rFonts w:cs="Arial"/>
              </w:rPr>
            </w:pPr>
            <w:r w:rsidRPr="006D2C8B">
              <w:rPr>
                <w:rFonts w:cs="Arial"/>
              </w:rPr>
              <w:t>Regulatory Bodies</w:t>
            </w:r>
          </w:p>
        </w:tc>
        <w:tc>
          <w:tcPr>
            <w:tcW w:w="1728" w:type="dxa"/>
          </w:tcPr>
          <w:p w14:paraId="464FCAF8" w14:textId="77777777" w:rsidR="001A6E52" w:rsidRPr="006D2C8B" w:rsidRDefault="00281488" w:rsidP="006D2C8B">
            <w:pPr>
              <w:spacing w:line="360" w:lineRule="auto"/>
              <w:contextualSpacing/>
              <w:jc w:val="both"/>
              <w:rPr>
                <w:rFonts w:cs="Arial"/>
              </w:rPr>
            </w:pPr>
            <w:r w:rsidRPr="006D2C8B">
              <w:rPr>
                <w:rFonts w:cs="Arial"/>
              </w:rPr>
              <w:t>Employees</w:t>
            </w:r>
          </w:p>
        </w:tc>
      </w:tr>
      <w:tr w:rsidR="001A6E52" w:rsidRPr="006D2C8B" w14:paraId="3E0AC105" w14:textId="77777777">
        <w:tc>
          <w:tcPr>
            <w:tcW w:w="1728" w:type="dxa"/>
          </w:tcPr>
          <w:p w14:paraId="3B5EB5F4" w14:textId="77777777" w:rsidR="001A6E52" w:rsidRPr="006D2C8B" w:rsidRDefault="00281488" w:rsidP="006D2C8B">
            <w:pPr>
              <w:spacing w:line="360" w:lineRule="auto"/>
              <w:contextualSpacing/>
              <w:jc w:val="both"/>
              <w:rPr>
                <w:rFonts w:cs="Arial"/>
              </w:rPr>
            </w:pPr>
            <w:r w:rsidRPr="006D2C8B">
              <w:rPr>
                <w:rFonts w:cs="Arial"/>
              </w:rPr>
              <w:t>AI System Testing</w:t>
            </w:r>
          </w:p>
        </w:tc>
        <w:tc>
          <w:tcPr>
            <w:tcW w:w="1728" w:type="dxa"/>
          </w:tcPr>
          <w:p w14:paraId="3B772CAE" w14:textId="77777777" w:rsidR="001A6E52" w:rsidRPr="006D2C8B" w:rsidRDefault="00281488" w:rsidP="006D2C8B">
            <w:pPr>
              <w:spacing w:line="360" w:lineRule="auto"/>
              <w:contextualSpacing/>
              <w:jc w:val="both"/>
              <w:rPr>
                <w:rFonts w:cs="Arial"/>
              </w:rPr>
            </w:pPr>
            <w:r w:rsidRPr="006D2C8B">
              <w:rPr>
                <w:rFonts w:cs="Arial"/>
              </w:rPr>
              <w:t>Development Team</w:t>
            </w:r>
          </w:p>
        </w:tc>
        <w:tc>
          <w:tcPr>
            <w:tcW w:w="1728" w:type="dxa"/>
          </w:tcPr>
          <w:p w14:paraId="65F9DD49" w14:textId="77777777" w:rsidR="001A6E52" w:rsidRPr="006D2C8B" w:rsidRDefault="00281488" w:rsidP="006D2C8B">
            <w:pPr>
              <w:spacing w:line="360" w:lineRule="auto"/>
              <w:contextualSpacing/>
              <w:jc w:val="both"/>
              <w:rPr>
                <w:rFonts w:cs="Arial"/>
              </w:rPr>
            </w:pPr>
            <w:r w:rsidRPr="006D2C8B">
              <w:rPr>
                <w:rFonts w:cs="Arial"/>
              </w:rPr>
              <w:t>Technical Lead</w:t>
            </w:r>
          </w:p>
        </w:tc>
        <w:tc>
          <w:tcPr>
            <w:tcW w:w="1728" w:type="dxa"/>
          </w:tcPr>
          <w:p w14:paraId="3DAB1DB3" w14:textId="77777777" w:rsidR="001A6E52" w:rsidRPr="006D2C8B" w:rsidRDefault="00281488" w:rsidP="006D2C8B">
            <w:pPr>
              <w:spacing w:line="360" w:lineRule="auto"/>
              <w:contextualSpacing/>
              <w:jc w:val="both"/>
              <w:rPr>
                <w:rFonts w:cs="Arial"/>
              </w:rPr>
            </w:pPr>
            <w:r w:rsidRPr="006D2C8B">
              <w:rPr>
                <w:rFonts w:cs="Arial"/>
              </w:rPr>
              <w:t>Technology Partners</w:t>
            </w:r>
          </w:p>
        </w:tc>
        <w:tc>
          <w:tcPr>
            <w:tcW w:w="1728" w:type="dxa"/>
          </w:tcPr>
          <w:p w14:paraId="689F303F" w14:textId="77777777" w:rsidR="001A6E52" w:rsidRPr="006D2C8B" w:rsidRDefault="00281488" w:rsidP="006D2C8B">
            <w:pPr>
              <w:spacing w:line="360" w:lineRule="auto"/>
              <w:contextualSpacing/>
              <w:jc w:val="both"/>
              <w:rPr>
                <w:rFonts w:cs="Arial"/>
              </w:rPr>
            </w:pPr>
            <w:r w:rsidRPr="006D2C8B">
              <w:rPr>
                <w:rFonts w:cs="Arial"/>
              </w:rPr>
              <w:t>Executive Leadership</w:t>
            </w:r>
          </w:p>
        </w:tc>
      </w:tr>
    </w:tbl>
    <w:p w14:paraId="3D9BB861" w14:textId="77777777" w:rsidR="001A6E52" w:rsidRPr="006D2C8B" w:rsidRDefault="00281488" w:rsidP="006D2C8B">
      <w:pPr>
        <w:spacing w:line="360" w:lineRule="auto"/>
        <w:contextualSpacing/>
        <w:jc w:val="both"/>
        <w:rPr>
          <w:rFonts w:cs="Arial"/>
        </w:rPr>
      </w:pPr>
      <w:r w:rsidRPr="006D2C8B">
        <w:rPr>
          <w:rFonts w:cs="Arial"/>
        </w:rPr>
        <w:t>Source: Author (2026).</w:t>
      </w:r>
    </w:p>
    <w:p w14:paraId="3DDD2395" w14:textId="426B782F" w:rsidR="00345817" w:rsidRPr="006D2C8B" w:rsidRDefault="00345817" w:rsidP="006D2C8B">
      <w:pPr>
        <w:spacing w:line="360" w:lineRule="auto"/>
        <w:contextualSpacing/>
        <w:jc w:val="both"/>
        <w:rPr>
          <w:rFonts w:cs="Arial"/>
        </w:rPr>
      </w:pPr>
      <w:r w:rsidRPr="006D2C8B">
        <w:rPr>
          <w:rFonts w:cs="Arial"/>
        </w:rPr>
        <w:t xml:space="preserve">Although stakeholder engagement provides significant organisational benefits, conflicts between stakeholder groups are unavoidable in large-scale digital transformation projects. For example, executive leadership may </w:t>
      </w:r>
      <w:proofErr w:type="spellStart"/>
      <w:r w:rsidRPr="006D2C8B">
        <w:rPr>
          <w:rFonts w:cs="Arial"/>
        </w:rPr>
        <w:t>prioritise</w:t>
      </w:r>
      <w:proofErr w:type="spellEnd"/>
      <w:r w:rsidRPr="006D2C8B">
        <w:rPr>
          <w:rFonts w:cs="Arial"/>
        </w:rPr>
        <w:t xml:space="preserve"> rapid implementation and financial performance, whereas regulatory authorities may require additional compliance testing before approving new AI functionalities. Similarly, customers increasingly expect </w:t>
      </w:r>
      <w:proofErr w:type="spellStart"/>
      <w:r w:rsidRPr="006D2C8B">
        <w:rPr>
          <w:rFonts w:cs="Arial"/>
        </w:rPr>
        <w:lastRenderedPageBreak/>
        <w:t>personalised</w:t>
      </w:r>
      <w:proofErr w:type="spellEnd"/>
      <w:r w:rsidRPr="006D2C8B">
        <w:rPr>
          <w:rFonts w:cs="Arial"/>
        </w:rPr>
        <w:t xml:space="preserve"> digital experiences while simultaneously demanding stronger protection of their personal information. Successfully managing these competing interests requires transparent communication, collaborative decision-making and a willingness to negotiate appropriate compromises. Organisations that acknowledge stakeholder conflicts early are generally more successful in maintaining stakeholder trust, reducing implementation risks and achieving sustainable project outcomes.</w:t>
      </w:r>
    </w:p>
    <w:p w14:paraId="19FD39BB" w14:textId="29A1C3B1" w:rsidR="001A6E52" w:rsidRPr="006D2C8B" w:rsidRDefault="00281488" w:rsidP="006D2C8B">
      <w:pPr>
        <w:spacing w:line="360" w:lineRule="auto"/>
        <w:contextualSpacing/>
        <w:jc w:val="both"/>
        <w:rPr>
          <w:rFonts w:cs="Arial"/>
        </w:rPr>
      </w:pPr>
      <w:r w:rsidRPr="006D2C8B">
        <w:rPr>
          <w:rFonts w:cs="Arial"/>
          <w:b/>
          <w:bCs/>
        </w:rPr>
        <w:t>The 4C</w:t>
      </w:r>
      <w:r w:rsidR="005773FE" w:rsidRPr="006D2C8B">
        <w:rPr>
          <w:rFonts w:cs="Arial"/>
          <w:b/>
          <w:bCs/>
        </w:rPr>
        <w:t>’</w:t>
      </w:r>
      <w:r w:rsidRPr="006D2C8B">
        <w:rPr>
          <w:rFonts w:cs="Arial"/>
          <w:b/>
          <w:bCs/>
        </w:rPr>
        <w:t>s Stakeholder Engagement Model</w:t>
      </w:r>
      <w:r w:rsidR="005773FE" w:rsidRPr="006D2C8B">
        <w:rPr>
          <w:rFonts w:cs="Arial"/>
        </w:rPr>
        <w:t>:</w:t>
      </w:r>
      <w:r w:rsidRPr="006D2C8B">
        <w:rPr>
          <w:rFonts w:cs="Arial"/>
        </w:rPr>
        <w:t xml:space="preserve"> (Communication, Consultation, Collaboration, Commitment) offers a structured approach. Communication ensures accurate and transparent information. Consultation allows stakeholders to express their views. Collaboration encourages active participation in decision-making. Commitment focuses on building long-term support and trust (Bryson, 2004).</w:t>
      </w:r>
    </w:p>
    <w:p w14:paraId="229C8244" w14:textId="77777777" w:rsidR="001A6E52" w:rsidRPr="002B402C" w:rsidRDefault="00281488" w:rsidP="006D2C8B">
      <w:pPr>
        <w:pStyle w:val="Heading1"/>
        <w:spacing w:line="360" w:lineRule="auto"/>
        <w:contextualSpacing/>
        <w:jc w:val="both"/>
        <w:rPr>
          <w:rFonts w:ascii="Arial" w:hAnsi="Arial" w:cs="Arial"/>
          <w:color w:val="0070C0"/>
        </w:rPr>
      </w:pPr>
      <w:bookmarkStart w:id="10" w:name="_Toc235200903"/>
      <w:r w:rsidRPr="002B402C">
        <w:rPr>
          <w:rFonts w:ascii="Arial" w:hAnsi="Arial" w:cs="Arial"/>
          <w:color w:val="0070C0"/>
        </w:rPr>
        <w:t>6. Impact of Sustainable Stakeholder Engagement on Business Performance</w:t>
      </w:r>
      <w:bookmarkEnd w:id="10"/>
    </w:p>
    <w:p w14:paraId="693E418B" w14:textId="77777777" w:rsidR="001A6E52" w:rsidRPr="006D2C8B" w:rsidRDefault="00281488" w:rsidP="006D2C8B">
      <w:pPr>
        <w:spacing w:line="360" w:lineRule="auto"/>
        <w:contextualSpacing/>
        <w:jc w:val="both"/>
        <w:rPr>
          <w:rFonts w:cs="Arial"/>
        </w:rPr>
      </w:pPr>
      <w:r w:rsidRPr="006D2C8B">
        <w:rPr>
          <w:rFonts w:cs="Arial"/>
        </w:rPr>
        <w:t>Sustainable engagement drives business performance by reducing risks and identifying opportunities. For example, LG Electronics transformed regulatory obstacles into competitive advantages by engaging environmental stakeholders early in product development (Svendsen and Laberge, 2005).</w:t>
      </w:r>
    </w:p>
    <w:p w14:paraId="6CD13314" w14:textId="55E7329C" w:rsidR="0036372F" w:rsidRPr="006D2C8B" w:rsidRDefault="0036372F" w:rsidP="006D2C8B">
      <w:pPr>
        <w:spacing w:line="360" w:lineRule="auto"/>
        <w:contextualSpacing/>
        <w:jc w:val="both"/>
        <w:rPr>
          <w:rFonts w:cs="Arial"/>
        </w:rPr>
      </w:pPr>
      <w:r w:rsidRPr="006D2C8B">
        <w:rPr>
          <w:rFonts w:cs="Arial"/>
        </w:rPr>
        <w:t>Although stakeholder engagement requires significant investment in time, financial resources and organisational commitment, these costs are often outweighed by the long-term benefits of improved stakeholder trust, stronger organisational resilience and reduced project failure rates. This suggests that stakeholder engagement should be viewed as a strategic investment rather than an operational expense.</w:t>
      </w:r>
    </w:p>
    <w:p w14:paraId="14655F58" w14:textId="35A9B2A3" w:rsidR="001A6E52" w:rsidRPr="006D2C8B" w:rsidRDefault="00281488" w:rsidP="006D2C8B">
      <w:pPr>
        <w:spacing w:line="360" w:lineRule="auto"/>
        <w:contextualSpacing/>
        <w:jc w:val="both"/>
        <w:rPr>
          <w:rFonts w:cs="Arial"/>
        </w:rPr>
      </w:pPr>
      <w:r w:rsidRPr="006D2C8B">
        <w:rPr>
          <w:rFonts w:cs="Arial"/>
        </w:rPr>
        <w:t>UC Berkeley</w:t>
      </w:r>
      <w:r w:rsidR="00FF5ABB" w:rsidRPr="006D2C8B">
        <w:rPr>
          <w:rFonts w:cs="Arial"/>
        </w:rPr>
        <w:t>’</w:t>
      </w:r>
      <w:r w:rsidRPr="006D2C8B">
        <w:rPr>
          <w:rFonts w:cs="Arial"/>
        </w:rPr>
        <w:t>s community engagement initiatives in urban development projects demonstrate how stakeholder engagement impacts organisational reputation and project viability, transforming opposition into structured negotiation (Arnstein, 1969; Innes and Booher, 2004).</w:t>
      </w:r>
    </w:p>
    <w:p w14:paraId="10077163" w14:textId="77777777" w:rsidR="001A6E52" w:rsidRPr="006D2C8B" w:rsidRDefault="00281488" w:rsidP="006D2C8B">
      <w:pPr>
        <w:spacing w:line="360" w:lineRule="auto"/>
        <w:contextualSpacing/>
        <w:jc w:val="both"/>
        <w:rPr>
          <w:rFonts w:cs="Arial"/>
        </w:rPr>
      </w:pPr>
      <w:r w:rsidRPr="006D2C8B">
        <w:rPr>
          <w:rFonts w:cs="Arial"/>
        </w:rPr>
        <w:t>Measurable benefits include improved customer retention, enhanced innovation, reduced implementation risks, improved organisational reputation, and superior financial performance (Hillman and Keim, 2001). However, these benefits are not automatic and require organisational authenticity and stakeholder trust (Svendsen and Laberge, 2005).</w:t>
      </w:r>
    </w:p>
    <w:p w14:paraId="3074A0A1" w14:textId="77777777" w:rsidR="00780BA9" w:rsidRPr="006D2C8B" w:rsidRDefault="00780BA9" w:rsidP="006D2C8B">
      <w:pPr>
        <w:spacing w:line="360" w:lineRule="auto"/>
        <w:contextualSpacing/>
        <w:jc w:val="both"/>
        <w:rPr>
          <w:rFonts w:cs="Arial"/>
        </w:rPr>
      </w:pPr>
      <w:r w:rsidRPr="006D2C8B">
        <w:rPr>
          <w:rFonts w:cs="Arial"/>
        </w:rPr>
        <w:t xml:space="preserve">Beyond improving project outcomes, sustainable stakeholder engagement also contributes to long-term organisational resilience and competitive advantage. For </w:t>
      </w:r>
      <w:r w:rsidRPr="006D2C8B">
        <w:rPr>
          <w:rFonts w:cs="Arial"/>
        </w:rPr>
        <w:lastRenderedPageBreak/>
        <w:t xml:space="preserve">Amazon, maintaining strong relationships with customers, regulators, employees and technology partners helps create an environment of trust that supports innovation and responsible decision-making. In AI-driven projects such as </w:t>
      </w:r>
      <w:proofErr w:type="spellStart"/>
      <w:r w:rsidRPr="006D2C8B">
        <w:rPr>
          <w:rFonts w:cs="Arial"/>
        </w:rPr>
        <w:t>ConnectPlus</w:t>
      </w:r>
      <w:proofErr w:type="spellEnd"/>
      <w:r w:rsidRPr="006D2C8B">
        <w:rPr>
          <w:rFonts w:cs="Arial"/>
        </w:rPr>
        <w:t>, stakeholder confidence is particularly important because customer acceptance depends not only on technological performance but also on perceptions of fairness, transparency and ethical data use. Organisations that actively engage stakeholders are better positioned to anticipate regulatory changes, identify emerging risks and respond more effectively to market expectations. Consequently, sustainable stakeholder engagement should be viewed as a strategic investment that strengthens organisational performance rather than simply a project management activity.</w:t>
      </w:r>
    </w:p>
    <w:p w14:paraId="0895A235" w14:textId="01418A7F" w:rsidR="001A6E52" w:rsidRPr="006D2C8B" w:rsidRDefault="00281488" w:rsidP="006D2C8B">
      <w:pPr>
        <w:spacing w:line="360" w:lineRule="auto"/>
        <w:contextualSpacing/>
        <w:jc w:val="both"/>
        <w:rPr>
          <w:rFonts w:cs="Arial"/>
        </w:rPr>
      </w:pPr>
      <w:r w:rsidRPr="006D2C8B">
        <w:rPr>
          <w:rFonts w:cs="Arial"/>
        </w:rPr>
        <w:t xml:space="preserve">Challenges include substantial resource investment requirements, extended time to value, and measurement complexity. Additionally, Ethical AI and Data Governance represent critical considerations for the </w:t>
      </w:r>
      <w:proofErr w:type="spellStart"/>
      <w:r w:rsidRPr="006D2C8B">
        <w:rPr>
          <w:rFonts w:cs="Arial"/>
        </w:rPr>
        <w:t>ConnectPlus</w:t>
      </w:r>
      <w:proofErr w:type="spellEnd"/>
      <w:r w:rsidRPr="006D2C8B">
        <w:rPr>
          <w:rFonts w:cs="Arial"/>
        </w:rPr>
        <w:t xml:space="preserve"> platform, addressing algorithmic bias, transparency, and responsible data governance (Post et al., 2002).</w:t>
      </w:r>
    </w:p>
    <w:p w14:paraId="04ECEEEA" w14:textId="2D8CD8CC" w:rsidR="001F3D03" w:rsidRPr="006D2C8B" w:rsidRDefault="001F3D03" w:rsidP="006D2C8B">
      <w:pPr>
        <w:spacing w:line="360" w:lineRule="auto"/>
        <w:contextualSpacing/>
        <w:jc w:val="both"/>
        <w:rPr>
          <w:rFonts w:cs="Arial"/>
        </w:rPr>
      </w:pPr>
      <w:r w:rsidRPr="006D2C8B">
        <w:rPr>
          <w:rFonts w:cs="Arial"/>
        </w:rPr>
        <w:t>Furthermore, ethical considerations have become increasingly important in AI-enabled business environments. Customers expect organisations to protect personal information, explain how automated decisions are made and ensure that AI systems operate fairly and without discrimination. Failure to address these expectations could reduce stakeholder trust, damage Amazon’s reputation and result in regulatory penalties. Therefore, integrating ethical AI governance into stakeholder engagement strategies not only supports legal compliance but also reinforces customer confidence, strengthens corporate reputation and contributes to sustainable business growth over the long term.</w:t>
      </w:r>
    </w:p>
    <w:p w14:paraId="5318112C" w14:textId="746926B4" w:rsidR="00C44324" w:rsidRPr="006D2C8B" w:rsidRDefault="00C44324" w:rsidP="006D2C8B">
      <w:pPr>
        <w:spacing w:line="360" w:lineRule="auto"/>
        <w:contextualSpacing/>
        <w:jc w:val="both"/>
        <w:rPr>
          <w:rFonts w:cs="Arial"/>
        </w:rPr>
      </w:pPr>
      <w:r w:rsidRPr="006D2C8B">
        <w:rPr>
          <w:rFonts w:cs="Arial"/>
        </w:rPr>
        <w:t>This demonstrates that organisations which integrate stakeholder engagement into strategic decision-making are more likely to achieve sustainable competitive advantage than organisations that treat stakeholder management as a short-term operational activity.</w:t>
      </w:r>
    </w:p>
    <w:p w14:paraId="57487260" w14:textId="77777777" w:rsidR="0034054E" w:rsidRPr="002B402C" w:rsidRDefault="0034054E" w:rsidP="002B402C">
      <w:pPr>
        <w:pStyle w:val="Heading2"/>
        <w:spacing w:line="360" w:lineRule="auto"/>
        <w:rPr>
          <w:rFonts w:ascii="Arial" w:hAnsi="Arial" w:cs="Arial"/>
          <w:color w:val="0070C0"/>
          <w:sz w:val="24"/>
          <w:szCs w:val="24"/>
        </w:rPr>
      </w:pPr>
      <w:bookmarkStart w:id="11" w:name="_Toc235200904"/>
      <w:r w:rsidRPr="002B402C">
        <w:rPr>
          <w:rFonts w:ascii="Arial" w:hAnsi="Arial" w:cs="Arial"/>
          <w:color w:val="0070C0"/>
          <w:sz w:val="24"/>
          <w:szCs w:val="24"/>
        </w:rPr>
        <w:t>6.1 Long-Term Strategic Value of Stakeholder Engagement</w:t>
      </w:r>
      <w:bookmarkEnd w:id="11"/>
    </w:p>
    <w:p w14:paraId="1158BFD1" w14:textId="77777777" w:rsidR="0034054E" w:rsidRPr="006D2C8B" w:rsidRDefault="0034054E" w:rsidP="006D2C8B">
      <w:pPr>
        <w:spacing w:line="360" w:lineRule="auto"/>
        <w:contextualSpacing/>
        <w:jc w:val="both"/>
        <w:rPr>
          <w:rFonts w:cs="Arial"/>
        </w:rPr>
      </w:pPr>
      <w:r w:rsidRPr="006D2C8B">
        <w:rPr>
          <w:rFonts w:cs="Arial"/>
        </w:rPr>
        <w:t xml:space="preserve">Beyond supporting individual project success, sustainable stakeholder engagement contributes significantly to long-term organisational performance and corporate resilience. For Amazon, the </w:t>
      </w:r>
      <w:proofErr w:type="spellStart"/>
      <w:r w:rsidRPr="006D2C8B">
        <w:rPr>
          <w:rFonts w:cs="Arial"/>
        </w:rPr>
        <w:t>ConnectPlus</w:t>
      </w:r>
      <w:proofErr w:type="spellEnd"/>
      <w:r w:rsidRPr="006D2C8B">
        <w:rPr>
          <w:rFonts w:cs="Arial"/>
        </w:rPr>
        <w:t xml:space="preserve"> platform represents more than a technological innovation; it is an opportunity to strengthen customer loyalty, reinforce ethical business practices and enhance the </w:t>
      </w:r>
      <w:proofErr w:type="spellStart"/>
      <w:r w:rsidRPr="006D2C8B">
        <w:rPr>
          <w:rFonts w:cs="Arial"/>
        </w:rPr>
        <w:t>organisation's</w:t>
      </w:r>
      <w:proofErr w:type="spellEnd"/>
      <w:r w:rsidRPr="006D2C8B">
        <w:rPr>
          <w:rFonts w:cs="Arial"/>
        </w:rPr>
        <w:t xml:space="preserve"> competitive position within the global e-commerce market. Achieving these outcomes requires continuous collaboration with stakeholders whose </w:t>
      </w:r>
      <w:r w:rsidRPr="006D2C8B">
        <w:rPr>
          <w:rFonts w:cs="Arial"/>
        </w:rPr>
        <w:lastRenderedPageBreak/>
        <w:t xml:space="preserve">expectations may evolve as technology, regulation and consumer </w:t>
      </w:r>
      <w:proofErr w:type="spellStart"/>
      <w:r w:rsidRPr="006D2C8B">
        <w:rPr>
          <w:rFonts w:cs="Arial"/>
        </w:rPr>
        <w:t>behaviour</w:t>
      </w:r>
      <w:proofErr w:type="spellEnd"/>
      <w:r w:rsidRPr="006D2C8B">
        <w:rPr>
          <w:rFonts w:cs="Arial"/>
        </w:rPr>
        <w:t xml:space="preserve"> change over time.</w:t>
      </w:r>
    </w:p>
    <w:p w14:paraId="14C380D5" w14:textId="77777777" w:rsidR="0034054E" w:rsidRPr="006D2C8B" w:rsidRDefault="0034054E" w:rsidP="006D2C8B">
      <w:pPr>
        <w:spacing w:line="360" w:lineRule="auto"/>
        <w:contextualSpacing/>
        <w:jc w:val="both"/>
        <w:rPr>
          <w:rFonts w:cs="Arial"/>
        </w:rPr>
      </w:pPr>
      <w:r w:rsidRPr="006D2C8B">
        <w:rPr>
          <w:rFonts w:cs="Arial"/>
        </w:rPr>
        <w:t>Effective stakeholder engagement also supports innovation by encouraging organisations to incorporate diverse perspectives into decision-making processes. Customers, employees, technology partners and regulatory authorities each possess unique knowledge that can improve the quality of products, services and operational processes. For example, customer feedback regarding AI-generated recommendations may help Amazon improve algorithm accuracy and increase user satisfaction, while regulatory guidance can ensure that new technologies comply with legal and ethical requirements before implementation. This collaborative approach reduces organisational risk while increasing the likelihood of successful innovation.</w:t>
      </w:r>
    </w:p>
    <w:p w14:paraId="2B321EEE" w14:textId="77777777" w:rsidR="0034054E" w:rsidRPr="006D2C8B" w:rsidRDefault="0034054E" w:rsidP="006D2C8B">
      <w:pPr>
        <w:spacing w:line="360" w:lineRule="auto"/>
        <w:contextualSpacing/>
        <w:jc w:val="both"/>
        <w:rPr>
          <w:rFonts w:cs="Arial"/>
        </w:rPr>
      </w:pPr>
      <w:r w:rsidRPr="006D2C8B">
        <w:rPr>
          <w:rFonts w:cs="Arial"/>
        </w:rPr>
        <w:t xml:space="preserve">Furthermore, sustainable stakeholder engagement contributes directly to Environmental, Social and Governance (ESG) objectives, which have become increasingly important for multinational organisations. Investors, customers and governments now expect organisations to demonstrate responsible corporate </w:t>
      </w:r>
      <w:proofErr w:type="spellStart"/>
      <w:r w:rsidRPr="006D2C8B">
        <w:rPr>
          <w:rFonts w:cs="Arial"/>
        </w:rPr>
        <w:t>behaviour</w:t>
      </w:r>
      <w:proofErr w:type="spellEnd"/>
      <w:r w:rsidRPr="006D2C8B">
        <w:rPr>
          <w:rFonts w:cs="Arial"/>
        </w:rPr>
        <w:t>, transparency and accountability. By integrating stakeholder engagement into governance processes, Amazon can strengthen public confidence, improve corporate reputation and demonstrate its commitment to responsible AI development and data protection. These factors influence not only customer trust but also investor confidence and long-term organisational sustainability.</w:t>
      </w:r>
    </w:p>
    <w:p w14:paraId="3CD9691A" w14:textId="77777777" w:rsidR="0034054E" w:rsidRPr="006D2C8B" w:rsidRDefault="0034054E" w:rsidP="006D2C8B">
      <w:pPr>
        <w:spacing w:line="360" w:lineRule="auto"/>
        <w:contextualSpacing/>
        <w:jc w:val="both"/>
        <w:rPr>
          <w:rFonts w:cs="Arial"/>
        </w:rPr>
      </w:pPr>
      <w:r w:rsidRPr="006D2C8B">
        <w:rPr>
          <w:rFonts w:cs="Arial"/>
        </w:rPr>
        <w:t xml:space="preserve">From a strategic management perspective, stakeholder engagement should therefore be regarded as a source of competitive advantage rather than simply a communication activity. Organisations that actively listen to stakeholders, respond to concerns and continuously evaluate stakeholder relationships are generally more adaptable to market changes and technological disruption. Consequently, Amazon's long-term success with the </w:t>
      </w:r>
      <w:proofErr w:type="spellStart"/>
      <w:r w:rsidRPr="006D2C8B">
        <w:rPr>
          <w:rFonts w:cs="Arial"/>
        </w:rPr>
        <w:t>ConnectPlus</w:t>
      </w:r>
      <w:proofErr w:type="spellEnd"/>
      <w:r w:rsidRPr="006D2C8B">
        <w:rPr>
          <w:rFonts w:cs="Arial"/>
        </w:rPr>
        <w:t xml:space="preserve"> platform will depend not only on technological excellence but also on its ability to maintain transparent, ethical and collaborative relationships with all stakeholder groups throughout the project lifecycle.</w:t>
      </w:r>
    </w:p>
    <w:p w14:paraId="6F7C8A6A" w14:textId="77777777" w:rsidR="001A6E52" w:rsidRPr="002B402C" w:rsidRDefault="00281488" w:rsidP="006D2C8B">
      <w:pPr>
        <w:pStyle w:val="Heading1"/>
        <w:spacing w:line="360" w:lineRule="auto"/>
        <w:contextualSpacing/>
        <w:jc w:val="both"/>
        <w:rPr>
          <w:rFonts w:ascii="Arial" w:hAnsi="Arial" w:cs="Arial"/>
          <w:color w:val="0070C0"/>
        </w:rPr>
      </w:pPr>
      <w:bookmarkStart w:id="12" w:name="_Toc235200905"/>
      <w:r w:rsidRPr="002B402C">
        <w:rPr>
          <w:rFonts w:ascii="Arial" w:hAnsi="Arial" w:cs="Arial"/>
          <w:color w:val="0070C0"/>
        </w:rPr>
        <w:t>7. Recommendations and Conclusion</w:t>
      </w:r>
      <w:bookmarkEnd w:id="12"/>
    </w:p>
    <w:p w14:paraId="17D7096F" w14:textId="77777777" w:rsidR="001A6E52" w:rsidRPr="002B402C" w:rsidRDefault="00281488" w:rsidP="006D2C8B">
      <w:pPr>
        <w:pStyle w:val="Heading2"/>
        <w:spacing w:line="360" w:lineRule="auto"/>
        <w:contextualSpacing/>
        <w:jc w:val="both"/>
        <w:rPr>
          <w:rFonts w:ascii="Arial" w:hAnsi="Arial" w:cs="Arial"/>
          <w:color w:val="0070C0"/>
          <w:sz w:val="24"/>
          <w:szCs w:val="24"/>
        </w:rPr>
      </w:pPr>
      <w:bookmarkStart w:id="13" w:name="_Toc235200906"/>
      <w:r w:rsidRPr="002B402C">
        <w:rPr>
          <w:rFonts w:ascii="Arial" w:hAnsi="Arial" w:cs="Arial"/>
          <w:color w:val="0070C0"/>
          <w:sz w:val="24"/>
          <w:szCs w:val="24"/>
        </w:rPr>
        <w:t>7.1 Recommendations</w:t>
      </w:r>
      <w:bookmarkEnd w:id="13"/>
    </w:p>
    <w:p w14:paraId="1CC5E232" w14:textId="58E05E33" w:rsidR="00BA5837" w:rsidRPr="006D2C8B" w:rsidRDefault="00BA5837" w:rsidP="006D2C8B">
      <w:pPr>
        <w:spacing w:line="360" w:lineRule="auto"/>
        <w:contextualSpacing/>
        <w:jc w:val="both"/>
        <w:rPr>
          <w:rFonts w:cs="Arial"/>
        </w:rPr>
      </w:pPr>
      <w:r w:rsidRPr="006D2C8B">
        <w:rPr>
          <w:rFonts w:cs="Arial"/>
        </w:rPr>
        <w:t xml:space="preserve">Before implementing the recommendations outlined below, Amazon should </w:t>
      </w:r>
      <w:proofErr w:type="spellStart"/>
      <w:r w:rsidRPr="006D2C8B">
        <w:rPr>
          <w:rFonts w:cs="Arial"/>
        </w:rPr>
        <w:t>recognise</w:t>
      </w:r>
      <w:proofErr w:type="spellEnd"/>
      <w:r w:rsidRPr="006D2C8B">
        <w:rPr>
          <w:rFonts w:cs="Arial"/>
        </w:rPr>
        <w:t xml:space="preserve"> that stakeholder engagement is a continuous strategic process rather than a one-time project </w:t>
      </w:r>
      <w:r w:rsidRPr="006D2C8B">
        <w:rPr>
          <w:rFonts w:cs="Arial"/>
        </w:rPr>
        <w:lastRenderedPageBreak/>
        <w:t xml:space="preserve">activity. Each recommendation is designed to strengthen stakeholder relationships, improve organisational transparency and support the successful implementation of </w:t>
      </w:r>
      <w:proofErr w:type="spellStart"/>
      <w:r w:rsidRPr="006D2C8B">
        <w:rPr>
          <w:rFonts w:cs="Arial"/>
        </w:rPr>
        <w:t>ConnectPlus</w:t>
      </w:r>
      <w:proofErr w:type="spellEnd"/>
      <w:r w:rsidRPr="006D2C8B">
        <w:rPr>
          <w:rFonts w:cs="Arial"/>
        </w:rPr>
        <w:t xml:space="preserve">. Collectively, these actions will help </w:t>
      </w:r>
      <w:proofErr w:type="spellStart"/>
      <w:r w:rsidRPr="006D2C8B">
        <w:rPr>
          <w:rFonts w:cs="Arial"/>
        </w:rPr>
        <w:t>minimise</w:t>
      </w:r>
      <w:proofErr w:type="spellEnd"/>
      <w:r w:rsidRPr="006D2C8B">
        <w:rPr>
          <w:rFonts w:cs="Arial"/>
        </w:rPr>
        <w:t xml:space="preserve"> project risks, improve stakeholder confidence and contribute to long-term organisational performance and sustainable competitive advantage.</w:t>
      </w:r>
    </w:p>
    <w:p w14:paraId="2F91A3CB" w14:textId="6F6F52BC" w:rsidR="001A6E52" w:rsidRPr="006D2C8B" w:rsidRDefault="00281488" w:rsidP="006D2C8B">
      <w:pPr>
        <w:spacing w:line="360" w:lineRule="auto"/>
        <w:contextualSpacing/>
        <w:jc w:val="both"/>
        <w:rPr>
          <w:rFonts w:cs="Arial"/>
        </w:rPr>
      </w:pPr>
      <w:r w:rsidRPr="006D2C8B">
        <w:rPr>
          <w:rFonts w:cs="Arial"/>
        </w:rPr>
        <w:t>1. Implement a Structured Stakeholder Engagement Framework: Formally adopt the five-step process with clear responsibilities and metrics.</w:t>
      </w:r>
    </w:p>
    <w:p w14:paraId="01456CA1" w14:textId="77777777" w:rsidR="001A6E52" w:rsidRPr="006D2C8B" w:rsidRDefault="00281488" w:rsidP="006D2C8B">
      <w:pPr>
        <w:spacing w:line="360" w:lineRule="auto"/>
        <w:contextualSpacing/>
        <w:jc w:val="both"/>
        <w:rPr>
          <w:rFonts w:cs="Arial"/>
        </w:rPr>
      </w:pPr>
      <w:r w:rsidRPr="006D2C8B">
        <w:rPr>
          <w:rFonts w:cs="Arial"/>
        </w:rPr>
        <w:t>2. Establish Stakeholder Advisory Committees: Create formal committees for key groups to provide continuous feedback.</w:t>
      </w:r>
    </w:p>
    <w:p w14:paraId="5F6513B5" w14:textId="77777777" w:rsidR="001A6E52" w:rsidRPr="006D2C8B" w:rsidRDefault="00281488" w:rsidP="006D2C8B">
      <w:pPr>
        <w:spacing w:line="360" w:lineRule="auto"/>
        <w:contextualSpacing/>
        <w:jc w:val="both"/>
        <w:rPr>
          <w:rFonts w:cs="Arial"/>
        </w:rPr>
      </w:pPr>
      <w:r w:rsidRPr="006D2C8B">
        <w:rPr>
          <w:rFonts w:cs="Arial"/>
        </w:rPr>
        <w:t>3. Develop a Comprehensive Communication Strategy: Implement audience-segmented communication plans for consistency and transparency.</w:t>
      </w:r>
    </w:p>
    <w:p w14:paraId="43B201F0" w14:textId="37D342E1" w:rsidR="001A6E52" w:rsidRPr="006D2C8B" w:rsidRDefault="00281488" w:rsidP="006D2C8B">
      <w:pPr>
        <w:spacing w:line="360" w:lineRule="auto"/>
        <w:contextualSpacing/>
        <w:jc w:val="both"/>
        <w:rPr>
          <w:rFonts w:cs="Arial"/>
        </w:rPr>
      </w:pPr>
      <w:r w:rsidRPr="006D2C8B">
        <w:rPr>
          <w:rFonts w:cs="Arial"/>
        </w:rPr>
        <w:t>4. Systematically Apply the 4C</w:t>
      </w:r>
      <w:r w:rsidR="00FF5ABB" w:rsidRPr="006D2C8B">
        <w:rPr>
          <w:rFonts w:cs="Arial"/>
        </w:rPr>
        <w:t>’</w:t>
      </w:r>
      <w:r w:rsidRPr="006D2C8B">
        <w:rPr>
          <w:rFonts w:cs="Arial"/>
        </w:rPr>
        <w:t>s Model: Progress stakeholders through Communication, Consultation, Collaboration, and Commitment stages.</w:t>
      </w:r>
    </w:p>
    <w:p w14:paraId="1F012ACF" w14:textId="77777777" w:rsidR="001A6E52" w:rsidRPr="006D2C8B" w:rsidRDefault="00281488" w:rsidP="006D2C8B">
      <w:pPr>
        <w:spacing w:line="360" w:lineRule="auto"/>
        <w:contextualSpacing/>
        <w:jc w:val="both"/>
        <w:rPr>
          <w:rFonts w:cs="Arial"/>
        </w:rPr>
      </w:pPr>
      <w:r w:rsidRPr="006D2C8B">
        <w:rPr>
          <w:rFonts w:cs="Arial"/>
        </w:rPr>
        <w:t>5. Establish Conflict Management Protocols: Develop explicit procedures for identifying, escalating, and resolving stakeholder conflicts.</w:t>
      </w:r>
    </w:p>
    <w:p w14:paraId="0AD3F9C8" w14:textId="77777777" w:rsidR="001A6E52" w:rsidRPr="006D2C8B" w:rsidRDefault="00281488" w:rsidP="006D2C8B">
      <w:pPr>
        <w:spacing w:line="360" w:lineRule="auto"/>
        <w:contextualSpacing/>
        <w:jc w:val="both"/>
        <w:rPr>
          <w:rFonts w:cs="Arial"/>
        </w:rPr>
      </w:pPr>
      <w:r w:rsidRPr="006D2C8B">
        <w:rPr>
          <w:rFonts w:cs="Arial"/>
        </w:rPr>
        <w:t>6. Invest in Relationship Maintenance: Allocate resources for post-launch relationship maintenance and ongoing communication.</w:t>
      </w:r>
    </w:p>
    <w:p w14:paraId="01221213" w14:textId="77777777" w:rsidR="001A6E52" w:rsidRPr="002B402C" w:rsidRDefault="00281488" w:rsidP="006D2C8B">
      <w:pPr>
        <w:pStyle w:val="Heading2"/>
        <w:spacing w:line="360" w:lineRule="auto"/>
        <w:contextualSpacing/>
        <w:jc w:val="both"/>
        <w:rPr>
          <w:rFonts w:ascii="Arial" w:hAnsi="Arial" w:cs="Arial"/>
          <w:color w:val="0070C0"/>
          <w:sz w:val="24"/>
          <w:szCs w:val="24"/>
        </w:rPr>
      </w:pPr>
      <w:bookmarkStart w:id="14" w:name="_Toc235200907"/>
      <w:r w:rsidRPr="002B402C">
        <w:rPr>
          <w:rFonts w:ascii="Arial" w:hAnsi="Arial" w:cs="Arial"/>
          <w:color w:val="0070C0"/>
          <w:sz w:val="24"/>
          <w:szCs w:val="24"/>
        </w:rPr>
        <w:t>7.2 Conclusion</w:t>
      </w:r>
      <w:bookmarkEnd w:id="14"/>
    </w:p>
    <w:p w14:paraId="131C2105" w14:textId="77777777" w:rsidR="001A6E52" w:rsidRPr="006D2C8B" w:rsidRDefault="00281488" w:rsidP="006D2C8B">
      <w:pPr>
        <w:spacing w:line="360" w:lineRule="auto"/>
        <w:contextualSpacing/>
        <w:jc w:val="both"/>
        <w:rPr>
          <w:rFonts w:cs="Arial"/>
        </w:rPr>
      </w:pPr>
      <w:r w:rsidRPr="006D2C8B">
        <w:rPr>
          <w:rFonts w:cs="Arial"/>
        </w:rPr>
        <w:t xml:space="preserve">The success of the </w:t>
      </w:r>
      <w:proofErr w:type="spellStart"/>
      <w:r w:rsidRPr="006D2C8B">
        <w:rPr>
          <w:rFonts w:cs="Arial"/>
        </w:rPr>
        <w:t>ConnectPlus</w:t>
      </w:r>
      <w:proofErr w:type="spellEnd"/>
      <w:r w:rsidRPr="006D2C8B">
        <w:rPr>
          <w:rFonts w:cs="Arial"/>
        </w:rPr>
        <w:t xml:space="preserve"> project depends not only on technical excellence but fundamentally on the quality of relationships built with diverse stakeholders. This report has demonstrated that stakeholder interests are inherently diverse and often contradictory, requiring explicit acknowledgment of tensions and transparent trade-off decisions, rather than attempts to achieve impossible consensus.</w:t>
      </w:r>
    </w:p>
    <w:p w14:paraId="392B868C" w14:textId="15760E89" w:rsidR="001A6E52" w:rsidRPr="006D2C8B" w:rsidRDefault="00281488" w:rsidP="006D2C8B">
      <w:pPr>
        <w:spacing w:line="360" w:lineRule="auto"/>
        <w:contextualSpacing/>
        <w:jc w:val="both"/>
        <w:rPr>
          <w:rFonts w:cs="Arial"/>
        </w:rPr>
      </w:pPr>
      <w:r w:rsidRPr="006D2C8B">
        <w:rPr>
          <w:rFonts w:cs="Arial"/>
        </w:rPr>
        <w:t xml:space="preserve">By implementing the stakeholder engagement frameworks outlined in this </w:t>
      </w:r>
      <w:r w:rsidR="00D43915" w:rsidRPr="006D2C8B">
        <w:rPr>
          <w:rFonts w:cs="Arial"/>
        </w:rPr>
        <w:t xml:space="preserve">report, </w:t>
      </w:r>
      <w:r w:rsidRPr="006D2C8B">
        <w:rPr>
          <w:rFonts w:cs="Arial"/>
        </w:rPr>
        <w:t>including the five-step relationship management process, the 4C</w:t>
      </w:r>
      <w:r w:rsidR="00FF5ABB" w:rsidRPr="006D2C8B">
        <w:rPr>
          <w:rFonts w:cs="Arial"/>
        </w:rPr>
        <w:t>’</w:t>
      </w:r>
      <w:r w:rsidRPr="006D2C8B">
        <w:rPr>
          <w:rFonts w:cs="Arial"/>
        </w:rPr>
        <w:t>s Model (Communication, Consultation, Collaboration, Commitment), the Mendelow Matrix for stakeholder prioritization, and explicit conflict management protocols—Amazon can build a stakeholder ecosystem that actively supports project success. Case studies of LG Electronics and UC Berkeley demonstrate that organisations investing in sustained stakeholder engagement achieve superior business outcomes, including faster implementation, higher customer adoption, enhanced organisational reputation, and improved financial performance.</w:t>
      </w:r>
    </w:p>
    <w:p w14:paraId="55D58402" w14:textId="7E68ED15" w:rsidR="001A6E52" w:rsidRPr="006D2C8B" w:rsidRDefault="00281488" w:rsidP="006D2C8B">
      <w:pPr>
        <w:spacing w:line="360" w:lineRule="auto"/>
        <w:contextualSpacing/>
        <w:jc w:val="both"/>
        <w:rPr>
          <w:rFonts w:cs="Arial"/>
        </w:rPr>
      </w:pPr>
      <w:r w:rsidRPr="006D2C8B">
        <w:rPr>
          <w:rFonts w:cs="Arial"/>
        </w:rPr>
        <w:lastRenderedPageBreak/>
        <w:t xml:space="preserve">The </w:t>
      </w:r>
      <w:proofErr w:type="spellStart"/>
      <w:r w:rsidRPr="006D2C8B">
        <w:rPr>
          <w:rFonts w:cs="Arial"/>
        </w:rPr>
        <w:t>ConnectPlus</w:t>
      </w:r>
      <w:proofErr w:type="spellEnd"/>
      <w:r w:rsidRPr="006D2C8B">
        <w:rPr>
          <w:rFonts w:cs="Arial"/>
        </w:rPr>
        <w:t xml:space="preserve"> project should be viewed as an opportunity to demonstrate Amazo</w:t>
      </w:r>
      <w:r w:rsidR="00A51736" w:rsidRPr="006D2C8B">
        <w:rPr>
          <w:rFonts w:cs="Arial"/>
        </w:rPr>
        <w:t>n’s</w:t>
      </w:r>
      <w:r w:rsidRPr="006D2C8B">
        <w:rPr>
          <w:rFonts w:cs="Arial"/>
        </w:rPr>
        <w:t xml:space="preserve"> commitment to responsible stakeholder engagement and ethical AI governance. By treating stakeholders as partners, rather than obstacles, by acknowledging competing interests transparently, and by making explicit trade-off decisions that reflect organisational values, Amazon can build enduring relationships that support not only this project</w:t>
      </w:r>
      <w:r w:rsidR="00FF5ABB" w:rsidRPr="006D2C8B">
        <w:rPr>
          <w:rFonts w:cs="Arial"/>
        </w:rPr>
        <w:t>’</w:t>
      </w:r>
      <w:r w:rsidRPr="006D2C8B">
        <w:rPr>
          <w:rFonts w:cs="Arial"/>
        </w:rPr>
        <w:t>s success but long-term organisational competitive advantage in an increasingly complex and regulated business environment. Stakeholder engagement is not a compliance exercise but a strategic business function that directly impacts organisational performance and sustainability.</w:t>
      </w:r>
    </w:p>
    <w:p w14:paraId="7B362C78" w14:textId="77777777" w:rsidR="001A6E52" w:rsidRPr="006D2C8B" w:rsidRDefault="00281488" w:rsidP="006D2C8B">
      <w:pPr>
        <w:spacing w:line="360" w:lineRule="auto"/>
        <w:contextualSpacing/>
        <w:jc w:val="both"/>
        <w:rPr>
          <w:rFonts w:cs="Arial"/>
        </w:rPr>
      </w:pPr>
      <w:r w:rsidRPr="006D2C8B">
        <w:rPr>
          <w:rFonts w:cs="Arial"/>
        </w:rPr>
        <w:t>Ultimately, organisations that invest in meaningful stakeholder engagement are better positioned to achieve sustainable growth, strengthen stakeholder trust, and maintain long-term competitive advantage.</w:t>
      </w:r>
    </w:p>
    <w:p w14:paraId="60A27A32" w14:textId="1EA704A4" w:rsidR="00934CC4" w:rsidRPr="006D2C8B" w:rsidRDefault="00934CC4" w:rsidP="006D2C8B">
      <w:pPr>
        <w:spacing w:line="360" w:lineRule="auto"/>
        <w:contextualSpacing/>
        <w:jc w:val="both"/>
        <w:rPr>
          <w:rFonts w:cs="Arial"/>
        </w:rPr>
      </w:pPr>
      <w:r w:rsidRPr="006D2C8B">
        <w:rPr>
          <w:rFonts w:cs="Arial"/>
        </w:rPr>
        <w:t xml:space="preserve">For Amazon, the successful implementation of </w:t>
      </w:r>
      <w:proofErr w:type="spellStart"/>
      <w:r w:rsidRPr="006D2C8B">
        <w:rPr>
          <w:rFonts w:cs="Arial"/>
        </w:rPr>
        <w:t>ConnectPlus</w:t>
      </w:r>
      <w:proofErr w:type="spellEnd"/>
      <w:r w:rsidRPr="006D2C8B">
        <w:rPr>
          <w:rFonts w:cs="Arial"/>
        </w:rPr>
        <w:t xml:space="preserve"> will depend not only on technological excellence but also on its ability to build transparent, ethical and collaborative relationships with all stakeholder groups.</w:t>
      </w:r>
    </w:p>
    <w:p w14:paraId="22295BF6" w14:textId="754FC94E" w:rsidR="006D3FE4" w:rsidRPr="006D2C8B" w:rsidRDefault="006D3FE4" w:rsidP="006D2C8B">
      <w:pPr>
        <w:spacing w:line="360" w:lineRule="auto"/>
        <w:contextualSpacing/>
        <w:jc w:val="both"/>
        <w:rPr>
          <w:rFonts w:cs="Arial"/>
        </w:rPr>
      </w:pPr>
      <w:r w:rsidRPr="006D2C8B">
        <w:rPr>
          <w:rFonts w:cs="Arial"/>
        </w:rPr>
        <w:t xml:space="preserve">Ultimately, the </w:t>
      </w:r>
      <w:proofErr w:type="spellStart"/>
      <w:r w:rsidRPr="006D2C8B">
        <w:rPr>
          <w:rFonts w:cs="Arial"/>
        </w:rPr>
        <w:t>ConnectPlus</w:t>
      </w:r>
      <w:proofErr w:type="spellEnd"/>
      <w:r w:rsidRPr="006D2C8B">
        <w:rPr>
          <w:rFonts w:cs="Arial"/>
        </w:rPr>
        <w:t xml:space="preserve"> project illustrates that sustainable stakeholder engagement is not only essential for successful project delivery but also for maintaining organisational legitimacy, customer trust and long-term strategic growth in an increasingly AI-driven business environment.</w:t>
      </w:r>
    </w:p>
    <w:p w14:paraId="6854FF70" w14:textId="5CD7C39B" w:rsidR="001A6E52" w:rsidRPr="006D2C8B" w:rsidRDefault="008B3FAD" w:rsidP="006D2C8B">
      <w:pPr>
        <w:pStyle w:val="Heading1"/>
        <w:spacing w:line="360" w:lineRule="auto"/>
        <w:contextualSpacing/>
        <w:rPr>
          <w:rFonts w:ascii="Arial" w:hAnsi="Arial" w:cs="Arial"/>
        </w:rPr>
      </w:pPr>
      <w:r w:rsidRPr="006D2C8B">
        <w:rPr>
          <w:rFonts w:ascii="Arial" w:hAnsi="Arial" w:cs="Arial"/>
        </w:rPr>
        <w:br w:type="page"/>
      </w:r>
      <w:bookmarkStart w:id="15" w:name="_Toc235200908"/>
      <w:r w:rsidR="00281488" w:rsidRPr="00802507">
        <w:rPr>
          <w:rFonts w:ascii="Arial" w:hAnsi="Arial" w:cs="Arial"/>
          <w:color w:val="0070C0"/>
        </w:rPr>
        <w:lastRenderedPageBreak/>
        <w:t>8. References</w:t>
      </w:r>
      <w:bookmarkEnd w:id="15"/>
    </w:p>
    <w:p w14:paraId="1FD851AB" w14:textId="77777777" w:rsidR="001A6E52" w:rsidRPr="006D2C8B" w:rsidRDefault="00281488" w:rsidP="006D2C8B">
      <w:pPr>
        <w:spacing w:line="360" w:lineRule="auto"/>
        <w:contextualSpacing/>
        <w:jc w:val="both"/>
        <w:rPr>
          <w:rFonts w:cs="Arial"/>
        </w:rPr>
      </w:pPr>
      <w:r w:rsidRPr="006D2C8B">
        <w:rPr>
          <w:rFonts w:cs="Arial"/>
        </w:rPr>
        <w:t xml:space="preserve">Arnstein, S.R. (1969) 'A Ladder of Citizen Participation', </w:t>
      </w:r>
      <w:r w:rsidRPr="006D2C8B">
        <w:rPr>
          <w:rFonts w:cs="Arial"/>
          <w:i/>
        </w:rPr>
        <w:t>Journal of the American Institute of Planners</w:t>
      </w:r>
      <w:r w:rsidRPr="006D2C8B">
        <w:rPr>
          <w:rFonts w:cs="Arial"/>
        </w:rPr>
        <w:t>, 35(4), pp. 216-224.</w:t>
      </w:r>
    </w:p>
    <w:p w14:paraId="48C1C8C4" w14:textId="77777777" w:rsidR="001A6E52" w:rsidRPr="006D2C8B" w:rsidRDefault="00281488" w:rsidP="006D2C8B">
      <w:pPr>
        <w:spacing w:line="360" w:lineRule="auto"/>
        <w:contextualSpacing/>
        <w:jc w:val="both"/>
        <w:rPr>
          <w:rFonts w:cs="Arial"/>
        </w:rPr>
      </w:pPr>
      <w:r w:rsidRPr="006D2C8B">
        <w:rPr>
          <w:rFonts w:cs="Arial"/>
        </w:rPr>
        <w:t xml:space="preserve">Berman, S.L., Wicks, A.C., Kotha, S. and Jones, T.M. (1999) 'Does Stakeholder Orientation Matter? The Relationship between Stakeholder Management Models and Firm Financial Performance', </w:t>
      </w:r>
      <w:r w:rsidRPr="006D2C8B">
        <w:rPr>
          <w:rFonts w:cs="Arial"/>
          <w:i/>
        </w:rPr>
        <w:t>Academy of Management Journal</w:t>
      </w:r>
      <w:r w:rsidRPr="006D2C8B">
        <w:rPr>
          <w:rFonts w:cs="Arial"/>
        </w:rPr>
        <w:t>, 42(5), pp. 488-506.</w:t>
      </w:r>
    </w:p>
    <w:p w14:paraId="4D3FD128" w14:textId="77777777" w:rsidR="001A6E52" w:rsidRPr="006D2C8B" w:rsidRDefault="00281488" w:rsidP="006D2C8B">
      <w:pPr>
        <w:spacing w:line="360" w:lineRule="auto"/>
        <w:contextualSpacing/>
        <w:jc w:val="both"/>
        <w:rPr>
          <w:rFonts w:cs="Arial"/>
        </w:rPr>
      </w:pPr>
      <w:r w:rsidRPr="006D2C8B">
        <w:rPr>
          <w:rFonts w:cs="Arial"/>
        </w:rPr>
        <w:t xml:space="preserve">Brynjolfsson, E. and McAfee, A. (2014) </w:t>
      </w:r>
      <w:r w:rsidRPr="006D2C8B">
        <w:rPr>
          <w:rFonts w:cs="Arial"/>
          <w:i/>
        </w:rPr>
        <w:t>The Second Machine Age: Work, Progress, and Prosperity in a Time of Brilliant Technologies</w:t>
      </w:r>
      <w:r w:rsidRPr="006D2C8B">
        <w:rPr>
          <w:rFonts w:cs="Arial"/>
        </w:rPr>
        <w:t>. New York: W.W. Norton &amp; Company.</w:t>
      </w:r>
    </w:p>
    <w:p w14:paraId="2447D016" w14:textId="2FA6D5A3" w:rsidR="001A6E52" w:rsidRPr="006D2C8B" w:rsidRDefault="00281488" w:rsidP="006D2C8B">
      <w:pPr>
        <w:spacing w:line="360" w:lineRule="auto"/>
        <w:contextualSpacing/>
        <w:jc w:val="both"/>
        <w:rPr>
          <w:rFonts w:cs="Arial"/>
        </w:rPr>
      </w:pPr>
      <w:r w:rsidRPr="006D2C8B">
        <w:rPr>
          <w:rFonts w:cs="Arial"/>
        </w:rPr>
        <w:t xml:space="preserve">Bryson, J.M. (2004) </w:t>
      </w:r>
      <w:r w:rsidRPr="006D2C8B">
        <w:rPr>
          <w:rFonts w:cs="Arial"/>
          <w:i/>
        </w:rPr>
        <w:t xml:space="preserve">Strategic Planning for Public and Nonprofit Organizations: A Guide to Strengthening and Sustaining </w:t>
      </w:r>
      <w:r w:rsidR="002C647E" w:rsidRPr="006D2C8B">
        <w:rPr>
          <w:rFonts w:cs="Arial"/>
          <w:i/>
        </w:rPr>
        <w:t>Organisational</w:t>
      </w:r>
      <w:r w:rsidRPr="006D2C8B">
        <w:rPr>
          <w:rFonts w:cs="Arial"/>
          <w:i/>
        </w:rPr>
        <w:t xml:space="preserve"> Achievement</w:t>
      </w:r>
      <w:r w:rsidRPr="006D2C8B">
        <w:rPr>
          <w:rFonts w:cs="Arial"/>
        </w:rPr>
        <w:t xml:space="preserve">. 3rd </w:t>
      </w:r>
      <w:proofErr w:type="spellStart"/>
      <w:r w:rsidRPr="006D2C8B">
        <w:rPr>
          <w:rFonts w:cs="Arial"/>
        </w:rPr>
        <w:t>edn</w:t>
      </w:r>
      <w:proofErr w:type="spellEnd"/>
      <w:r w:rsidRPr="006D2C8B">
        <w:rPr>
          <w:rFonts w:cs="Arial"/>
        </w:rPr>
        <w:t>. San Francisco: Jossey-Bass.</w:t>
      </w:r>
    </w:p>
    <w:p w14:paraId="7206ACB0" w14:textId="77777777" w:rsidR="001A6E52" w:rsidRPr="006D2C8B" w:rsidRDefault="00281488" w:rsidP="006D2C8B">
      <w:pPr>
        <w:spacing w:line="360" w:lineRule="auto"/>
        <w:contextualSpacing/>
        <w:jc w:val="both"/>
        <w:rPr>
          <w:rFonts w:cs="Arial"/>
        </w:rPr>
      </w:pPr>
      <w:r w:rsidRPr="006D2C8B">
        <w:rPr>
          <w:rFonts w:cs="Arial"/>
        </w:rPr>
        <w:t xml:space="preserve">Donaldson, T. and Preston, L.E. (1995) 'The Stakeholder Theory of the Corporation: Concepts, Evidence, and Implications', </w:t>
      </w:r>
      <w:r w:rsidRPr="006D2C8B">
        <w:rPr>
          <w:rFonts w:cs="Arial"/>
          <w:i/>
        </w:rPr>
        <w:t>Academy of Management Review</w:t>
      </w:r>
      <w:r w:rsidRPr="006D2C8B">
        <w:rPr>
          <w:rFonts w:cs="Arial"/>
        </w:rPr>
        <w:t>, 20(1), pp. 65-91.</w:t>
      </w:r>
    </w:p>
    <w:p w14:paraId="051BCDD5" w14:textId="48F67EFF" w:rsidR="001A6E52" w:rsidRPr="006D2C8B" w:rsidRDefault="00281488" w:rsidP="006D2C8B">
      <w:pPr>
        <w:spacing w:line="360" w:lineRule="auto"/>
        <w:contextualSpacing/>
        <w:jc w:val="both"/>
        <w:rPr>
          <w:rFonts w:cs="Arial"/>
        </w:rPr>
      </w:pPr>
      <w:r w:rsidRPr="006D2C8B">
        <w:rPr>
          <w:rFonts w:cs="Arial"/>
        </w:rPr>
        <w:t>Doran, G.T. (1981) 'There</w:t>
      </w:r>
      <w:r w:rsidR="00FF5ABB" w:rsidRPr="006D2C8B">
        <w:rPr>
          <w:rFonts w:cs="Arial"/>
        </w:rPr>
        <w:t>’</w:t>
      </w:r>
      <w:r w:rsidRPr="006D2C8B">
        <w:rPr>
          <w:rFonts w:cs="Arial"/>
        </w:rPr>
        <w:t>s a S.M.A.R.T. Way to Write Management</w:t>
      </w:r>
      <w:r w:rsidR="00FF5ABB" w:rsidRPr="006D2C8B">
        <w:rPr>
          <w:rFonts w:cs="Arial"/>
        </w:rPr>
        <w:t>’</w:t>
      </w:r>
      <w:r w:rsidRPr="006D2C8B">
        <w:rPr>
          <w:rFonts w:cs="Arial"/>
        </w:rPr>
        <w:t xml:space="preserve">s Goals and Objectives', </w:t>
      </w:r>
      <w:r w:rsidRPr="006D2C8B">
        <w:rPr>
          <w:rFonts w:cs="Arial"/>
          <w:i/>
        </w:rPr>
        <w:t>Management Review</w:t>
      </w:r>
      <w:r w:rsidRPr="006D2C8B">
        <w:rPr>
          <w:rFonts w:cs="Arial"/>
        </w:rPr>
        <w:t>, 70(11), pp. 35-36.</w:t>
      </w:r>
    </w:p>
    <w:p w14:paraId="16B41B74" w14:textId="77777777" w:rsidR="001A6E52" w:rsidRPr="006D2C8B" w:rsidRDefault="00281488" w:rsidP="006D2C8B">
      <w:pPr>
        <w:spacing w:line="360" w:lineRule="auto"/>
        <w:contextualSpacing/>
        <w:jc w:val="both"/>
        <w:rPr>
          <w:rFonts w:cs="Arial"/>
        </w:rPr>
      </w:pPr>
      <w:r w:rsidRPr="006D2C8B">
        <w:rPr>
          <w:rFonts w:cs="Arial"/>
        </w:rPr>
        <w:t xml:space="preserve">Flyvbjerg, B., Bruzelius, N. and </w:t>
      </w:r>
      <w:proofErr w:type="spellStart"/>
      <w:r w:rsidRPr="006D2C8B">
        <w:rPr>
          <w:rFonts w:cs="Arial"/>
        </w:rPr>
        <w:t>Rothengatter</w:t>
      </w:r>
      <w:proofErr w:type="spellEnd"/>
      <w:r w:rsidRPr="006D2C8B">
        <w:rPr>
          <w:rFonts w:cs="Arial"/>
        </w:rPr>
        <w:t xml:space="preserve">, W. (2003) </w:t>
      </w:r>
      <w:r w:rsidRPr="006D2C8B">
        <w:rPr>
          <w:rFonts w:cs="Arial"/>
          <w:i/>
        </w:rPr>
        <w:t>Megaprojects and Risk: An Anatomy of Ambition</w:t>
      </w:r>
      <w:r w:rsidRPr="006D2C8B">
        <w:rPr>
          <w:rFonts w:cs="Arial"/>
        </w:rPr>
        <w:t>. Cambridge: Cambridge University Press.</w:t>
      </w:r>
    </w:p>
    <w:p w14:paraId="168DF807" w14:textId="77777777" w:rsidR="001A6E52" w:rsidRPr="006D2C8B" w:rsidRDefault="00281488" w:rsidP="006D2C8B">
      <w:pPr>
        <w:spacing w:line="360" w:lineRule="auto"/>
        <w:contextualSpacing/>
        <w:jc w:val="both"/>
        <w:rPr>
          <w:rFonts w:cs="Arial"/>
        </w:rPr>
      </w:pPr>
      <w:r w:rsidRPr="006D2C8B">
        <w:rPr>
          <w:rFonts w:cs="Arial"/>
        </w:rPr>
        <w:t xml:space="preserve">Freeman, R.E. (1984) </w:t>
      </w:r>
      <w:r w:rsidRPr="006D2C8B">
        <w:rPr>
          <w:rFonts w:cs="Arial"/>
          <w:i/>
        </w:rPr>
        <w:t>Strategic Management: A Stakeholder Approach</w:t>
      </w:r>
      <w:r w:rsidRPr="006D2C8B">
        <w:rPr>
          <w:rFonts w:cs="Arial"/>
        </w:rPr>
        <w:t>. Boston: Pitman Publishing.</w:t>
      </w:r>
    </w:p>
    <w:p w14:paraId="5F70D193" w14:textId="56A0C33E" w:rsidR="001A6E52" w:rsidRPr="006D2C8B" w:rsidRDefault="00281488" w:rsidP="006D2C8B">
      <w:pPr>
        <w:spacing w:line="360" w:lineRule="auto"/>
        <w:contextualSpacing/>
        <w:jc w:val="both"/>
        <w:rPr>
          <w:rFonts w:cs="Arial"/>
        </w:rPr>
      </w:pPr>
      <w:r w:rsidRPr="006D2C8B">
        <w:rPr>
          <w:rFonts w:cs="Arial"/>
        </w:rPr>
        <w:t>Hillman, A.J. and Keim, G.D. (2001) 'Shareholder Value, Stakeholder Management, and Social Issues: What</w:t>
      </w:r>
      <w:r w:rsidR="00FF5ABB" w:rsidRPr="006D2C8B">
        <w:rPr>
          <w:rFonts w:cs="Arial"/>
        </w:rPr>
        <w:t>’</w:t>
      </w:r>
      <w:r w:rsidRPr="006D2C8B">
        <w:rPr>
          <w:rFonts w:cs="Arial"/>
        </w:rPr>
        <w:t xml:space="preserve">s the Bottom Line?', </w:t>
      </w:r>
      <w:r w:rsidRPr="006D2C8B">
        <w:rPr>
          <w:rFonts w:cs="Arial"/>
          <w:i/>
        </w:rPr>
        <w:t>Strategic Management Journal</w:t>
      </w:r>
      <w:r w:rsidRPr="006D2C8B">
        <w:rPr>
          <w:rFonts w:cs="Arial"/>
        </w:rPr>
        <w:t>, 22(2), pp. 125-139.</w:t>
      </w:r>
    </w:p>
    <w:p w14:paraId="0624D49D" w14:textId="77777777" w:rsidR="001A6E52" w:rsidRPr="006D2C8B" w:rsidRDefault="00281488" w:rsidP="006D2C8B">
      <w:pPr>
        <w:spacing w:line="360" w:lineRule="auto"/>
        <w:contextualSpacing/>
        <w:jc w:val="both"/>
        <w:rPr>
          <w:rFonts w:cs="Arial"/>
        </w:rPr>
      </w:pPr>
      <w:r w:rsidRPr="006D2C8B">
        <w:rPr>
          <w:rFonts w:cs="Arial"/>
        </w:rPr>
        <w:t xml:space="preserve">Innes, J.E. and Booher, D.E. (2004) 'Reframing Public Participation: Strategies for the 21st Century', </w:t>
      </w:r>
      <w:r w:rsidRPr="006D2C8B">
        <w:rPr>
          <w:rFonts w:cs="Arial"/>
          <w:i/>
        </w:rPr>
        <w:t>Planning Theory &amp; Practice</w:t>
      </w:r>
      <w:r w:rsidRPr="006D2C8B">
        <w:rPr>
          <w:rFonts w:cs="Arial"/>
        </w:rPr>
        <w:t>, 5(4), pp. 419-436.</w:t>
      </w:r>
    </w:p>
    <w:p w14:paraId="4DFD4734" w14:textId="77777777" w:rsidR="001A6E52" w:rsidRPr="006D2C8B" w:rsidRDefault="00281488" w:rsidP="006D2C8B">
      <w:pPr>
        <w:spacing w:line="360" w:lineRule="auto"/>
        <w:contextualSpacing/>
        <w:jc w:val="both"/>
        <w:rPr>
          <w:rFonts w:cs="Arial"/>
        </w:rPr>
      </w:pPr>
      <w:r w:rsidRPr="006D2C8B">
        <w:rPr>
          <w:rFonts w:cs="Arial"/>
        </w:rPr>
        <w:t xml:space="preserve">Kotler, P. and Keller, K.L. (2016) </w:t>
      </w:r>
      <w:r w:rsidRPr="006D2C8B">
        <w:rPr>
          <w:rFonts w:cs="Arial"/>
          <w:i/>
        </w:rPr>
        <w:t>Marketing Management</w:t>
      </w:r>
      <w:r w:rsidRPr="006D2C8B">
        <w:rPr>
          <w:rFonts w:cs="Arial"/>
        </w:rPr>
        <w:t xml:space="preserve">. 15th </w:t>
      </w:r>
      <w:proofErr w:type="spellStart"/>
      <w:r w:rsidRPr="006D2C8B">
        <w:rPr>
          <w:rFonts w:cs="Arial"/>
        </w:rPr>
        <w:t>edn</w:t>
      </w:r>
      <w:proofErr w:type="spellEnd"/>
      <w:r w:rsidRPr="006D2C8B">
        <w:rPr>
          <w:rFonts w:cs="Arial"/>
        </w:rPr>
        <w:t>. Upper Saddle River: Pearson Education.</w:t>
      </w:r>
    </w:p>
    <w:p w14:paraId="08A16A43" w14:textId="77777777" w:rsidR="001A6E52" w:rsidRPr="006D2C8B" w:rsidRDefault="00281488" w:rsidP="006D2C8B">
      <w:pPr>
        <w:spacing w:line="360" w:lineRule="auto"/>
        <w:contextualSpacing/>
        <w:jc w:val="both"/>
        <w:rPr>
          <w:rFonts w:cs="Arial"/>
        </w:rPr>
      </w:pPr>
      <w:r w:rsidRPr="006D2C8B">
        <w:rPr>
          <w:rFonts w:cs="Arial"/>
        </w:rPr>
        <w:t xml:space="preserve">Mendelow, A.L. (1991) 'Stakeholder Mapping', </w:t>
      </w:r>
      <w:r w:rsidRPr="006D2C8B">
        <w:rPr>
          <w:rFonts w:cs="Arial"/>
          <w:i/>
        </w:rPr>
        <w:t>Proceedings of the Second International Conference on Information Systems</w:t>
      </w:r>
      <w:r w:rsidRPr="006D2C8B">
        <w:rPr>
          <w:rFonts w:cs="Arial"/>
        </w:rPr>
        <w:t>, pp. 205-220.</w:t>
      </w:r>
    </w:p>
    <w:p w14:paraId="3376540C" w14:textId="77777777" w:rsidR="001A6E52" w:rsidRPr="006D2C8B" w:rsidRDefault="00281488" w:rsidP="006D2C8B">
      <w:pPr>
        <w:spacing w:line="360" w:lineRule="auto"/>
        <w:contextualSpacing/>
        <w:jc w:val="both"/>
        <w:rPr>
          <w:rFonts w:cs="Arial"/>
        </w:rPr>
      </w:pPr>
      <w:r w:rsidRPr="006D2C8B">
        <w:rPr>
          <w:rFonts w:cs="Arial"/>
        </w:rPr>
        <w:t xml:space="preserve">Mitchell, R.K., Agle, B.R. and Wood, D.J. (1997) 'Toward a Theory of Stakeholder Identification and Salience: Defining the Principle of Who and What Really Counts', </w:t>
      </w:r>
      <w:r w:rsidRPr="006D2C8B">
        <w:rPr>
          <w:rFonts w:cs="Arial"/>
          <w:i/>
        </w:rPr>
        <w:t>Academy of Management Review</w:t>
      </w:r>
      <w:r w:rsidRPr="006D2C8B">
        <w:rPr>
          <w:rFonts w:cs="Arial"/>
        </w:rPr>
        <w:t>, 22(4), pp. 853-886.</w:t>
      </w:r>
    </w:p>
    <w:p w14:paraId="0DB211D9" w14:textId="77777777" w:rsidR="0052754F" w:rsidRPr="006D2C8B" w:rsidRDefault="0052754F" w:rsidP="006D2C8B">
      <w:pPr>
        <w:spacing w:line="360" w:lineRule="auto"/>
        <w:contextualSpacing/>
        <w:jc w:val="both"/>
        <w:rPr>
          <w:rFonts w:cs="Arial"/>
        </w:rPr>
      </w:pPr>
    </w:p>
    <w:p w14:paraId="5D8323AE" w14:textId="77777777" w:rsidR="001A6E52" w:rsidRPr="006D2C8B" w:rsidRDefault="00281488" w:rsidP="006D2C8B">
      <w:pPr>
        <w:spacing w:line="360" w:lineRule="auto"/>
        <w:contextualSpacing/>
        <w:jc w:val="both"/>
        <w:rPr>
          <w:rFonts w:cs="Arial"/>
        </w:rPr>
      </w:pPr>
      <w:r w:rsidRPr="006D2C8B">
        <w:rPr>
          <w:rFonts w:cs="Arial"/>
        </w:rPr>
        <w:lastRenderedPageBreak/>
        <w:t xml:space="preserve">Porter, M.E. (1985) </w:t>
      </w:r>
      <w:r w:rsidRPr="006D2C8B">
        <w:rPr>
          <w:rFonts w:cs="Arial"/>
          <w:i/>
        </w:rPr>
        <w:t>Competitive Advantage: Creating and Sustaining Superior Performance</w:t>
      </w:r>
      <w:r w:rsidRPr="006D2C8B">
        <w:rPr>
          <w:rFonts w:cs="Arial"/>
        </w:rPr>
        <w:t>. New York: Free Press.</w:t>
      </w:r>
    </w:p>
    <w:p w14:paraId="0AFCA374" w14:textId="77777777" w:rsidR="001A6E52" w:rsidRPr="006D2C8B" w:rsidRDefault="00281488" w:rsidP="006D2C8B">
      <w:pPr>
        <w:spacing w:line="360" w:lineRule="auto"/>
        <w:contextualSpacing/>
        <w:jc w:val="both"/>
        <w:rPr>
          <w:rFonts w:cs="Arial"/>
        </w:rPr>
      </w:pPr>
      <w:r w:rsidRPr="006D2C8B">
        <w:rPr>
          <w:rFonts w:cs="Arial"/>
        </w:rPr>
        <w:t xml:space="preserve">Post, J.E., Preston, L.E. and Sachs, S. (2002) 'Managing the Extended Enterprise: The New Stakeholder View', </w:t>
      </w:r>
      <w:r w:rsidRPr="006D2C8B">
        <w:rPr>
          <w:rFonts w:cs="Arial"/>
          <w:i/>
        </w:rPr>
        <w:t>California Management Review</w:t>
      </w:r>
      <w:r w:rsidRPr="006D2C8B">
        <w:rPr>
          <w:rFonts w:cs="Arial"/>
        </w:rPr>
        <w:t>, 45(1), pp. 6-28.</w:t>
      </w:r>
    </w:p>
    <w:p w14:paraId="1917596F" w14:textId="77777777" w:rsidR="001A6E52" w:rsidRPr="006D2C8B" w:rsidRDefault="00281488" w:rsidP="006D2C8B">
      <w:pPr>
        <w:spacing w:line="360" w:lineRule="auto"/>
        <w:contextualSpacing/>
        <w:jc w:val="both"/>
        <w:rPr>
          <w:rFonts w:cs="Arial"/>
        </w:rPr>
      </w:pPr>
      <w:r w:rsidRPr="006D2C8B">
        <w:rPr>
          <w:rFonts w:cs="Arial"/>
        </w:rPr>
        <w:t xml:space="preserve">Savage, G.T., Bunn, M.D., Gray, B., Xie, J.L. and Kaur, S. (1991) 'Stakeholder Collaboration: Gaining Legitimacy for Unconstrained Cooperation', </w:t>
      </w:r>
      <w:r w:rsidRPr="006D2C8B">
        <w:rPr>
          <w:rFonts w:cs="Arial"/>
          <w:i/>
        </w:rPr>
        <w:t>Journal of Applied Behavioral Science</w:t>
      </w:r>
      <w:r w:rsidRPr="006D2C8B">
        <w:rPr>
          <w:rFonts w:cs="Arial"/>
        </w:rPr>
        <w:t>, 27(2), pp. 209-234.</w:t>
      </w:r>
    </w:p>
    <w:p w14:paraId="2FCEA4F5" w14:textId="77777777" w:rsidR="001A6E52" w:rsidRPr="006D2C8B" w:rsidRDefault="00281488" w:rsidP="006D2C8B">
      <w:pPr>
        <w:spacing w:line="360" w:lineRule="auto"/>
        <w:contextualSpacing/>
        <w:jc w:val="both"/>
        <w:rPr>
          <w:rFonts w:cs="Arial"/>
        </w:rPr>
      </w:pPr>
      <w:r w:rsidRPr="006D2C8B">
        <w:rPr>
          <w:rFonts w:cs="Arial"/>
        </w:rPr>
        <w:t xml:space="preserve">Svendsen, A.C. and Laberge, M. (2005) 'Corporate Citizenship: New Thinking and Approaches', </w:t>
      </w:r>
      <w:r w:rsidRPr="006D2C8B">
        <w:rPr>
          <w:rFonts w:cs="Arial"/>
          <w:i/>
        </w:rPr>
        <w:t>Journal of Corporate Citizenship</w:t>
      </w:r>
      <w:r w:rsidRPr="006D2C8B">
        <w:rPr>
          <w:rFonts w:cs="Arial"/>
        </w:rPr>
        <w:t>, 17, pp. 36-42.</w:t>
      </w:r>
    </w:p>
    <w:p w14:paraId="259B163C" w14:textId="77777777" w:rsidR="001A6E52" w:rsidRPr="006D2C8B" w:rsidRDefault="00281488" w:rsidP="006D2C8B">
      <w:pPr>
        <w:spacing w:line="360" w:lineRule="auto"/>
        <w:contextualSpacing/>
        <w:jc w:val="both"/>
        <w:rPr>
          <w:rFonts w:cs="Arial"/>
        </w:rPr>
      </w:pPr>
      <w:r w:rsidRPr="006D2C8B">
        <w:rPr>
          <w:rFonts w:cs="Arial"/>
        </w:rPr>
        <w:t xml:space="preserve">Yeung, K. (2017) </w:t>
      </w:r>
      <w:proofErr w:type="spellStart"/>
      <w:r w:rsidRPr="006D2C8B">
        <w:rPr>
          <w:rFonts w:cs="Arial"/>
          <w:i/>
        </w:rPr>
        <w:t>Hypernudges</w:t>
      </w:r>
      <w:proofErr w:type="spellEnd"/>
      <w:r w:rsidRPr="006D2C8B">
        <w:rPr>
          <w:rFonts w:cs="Arial"/>
          <w:i/>
        </w:rPr>
        <w:t>: Big Data, Regulation and Everyday Life</w:t>
      </w:r>
      <w:r w:rsidRPr="006D2C8B">
        <w:rPr>
          <w:rFonts w:cs="Arial"/>
        </w:rPr>
        <w:t>. Oxford: Oxford University Press.</w:t>
      </w:r>
    </w:p>
    <w:p w14:paraId="49B0BD5C" w14:textId="77777777" w:rsidR="001A6E52" w:rsidRPr="006D2C8B" w:rsidRDefault="00281488" w:rsidP="006D2C8B">
      <w:pPr>
        <w:spacing w:line="360" w:lineRule="auto"/>
        <w:contextualSpacing/>
        <w:jc w:val="both"/>
        <w:rPr>
          <w:rFonts w:cs="Arial"/>
        </w:rPr>
      </w:pPr>
      <w:r w:rsidRPr="006D2C8B">
        <w:rPr>
          <w:rFonts w:cs="Arial"/>
        </w:rPr>
        <w:t xml:space="preserve">Zuboff, S. (2019) </w:t>
      </w:r>
      <w:r w:rsidRPr="006D2C8B">
        <w:rPr>
          <w:rFonts w:cs="Arial"/>
          <w:i/>
        </w:rPr>
        <w:t>The Age of Surveillance Capitalism: The Fight for a Human Future at the New Frontier of Power</w:t>
      </w:r>
      <w:r w:rsidRPr="006D2C8B">
        <w:rPr>
          <w:rFonts w:cs="Arial"/>
        </w:rPr>
        <w:t>. New York: PublicAffairs.</w:t>
      </w:r>
    </w:p>
    <w:sectPr w:rsidR="001A6E52" w:rsidRPr="006D2C8B" w:rsidSect="00AD126B">
      <w:headerReference w:type="default" r:id="rId9"/>
      <w:footerReference w:type="default" r:id="rId10"/>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AC518" w14:textId="77777777" w:rsidR="00C70213" w:rsidRDefault="00C70213" w:rsidP="001F099E">
      <w:pPr>
        <w:spacing w:after="0" w:line="240" w:lineRule="auto"/>
      </w:pPr>
      <w:r>
        <w:separator/>
      </w:r>
    </w:p>
  </w:endnote>
  <w:endnote w:type="continuationSeparator" w:id="0">
    <w:p w14:paraId="54905DC0" w14:textId="77777777" w:rsidR="00C70213" w:rsidRDefault="00C70213" w:rsidP="001F0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1387753"/>
      <w:docPartObj>
        <w:docPartGallery w:val="Page Numbers (Bottom of Page)"/>
        <w:docPartUnique/>
      </w:docPartObj>
    </w:sdtPr>
    <w:sdtEndPr>
      <w:rPr>
        <w:noProof/>
      </w:rPr>
    </w:sdtEndPr>
    <w:sdtContent>
      <w:p w14:paraId="65B92DD5" w14:textId="72A86808" w:rsidR="00150FA7" w:rsidRDefault="00150F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C84215" w14:textId="77777777" w:rsidR="001F099E" w:rsidRDefault="001F0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C50B4" w14:textId="77777777" w:rsidR="00C70213" w:rsidRDefault="00C70213" w:rsidP="001F099E">
      <w:pPr>
        <w:spacing w:after="0" w:line="240" w:lineRule="auto"/>
      </w:pPr>
      <w:r>
        <w:separator/>
      </w:r>
    </w:p>
  </w:footnote>
  <w:footnote w:type="continuationSeparator" w:id="0">
    <w:p w14:paraId="4CF55F92" w14:textId="77777777" w:rsidR="00C70213" w:rsidRDefault="00C70213" w:rsidP="001F0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16C51" w14:textId="6D34708E" w:rsidR="001F099E" w:rsidRDefault="001F099E">
    <w:pPr>
      <w:pStyle w:val="Header"/>
      <w:jc w:val="center"/>
    </w:pPr>
  </w:p>
  <w:p w14:paraId="3C2DE580" w14:textId="77777777" w:rsidR="001F099E" w:rsidRDefault="001F09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06093071">
    <w:abstractNumId w:val="8"/>
  </w:num>
  <w:num w:numId="2" w16cid:durableId="457996973">
    <w:abstractNumId w:val="6"/>
  </w:num>
  <w:num w:numId="3" w16cid:durableId="1431273377">
    <w:abstractNumId w:val="5"/>
  </w:num>
  <w:num w:numId="4" w16cid:durableId="2083022372">
    <w:abstractNumId w:val="4"/>
  </w:num>
  <w:num w:numId="5" w16cid:durableId="2029940043">
    <w:abstractNumId w:val="7"/>
  </w:num>
  <w:num w:numId="6" w16cid:durableId="2074355507">
    <w:abstractNumId w:val="3"/>
  </w:num>
  <w:num w:numId="7" w16cid:durableId="251663253">
    <w:abstractNumId w:val="2"/>
  </w:num>
  <w:num w:numId="8" w16cid:durableId="1999578404">
    <w:abstractNumId w:val="1"/>
  </w:num>
  <w:num w:numId="9" w16cid:durableId="1880586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4786"/>
    <w:rsid w:val="0006063C"/>
    <w:rsid w:val="001051DA"/>
    <w:rsid w:val="0015074B"/>
    <w:rsid w:val="00150FA7"/>
    <w:rsid w:val="001521E0"/>
    <w:rsid w:val="001A6E52"/>
    <w:rsid w:val="001E02F4"/>
    <w:rsid w:val="001F099E"/>
    <w:rsid w:val="001F3D03"/>
    <w:rsid w:val="001F7E3D"/>
    <w:rsid w:val="00207A17"/>
    <w:rsid w:val="002252D8"/>
    <w:rsid w:val="00227D80"/>
    <w:rsid w:val="00281488"/>
    <w:rsid w:val="002930FF"/>
    <w:rsid w:val="0029639D"/>
    <w:rsid w:val="002B402C"/>
    <w:rsid w:val="002C5569"/>
    <w:rsid w:val="002C647E"/>
    <w:rsid w:val="00311E1E"/>
    <w:rsid w:val="00326F90"/>
    <w:rsid w:val="0034054E"/>
    <w:rsid w:val="00345817"/>
    <w:rsid w:val="0036372F"/>
    <w:rsid w:val="00365487"/>
    <w:rsid w:val="003E6CB3"/>
    <w:rsid w:val="00480CA6"/>
    <w:rsid w:val="004E5A0A"/>
    <w:rsid w:val="004F5399"/>
    <w:rsid w:val="005141A5"/>
    <w:rsid w:val="00524ECA"/>
    <w:rsid w:val="0052754F"/>
    <w:rsid w:val="0056733E"/>
    <w:rsid w:val="005773FE"/>
    <w:rsid w:val="00591301"/>
    <w:rsid w:val="006013BD"/>
    <w:rsid w:val="006129DB"/>
    <w:rsid w:val="00620B1C"/>
    <w:rsid w:val="006D0526"/>
    <w:rsid w:val="006D2C8B"/>
    <w:rsid w:val="006D3FE4"/>
    <w:rsid w:val="00755C4B"/>
    <w:rsid w:val="007561E3"/>
    <w:rsid w:val="00764F81"/>
    <w:rsid w:val="00773DC8"/>
    <w:rsid w:val="00780BA9"/>
    <w:rsid w:val="00791998"/>
    <w:rsid w:val="00796E6D"/>
    <w:rsid w:val="007979D9"/>
    <w:rsid w:val="007C733F"/>
    <w:rsid w:val="007D45AA"/>
    <w:rsid w:val="00802507"/>
    <w:rsid w:val="00803946"/>
    <w:rsid w:val="00822494"/>
    <w:rsid w:val="00850C3E"/>
    <w:rsid w:val="008544F9"/>
    <w:rsid w:val="008918E4"/>
    <w:rsid w:val="008B3FAD"/>
    <w:rsid w:val="009337B4"/>
    <w:rsid w:val="00934CC4"/>
    <w:rsid w:val="009524CE"/>
    <w:rsid w:val="00975C25"/>
    <w:rsid w:val="00987971"/>
    <w:rsid w:val="009D6F73"/>
    <w:rsid w:val="00A0089C"/>
    <w:rsid w:val="00A118F0"/>
    <w:rsid w:val="00A24F10"/>
    <w:rsid w:val="00A51736"/>
    <w:rsid w:val="00A73D6A"/>
    <w:rsid w:val="00A873AF"/>
    <w:rsid w:val="00A96FCE"/>
    <w:rsid w:val="00AA1D8D"/>
    <w:rsid w:val="00AA2080"/>
    <w:rsid w:val="00AA7FD1"/>
    <w:rsid w:val="00AB1EA3"/>
    <w:rsid w:val="00AD126B"/>
    <w:rsid w:val="00B05359"/>
    <w:rsid w:val="00B20078"/>
    <w:rsid w:val="00B203CB"/>
    <w:rsid w:val="00B47730"/>
    <w:rsid w:val="00B550DD"/>
    <w:rsid w:val="00B60113"/>
    <w:rsid w:val="00B653F2"/>
    <w:rsid w:val="00BA5837"/>
    <w:rsid w:val="00BF3EE5"/>
    <w:rsid w:val="00BF4B0F"/>
    <w:rsid w:val="00C1353F"/>
    <w:rsid w:val="00C44324"/>
    <w:rsid w:val="00C70213"/>
    <w:rsid w:val="00CB0664"/>
    <w:rsid w:val="00D011A2"/>
    <w:rsid w:val="00D06297"/>
    <w:rsid w:val="00D11F51"/>
    <w:rsid w:val="00D41CBB"/>
    <w:rsid w:val="00D43915"/>
    <w:rsid w:val="00D62C48"/>
    <w:rsid w:val="00DA4615"/>
    <w:rsid w:val="00DB551A"/>
    <w:rsid w:val="00E46580"/>
    <w:rsid w:val="00E56569"/>
    <w:rsid w:val="00EC41EE"/>
    <w:rsid w:val="00F0348F"/>
    <w:rsid w:val="00FA1B55"/>
    <w:rsid w:val="00FC693F"/>
    <w:rsid w:val="00FE4C7F"/>
    <w:rsid w:val="00FE547D"/>
    <w:rsid w:val="00FF5A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F6BA37"/>
  <w14:defaultImageDpi w14:val="300"/>
  <w15:docId w15:val="{9157ABB3-5EA7-4DDB-AE88-E47597736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011A2"/>
    <w:pPr>
      <w:spacing w:after="100"/>
    </w:pPr>
  </w:style>
  <w:style w:type="paragraph" w:styleId="TOC2">
    <w:name w:val="toc 2"/>
    <w:basedOn w:val="Normal"/>
    <w:next w:val="Normal"/>
    <w:autoRedefine/>
    <w:uiPriority w:val="39"/>
    <w:unhideWhenUsed/>
    <w:rsid w:val="00D011A2"/>
    <w:pPr>
      <w:spacing w:after="100"/>
      <w:ind w:left="220"/>
    </w:pPr>
  </w:style>
  <w:style w:type="character" w:styleId="Hyperlink">
    <w:name w:val="Hyperlink"/>
    <w:basedOn w:val="DefaultParagraphFont"/>
    <w:uiPriority w:val="99"/>
    <w:unhideWhenUsed/>
    <w:rsid w:val="00D011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19</Pages>
  <Words>5759</Words>
  <Characters>32830</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38512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Luciana de Lara Franco</cp:lastModifiedBy>
  <cp:revision>80</cp:revision>
  <dcterms:created xsi:type="dcterms:W3CDTF">2026-07-12T18:10:00Z</dcterms:created>
  <dcterms:modified xsi:type="dcterms:W3CDTF">2026-07-17T16:15:00Z</dcterms:modified>
  <cp:category/>
</cp:coreProperties>
</file>