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4A9C1" w14:textId="05A2F8FA" w:rsidR="00A52366" w:rsidRDefault="008209A6" w:rsidP="00E7343A">
      <w:pPr>
        <w:jc w:val="center"/>
        <w:rPr>
          <w:b/>
          <w:bCs/>
          <w:u w:val="single"/>
        </w:rPr>
      </w:pPr>
      <w:r w:rsidRPr="008209A6">
        <w:rPr>
          <w:b/>
          <w:bCs/>
          <w:u w:val="single"/>
        </w:rPr>
        <w:t>Is there a gender bias in the identification of Additional Learning Needs in the Early Years</w:t>
      </w:r>
      <w:r>
        <w:rPr>
          <w:b/>
          <w:bCs/>
          <w:u w:val="single"/>
        </w:rPr>
        <w:t>?</w:t>
      </w:r>
    </w:p>
    <w:p w14:paraId="3623FD91" w14:textId="77777777" w:rsidR="008209A6" w:rsidRDefault="008209A6" w:rsidP="00E7343A">
      <w:pPr>
        <w:jc w:val="both"/>
      </w:pPr>
    </w:p>
    <w:p w14:paraId="1179E48E" w14:textId="579E92C3" w:rsidR="00E7343A" w:rsidRDefault="00FA28D9" w:rsidP="00E7343A">
      <w:r>
        <w:t xml:space="preserve">With the introduction of the </w:t>
      </w:r>
      <w:r w:rsidRPr="00FA28D9">
        <w:t>Additional Learning Needs and Education Tribunal (Wales) Act 2018</w:t>
      </w:r>
      <w:r>
        <w:t xml:space="preserve">, and the </w:t>
      </w:r>
      <w:r w:rsidR="004542B3">
        <w:t xml:space="preserve">personal </w:t>
      </w:r>
      <w:r w:rsidR="009636C5">
        <w:t xml:space="preserve">family support </w:t>
      </w:r>
      <w:r w:rsidR="004542B3">
        <w:t xml:space="preserve">work experience of the author whereby </w:t>
      </w:r>
      <w:r w:rsidR="009636C5">
        <w:t xml:space="preserve">girls seem to be masking in school and struggling with their emotions at home. The question has arisen of if a girl’s compliance at school deters professionals from making referrals even when parents explain the struggles at home? This is </w:t>
      </w:r>
      <w:proofErr w:type="gramStart"/>
      <w:r w:rsidR="009636C5">
        <w:t>in particular relation</w:t>
      </w:r>
      <w:proofErr w:type="gramEnd"/>
      <w:r w:rsidR="009636C5">
        <w:t xml:space="preserve"> to </w:t>
      </w:r>
      <w:r w:rsidR="00D45FC8">
        <w:t>autism spectrum disorder</w:t>
      </w:r>
      <w:r w:rsidR="009636C5">
        <w:t xml:space="preserve"> </w:t>
      </w:r>
      <w:r w:rsidR="00750600">
        <w:t xml:space="preserve">(ASD) </w:t>
      </w:r>
      <w:r w:rsidR="009636C5">
        <w:t xml:space="preserve">and has </w:t>
      </w:r>
      <w:r w:rsidR="000A0378">
        <w:t>been identified for further investigation</w:t>
      </w:r>
      <w:r w:rsidR="009636C5">
        <w:t xml:space="preserve"> primarily from</w:t>
      </w:r>
      <w:r w:rsidR="00A72997">
        <w:t xml:space="preserve"> a</w:t>
      </w:r>
      <w:r w:rsidR="009636C5">
        <w:t xml:space="preserve"> particular case stud</w:t>
      </w:r>
      <w:r w:rsidR="000A0378">
        <w:t>y</w:t>
      </w:r>
      <w:r w:rsidR="009636C5">
        <w:t xml:space="preserve">. </w:t>
      </w:r>
    </w:p>
    <w:p w14:paraId="3AF456C6" w14:textId="2CA4A086" w:rsidR="00D45FC8" w:rsidRDefault="00D45FC8" w:rsidP="00E7343A">
      <w:pPr>
        <w:rPr>
          <w:u w:val="single"/>
        </w:rPr>
      </w:pPr>
      <w:r w:rsidRPr="00D45FC8">
        <w:rPr>
          <w:u w:val="single"/>
        </w:rPr>
        <w:t>Case Study</w:t>
      </w:r>
    </w:p>
    <w:p w14:paraId="26803D32" w14:textId="529B0EC9" w:rsidR="00D45FC8" w:rsidRDefault="00D45FC8" w:rsidP="00E7343A">
      <w:r w:rsidRPr="00D45FC8">
        <w:t>A family</w:t>
      </w:r>
      <w:r>
        <w:t xml:space="preserve"> with a history of autism spectrum disorder had major</w:t>
      </w:r>
      <w:r w:rsidRPr="00D45FC8">
        <w:t xml:space="preserve"> </w:t>
      </w:r>
      <w:r>
        <w:t xml:space="preserve">concerns for their </w:t>
      </w:r>
      <w:r w:rsidR="00AC7727">
        <w:t>6-year-old</w:t>
      </w:r>
      <w:r>
        <w:t xml:space="preserve"> daughters wellbeing. </w:t>
      </w:r>
      <w:r w:rsidR="00AC7727">
        <w:t>In school, she was quiet, compliant and engaged. She had friends that she played with and was able to articulate her emotions to her teacher. However, at home, she was dysregulated</w:t>
      </w:r>
      <w:r w:rsidR="008047DC">
        <w:t xml:space="preserve"> with heightened emotions and being unable to articulate her emotions. A referral from school for ASD assessment was not forthcoming as they did not see any concerns, while dismissing parental concerns. </w:t>
      </w:r>
      <w:r w:rsidR="00F35A06">
        <w:t>Following family support intervention, where an outside professional was able to spend time with the child both in school and at home, it became apparent</w:t>
      </w:r>
      <w:r w:rsidR="00065F8A">
        <w:t xml:space="preserve"> that masking was prevalent as the difference in the child’s behaviours between home and school was immense. Following a meeting to ensure all support around the child was collaborative and discussions were had aroun</w:t>
      </w:r>
      <w:r w:rsidR="00750600">
        <w:t>d the behavioural traits that were being displayed a referral for an ASD assessment was submitted, appropriate adjustments were made in school to support regulation and transition and ultimately a diagnosis was forthcoming. This resulted in the child as well as the parent having the appropriate support to manage any meltdowns and address any future struggles as they occur</w:t>
      </w:r>
      <w:r w:rsidR="001456CE">
        <w:t>.</w:t>
      </w:r>
    </w:p>
    <w:p w14:paraId="3DDEE280" w14:textId="0E62D3E8" w:rsidR="00B87EE6" w:rsidRDefault="00B87EE6" w:rsidP="00E7343A">
      <w:pPr>
        <w:rPr>
          <w:u w:val="single"/>
        </w:rPr>
      </w:pPr>
      <w:r w:rsidRPr="00B87EE6">
        <w:rPr>
          <w:u w:val="single"/>
        </w:rPr>
        <w:t>Aims and Objectives</w:t>
      </w:r>
    </w:p>
    <w:p w14:paraId="04FAF0CD" w14:textId="7934B0F0" w:rsidR="0020343A" w:rsidRDefault="0020343A" w:rsidP="00E7343A">
      <w:r w:rsidRPr="0020343A">
        <w:t xml:space="preserve">The aim of this research is to </w:t>
      </w:r>
      <w:r>
        <w:t>explore gender bias within the early years and if this bias has a negative effect on ASD referral requests for assessment</w:t>
      </w:r>
      <w:r w:rsidR="000A0378">
        <w:t xml:space="preserve"> resulting in girls being diagnosed later, struggling more or even being misdiagnosed with mental health concerns</w:t>
      </w:r>
      <w:r>
        <w:t xml:space="preserve">. Within Gwent the pathway for </w:t>
      </w:r>
      <w:r w:rsidR="000A0378">
        <w:t xml:space="preserve">a child’s </w:t>
      </w:r>
      <w:r>
        <w:t xml:space="preserve">ASD assessment is through the </w:t>
      </w:r>
      <w:r w:rsidRPr="0020343A">
        <w:t>ABUHB</w:t>
      </w:r>
      <w:r>
        <w:t xml:space="preserve"> (Aneurin Bevan University Health Board)</w:t>
      </w:r>
      <w:r w:rsidRPr="0020343A">
        <w:t xml:space="preserve"> CAMHS </w:t>
      </w:r>
      <w:r>
        <w:t xml:space="preserve">(Child and Adolescent Mental Health Service) </w:t>
      </w:r>
      <w:r w:rsidRPr="0020343A">
        <w:t>Neurodiversity Early Support Hub (</w:t>
      </w:r>
      <w:r w:rsidRPr="0020343A">
        <w:rPr>
          <w:b/>
          <w:bCs/>
        </w:rPr>
        <w:t>NESH</w:t>
      </w:r>
      <w:r w:rsidRPr="0020343A">
        <w:t>)</w:t>
      </w:r>
      <w:r>
        <w:t xml:space="preserve">. Any professional working with the family </w:t>
      </w:r>
      <w:r w:rsidR="00D145F2">
        <w:t>is</w:t>
      </w:r>
      <w:r>
        <w:t xml:space="preserve"> able to make the referral, however when the child is of compulsory school age (Reception) and above, schools are usually best placed to submit these with parental approval and </w:t>
      </w:r>
      <w:r w:rsidR="00D145F2">
        <w:t>alongside</w:t>
      </w:r>
      <w:r>
        <w:t xml:space="preserve"> any other services who are supporting the family</w:t>
      </w:r>
      <w:r w:rsidR="003E4C77">
        <w:t xml:space="preserve"> to provide information </w:t>
      </w:r>
      <w:r w:rsidR="00DB0094">
        <w:t>which give a comprehensive overview of the whole child.</w:t>
      </w:r>
    </w:p>
    <w:p w14:paraId="4257247E" w14:textId="4013B03D" w:rsidR="00AA4A74" w:rsidRDefault="00AA4A74" w:rsidP="00E7343A">
      <w:r>
        <w:t>A further aim is to understand where any gender bias lies to ensure additional training can be sought</w:t>
      </w:r>
      <w:r w:rsidR="003E4C77">
        <w:t xml:space="preserve"> and provided to professionals within the school system, for example to ensure that there is a consistent approach to children’s needs regardless of their sex</w:t>
      </w:r>
      <w:r>
        <w:t xml:space="preserve">. Part of this would be understanding any professionals preconceived ideas around autism and the presentation of traits in both boys and girls. </w:t>
      </w:r>
    </w:p>
    <w:p w14:paraId="372BC6DB" w14:textId="2BF61B12" w:rsidR="00BE5C64" w:rsidRPr="00221083" w:rsidRDefault="003E4C77" w:rsidP="00E7343A">
      <w:r>
        <w:t>The outcome objective would be to e</w:t>
      </w:r>
      <w:r w:rsidR="00CE5CEA">
        <w:t>xplore how</w:t>
      </w:r>
      <w:r>
        <w:t xml:space="preserve"> all children are provided with the same opportunities and support </w:t>
      </w:r>
      <w:r w:rsidR="00CE5CEA">
        <w:t>without fear of bias due to outdated preconceptions of gender</w:t>
      </w:r>
      <w:r w:rsidR="00BE5C64">
        <w:t>.</w:t>
      </w:r>
      <w:r w:rsidR="00AD4CF9">
        <w:t xml:space="preserve"> </w:t>
      </w:r>
      <w:r w:rsidR="00AF7955" w:rsidRPr="00AF7955">
        <w:t xml:space="preserve">There is a possible limitation with Hendrickx (2015) stating that early intervention in females may limit their opportunities via limitations placed upon them by well-meaning family and professionals wishing to protect them. This can equally be discussed around male early diagnosis, however </w:t>
      </w:r>
      <w:r w:rsidR="00AF7955" w:rsidRPr="00AF7955">
        <w:lastRenderedPageBreak/>
        <w:t>due to pre-determined ideas on how autism spectrum disorder manifests in males compared to females, early intervention may support behavioural concerns and provide the child with coping mechanisms to be able to manage their educational settings more effectively and ultimately be more likely to succeed</w:t>
      </w:r>
      <w:r w:rsidR="00AF7955">
        <w:t xml:space="preserve"> </w:t>
      </w:r>
      <w:r w:rsidR="00B137DB">
        <w:t>(</w:t>
      </w:r>
      <w:r w:rsidR="00B137DB" w:rsidRPr="00B137DB">
        <w:t xml:space="preserve">Howlin, </w:t>
      </w:r>
      <w:proofErr w:type="spellStart"/>
      <w:r w:rsidR="00B137DB" w:rsidRPr="00B137DB">
        <w:t>Magiati</w:t>
      </w:r>
      <w:proofErr w:type="spellEnd"/>
      <w:r w:rsidR="00B137DB" w:rsidRPr="00B137DB">
        <w:t xml:space="preserve"> and Charman, 2009; Rogers and Vismara, 2014).</w:t>
      </w:r>
      <w:r w:rsidR="008D66E7">
        <w:t xml:space="preserve"> In contrast</w:t>
      </w:r>
      <w:r w:rsidR="00726A65">
        <w:t>, however</w:t>
      </w:r>
      <w:r w:rsidR="008D66E7">
        <w:t xml:space="preserve">, Knight, et. </w:t>
      </w:r>
      <w:r w:rsidR="00726A65">
        <w:t>al. (2024)</w:t>
      </w:r>
      <w:r w:rsidR="008D66E7">
        <w:t xml:space="preserve"> found that ‘</w:t>
      </w:r>
      <w:r w:rsidR="008D66E7" w:rsidRPr="008D66E7">
        <w:t>the earlier the learner was identified with SEN, the more likely they were to not meet the nationally expected levels of attainment</w:t>
      </w:r>
      <w:r w:rsidR="008D66E7">
        <w:t>’</w:t>
      </w:r>
      <w:r w:rsidR="00726A65">
        <w:t xml:space="preserve"> with autism spectrum disorder highlighted as the additional learning need having the strongest influence over educational attainment. This, therefore, </w:t>
      </w:r>
      <w:r w:rsidR="008D66E7">
        <w:t>raised the question of if the educational reform in Wales and their person-centred approach</w:t>
      </w:r>
      <w:r w:rsidR="00C33E0D">
        <w:t xml:space="preserve"> as highlighting in the ALN Code (Welsh Government, 2021)</w:t>
      </w:r>
      <w:r w:rsidR="008D66E7">
        <w:t xml:space="preserve"> is attainable for the professionals to deliver and beneficial for the children identifie</w:t>
      </w:r>
      <w:r w:rsidR="00726A65">
        <w:t>d</w:t>
      </w:r>
      <w:r w:rsidR="008D66E7">
        <w:t xml:space="preserve"> as having ALN</w:t>
      </w:r>
      <w:r w:rsidR="00726A65">
        <w:t>. Also, if standardised testing and attainment is beneficial in the long run for a functional and inclusive society</w:t>
      </w:r>
      <w:r w:rsidR="00C33E0D">
        <w:t xml:space="preserve"> rather than success being measured through wellbeing, participation, independence and quality of life. This point raises a further query of if the issue of early identification leads to meaningful, equitable support and how this looks withing the current Welsh educational reforms. </w:t>
      </w:r>
    </w:p>
    <w:p w14:paraId="1BC1D0D6" w14:textId="77777777" w:rsidR="00BE5C64" w:rsidRDefault="00BE5C64" w:rsidP="00E7343A">
      <w:pPr>
        <w:rPr>
          <w:u w:val="single"/>
        </w:rPr>
      </w:pPr>
    </w:p>
    <w:p w14:paraId="221A717A" w14:textId="1947835A" w:rsidR="008047DC" w:rsidRDefault="00B87EE6" w:rsidP="00E7343A">
      <w:pPr>
        <w:rPr>
          <w:u w:val="single"/>
        </w:rPr>
      </w:pPr>
      <w:r>
        <w:rPr>
          <w:u w:val="single"/>
        </w:rPr>
        <w:t>Key Research</w:t>
      </w:r>
      <w:r w:rsidR="00897D91">
        <w:rPr>
          <w:u w:val="single"/>
        </w:rPr>
        <w:t xml:space="preserve"> </w:t>
      </w:r>
    </w:p>
    <w:p w14:paraId="34A5FDE4" w14:textId="5A53FFB3" w:rsidR="00AD4CF9" w:rsidRDefault="009B530D" w:rsidP="00AD4CF9">
      <w:r>
        <w:t xml:space="preserve">Early identification is widely considered preferential in </w:t>
      </w:r>
      <w:r w:rsidR="007723A6">
        <w:t xml:space="preserve">the </w:t>
      </w:r>
      <w:r>
        <w:t>diagnosis for additional learning needs</w:t>
      </w:r>
      <w:r w:rsidR="007723A6">
        <w:t xml:space="preserve"> with studies highlighting the developmental, social and educational benefits associated with it</w:t>
      </w:r>
      <w:r w:rsidR="00916B96">
        <w:t xml:space="preserve">. Welsh Government as well as the other home nations (Scotland, England and Ireland) looking at an overhaul of their current Additional Learning Needs (ALN) or Special Educational Needs (SEN) systems to ensure appropriate support is available as early as possible through person centred planning, for example (Knight, 2022). There are concerns from researchers and professionals that children are equal in the identification of potential ALN or SEN. </w:t>
      </w:r>
      <w:r w:rsidR="00BE5C64" w:rsidRPr="00BE5C64">
        <w:t xml:space="preserve">Sarah </w:t>
      </w:r>
      <w:r w:rsidR="00BE5C64">
        <w:t>Hendrickx (2015) states that autism spectrum disorder being more prevalent in males than females was widely acknowledged as fact up until very recently</w:t>
      </w:r>
      <w:r w:rsidR="00AF7955">
        <w:t xml:space="preserve">. </w:t>
      </w:r>
    </w:p>
    <w:p w14:paraId="5BFC43F0" w14:textId="24561E21" w:rsidR="009E62B4" w:rsidRDefault="0099369D" w:rsidP="00AD4CF9">
      <w:r>
        <w:t xml:space="preserve">Both national and international research consistently state that males are diagnosed earlier and at a higher rate than girls. The Nuffield Foundation (2024) found that identified additional learning needs </w:t>
      </w:r>
      <w:r w:rsidR="004F2C7C">
        <w:t>in learners from reception (aged 5) to year 11 (aged 16) is approximately 1 in 2 suggesting that the prevalence of ALN is higher than expected</w:t>
      </w:r>
      <w:r w:rsidR="002B40C7">
        <w:t xml:space="preserve"> (Knight, et. al., 2024). </w:t>
      </w:r>
      <w:r w:rsidR="009E62B4">
        <w:t xml:space="preserve">Other research queries the equity within the ALN systems </w:t>
      </w:r>
      <w:proofErr w:type="gramStart"/>
      <w:r w:rsidR="009E62B4">
        <w:t>as a whole with</w:t>
      </w:r>
      <w:proofErr w:type="gramEnd"/>
      <w:r w:rsidR="009E62B4">
        <w:t xml:space="preserve"> The Nuffield Foundation (2024) as well as Knight, et. al. (2024) stating that additional demographics, may be applicable not only gender in the diagnostic identification patterns. These include but are not limited to environmental and systemic factors such as deprived areas, free school meals and children being breastfed, for example. </w:t>
      </w:r>
    </w:p>
    <w:p w14:paraId="0F6FEF23" w14:textId="4A00CA74" w:rsidR="0099369D" w:rsidRDefault="009E62B4" w:rsidP="00AD4CF9">
      <w:r>
        <w:t>Dan</w:t>
      </w:r>
      <w:r w:rsidR="008E796B">
        <w:t>i</w:t>
      </w:r>
      <w:r>
        <w:t>el and Wang (2023)</w:t>
      </w:r>
      <w:r w:rsidR="00C16917">
        <w:t xml:space="preserve"> found that males outweigh females by a significant amount in all SEN categories of identification</w:t>
      </w:r>
      <w:r w:rsidR="00DE2792">
        <w:t xml:space="preserve"> from early years through to primary school age. They state that girls account for one-third of pupils who have SEN across the identified needs. </w:t>
      </w:r>
      <w:r w:rsidR="003C36AF">
        <w:t xml:space="preserve">They go on to state that the Diagnostics and Statistical Manuel </w:t>
      </w:r>
      <w:r w:rsidR="003C36AF" w:rsidRPr="003C36AF">
        <w:t>(DSM-V; American Psychiatric Association [APA],</w:t>
      </w:r>
      <w:r w:rsidR="003C36AF">
        <w:t xml:space="preserve"> 2013) suggests that boys are four times more likely to be diagnosed with autism spectrum disorder than girls. </w:t>
      </w:r>
      <w:proofErr w:type="spellStart"/>
      <w:r w:rsidR="00BE32B6" w:rsidRPr="00BE32B6">
        <w:t>Loomes</w:t>
      </w:r>
      <w:proofErr w:type="spellEnd"/>
      <w:r w:rsidR="00BE32B6" w:rsidRPr="00BE32B6">
        <w:t>, Hull and Mandy</w:t>
      </w:r>
      <w:r w:rsidR="00BE32B6" w:rsidRPr="00BE32B6">
        <w:t xml:space="preserve"> </w:t>
      </w:r>
      <w:r w:rsidR="003C36AF">
        <w:t>(2017) agree that there are gender disparities in the diagnosis of ASD, however, cite a slightly smaller ratio of 3.5:1.</w:t>
      </w:r>
      <w:r w:rsidR="00BE32B6">
        <w:t xml:space="preserve"> During the study, Daniel and Wang (2023) identify that during the academic year 2015-2016, 82% of diagnoses of ASD in England were male. However, in the academic year 2022-2023, this number decreased to 75%. </w:t>
      </w:r>
      <w:r w:rsidR="00BE32B6">
        <w:lastRenderedPageBreak/>
        <w:t xml:space="preserve">They argue that </w:t>
      </w:r>
      <w:r w:rsidR="00C47F10">
        <w:t>increased awareness of male and female presentation of ASD traits may have been the factor that has brought about these statistical changes.</w:t>
      </w:r>
    </w:p>
    <w:p w14:paraId="23B22EF6" w14:textId="46CD70EC" w:rsidR="00C47F10" w:rsidRDefault="00C47F10" w:rsidP="00AD4CF9">
      <w:r>
        <w:t xml:space="preserve">The National Autistic Society (2023) states that females are underrepresented and misdiagnosed with ASD due to outdated gender stereotypes of autism presentation. </w:t>
      </w:r>
      <w:r w:rsidRPr="00C47F10">
        <w:t>Yu et al., 2026 and Trafton, 2022</w:t>
      </w:r>
      <w:r w:rsidR="006006DD">
        <w:t xml:space="preserve"> agree and argue that it is the diagnostic tools that are gender biased with the </w:t>
      </w:r>
      <w:r w:rsidR="006006DD" w:rsidRPr="006006DD">
        <w:t>Autism Diagnostic Observation Schedule</w:t>
      </w:r>
      <w:r w:rsidR="006006DD">
        <w:t xml:space="preserve"> (ADOS) for example, citing the lining up of toy trains, stimming behaviours and emotional distress and overwhelm as well as socialising difficulties being male traits rather than female. </w:t>
      </w:r>
      <w:r w:rsidR="006006DD" w:rsidRPr="006006DD">
        <w:t>Minutoli et al.</w:t>
      </w:r>
      <w:r w:rsidR="006006DD">
        <w:t xml:space="preserve"> (</w:t>
      </w:r>
      <w:r w:rsidR="006006DD" w:rsidRPr="006006DD">
        <w:t>2026</w:t>
      </w:r>
      <w:r w:rsidR="006006DD">
        <w:t xml:space="preserve">) argue that many of these diagnostic tools have a bias towards boys </w:t>
      </w:r>
      <w:proofErr w:type="gramStart"/>
      <w:r w:rsidR="006006DD">
        <w:t>due to the fact that</w:t>
      </w:r>
      <w:proofErr w:type="gramEnd"/>
      <w:r w:rsidR="006006DD">
        <w:t xml:space="preserve"> they were designed with an overwhelmingly male heavy sample and this could be contributing to the diagnostic outcomes and gender disparities seen in statistical analysis. </w:t>
      </w:r>
      <w:r w:rsidR="006006DD" w:rsidRPr="006006DD">
        <w:t xml:space="preserve">Cruz et al. </w:t>
      </w:r>
      <w:r w:rsidR="006006DD">
        <w:t>(</w:t>
      </w:r>
      <w:r w:rsidR="006006DD" w:rsidRPr="006006DD">
        <w:t>2024)</w:t>
      </w:r>
      <w:r w:rsidR="006006DD">
        <w:t xml:space="preserve"> and </w:t>
      </w:r>
      <w:r w:rsidR="00C81928" w:rsidRPr="00C81928">
        <w:t>Putnam, McFayden and Harrop</w:t>
      </w:r>
      <w:r w:rsidR="00C81928">
        <w:t xml:space="preserve"> (</w:t>
      </w:r>
      <w:r w:rsidR="00C81928" w:rsidRPr="00C81928">
        <w:t>2024</w:t>
      </w:r>
      <w:r w:rsidR="00C81928">
        <w:t xml:space="preserve">) all suggest that girls </w:t>
      </w:r>
      <w:proofErr w:type="gramStart"/>
      <w:r w:rsidR="00C81928">
        <w:t>are able to</w:t>
      </w:r>
      <w:proofErr w:type="gramEnd"/>
      <w:r w:rsidR="00C81928">
        <w:t xml:space="preserve"> camouflage their traits from a much earlier age than boys due to an innate ability to mimic behaviours of peers resulting in missed opportunities for diagnosis and support. Compliance of the child can also impact this with teachers not necessarily identifying the masking involved which is why it is essential for professionals to work alongside families to identify when compliance in school could be seen as camouflaging behaviours. </w:t>
      </w:r>
    </w:p>
    <w:p w14:paraId="737D4DD8" w14:textId="25AF1E06" w:rsidR="0034779A" w:rsidRPr="0034779A" w:rsidRDefault="00C81928" w:rsidP="0034779A">
      <w:r w:rsidRPr="00C81928">
        <w:t>McCrossin (2022)</w:t>
      </w:r>
      <w:r>
        <w:t xml:space="preserve"> argues that girls are often underdiagnosed with autism spectrum disorder until much later which can cause harm with many females diagnosed with mental health difficulties and anxiety disorders stemming from masking. </w:t>
      </w:r>
      <w:r w:rsidR="0034779A">
        <w:t xml:space="preserve">Bloodworth (2021) further states that females have better observational skills and tend to stim in socially acceptable ways which could include hair twirling, for example which could lead to secondary diagnoses of eating disorders or emotional based personality disorders as a direct result of masking. </w:t>
      </w:r>
      <w:r w:rsidR="0034779A" w:rsidRPr="0034779A">
        <w:t xml:space="preserve">Cassidy, et. al., (2018) argue that </w:t>
      </w:r>
      <w:r w:rsidR="0034779A">
        <w:t xml:space="preserve">as a direct consequence of camouflaging behaviours and therefore have unmet needs, </w:t>
      </w:r>
      <w:r w:rsidR="0034779A" w:rsidRPr="0034779A">
        <w:t xml:space="preserve">there is an increased suicide risk in autistic adults of 72% compared to 33% of the </w:t>
      </w:r>
      <w:proofErr w:type="gramStart"/>
      <w:r w:rsidR="0034779A" w:rsidRPr="0034779A">
        <w:t>general public</w:t>
      </w:r>
      <w:proofErr w:type="gramEnd"/>
      <w:r w:rsidR="0034779A">
        <w:t xml:space="preserve">. </w:t>
      </w:r>
      <w:r w:rsidR="0034779A" w:rsidRPr="0034779A">
        <w:t>Blanchard et al., (2021) con</w:t>
      </w:r>
      <w:r w:rsidR="0034779A">
        <w:t>cur and go on to suggest</w:t>
      </w:r>
      <w:r w:rsidR="0034779A" w:rsidRPr="0034779A">
        <w:t xml:space="preserve"> that there is an increased risk of</w:t>
      </w:r>
      <w:r w:rsidR="0034779A">
        <w:t xml:space="preserve"> both</w:t>
      </w:r>
      <w:r w:rsidR="0034779A" w:rsidRPr="0034779A">
        <w:t xml:space="preserve"> self-</w:t>
      </w:r>
      <w:r w:rsidR="0034779A">
        <w:t xml:space="preserve">harm </w:t>
      </w:r>
      <w:r w:rsidR="0034779A" w:rsidRPr="0034779A">
        <w:t xml:space="preserve">and suicide in adults and children who have </w:t>
      </w:r>
      <w:r w:rsidR="0034779A">
        <w:t>ASD</w:t>
      </w:r>
      <w:r w:rsidR="003101FE">
        <w:t xml:space="preserve">. </w:t>
      </w:r>
      <w:r w:rsidR="0034779A">
        <w:t xml:space="preserve"> </w:t>
      </w:r>
    </w:p>
    <w:p w14:paraId="7B37F0AA" w14:textId="5F09F442" w:rsidR="00BE5C64" w:rsidRPr="00BE5C64" w:rsidRDefault="00BE5C64" w:rsidP="00E7343A"/>
    <w:p w14:paraId="23BA4616" w14:textId="528D7ED5" w:rsidR="00B87EE6" w:rsidRDefault="00B87EE6" w:rsidP="00E7343A">
      <w:pPr>
        <w:rPr>
          <w:u w:val="single"/>
        </w:rPr>
      </w:pPr>
      <w:r>
        <w:rPr>
          <w:u w:val="single"/>
        </w:rPr>
        <w:t>Methodology</w:t>
      </w:r>
      <w:r w:rsidR="00897D91">
        <w:rPr>
          <w:u w:val="single"/>
        </w:rPr>
        <w:t xml:space="preserve"> </w:t>
      </w:r>
    </w:p>
    <w:p w14:paraId="3A0E8C8D" w14:textId="6D1E3542" w:rsidR="003101FE" w:rsidRDefault="003101FE" w:rsidP="00E7343A">
      <w:r w:rsidRPr="003101FE">
        <w:t xml:space="preserve">With statistics and current research </w:t>
      </w:r>
      <w:r>
        <w:t>highlighting the disparities between male and female autism spectrum disorder diagnoses due to masking behaviours of girls</w:t>
      </w:r>
      <w:r w:rsidR="008E796B" w:rsidRPr="008E796B">
        <w:t xml:space="preserve"> </w:t>
      </w:r>
      <w:r w:rsidR="008E796B">
        <w:t>(</w:t>
      </w:r>
      <w:r w:rsidR="008E796B" w:rsidRPr="008E796B">
        <w:t>Cruz et al.</w:t>
      </w:r>
      <w:r w:rsidR="008E796B">
        <w:t xml:space="preserve">, </w:t>
      </w:r>
      <w:r w:rsidR="008E796B" w:rsidRPr="008E796B">
        <w:t>2024 and Putnam, McFayden and Harrop</w:t>
      </w:r>
      <w:r w:rsidR="008E796B">
        <w:t xml:space="preserve">, </w:t>
      </w:r>
      <w:r w:rsidR="008E796B" w:rsidRPr="008E796B">
        <w:t>2024)</w:t>
      </w:r>
      <w:r>
        <w:t>, gender bias in the diagnostic tools used</w:t>
      </w:r>
      <w:r w:rsidR="008E796B" w:rsidRPr="008E796B">
        <w:t xml:space="preserve"> </w:t>
      </w:r>
      <w:r w:rsidR="008E796B">
        <w:t>(</w:t>
      </w:r>
      <w:r w:rsidR="008E796B" w:rsidRPr="008E796B">
        <w:t>Yu et al., 2026 and Trafton, 2022</w:t>
      </w:r>
      <w:r w:rsidR="008E796B">
        <w:t>)</w:t>
      </w:r>
      <w:r>
        <w:t xml:space="preserve"> </w:t>
      </w:r>
      <w:r w:rsidR="008E796B">
        <w:t>and professionals’ knowledge and observational skills around different ASD traits and how they manifest in each sex</w:t>
      </w:r>
      <w:r>
        <w:t xml:space="preserve"> </w:t>
      </w:r>
      <w:r w:rsidR="008E796B">
        <w:t>(</w:t>
      </w:r>
      <w:r w:rsidR="008E796B" w:rsidRPr="008E796B">
        <w:t>Daniel and Wang</w:t>
      </w:r>
      <w:r w:rsidR="008E796B">
        <w:t xml:space="preserve">, </w:t>
      </w:r>
      <w:r w:rsidR="008E796B" w:rsidRPr="008E796B">
        <w:t>2023</w:t>
      </w:r>
      <w:r w:rsidR="008E796B">
        <w:t xml:space="preserve">), it is prudent to gain an understanding of the referrals and referrers views and observations. These tend to be professionals working with the child such as teachers or early years professionals such as health visitors and nursery workers. With this in mind, mixed methodologies </w:t>
      </w:r>
      <w:r w:rsidR="0081060F">
        <w:t xml:space="preserve">(qualitative and quantitative data gathering and analysis) </w:t>
      </w:r>
      <w:r w:rsidR="008E796B">
        <w:t xml:space="preserve">will be used with statistical evidence gathered </w:t>
      </w:r>
      <w:r w:rsidR="00356476">
        <w:t xml:space="preserve">from anonymised healthcare data to garner the prevalence of male to female diagnostic rates in </w:t>
      </w:r>
      <w:r w:rsidR="006414F9">
        <w:t xml:space="preserve">early years </w:t>
      </w:r>
      <w:r w:rsidR="00356476">
        <w:t xml:space="preserve">children </w:t>
      </w:r>
      <w:r w:rsidR="006414F9">
        <w:t xml:space="preserve">which is acknowledged by Caerphilly’s Early Years service as </w:t>
      </w:r>
      <w:r w:rsidR="00356476">
        <w:t xml:space="preserve">aged 0 – </w:t>
      </w:r>
      <w:r w:rsidR="006414F9">
        <w:t>7 inclusive, both</w:t>
      </w:r>
      <w:r w:rsidR="00356476">
        <w:t xml:space="preserve"> prior to and following the introduction of </w:t>
      </w:r>
      <w:r w:rsidR="00982C95">
        <w:t>ALN Act in 201</w:t>
      </w:r>
      <w:r w:rsidR="00215568">
        <w:t>8</w:t>
      </w:r>
      <w:r w:rsidR="0081060F">
        <w:t xml:space="preserve">. This is </w:t>
      </w:r>
      <w:r w:rsidR="00982C95">
        <w:t>to understand any possible changes in attitude or training the legislative changes may have brought. Additionally, questionnaires</w:t>
      </w:r>
      <w:r w:rsidR="006414F9">
        <w:t xml:space="preserve"> (Appendix 1)</w:t>
      </w:r>
      <w:r w:rsidR="00982C95">
        <w:t xml:space="preserve"> </w:t>
      </w:r>
      <w:r w:rsidR="0081060F">
        <w:t xml:space="preserve">provided to healthcare and </w:t>
      </w:r>
      <w:r w:rsidR="006414F9">
        <w:t xml:space="preserve">early years and </w:t>
      </w:r>
      <w:r w:rsidR="0081060F">
        <w:t>education professionals as well as focus group discussions will aim to highlight any additional training needs to dispel any remaining gender bias in observational referrals to diagnostic services.</w:t>
      </w:r>
      <w:r w:rsidR="00215568">
        <w:t xml:space="preserve"> These mixed </w:t>
      </w:r>
      <w:r w:rsidR="00215568">
        <w:lastRenderedPageBreak/>
        <w:t xml:space="preserve">methodologies were chosen to highlight the occurrence of possible gender disparities through statistical analysis and professional practice </w:t>
      </w:r>
      <w:r w:rsidR="00215568" w:rsidRPr="00215568">
        <w:t>(Creswell &amp; Plano Clark, 2018)</w:t>
      </w:r>
      <w:r w:rsidR="00215568">
        <w:t>.</w:t>
      </w:r>
    </w:p>
    <w:p w14:paraId="5B7C1EE0" w14:textId="77F905F9" w:rsidR="00215568" w:rsidRDefault="00215568" w:rsidP="00215568">
      <w:r>
        <w:t xml:space="preserve">As highlighted in the literature review, girls are less likely to be diagnosed with ASD early which could be to their long-term emotional wellbeing detriment. Researchers have suggested that the reasons for this gender disparity </w:t>
      </w:r>
      <w:proofErr w:type="gramStart"/>
      <w:r>
        <w:t>is</w:t>
      </w:r>
      <w:proofErr w:type="gramEnd"/>
      <w:r>
        <w:t xml:space="preserve"> due to masking behaviours, diagnostic frameworks and trait presentation </w:t>
      </w:r>
      <w:r w:rsidRPr="00215568">
        <w:t>(Cruz et al., 2024; Putnam, McFayden and Harrop, 2024; Trafton, 2022; Yu et al., 2026)</w:t>
      </w:r>
      <w:r>
        <w:t xml:space="preserve"> Daniel and Wang (2023) further argue that it could be due</w:t>
      </w:r>
      <w:r w:rsidR="000B168A">
        <w:t xml:space="preserve"> to</w:t>
      </w:r>
      <w:r>
        <w:t xml:space="preserve"> professional practice </w:t>
      </w:r>
      <w:r w:rsidR="000B168A">
        <w:t xml:space="preserve">and perceptions, drawing in unconscious bias that effects the underdiagnosis of girls. </w:t>
      </w:r>
      <w:proofErr w:type="gramStart"/>
      <w:r w:rsidR="000B168A">
        <w:t>With this in mind a</w:t>
      </w:r>
      <w:proofErr w:type="gramEnd"/>
      <w:r w:rsidR="000B168A">
        <w:t xml:space="preserve"> mixed methods approach is deemed most appropriate to highlight early years professionals’ perspectives on early identification of ALN and the referral processes as well as being able to scrutinise the statistical evidence provided to identify diagnostic patterns.</w:t>
      </w:r>
    </w:p>
    <w:p w14:paraId="58F1E727" w14:textId="1FAFF642" w:rsidR="00215568" w:rsidRDefault="000B168A" w:rsidP="00E7343A">
      <w:r>
        <w:t>This research is based on the pragmatic philosophical approach coined by Charle Pierce in the 18</w:t>
      </w:r>
      <w:r w:rsidR="001A2D04">
        <w:t>7</w:t>
      </w:r>
      <w:r>
        <w:t>0’s</w:t>
      </w:r>
      <w:r w:rsidR="001A2D04">
        <w:t>,</w:t>
      </w:r>
      <w:r>
        <w:t xml:space="preserve"> whereby mixed methodologies come together to </w:t>
      </w:r>
      <w:r w:rsidR="001A2D04">
        <w:t>shape and understand</w:t>
      </w:r>
      <w:r>
        <w:t xml:space="preserve"> </w:t>
      </w:r>
      <w:r w:rsidR="001A2D04">
        <w:t>‘</w:t>
      </w:r>
      <w:r>
        <w:t>truth</w:t>
      </w:r>
      <w:r w:rsidR="001A2D04">
        <w:t xml:space="preserve">’ which is a progression of personal experience </w:t>
      </w:r>
      <w:r w:rsidR="001A2D04" w:rsidRPr="001A2D04">
        <w:t>(Saunders, Lewis and Thornhill, 2019).</w:t>
      </w:r>
      <w:r w:rsidR="001A2D04">
        <w:t xml:space="preserve"> Due to possible gender bias in ALN identification being influenced by professional practice and experience as well as measurable outcomes, pragmatism seems the most appropriate framework for this research </w:t>
      </w:r>
      <w:r w:rsidR="001A2D04" w:rsidRPr="001A2D04">
        <w:t>(Smith, 2021)</w:t>
      </w:r>
      <w:r w:rsidR="001A2D04">
        <w:t xml:space="preserve">. </w:t>
      </w:r>
    </w:p>
    <w:p w14:paraId="74909CED" w14:textId="40895DEE" w:rsidR="00982C95" w:rsidRDefault="00982C95" w:rsidP="00E7343A">
      <w:r>
        <w:t>S</w:t>
      </w:r>
      <w:r w:rsidR="0081060F">
        <w:t>AIL (Secure Anonymised Information Linkage)</w:t>
      </w:r>
      <w:r>
        <w:t xml:space="preserve"> Data Bank will be used to gather the </w:t>
      </w:r>
      <w:r w:rsidR="001A2D04">
        <w:t xml:space="preserve">secondary </w:t>
      </w:r>
      <w:r>
        <w:t xml:space="preserve">statistical evidence. </w:t>
      </w:r>
      <w:r w:rsidR="0081060F">
        <w:t>This service’ data is an anonymised at the point of entry</w:t>
      </w:r>
      <w:r w:rsidR="006414F9">
        <w:t>,</w:t>
      </w:r>
      <w:r w:rsidR="0081060F">
        <w:t xml:space="preserve"> </w:t>
      </w:r>
      <w:r w:rsidR="006414F9">
        <w:t xml:space="preserve">data holding facility </w:t>
      </w:r>
      <w:r w:rsidR="0081060F">
        <w:t>and should provide Welsh Statistics as</w:t>
      </w:r>
      <w:r w:rsidR="006414F9">
        <w:t xml:space="preserve"> it is</w:t>
      </w:r>
      <w:r w:rsidR="0081060F">
        <w:t xml:space="preserve"> </w:t>
      </w:r>
      <w:r w:rsidR="006414F9">
        <w:t>funded</w:t>
      </w:r>
      <w:r w:rsidR="0081060F">
        <w:t xml:space="preserve"> by</w:t>
      </w:r>
      <w:r w:rsidR="006414F9">
        <w:t xml:space="preserve"> Health and Care Research Wales, Welsh Government and the Economic and Social Research Council. The service is also in partnership with NHS Wales and supported by Swansea University </w:t>
      </w:r>
      <w:r w:rsidR="006414F9" w:rsidRPr="006414F9">
        <w:t>(S</w:t>
      </w:r>
      <w:r w:rsidR="006414F9">
        <w:t>AIL</w:t>
      </w:r>
      <w:r w:rsidR="006414F9" w:rsidRPr="006414F9">
        <w:t xml:space="preserve"> Databank, 2025</w:t>
      </w:r>
      <w:r w:rsidR="006414F9">
        <w:t xml:space="preserve">). </w:t>
      </w:r>
      <w:r w:rsidR="00607200">
        <w:t xml:space="preserve">Further information </w:t>
      </w:r>
      <w:proofErr w:type="gramStart"/>
      <w:r w:rsidR="00607200">
        <w:t>with regard to</w:t>
      </w:r>
      <w:proofErr w:type="gramEnd"/>
      <w:r w:rsidR="00607200">
        <w:t xml:space="preserve"> diagnoses will be garnered from </w:t>
      </w:r>
      <w:r w:rsidR="00607200" w:rsidRPr="00607200">
        <w:t>Welsh Longitudinal General Practice (WLGP) data set and PEDW (Patient Episode Database for Wales) </w:t>
      </w:r>
      <w:r w:rsidR="00607200">
        <w:t>to ensure a full and balanced statistical data pull will be analysed</w:t>
      </w:r>
      <w:r w:rsidR="008D66E7">
        <w:t xml:space="preserve"> (</w:t>
      </w:r>
      <w:r w:rsidR="008D66E7" w:rsidRPr="008D66E7">
        <w:t>Underwood et al., 2021)</w:t>
      </w:r>
      <w:r w:rsidR="008D66E7">
        <w:t xml:space="preserve">. </w:t>
      </w:r>
      <w:r w:rsidR="001A2D04">
        <w:t xml:space="preserve">The use of multiple data sources is to ensure that as much accurate data can be gathered minimising the risk of missing information due to </w:t>
      </w:r>
      <w:r w:rsidR="00434389">
        <w:t xml:space="preserve">recording inaccuracies. This is to ensure that the data evaluated and presented in as complete and accurate as possible. As the introduction of the </w:t>
      </w:r>
      <w:r w:rsidR="00434389" w:rsidRPr="00434389">
        <w:t>Additional Learning Needs and Education Tribunal (Wales) Act 2018</w:t>
      </w:r>
      <w:r w:rsidR="00434389">
        <w:t xml:space="preserve"> was a phased induction, the data will be analysed over this period to garner if the Act has provided a higher level of ALN awareness as well as inclusive practice and person-centred approach and their influence on ALN referrals and subsequent diagnoses.</w:t>
      </w:r>
    </w:p>
    <w:p w14:paraId="350D20C5" w14:textId="7000D980" w:rsidR="00434389" w:rsidRDefault="00434389" w:rsidP="00E7343A">
      <w:r w:rsidRPr="00434389">
        <w:t xml:space="preserve">To analyse the statistical data, Microsoft Excel will be used to highlight any relationships or trends over the years and in particular prior to and following the introduction of The Additional Learning Needs (ALN) and Education Tribunal (Wales) Act 2018. </w:t>
      </w:r>
      <w:proofErr w:type="gramStart"/>
      <w:r w:rsidRPr="00434389">
        <w:t>Particular interest</w:t>
      </w:r>
      <w:proofErr w:type="gramEnd"/>
      <w:r w:rsidRPr="00434389">
        <w:t xml:space="preserve"> will be paid to the number of male and female referrals for possible autism spectrum diagnosis</w:t>
      </w:r>
      <w:r>
        <w:t>, at what age</w:t>
      </w:r>
      <w:r w:rsidRPr="00434389">
        <w:t xml:space="preserve"> and who made the referrals. </w:t>
      </w:r>
      <w:r>
        <w:t xml:space="preserve">Graphs and charts will be produced to present the statistical findings. </w:t>
      </w:r>
      <w:r w:rsidRPr="00434389">
        <w:t>The Chi-Square test (BMJ, 2019) will be used to draw comparisons and determine if there is a significant relationship between gender and identified autism. This again should highlight any training needs in the identification of male and female autistic traits and subsequent referrals</w:t>
      </w:r>
      <w:r>
        <w:t xml:space="preserve"> although caution will be exercised in the interpretation of the statistical findings as any potential differences in the data may be due to other factors such as </w:t>
      </w:r>
      <w:r w:rsidR="008C35E5">
        <w:t>referral patterns or assessment practice. This again highlights the need for a mixed methodology approach to interpret key statistical findings alongside societal practices.</w:t>
      </w:r>
    </w:p>
    <w:p w14:paraId="3127C932" w14:textId="42F0CC3C" w:rsidR="008C35E5" w:rsidRDefault="008C35E5" w:rsidP="00E7343A">
      <w:r>
        <w:lastRenderedPageBreak/>
        <w:t xml:space="preserve">The qualitative aspect of the study will look at early years’ professionals’ perspectives </w:t>
      </w:r>
      <w:proofErr w:type="gramStart"/>
      <w:r>
        <w:t>with regard to</w:t>
      </w:r>
      <w:proofErr w:type="gramEnd"/>
      <w:r>
        <w:t xml:space="preserve"> ALN identification and referral. This will be conducted through questionnaires (see appendix 1) and focus groups. Purposive sampling will be used as the most appropriate strategy as participants are required to have professional experience of supporting and observing early years children who may present as having an additional learning need. The questionnaires have a mix of closed and open-ended questions to establish participants demographics as well as capture real life experiences. The</w:t>
      </w:r>
      <w:r w:rsidR="00C13163">
        <w:t xml:space="preserve"> audio-recorded</w:t>
      </w:r>
      <w:r>
        <w:t xml:space="preserve"> focus groups </w:t>
      </w:r>
      <w:r w:rsidR="00C13163">
        <w:t xml:space="preserve">will </w:t>
      </w:r>
      <w:r>
        <w:t xml:space="preserve">allow for a deeper understanding of </w:t>
      </w:r>
      <w:r w:rsidR="00C13163">
        <w:t xml:space="preserve">professional </w:t>
      </w:r>
      <w:r>
        <w:t xml:space="preserve">experience </w:t>
      </w:r>
      <w:r w:rsidR="00C13163">
        <w:t>through reflective practice.</w:t>
      </w:r>
    </w:p>
    <w:p w14:paraId="2DD393C5" w14:textId="3B42B386" w:rsidR="00C13163" w:rsidRDefault="00C33E0D" w:rsidP="00C13163">
      <w:r>
        <w:t xml:space="preserve">A thematic analysis </w:t>
      </w:r>
      <w:r w:rsidR="00CF2F38" w:rsidRPr="00CF2F38">
        <w:t>(Braun and Clarke, 2006)</w:t>
      </w:r>
      <w:r w:rsidR="00CF2F38">
        <w:t xml:space="preserve"> </w:t>
      </w:r>
      <w:r>
        <w:t xml:space="preserve">will be undertaken to </w:t>
      </w:r>
      <w:r w:rsidR="00F52DA0">
        <w:t>understand and highlight common themes among the responses of the questionnaires.</w:t>
      </w:r>
      <w:r w:rsidR="00C13163">
        <w:t xml:space="preserve"> The 6-stage process includes;</w:t>
      </w:r>
    </w:p>
    <w:p w14:paraId="41F88724" w14:textId="4DF47FBD" w:rsidR="00C13163" w:rsidRDefault="00C13163" w:rsidP="00C13163">
      <w:pPr>
        <w:pStyle w:val="ListParagraph"/>
        <w:numPr>
          <w:ilvl w:val="0"/>
          <w:numId w:val="3"/>
        </w:numPr>
      </w:pPr>
      <w:r>
        <w:t>Familiarisation of the data</w:t>
      </w:r>
    </w:p>
    <w:p w14:paraId="0D8890FA" w14:textId="571C8375" w:rsidR="00C13163" w:rsidRDefault="00C13163" w:rsidP="00C13163">
      <w:pPr>
        <w:pStyle w:val="ListParagraph"/>
        <w:numPr>
          <w:ilvl w:val="0"/>
          <w:numId w:val="3"/>
        </w:numPr>
      </w:pPr>
      <w:r>
        <w:t>Generation of initial codes</w:t>
      </w:r>
    </w:p>
    <w:p w14:paraId="284AA550" w14:textId="09E9918E" w:rsidR="00C13163" w:rsidRDefault="00C13163" w:rsidP="00C13163">
      <w:pPr>
        <w:pStyle w:val="ListParagraph"/>
        <w:numPr>
          <w:ilvl w:val="0"/>
          <w:numId w:val="3"/>
        </w:numPr>
      </w:pPr>
      <w:r>
        <w:t>Searching for themes</w:t>
      </w:r>
    </w:p>
    <w:p w14:paraId="6C15DD15" w14:textId="31629A7B" w:rsidR="00C13163" w:rsidRDefault="00C13163" w:rsidP="00C13163">
      <w:pPr>
        <w:pStyle w:val="ListParagraph"/>
        <w:numPr>
          <w:ilvl w:val="0"/>
          <w:numId w:val="3"/>
        </w:numPr>
      </w:pPr>
      <w:r>
        <w:t>Reviewing found themes</w:t>
      </w:r>
    </w:p>
    <w:p w14:paraId="112B854A" w14:textId="41D43134" w:rsidR="00C13163" w:rsidRDefault="00C13163" w:rsidP="00C13163">
      <w:pPr>
        <w:pStyle w:val="ListParagraph"/>
        <w:numPr>
          <w:ilvl w:val="0"/>
          <w:numId w:val="3"/>
        </w:numPr>
      </w:pPr>
      <w:r>
        <w:t>Defining theme names</w:t>
      </w:r>
    </w:p>
    <w:p w14:paraId="679CF20E" w14:textId="58D13550" w:rsidR="00C13163" w:rsidRDefault="00C13163" w:rsidP="00C13163">
      <w:pPr>
        <w:pStyle w:val="ListParagraph"/>
        <w:numPr>
          <w:ilvl w:val="0"/>
          <w:numId w:val="3"/>
        </w:numPr>
      </w:pPr>
      <w:r>
        <w:t>Final report production</w:t>
      </w:r>
    </w:p>
    <w:p w14:paraId="419BC8CB" w14:textId="1BF4A94A" w:rsidR="00C33E0D" w:rsidRDefault="00F52DA0" w:rsidP="00E7343A">
      <w:r>
        <w:t>Based on the questionnaire prior to the responses being collected</w:t>
      </w:r>
      <w:r w:rsidR="00C13163">
        <w:t xml:space="preserve"> and the literature highlighted</w:t>
      </w:r>
      <w:r>
        <w:t>, four themes have been identified; Professional percept</w:t>
      </w:r>
      <w:r w:rsidR="00C13163">
        <w:t>6-stage</w:t>
      </w:r>
      <w:r>
        <w:t xml:space="preserve"> gender and ALN, the impact of behaviour in ALN identification, Person-centred practice based on the Welsh ALN system and Pressures between labelling and early identification. Comparisons will be drawn between the support for and against gender bias within the responses as well as highlighting any contradictions between practitioner viewpoints </w:t>
      </w:r>
      <w:proofErr w:type="gramStart"/>
      <w:r>
        <w:t>taking into account</w:t>
      </w:r>
      <w:proofErr w:type="gramEnd"/>
      <w:r>
        <w:t xml:space="preserve"> the professional’s role as an early </w:t>
      </w:r>
      <w:r w:rsidR="00CF2F38">
        <w:t>year’s</w:t>
      </w:r>
      <w:r>
        <w:t xml:space="preserve"> practitioner to establish if certain sectors have differing viewpoints and therefore highlighting further training needs to ensure a coherent workforce. </w:t>
      </w:r>
    </w:p>
    <w:p w14:paraId="69891F48" w14:textId="1672F0D3" w:rsidR="00C13163" w:rsidRPr="00C13163" w:rsidRDefault="00C13163" w:rsidP="00C13163">
      <w:r>
        <w:t xml:space="preserve">To increase credibility and validity in the research and its findings, the mixed methods approach supports methodological triangulation through the comparison of the qualitative and quantitative research </w:t>
      </w:r>
      <w:r w:rsidRPr="00C13163">
        <w:t>(Creswell &amp; Plano Clark, 2018)</w:t>
      </w:r>
      <w:r>
        <w:t>. Reliability in the statistical data is strengthened by using the highlighted data banks which are both credible and regulated. Further validity and credibility in the research will come from the researcher’s commitment to transparency</w:t>
      </w:r>
      <w:r w:rsidR="006077F0">
        <w:t xml:space="preserve">, collaboration and accountability. </w:t>
      </w:r>
    </w:p>
    <w:p w14:paraId="70B84FAA" w14:textId="77777777" w:rsidR="00AC2464" w:rsidRDefault="00AC2464" w:rsidP="00E7343A">
      <w:pPr>
        <w:rPr>
          <w:u w:val="single"/>
        </w:rPr>
      </w:pPr>
    </w:p>
    <w:p w14:paraId="1033F1CA" w14:textId="6428C807" w:rsidR="00B87EE6" w:rsidRDefault="00B87EE6" w:rsidP="00E7343A">
      <w:pPr>
        <w:rPr>
          <w:u w:val="single"/>
        </w:rPr>
      </w:pPr>
      <w:r>
        <w:rPr>
          <w:u w:val="single"/>
        </w:rPr>
        <w:t>Ethical Considerations</w:t>
      </w:r>
      <w:r w:rsidR="00897D91">
        <w:rPr>
          <w:u w:val="single"/>
        </w:rPr>
        <w:t xml:space="preserve"> </w:t>
      </w:r>
      <w:r w:rsidR="00D006EC">
        <w:rPr>
          <w:u w:val="single"/>
        </w:rPr>
        <w:t>(Appendix 2)</w:t>
      </w:r>
    </w:p>
    <w:p w14:paraId="682C6C5F" w14:textId="25FD622F" w:rsidR="006077F0" w:rsidRPr="006077F0" w:rsidRDefault="006077F0" w:rsidP="006077F0">
      <w:r>
        <w:t>Prior to data collection, e</w:t>
      </w:r>
      <w:r w:rsidRPr="006077F0">
        <w:t xml:space="preserve">thical </w:t>
      </w:r>
      <w:r>
        <w:t>approval will be sought from the University of Wales Trinity Saint David Research Ethics Committee which is committed to ensuring research is ‘</w:t>
      </w:r>
      <w:r w:rsidRPr="006077F0">
        <w:t xml:space="preserve">conducted to appropriate </w:t>
      </w:r>
      <w:r w:rsidRPr="006077F0">
        <w:t>standards and</w:t>
      </w:r>
      <w:r w:rsidRPr="006077F0">
        <w:t xml:space="preserve"> conforms to generally accepted ethical principles and practices of conduct</w:t>
      </w:r>
      <w:r>
        <w:t xml:space="preserve"> </w:t>
      </w:r>
      <w:r w:rsidRPr="006077F0">
        <w:t>and governance</w:t>
      </w:r>
      <w:r>
        <w:t xml:space="preserve">’ </w:t>
      </w:r>
      <w:r w:rsidRPr="006077F0">
        <w:t>(UWTSD, 2022)</w:t>
      </w:r>
      <w:r>
        <w:t>. The</w:t>
      </w:r>
      <w:r w:rsidRPr="006077F0">
        <w:t xml:space="preserve"> study will adhere to the principles of:</w:t>
      </w:r>
    </w:p>
    <w:p w14:paraId="0B466FCD" w14:textId="3259F431" w:rsidR="006077F0" w:rsidRPr="006077F0" w:rsidRDefault="006077F0" w:rsidP="006077F0">
      <w:pPr>
        <w:numPr>
          <w:ilvl w:val="0"/>
          <w:numId w:val="4"/>
        </w:numPr>
        <w:spacing w:after="0" w:line="240" w:lineRule="auto"/>
        <w:ind w:left="357" w:hanging="357"/>
      </w:pPr>
      <w:r w:rsidRPr="006077F0">
        <w:t>Informed consent</w:t>
      </w:r>
    </w:p>
    <w:p w14:paraId="283BC58B" w14:textId="3FF9C3F5" w:rsidR="006077F0" w:rsidRPr="006077F0" w:rsidRDefault="006077F0" w:rsidP="006077F0">
      <w:pPr>
        <w:numPr>
          <w:ilvl w:val="0"/>
          <w:numId w:val="4"/>
        </w:numPr>
        <w:spacing w:after="0" w:line="240" w:lineRule="auto"/>
        <w:ind w:left="357" w:hanging="357"/>
      </w:pPr>
      <w:r w:rsidRPr="006077F0">
        <w:t>Confidentiality</w:t>
      </w:r>
    </w:p>
    <w:p w14:paraId="18163692" w14:textId="6BDF64C5" w:rsidR="006077F0" w:rsidRPr="006077F0" w:rsidRDefault="006077F0" w:rsidP="006077F0">
      <w:pPr>
        <w:numPr>
          <w:ilvl w:val="0"/>
          <w:numId w:val="4"/>
        </w:numPr>
        <w:spacing w:after="0" w:line="240" w:lineRule="auto"/>
        <w:ind w:left="357" w:hanging="357"/>
      </w:pPr>
      <w:r w:rsidRPr="006077F0">
        <w:t>Voluntary participation</w:t>
      </w:r>
    </w:p>
    <w:p w14:paraId="2738470C" w14:textId="7429C071" w:rsidR="006077F0" w:rsidRPr="006077F0" w:rsidRDefault="006077F0" w:rsidP="006077F0">
      <w:pPr>
        <w:numPr>
          <w:ilvl w:val="0"/>
          <w:numId w:val="4"/>
        </w:numPr>
        <w:spacing w:after="0" w:line="240" w:lineRule="auto"/>
        <w:ind w:left="357" w:hanging="357"/>
      </w:pPr>
      <w:r w:rsidRPr="006077F0">
        <w:t>Right to withdraw</w:t>
      </w:r>
    </w:p>
    <w:p w14:paraId="350A6031" w14:textId="00C89808" w:rsidR="006077F0" w:rsidRPr="006077F0" w:rsidRDefault="006077F0" w:rsidP="006077F0">
      <w:pPr>
        <w:numPr>
          <w:ilvl w:val="0"/>
          <w:numId w:val="4"/>
        </w:numPr>
        <w:spacing w:after="0" w:line="240" w:lineRule="auto"/>
        <w:ind w:left="357" w:hanging="357"/>
      </w:pPr>
      <w:r w:rsidRPr="006077F0">
        <w:t>Data protection legislation</w:t>
      </w:r>
    </w:p>
    <w:p w14:paraId="17C829AD" w14:textId="6A19008E" w:rsidR="006077F0" w:rsidRPr="006077F0" w:rsidRDefault="006077F0" w:rsidP="00E7343A"/>
    <w:p w14:paraId="3CAFC553" w14:textId="0566AD76" w:rsidR="006077F0" w:rsidRDefault="006077F0" w:rsidP="00E7343A">
      <w:r w:rsidRPr="009374A1">
        <w:lastRenderedPageBreak/>
        <w:t xml:space="preserve">Participation </w:t>
      </w:r>
      <w:r w:rsidR="009374A1">
        <w:t xml:space="preserve">is voluntary and all participants will receive a data sheet highlighting the above principles and their rights within these. These will also outline the purpose of the study and how the data they provide will be used and stored. As stated, the quantitative data is anonymised secondary data sourced through secure access in SAIL where at the point of entry, any personal information is removed from the records prior to researchers being able to access it. </w:t>
      </w:r>
    </w:p>
    <w:p w14:paraId="1CF98077" w14:textId="77777777" w:rsidR="00A51CEC" w:rsidRDefault="009374A1" w:rsidP="00E7343A">
      <w:r>
        <w:t>There are some limitations to the study that should be outlined including the use of statistical data. While this information may provide disparities in diagnosis rates, the course of those is unknown and cannot be assumed. These differences may reflect demographic information, gender bias, support seeking behaviours, variation in struggle or referral pathways, for example. A further limitation is within the qualitative data findings, that rely on self-reported actions and reflections. There could be an unconscious bias within participants practice which needs to be acknowledged, however people</w:t>
      </w:r>
      <w:r w:rsidR="00D006EC">
        <w:t>, in general</w:t>
      </w:r>
      <w:r>
        <w:t xml:space="preserve"> are reluctant to highlight their</w:t>
      </w:r>
      <w:r w:rsidR="00D006EC">
        <w:t xml:space="preserve"> perceived</w:t>
      </w:r>
      <w:r>
        <w:t xml:space="preserve"> inad</w:t>
      </w:r>
      <w:r w:rsidR="00D006EC">
        <w:t>equacies.</w:t>
      </w:r>
    </w:p>
    <w:p w14:paraId="77AA4990" w14:textId="0C24F665" w:rsidR="009374A1" w:rsidRPr="009374A1" w:rsidRDefault="00A51CEC" w:rsidP="00E7343A">
      <w:r>
        <w:t xml:space="preserve">A further consideration is the potential for unconscious bias of the researcher as they are an early </w:t>
      </w:r>
      <w:proofErr w:type="gramStart"/>
      <w:r>
        <w:t>years</w:t>
      </w:r>
      <w:proofErr w:type="gramEnd"/>
      <w:r>
        <w:t xml:space="preserve"> practitioner who supports families of children with ALN </w:t>
      </w:r>
      <w:proofErr w:type="gramStart"/>
      <w:r>
        <w:t>and also</w:t>
      </w:r>
      <w:proofErr w:type="gramEnd"/>
      <w:r>
        <w:t xml:space="preserve"> has children who have autism spectrum diso</w:t>
      </w:r>
      <w:r w:rsidR="000A0FCF">
        <w:t>rder. To mitigate this, the researcher has undertaken unconscious bias training as well as allowing the findings to be reviewed by peers and/or supervisory team to ensure impartiality in findings.</w:t>
      </w:r>
    </w:p>
    <w:p w14:paraId="690B5D60" w14:textId="125839ED" w:rsidR="00B87EE6" w:rsidRDefault="00B87EE6" w:rsidP="00E7343A">
      <w:pPr>
        <w:rPr>
          <w:u w:val="single"/>
        </w:rPr>
      </w:pPr>
      <w:r>
        <w:rPr>
          <w:u w:val="single"/>
        </w:rPr>
        <w:t>Appendices</w:t>
      </w:r>
    </w:p>
    <w:p w14:paraId="31A95102" w14:textId="3227DCD3" w:rsidR="00AC2464" w:rsidRPr="00AC2464" w:rsidRDefault="00AC2464" w:rsidP="00E7343A">
      <w:r w:rsidRPr="00AC2464">
        <w:t>Appendix 1 – Practitioner Questionnaire</w:t>
      </w:r>
    </w:p>
    <w:p w14:paraId="6E5A2698" w14:textId="0D4EBBFD" w:rsidR="00B87EE6" w:rsidRPr="009B530D" w:rsidRDefault="009B530D" w:rsidP="00E7343A">
      <w:r w:rsidRPr="009B530D">
        <w:t xml:space="preserve">Appendix 2 </w:t>
      </w:r>
      <w:r>
        <w:t>–</w:t>
      </w:r>
      <w:r w:rsidRPr="009B530D">
        <w:t xml:space="preserve"> </w:t>
      </w:r>
      <w:r>
        <w:t>Ethics Form</w:t>
      </w:r>
    </w:p>
    <w:sectPr w:rsidR="00B87EE6" w:rsidRPr="009B530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91451" w14:textId="77777777" w:rsidR="00B64ECB" w:rsidRDefault="00B64ECB" w:rsidP="008209A6">
      <w:pPr>
        <w:spacing w:after="0" w:line="240" w:lineRule="auto"/>
      </w:pPr>
      <w:r>
        <w:separator/>
      </w:r>
    </w:p>
  </w:endnote>
  <w:endnote w:type="continuationSeparator" w:id="0">
    <w:p w14:paraId="65B9EC1A" w14:textId="77777777" w:rsidR="00B64ECB" w:rsidRDefault="00B64ECB" w:rsidP="00820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825766"/>
      <w:docPartObj>
        <w:docPartGallery w:val="Page Numbers (Bottom of Page)"/>
        <w:docPartUnique/>
      </w:docPartObj>
    </w:sdtPr>
    <w:sdtEndPr>
      <w:rPr>
        <w:noProof/>
      </w:rPr>
    </w:sdtEndPr>
    <w:sdtContent>
      <w:p w14:paraId="760DD0A4" w14:textId="52A843ED" w:rsidR="00E7343A" w:rsidRDefault="00E734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45CE88" w14:textId="77777777" w:rsidR="00E7343A" w:rsidRDefault="00E73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3FB36" w14:textId="77777777" w:rsidR="00B64ECB" w:rsidRDefault="00B64ECB" w:rsidP="008209A6">
      <w:pPr>
        <w:spacing w:after="0" w:line="240" w:lineRule="auto"/>
      </w:pPr>
      <w:r>
        <w:separator/>
      </w:r>
    </w:p>
  </w:footnote>
  <w:footnote w:type="continuationSeparator" w:id="0">
    <w:p w14:paraId="47D22CD1" w14:textId="77777777" w:rsidR="00B64ECB" w:rsidRDefault="00B64ECB" w:rsidP="00820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E79B8" w14:textId="36B52343" w:rsidR="008209A6" w:rsidRPr="008209A6" w:rsidRDefault="008209A6" w:rsidP="008209A6">
    <w:pPr>
      <w:pStyle w:val="Header"/>
      <w:ind w:left="360"/>
    </w:pPr>
    <w:r>
      <w:t>2306600</w:t>
    </w:r>
    <w:r>
      <w:tab/>
    </w:r>
    <w:r w:rsidRPr="008209A6">
      <w:t>ECGE7005Q</w:t>
    </w:r>
    <w:r>
      <w:tab/>
      <w:t xml:space="preserve">Word Count: </w:t>
    </w:r>
    <w:r w:rsidR="00D006EC">
      <w:t>29</w:t>
    </w:r>
    <w:r w:rsidR="000A0FCF">
      <w:t>80</w:t>
    </w:r>
  </w:p>
  <w:p w14:paraId="2D9898AC" w14:textId="3AE07D8F" w:rsidR="008209A6" w:rsidRDefault="00820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749F4"/>
    <w:multiLevelType w:val="hybridMultilevel"/>
    <w:tmpl w:val="D93C7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80475"/>
    <w:multiLevelType w:val="multilevel"/>
    <w:tmpl w:val="4B3A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017AF3"/>
    <w:multiLevelType w:val="hybridMultilevel"/>
    <w:tmpl w:val="3CAC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F72024"/>
    <w:multiLevelType w:val="multilevel"/>
    <w:tmpl w:val="7C124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7951381">
    <w:abstractNumId w:val="1"/>
  </w:num>
  <w:num w:numId="2" w16cid:durableId="771818805">
    <w:abstractNumId w:val="2"/>
  </w:num>
  <w:num w:numId="3" w16cid:durableId="648167695">
    <w:abstractNumId w:val="0"/>
  </w:num>
  <w:num w:numId="4" w16cid:durableId="4155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9A6"/>
    <w:rsid w:val="000106F6"/>
    <w:rsid w:val="00050045"/>
    <w:rsid w:val="00065F8A"/>
    <w:rsid w:val="000A0378"/>
    <w:rsid w:val="000A0FCF"/>
    <w:rsid w:val="000B168A"/>
    <w:rsid w:val="000F10A7"/>
    <w:rsid w:val="001456CE"/>
    <w:rsid w:val="001A2D04"/>
    <w:rsid w:val="001F4F5B"/>
    <w:rsid w:val="0020343A"/>
    <w:rsid w:val="00215568"/>
    <w:rsid w:val="00221083"/>
    <w:rsid w:val="002576FC"/>
    <w:rsid w:val="002973B6"/>
    <w:rsid w:val="002A487A"/>
    <w:rsid w:val="002A753D"/>
    <w:rsid w:val="002B40C7"/>
    <w:rsid w:val="002E46BA"/>
    <w:rsid w:val="003101FE"/>
    <w:rsid w:val="0034779A"/>
    <w:rsid w:val="00356476"/>
    <w:rsid w:val="003C36AF"/>
    <w:rsid w:val="003E4C77"/>
    <w:rsid w:val="003E5CAC"/>
    <w:rsid w:val="00412FAA"/>
    <w:rsid w:val="00434389"/>
    <w:rsid w:val="004542B3"/>
    <w:rsid w:val="004F2C7C"/>
    <w:rsid w:val="00565C9D"/>
    <w:rsid w:val="005842C7"/>
    <w:rsid w:val="006006DD"/>
    <w:rsid w:val="00607200"/>
    <w:rsid w:val="006077F0"/>
    <w:rsid w:val="006414F9"/>
    <w:rsid w:val="00726A65"/>
    <w:rsid w:val="00750600"/>
    <w:rsid w:val="007723A6"/>
    <w:rsid w:val="0080107E"/>
    <w:rsid w:val="008047DC"/>
    <w:rsid w:val="0081060F"/>
    <w:rsid w:val="008209A6"/>
    <w:rsid w:val="00897D91"/>
    <w:rsid w:val="008C26F4"/>
    <w:rsid w:val="008C35E5"/>
    <w:rsid w:val="008D66E7"/>
    <w:rsid w:val="008E796B"/>
    <w:rsid w:val="00916B96"/>
    <w:rsid w:val="009374A1"/>
    <w:rsid w:val="009636C5"/>
    <w:rsid w:val="00982C95"/>
    <w:rsid w:val="0099369D"/>
    <w:rsid w:val="009B530D"/>
    <w:rsid w:val="009E62B4"/>
    <w:rsid w:val="00A2024A"/>
    <w:rsid w:val="00A51CEC"/>
    <w:rsid w:val="00A52366"/>
    <w:rsid w:val="00A61E2D"/>
    <w:rsid w:val="00A71119"/>
    <w:rsid w:val="00A72997"/>
    <w:rsid w:val="00AA4A74"/>
    <w:rsid w:val="00AC2464"/>
    <w:rsid w:val="00AC2725"/>
    <w:rsid w:val="00AC7727"/>
    <w:rsid w:val="00AD4CF9"/>
    <w:rsid w:val="00AF7955"/>
    <w:rsid w:val="00B137DB"/>
    <w:rsid w:val="00B64ECB"/>
    <w:rsid w:val="00B87EE6"/>
    <w:rsid w:val="00BA6AE1"/>
    <w:rsid w:val="00BD1430"/>
    <w:rsid w:val="00BE32B6"/>
    <w:rsid w:val="00BE5C64"/>
    <w:rsid w:val="00C126AB"/>
    <w:rsid w:val="00C13163"/>
    <w:rsid w:val="00C16917"/>
    <w:rsid w:val="00C33E0D"/>
    <w:rsid w:val="00C47F10"/>
    <w:rsid w:val="00C81928"/>
    <w:rsid w:val="00C92EF5"/>
    <w:rsid w:val="00CE5CEA"/>
    <w:rsid w:val="00CF2F38"/>
    <w:rsid w:val="00D006EC"/>
    <w:rsid w:val="00D145F2"/>
    <w:rsid w:val="00D45FC8"/>
    <w:rsid w:val="00DB0094"/>
    <w:rsid w:val="00DE2792"/>
    <w:rsid w:val="00E7343A"/>
    <w:rsid w:val="00E91667"/>
    <w:rsid w:val="00EC12D0"/>
    <w:rsid w:val="00F35A06"/>
    <w:rsid w:val="00F52DA0"/>
    <w:rsid w:val="00F82A72"/>
    <w:rsid w:val="00FA28D9"/>
    <w:rsid w:val="00FB4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6423"/>
  <w15:chartTrackingRefBased/>
  <w15:docId w15:val="{769C30D2-0C2C-462E-8D03-F4A960C46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9A6"/>
    <w:rPr>
      <w:rFonts w:eastAsiaTheme="majorEastAsia" w:cstheme="majorBidi"/>
      <w:color w:val="272727" w:themeColor="text1" w:themeTint="D8"/>
    </w:rPr>
  </w:style>
  <w:style w:type="paragraph" w:styleId="Title">
    <w:name w:val="Title"/>
    <w:basedOn w:val="Normal"/>
    <w:next w:val="Normal"/>
    <w:link w:val="TitleChar"/>
    <w:uiPriority w:val="10"/>
    <w:qFormat/>
    <w:rsid w:val="00820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9A6"/>
    <w:pPr>
      <w:spacing w:before="160"/>
      <w:jc w:val="center"/>
    </w:pPr>
    <w:rPr>
      <w:i/>
      <w:iCs/>
      <w:color w:val="404040" w:themeColor="text1" w:themeTint="BF"/>
    </w:rPr>
  </w:style>
  <w:style w:type="character" w:customStyle="1" w:styleId="QuoteChar">
    <w:name w:val="Quote Char"/>
    <w:basedOn w:val="DefaultParagraphFont"/>
    <w:link w:val="Quote"/>
    <w:uiPriority w:val="29"/>
    <w:rsid w:val="008209A6"/>
    <w:rPr>
      <w:i/>
      <w:iCs/>
      <w:color w:val="404040" w:themeColor="text1" w:themeTint="BF"/>
    </w:rPr>
  </w:style>
  <w:style w:type="paragraph" w:styleId="ListParagraph">
    <w:name w:val="List Paragraph"/>
    <w:basedOn w:val="Normal"/>
    <w:uiPriority w:val="34"/>
    <w:qFormat/>
    <w:rsid w:val="008209A6"/>
    <w:pPr>
      <w:ind w:left="720"/>
      <w:contextualSpacing/>
    </w:pPr>
  </w:style>
  <w:style w:type="character" w:styleId="IntenseEmphasis">
    <w:name w:val="Intense Emphasis"/>
    <w:basedOn w:val="DefaultParagraphFont"/>
    <w:uiPriority w:val="21"/>
    <w:qFormat/>
    <w:rsid w:val="008209A6"/>
    <w:rPr>
      <w:i/>
      <w:iCs/>
      <w:color w:val="0F4761" w:themeColor="accent1" w:themeShade="BF"/>
    </w:rPr>
  </w:style>
  <w:style w:type="paragraph" w:styleId="IntenseQuote">
    <w:name w:val="Intense Quote"/>
    <w:basedOn w:val="Normal"/>
    <w:next w:val="Normal"/>
    <w:link w:val="IntenseQuoteChar"/>
    <w:uiPriority w:val="30"/>
    <w:qFormat/>
    <w:rsid w:val="00820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9A6"/>
    <w:rPr>
      <w:i/>
      <w:iCs/>
      <w:color w:val="0F4761" w:themeColor="accent1" w:themeShade="BF"/>
    </w:rPr>
  </w:style>
  <w:style w:type="character" w:styleId="IntenseReference">
    <w:name w:val="Intense Reference"/>
    <w:basedOn w:val="DefaultParagraphFont"/>
    <w:uiPriority w:val="32"/>
    <w:qFormat/>
    <w:rsid w:val="008209A6"/>
    <w:rPr>
      <w:b/>
      <w:bCs/>
      <w:smallCaps/>
      <w:color w:val="0F4761" w:themeColor="accent1" w:themeShade="BF"/>
      <w:spacing w:val="5"/>
    </w:rPr>
  </w:style>
  <w:style w:type="paragraph" w:styleId="Header">
    <w:name w:val="header"/>
    <w:basedOn w:val="Normal"/>
    <w:link w:val="HeaderChar"/>
    <w:uiPriority w:val="99"/>
    <w:unhideWhenUsed/>
    <w:rsid w:val="00820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9A6"/>
  </w:style>
  <w:style w:type="paragraph" w:styleId="Footer">
    <w:name w:val="footer"/>
    <w:basedOn w:val="Normal"/>
    <w:link w:val="FooterChar"/>
    <w:uiPriority w:val="99"/>
    <w:unhideWhenUsed/>
    <w:rsid w:val="00820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9A6"/>
  </w:style>
  <w:style w:type="character" w:styleId="Hyperlink">
    <w:name w:val="Hyperlink"/>
    <w:basedOn w:val="DefaultParagraphFont"/>
    <w:uiPriority w:val="99"/>
    <w:unhideWhenUsed/>
    <w:rsid w:val="008209A6"/>
    <w:rPr>
      <w:color w:val="467886" w:themeColor="hyperlink"/>
      <w:u w:val="single"/>
    </w:rPr>
  </w:style>
  <w:style w:type="character" w:styleId="UnresolvedMention">
    <w:name w:val="Unresolved Mention"/>
    <w:basedOn w:val="DefaultParagraphFont"/>
    <w:uiPriority w:val="99"/>
    <w:semiHidden/>
    <w:unhideWhenUsed/>
    <w:rsid w:val="008209A6"/>
    <w:rPr>
      <w:color w:val="605E5C"/>
      <w:shd w:val="clear" w:color="auto" w:fill="E1DFDD"/>
    </w:rPr>
  </w:style>
  <w:style w:type="paragraph" w:styleId="NormalWeb">
    <w:name w:val="Normal (Web)"/>
    <w:basedOn w:val="Normal"/>
    <w:uiPriority w:val="99"/>
    <w:semiHidden/>
    <w:unhideWhenUsed/>
    <w:rsid w:val="006077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5474</TotalTime>
  <Pages>6</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10</cp:revision>
  <dcterms:created xsi:type="dcterms:W3CDTF">2026-06-06T09:40:00Z</dcterms:created>
  <dcterms:modified xsi:type="dcterms:W3CDTF">2026-07-23T06:38:00Z</dcterms:modified>
</cp:coreProperties>
</file>