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029FA" w14:textId="2302ACCA" w:rsidR="2666E41E" w:rsidRDefault="2666E41E" w:rsidP="2F57370E">
      <w:pPr>
        <w:spacing w:before="240" w:after="240"/>
        <w:jc w:val="both"/>
        <w:rPr>
          <w:rFonts w:ascii="Arial" w:eastAsia="Arial" w:hAnsi="Arial" w:cs="Arial"/>
          <w:b/>
          <w:bCs/>
          <w:color w:val="000000" w:themeColor="text1"/>
          <w:sz w:val="22"/>
          <w:szCs w:val="22"/>
        </w:rPr>
      </w:pPr>
      <w:r w:rsidRPr="2F57370E">
        <w:rPr>
          <w:rFonts w:ascii="Arial" w:eastAsia="Arial" w:hAnsi="Arial" w:cs="Arial"/>
          <w:b/>
          <w:bCs/>
          <w:color w:val="000000" w:themeColor="text1"/>
          <w:sz w:val="22"/>
          <w:szCs w:val="22"/>
        </w:rPr>
        <w:t>Student name:</w:t>
      </w:r>
      <w:r w:rsidRPr="2F57370E">
        <w:rPr>
          <w:rFonts w:ascii="Arial" w:eastAsia="Arial" w:hAnsi="Arial" w:cs="Arial"/>
          <w:color w:val="000000" w:themeColor="text1"/>
          <w:sz w:val="22"/>
          <w:szCs w:val="22"/>
        </w:rPr>
        <w:t xml:space="preserve">Christian Dave Galvan  </w:t>
      </w:r>
      <w:r w:rsidRPr="2F57370E">
        <w:rPr>
          <w:rFonts w:ascii="Arial" w:eastAsia="Arial" w:hAnsi="Arial" w:cs="Arial"/>
          <w:b/>
          <w:bCs/>
          <w:color w:val="000000" w:themeColor="text1"/>
          <w:sz w:val="22"/>
          <w:szCs w:val="22"/>
        </w:rPr>
        <w:t xml:space="preserve">                                      Lecturer: </w:t>
      </w:r>
      <w:r w:rsidRPr="2F57370E">
        <w:rPr>
          <w:rFonts w:ascii="Arial" w:eastAsia="Arial" w:hAnsi="Arial" w:cs="Arial"/>
          <w:color w:val="000000" w:themeColor="text1"/>
          <w:sz w:val="22"/>
          <w:szCs w:val="22"/>
        </w:rPr>
        <w:t>Ping Wu</w:t>
      </w:r>
    </w:p>
    <w:p w14:paraId="5E6A789F" w14:textId="01BACCD4" w:rsidR="2666E41E" w:rsidRDefault="2666E41E" w:rsidP="2F57370E">
      <w:pPr>
        <w:spacing w:before="240" w:after="240"/>
        <w:jc w:val="both"/>
        <w:rPr>
          <w:rFonts w:ascii="Arial" w:eastAsia="Arial" w:hAnsi="Arial" w:cs="Arial"/>
          <w:b/>
          <w:bCs/>
          <w:color w:val="000000" w:themeColor="text1"/>
          <w:sz w:val="22"/>
          <w:szCs w:val="22"/>
        </w:rPr>
      </w:pPr>
      <w:r w:rsidRPr="2F57370E">
        <w:rPr>
          <w:rFonts w:ascii="Arial" w:eastAsia="Arial" w:hAnsi="Arial" w:cs="Arial"/>
          <w:b/>
          <w:bCs/>
          <w:color w:val="000000" w:themeColor="text1"/>
          <w:sz w:val="22"/>
          <w:szCs w:val="22"/>
        </w:rPr>
        <w:t xml:space="preserve">Module Code: </w:t>
      </w:r>
      <w:r w:rsidRPr="2F57370E">
        <w:rPr>
          <w:rFonts w:ascii="Arial" w:eastAsia="Arial" w:hAnsi="Arial" w:cs="Arial"/>
          <w:color w:val="000000" w:themeColor="text1"/>
          <w:sz w:val="22"/>
          <w:szCs w:val="22"/>
        </w:rPr>
        <w:t>LCHS4003</w:t>
      </w:r>
    </w:p>
    <w:p w14:paraId="4910FBD5" w14:textId="51AA6E30" w:rsidR="2666E41E" w:rsidRDefault="2666E41E" w:rsidP="2F57370E">
      <w:pPr>
        <w:spacing w:before="240" w:after="240"/>
        <w:jc w:val="both"/>
        <w:rPr>
          <w:rFonts w:ascii="Arial" w:eastAsia="Arial" w:hAnsi="Arial" w:cs="Arial"/>
          <w:b/>
          <w:bCs/>
          <w:color w:val="000000" w:themeColor="text1"/>
          <w:sz w:val="22"/>
          <w:szCs w:val="22"/>
        </w:rPr>
      </w:pPr>
      <w:r w:rsidRPr="2F57370E">
        <w:rPr>
          <w:rFonts w:ascii="Arial" w:eastAsia="Arial" w:hAnsi="Arial" w:cs="Arial"/>
          <w:b/>
          <w:bCs/>
          <w:color w:val="000000" w:themeColor="text1"/>
          <w:sz w:val="22"/>
          <w:szCs w:val="22"/>
        </w:rPr>
        <w:t>Student Number:</w:t>
      </w:r>
      <w:r w:rsidRPr="2F57370E">
        <w:rPr>
          <w:rFonts w:ascii="Arial" w:eastAsia="Arial" w:hAnsi="Arial" w:cs="Arial"/>
          <w:color w:val="000000" w:themeColor="text1"/>
          <w:sz w:val="22"/>
          <w:szCs w:val="22"/>
        </w:rPr>
        <w:t>2430423</w:t>
      </w:r>
    </w:p>
    <w:p w14:paraId="14EAFF7C" w14:textId="31BDE2BE" w:rsidR="71B40A49" w:rsidRDefault="71B40A49" w:rsidP="2F57370E">
      <w:pPr>
        <w:spacing w:before="240" w:after="240"/>
        <w:jc w:val="both"/>
        <w:rPr>
          <w:rFonts w:ascii="Arial" w:eastAsia="Arial" w:hAnsi="Arial" w:cs="Arial"/>
          <w:color w:val="000000" w:themeColor="text1"/>
          <w:sz w:val="22"/>
          <w:szCs w:val="22"/>
        </w:rPr>
      </w:pPr>
      <w:r w:rsidRPr="2F57370E">
        <w:rPr>
          <w:rFonts w:ascii="Arial" w:eastAsia="Arial" w:hAnsi="Arial" w:cs="Arial"/>
          <w:b/>
          <w:bCs/>
          <w:color w:val="000000" w:themeColor="text1"/>
          <w:sz w:val="22"/>
          <w:szCs w:val="22"/>
        </w:rPr>
        <w:t>Introduction</w:t>
      </w:r>
      <w:r w:rsidR="312DB28A" w:rsidRPr="2F57370E">
        <w:rPr>
          <w:rFonts w:ascii="Arial" w:eastAsia="Arial" w:hAnsi="Arial" w:cs="Arial"/>
          <w:b/>
          <w:bCs/>
          <w:color w:val="000000" w:themeColor="text1"/>
          <w:sz w:val="22"/>
          <w:szCs w:val="22"/>
        </w:rPr>
        <w:t>:</w:t>
      </w:r>
      <w:r w:rsidR="0A495EC4" w:rsidRPr="2F57370E">
        <w:rPr>
          <w:rFonts w:ascii="Arial" w:eastAsia="Arial" w:hAnsi="Arial" w:cs="Arial"/>
          <w:b/>
          <w:bCs/>
          <w:color w:val="000000" w:themeColor="text1"/>
          <w:sz w:val="22"/>
          <w:szCs w:val="22"/>
        </w:rPr>
        <w:t xml:space="preserve"> </w:t>
      </w:r>
    </w:p>
    <w:p w14:paraId="332F18F1" w14:textId="6C83EA33" w:rsidR="62368469" w:rsidRDefault="62368469"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This report, which will be divided into three sections, focusses on Mrs. Mann's care case study. First, I will investigate what kind of assistance and support she will require in order to get past her obstacles. Will also discuss some laws and policy frameworks that are relevant to the health and social care industry. Finally, typical difficulties that arise when working with multiple agencies.</w:t>
      </w:r>
    </w:p>
    <w:p w14:paraId="6EC81B26" w14:textId="4915690F" w:rsidR="0A495EC4" w:rsidRDefault="0A495EC4"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1.</w:t>
      </w:r>
      <w:r w:rsidR="2D38D8B2" w:rsidRPr="2F57370E">
        <w:rPr>
          <w:rFonts w:ascii="Arial" w:eastAsia="Arial" w:hAnsi="Arial" w:cs="Arial"/>
          <w:color w:val="000000" w:themeColor="text1"/>
          <w:sz w:val="22"/>
          <w:szCs w:val="22"/>
        </w:rPr>
        <w:t xml:space="preserve">For Mrs. Mann, good communication is very important for safe, effective, and person-centred care. She is 72 years old and recovering from hip replacement surgery. To manage her pain, medication, mobility, and rehabilitation program, she needs clear, accurate, and timely communication. As shown by the delayed medication adjustment caused by missed information, any breakdown in communication can have serious effects. This demonstrates how ineffective communication can compromise patient safety and slow recovery.  </w:t>
      </w:r>
    </w:p>
    <w:p w14:paraId="7397693A" w14:textId="29C661E4" w:rsidR="022B0A46" w:rsidRDefault="022B0A46"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 xml:space="preserve">Mrs Mann’s limited English proficiency further highlights the importance of effective communication.  If care instructions, medication changes, or physiotherapy guidance are not delivered in a language she fully understands, she may feel confused, anxious, or uncertain.  This can result in poor adherence to treatment plans, reduced medication compliance, and limited engagement in rehabilitation, all of which can negatively affect her health outcomes.  In addition, continuity of care may be disrupted by inconsistent documentation and poor information sharing between healthcare professionals, such as general practitioners, community physiotherapists, and domiciliary care staff.  When professionals lack access to accurate and up-to-date information, the risk of errors, duplication of tasks, or omissions in care increases.  </w:t>
      </w:r>
    </w:p>
    <w:p w14:paraId="73C0489A" w14:textId="5A04DB76" w:rsidR="022B0A46" w:rsidRDefault="022B0A46"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 xml:space="preserve">Effective communication is essential for improving patient safety, as it reduces the likelihood of medication errors and ensures that important care is delivered appropriately.  It also supports continuity of care by enabling multidisciplinary team members to work collaboratively using shared and consistent information.  Furthermore, communication is central to person-centred care, as it involves recognising and responding to Mrs Mann’s individual language needs, cultural background, and personal preferences.  Clear, inclusive, and compassionate communication helps to build trust and reassures both Mrs Mann and her daughter that appropriate care is being provided.  </w:t>
      </w:r>
    </w:p>
    <w:p w14:paraId="558DEF94" w14:textId="781AE40A" w:rsidR="022B0A46" w:rsidRDefault="022B0A46"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 xml:space="preserve">Communication strategies should therefore be adapted to meet Mrs Mann’s specific needs.  This includes using professional interpreters for important discussions such as care planning, medication reviews, and treatment changes, rather than relying solely on her daughter.  Providing written information in Urdu, including medication instructions and physiotherapy advice, would further support understanding.  Healthcare professionals should use simple language, speak at an appropriate pace, allow sufficient time for discussion, and regularly check Mrs Mann’s understanding.  Consent should always be obtained before involving her daughter, confidentiality must be maintained, and Mrs Mann should remain central to all decisions about her care.  </w:t>
      </w:r>
    </w:p>
    <w:p w14:paraId="0AD66512" w14:textId="262B4131" w:rsidR="51B96CC5" w:rsidRDefault="51B96CC5" w:rsidP="2F57370E">
      <w:pPr>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 xml:space="preserve">The </w:t>
      </w:r>
      <w:r w:rsidRPr="2F57370E">
        <w:rPr>
          <w:rFonts w:ascii="Arial" w:eastAsia="Arial" w:hAnsi="Arial" w:cs="Arial"/>
          <w:b/>
          <w:bCs/>
          <w:color w:val="000000" w:themeColor="text1"/>
          <w:sz w:val="22"/>
          <w:szCs w:val="22"/>
        </w:rPr>
        <w:t>Equality Act 2010</w:t>
      </w:r>
      <w:r w:rsidRPr="2F57370E">
        <w:rPr>
          <w:rFonts w:ascii="Arial" w:eastAsia="Arial" w:hAnsi="Arial" w:cs="Arial"/>
          <w:color w:val="000000" w:themeColor="text1"/>
          <w:sz w:val="22"/>
          <w:szCs w:val="22"/>
        </w:rPr>
        <w:t xml:space="preserve">, which requires services to make reasonable adjustments for individuals with protected characteristics such as race and ethnic origin, supports these practices (Equality Act, 2010). Providing interpreting services and accessible information helps to prevent disadvantage and reduces the risk of indirect discrimination within healthcare settings (Equality Act, 2010). The </w:t>
      </w:r>
      <w:r w:rsidRPr="2F57370E">
        <w:rPr>
          <w:rFonts w:ascii="Arial" w:eastAsia="Arial" w:hAnsi="Arial" w:cs="Arial"/>
          <w:b/>
          <w:bCs/>
          <w:color w:val="000000" w:themeColor="text1"/>
          <w:sz w:val="22"/>
          <w:szCs w:val="22"/>
        </w:rPr>
        <w:t>Transactional Model</w:t>
      </w:r>
      <w:r w:rsidRPr="2F57370E">
        <w:rPr>
          <w:rFonts w:ascii="Arial" w:eastAsia="Arial" w:hAnsi="Arial" w:cs="Arial"/>
          <w:color w:val="000000" w:themeColor="text1"/>
          <w:sz w:val="22"/>
          <w:szCs w:val="22"/>
        </w:rPr>
        <w:t xml:space="preserve"> of Communication is particularly relevant, as it views communication as a two-way, dynamic process shaped by language, culture, and individual experience (Barnlund, 2008). Overall, effective communication is essential for delivering safe, equitable, and person-centred care, while supporting Mrs Mann’s recovery and promoting her independence.</w:t>
      </w:r>
    </w:p>
    <w:p w14:paraId="2B720392" w14:textId="3E01156D" w:rsidR="2F57370E" w:rsidRDefault="2F57370E" w:rsidP="2F57370E">
      <w:pPr>
        <w:jc w:val="both"/>
        <w:rPr>
          <w:rFonts w:ascii="Arial" w:eastAsia="Arial" w:hAnsi="Arial" w:cs="Arial"/>
          <w:color w:val="000000" w:themeColor="text1"/>
          <w:sz w:val="22"/>
          <w:szCs w:val="22"/>
        </w:rPr>
      </w:pPr>
    </w:p>
    <w:p w14:paraId="17AAF159" w14:textId="6C606E20" w:rsidR="34D9067C" w:rsidRDefault="34D9067C" w:rsidP="2F57370E">
      <w:pPr>
        <w:jc w:val="both"/>
        <w:rPr>
          <w:rFonts w:ascii="Arial" w:eastAsia="Arial" w:hAnsi="Arial" w:cs="Arial"/>
          <w:b/>
          <w:bCs/>
          <w:color w:val="000000" w:themeColor="text1"/>
          <w:sz w:val="22"/>
          <w:szCs w:val="22"/>
        </w:rPr>
      </w:pPr>
      <w:r w:rsidRPr="2F57370E">
        <w:rPr>
          <w:rFonts w:ascii="Arial" w:eastAsia="Arial" w:hAnsi="Arial" w:cs="Arial"/>
          <w:b/>
          <w:bCs/>
          <w:color w:val="000000" w:themeColor="text1"/>
          <w:sz w:val="22"/>
          <w:szCs w:val="22"/>
        </w:rPr>
        <w:t>I</w:t>
      </w:r>
      <w:r w:rsidR="67A61F4A" w:rsidRPr="2F57370E">
        <w:rPr>
          <w:rFonts w:ascii="Arial" w:eastAsia="Arial" w:hAnsi="Arial" w:cs="Arial"/>
          <w:b/>
          <w:bCs/>
          <w:color w:val="000000" w:themeColor="text1"/>
          <w:sz w:val="22"/>
          <w:szCs w:val="22"/>
        </w:rPr>
        <w:t>mportance of administrative skills, Record keeping, and Data protection in Mrs Mann’s Care</w:t>
      </w:r>
    </w:p>
    <w:p w14:paraId="32A5E867" w14:textId="7E0B6A66" w:rsidR="77CF493F" w:rsidRDefault="77CF493F"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2.</w:t>
      </w:r>
      <w:r w:rsidR="20E773EF" w:rsidRPr="2F57370E">
        <w:rPr>
          <w:rFonts w:ascii="Arial" w:eastAsia="Arial" w:hAnsi="Arial" w:cs="Arial"/>
          <w:color w:val="000000" w:themeColor="text1"/>
          <w:sz w:val="22"/>
          <w:szCs w:val="22"/>
        </w:rPr>
        <w:t>Because they guarantee that services are provided safely, consistently, and in accordance with legal requirements, effective administrative skills are essential to professional health and social care practice. Robust administration supports multidisciplinary coordination, prompt communication among care providers, and accurate monitoring of rehabilitation progress in the case of Mrs. Mann, a 72-year-old patient who was recently discharged after hip replacement surgery and is receiving domiciliary support. A delayed medication adjustment in her care was caused by poor administrative practices, highlighting the importance of these abilities for patient safety and continuity of care (CQC, 2025).</w:t>
      </w:r>
    </w:p>
    <w:p w14:paraId="50BCA600" w14:textId="58B5ADCF" w:rsidR="4C04B4CE" w:rsidRDefault="4C04B4CE"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An essential component of administrative competence is maintaining accurate records. It guarantees prompt and accurate documentation of all care activities, clinical decisions, and communications. Complete records facilitate clinical decision-making, offer a legal record of the care provided, and encourage openness between care teams and professional boundaries. Providers are required by Regulation 17 of the Health and Social Care Act 2008 (Regulated Activities) Regulations 2014 to keep contemporaneous, accurate, and comprehensive records pertaining to each service user, including information about care, treatment, and decisions made (CQC, 2025). Records of employee activities and service management, which support general governance and quality assurance, are also included in this requirement.</w:t>
      </w:r>
    </w:p>
    <w:p w14:paraId="4DD57356" w14:textId="244F1EF5" w:rsidR="57D7E013" w:rsidRDefault="57D7E013"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Effective record keeping in health and social care also aligns with broader policy frameworks, such as the Records Management Code of Practice for Health and Social Care. This framework provides clear guidance on the organisation, storage, and management of records across all care settings (NHS Transformation Directorate, 2025). Adhering to these standards ensures that information is consistently recorded and readily accessible to authorised personnel. Furthermore, compliance with these guidelines supports audit processes, which play a critical role in monitoring and improving the quality of care provided. By following such frameworks, care professionals not only maintain accurate records but also contribute to the overall safety, accountability, and efficiency of the health and social care system.</w:t>
      </w:r>
    </w:p>
    <w:p w14:paraId="3AC7C16A" w14:textId="1E9D0F65" w:rsidR="3A21CD86" w:rsidRDefault="3A21CD86"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 xml:space="preserve">The </w:t>
      </w:r>
      <w:r w:rsidRPr="2F57370E">
        <w:rPr>
          <w:rFonts w:ascii="Arial" w:eastAsia="Arial" w:hAnsi="Arial" w:cs="Arial"/>
          <w:b/>
          <w:bCs/>
          <w:color w:val="000000" w:themeColor="text1"/>
          <w:sz w:val="22"/>
          <w:szCs w:val="22"/>
        </w:rPr>
        <w:t>Data Protection Act 2018 (DPA 2018)</w:t>
      </w:r>
      <w:r w:rsidRPr="2F57370E">
        <w:rPr>
          <w:rFonts w:ascii="Arial" w:eastAsia="Arial" w:hAnsi="Arial" w:cs="Arial"/>
          <w:color w:val="000000" w:themeColor="text1"/>
          <w:sz w:val="22"/>
          <w:szCs w:val="22"/>
        </w:rPr>
        <w:t xml:space="preserve"> provides the primary legal framework for processing personal data, including health and social care records. It operates alongside the UK General Data Protection Regulation (UK GDPR) to mandate that personal data is processed lawfully, fairly, and securely, These principles are particularly important when handling special category data such as health information. Care providers must implement appropriate organisational and technical </w:t>
      </w:r>
      <w:r w:rsidRPr="2F57370E">
        <w:rPr>
          <w:rFonts w:ascii="Arial" w:eastAsia="Arial" w:hAnsi="Arial" w:cs="Arial"/>
          <w:b/>
          <w:bCs/>
          <w:color w:val="000000" w:themeColor="text1"/>
          <w:sz w:val="22"/>
          <w:szCs w:val="22"/>
        </w:rPr>
        <w:t>safeguards</w:t>
      </w:r>
      <w:r w:rsidRPr="2F57370E">
        <w:rPr>
          <w:rFonts w:ascii="Arial" w:eastAsia="Arial" w:hAnsi="Arial" w:cs="Arial"/>
          <w:color w:val="000000" w:themeColor="text1"/>
          <w:sz w:val="22"/>
          <w:szCs w:val="22"/>
        </w:rPr>
        <w:t xml:space="preserve"> to protect data from unauthorised access or loss, and share information only with those who have a legitimate need, such as members of Mrs Mann’s care team.</w:t>
      </w:r>
    </w:p>
    <w:p w14:paraId="5620DE77" w14:textId="6BF91B58" w:rsidR="2F57370E" w:rsidRDefault="2F57370E" w:rsidP="2F57370E">
      <w:pPr>
        <w:spacing w:before="240" w:after="240"/>
        <w:jc w:val="both"/>
        <w:rPr>
          <w:rFonts w:ascii="Arial" w:eastAsia="Arial" w:hAnsi="Arial" w:cs="Arial"/>
          <w:color w:val="000000" w:themeColor="text1"/>
          <w:sz w:val="22"/>
          <w:szCs w:val="22"/>
        </w:rPr>
      </w:pPr>
    </w:p>
    <w:p w14:paraId="4F3284C8" w14:textId="5C3927FC" w:rsidR="158C10F2" w:rsidRDefault="158C10F2" w:rsidP="2F57370E">
      <w:pPr>
        <w:spacing w:before="240" w:after="240"/>
        <w:jc w:val="both"/>
        <w:rPr>
          <w:rFonts w:ascii="Arial" w:eastAsia="Arial" w:hAnsi="Arial" w:cs="Arial"/>
          <w:b/>
          <w:bCs/>
          <w:color w:val="000000" w:themeColor="text1"/>
          <w:sz w:val="22"/>
          <w:szCs w:val="22"/>
        </w:rPr>
      </w:pPr>
      <w:r w:rsidRPr="2F57370E">
        <w:rPr>
          <w:rFonts w:ascii="Arial" w:eastAsia="Arial" w:hAnsi="Arial" w:cs="Arial"/>
          <w:b/>
          <w:bCs/>
          <w:color w:val="000000" w:themeColor="text1"/>
          <w:sz w:val="22"/>
          <w:szCs w:val="22"/>
        </w:rPr>
        <w:t xml:space="preserve">The importance of working collaboratively with professionals and </w:t>
      </w:r>
      <w:r w:rsidR="5A8181AF" w:rsidRPr="2F57370E">
        <w:rPr>
          <w:rFonts w:ascii="Arial" w:eastAsia="Arial" w:hAnsi="Arial" w:cs="Arial"/>
          <w:b/>
          <w:bCs/>
          <w:color w:val="000000" w:themeColor="text1"/>
          <w:sz w:val="22"/>
          <w:szCs w:val="22"/>
        </w:rPr>
        <w:t>involved in Mrs Mann’s care</w:t>
      </w:r>
    </w:p>
    <w:p w14:paraId="66E5CD57" w14:textId="4188B87B" w:rsidR="586A4734" w:rsidRDefault="586A4734"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3. Effective collaboration among health and social care professionals is vital for delivering safe, coordinated care for patients with complex needs, such as Mrs Mann, who is recovering from hip replacement surgery. Collaboration allows the GP, community physiotherapist, and domiciliary care staff to share timely and accurate information about her rehabilitation, medications, and personal care. This reduces risks associated with fragmented care and ensures continuity across settings. Older adults are particularly vulnerable to poor communication, which can make care appear inconsistent and negatively affect their experience (Hoffmann et al., 2024).</w:t>
      </w:r>
    </w:p>
    <w:p w14:paraId="0C36BE91" w14:textId="1251EF3B" w:rsidR="586A4734" w:rsidRDefault="586A4734" w:rsidP="2F57370E">
      <w:pPr>
        <w:spacing w:before="240" w:after="240"/>
        <w:jc w:val="both"/>
      </w:pPr>
      <w:r w:rsidRPr="2F57370E">
        <w:rPr>
          <w:rFonts w:ascii="Arial" w:eastAsia="Arial" w:hAnsi="Arial" w:cs="Arial"/>
          <w:color w:val="000000" w:themeColor="text1"/>
          <w:sz w:val="22"/>
          <w:szCs w:val="22"/>
        </w:rPr>
        <w:t>Key strategies for effective collaboration include structured interdisciplinary communication, regular case meetings, and shared electronic records that keep all team members informed of care plans and clinical changes. Joint meetings enable professionals to align goals, address risks, and coordinate interventions, supporting shared decision-making and accountability. Research shows that such practices improve understanding of the care pathway and reduce miscommunication (Gillespie and Marshall, 2014; Turner et al., 2012).</w:t>
      </w:r>
    </w:p>
    <w:p w14:paraId="0DB9FCFD" w14:textId="3892BE98" w:rsidR="586A4734" w:rsidRDefault="586A4734" w:rsidP="2F57370E">
      <w:pPr>
        <w:spacing w:before="240" w:after="240"/>
        <w:jc w:val="both"/>
      </w:pPr>
      <w:r w:rsidRPr="2F57370E">
        <w:rPr>
          <w:rFonts w:ascii="Arial" w:eastAsia="Arial" w:hAnsi="Arial" w:cs="Arial"/>
          <w:color w:val="000000" w:themeColor="text1"/>
          <w:sz w:val="22"/>
          <w:szCs w:val="22"/>
        </w:rPr>
        <w:t>Multi-agency working also presents challenges, including unclear roles, gaps in information, and conflicting priorities. These can be addressed by establishing clear documentation standards, defining responsibilities, providing communication training, and involving interpreters or family members to bridge language and cultural barriers. Regular audits and reflective practice help identify gaps and promote continuous improvement in teamwork.</w:t>
      </w:r>
    </w:p>
    <w:p w14:paraId="512DF494" w14:textId="7E5AE113" w:rsidR="586A4734" w:rsidRDefault="586A4734" w:rsidP="2F57370E">
      <w:pPr>
        <w:spacing w:before="240" w:after="240"/>
        <w:jc w:val="both"/>
      </w:pPr>
      <w:r w:rsidRPr="2F57370E">
        <w:rPr>
          <w:rFonts w:ascii="Arial" w:eastAsia="Arial" w:hAnsi="Arial" w:cs="Arial"/>
          <w:color w:val="000000" w:themeColor="text1"/>
          <w:sz w:val="22"/>
          <w:szCs w:val="22"/>
        </w:rPr>
        <w:t>Lasltly,effective collaborative working enhances the safety, quality, and person-centredness of care for Mrs Mann by integrating professional expertise, improving communication, and ensuring a coordinated approach to her rehabilitation, ultimately supporting her recovery and independence.</w:t>
      </w:r>
    </w:p>
    <w:p w14:paraId="577E7386" w14:textId="6F8FAB56" w:rsidR="2F57370E" w:rsidRDefault="2F57370E" w:rsidP="2F57370E">
      <w:pPr>
        <w:jc w:val="both"/>
        <w:rPr>
          <w:rFonts w:ascii="Arial" w:eastAsia="Arial" w:hAnsi="Arial" w:cs="Arial"/>
          <w:b/>
          <w:bCs/>
          <w:color w:val="000000" w:themeColor="text1"/>
          <w:sz w:val="22"/>
          <w:szCs w:val="22"/>
        </w:rPr>
      </w:pPr>
    </w:p>
    <w:p w14:paraId="732AF5CD" w14:textId="3B51FB5A" w:rsidR="150F229F" w:rsidRDefault="150F229F" w:rsidP="2F57370E">
      <w:pPr>
        <w:jc w:val="both"/>
        <w:rPr>
          <w:rFonts w:ascii="Arial" w:eastAsia="Arial" w:hAnsi="Arial" w:cs="Arial"/>
          <w:b/>
          <w:bCs/>
          <w:color w:val="000000" w:themeColor="text1"/>
          <w:sz w:val="22"/>
          <w:szCs w:val="22"/>
        </w:rPr>
      </w:pPr>
      <w:r w:rsidRPr="2F57370E">
        <w:rPr>
          <w:rFonts w:ascii="Arial" w:eastAsia="Arial" w:hAnsi="Arial" w:cs="Arial"/>
          <w:b/>
          <w:bCs/>
          <w:color w:val="000000" w:themeColor="text1"/>
          <w:sz w:val="22"/>
          <w:szCs w:val="22"/>
        </w:rPr>
        <w:t>Conclusion:</w:t>
      </w:r>
    </w:p>
    <w:p w14:paraId="260C267C" w14:textId="27A53500" w:rsidR="2F57370E" w:rsidRDefault="5AEAF719" w:rsidP="2F57370E">
      <w:pPr>
        <w:jc w:val="both"/>
      </w:pPr>
      <w:r w:rsidRPr="2F57370E">
        <w:rPr>
          <w:rFonts w:ascii="Arial" w:eastAsia="Arial" w:hAnsi="Arial" w:cs="Arial"/>
          <w:color w:val="000000" w:themeColor="text1"/>
          <w:sz w:val="22"/>
          <w:szCs w:val="22"/>
        </w:rPr>
        <w:t>In summary, Mrs Mann’s care demonstrates the vital role of effective communication, strong administrative skills, and collaborative teamwork in delivering safe, person-centred care. Clear, accurate, and culturally sensitive communication helps her understand treatment instructions, follow medication and rehabilitation plans, and participate in decisions about her care, reducing the risk of errors. Accurate record keeping and adherence to legal frameworks, including the Data Protection Act 2018 and the Records Management Code of Practice, ensure accountability, continuity, and quality. Coordinated collaboration among health and social care professionals, supported by shared documentation and structured communication, allows consistent monitoring and integrated care. By implementing these practices, providers can address Mrs Mann’s individual needs, overcome language and cultural barriers, and promote her independence, ultimately safeguarding her well-being and improving overall care outcomes.</w:t>
      </w:r>
    </w:p>
    <w:p w14:paraId="20CE0378" w14:textId="7E368592" w:rsidR="233BAD86" w:rsidRDefault="233BAD86" w:rsidP="233BAD86">
      <w:pPr>
        <w:jc w:val="both"/>
        <w:rPr>
          <w:rFonts w:ascii="Arial" w:eastAsia="Arial" w:hAnsi="Arial" w:cs="Arial"/>
          <w:color w:val="000000" w:themeColor="text1"/>
          <w:sz w:val="22"/>
          <w:szCs w:val="22"/>
        </w:rPr>
      </w:pPr>
    </w:p>
    <w:p w14:paraId="6E9F2C22" w14:textId="6D4F0725" w:rsidR="19256A97" w:rsidRDefault="19256A97" w:rsidP="2F57370E">
      <w:pPr>
        <w:jc w:val="both"/>
        <w:rPr>
          <w:rFonts w:ascii="Arial" w:eastAsia="Arial" w:hAnsi="Arial" w:cs="Arial"/>
          <w:b/>
          <w:bCs/>
          <w:color w:val="000000" w:themeColor="text1"/>
          <w:sz w:val="22"/>
          <w:szCs w:val="22"/>
        </w:rPr>
      </w:pPr>
      <w:r w:rsidRPr="2F57370E">
        <w:rPr>
          <w:rFonts w:ascii="Arial" w:eastAsia="Arial" w:hAnsi="Arial" w:cs="Arial"/>
          <w:b/>
          <w:bCs/>
          <w:color w:val="000000" w:themeColor="text1"/>
          <w:sz w:val="22"/>
          <w:szCs w:val="22"/>
        </w:rPr>
        <w:t>References</w:t>
      </w:r>
    </w:p>
    <w:p w14:paraId="6FDECDE2" w14:textId="4DCF0DD4" w:rsidR="19256A97" w:rsidRDefault="19256A97"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 xml:space="preserve">Equality Act 2010, c.15. London: The Stationery Office. Available at: </w:t>
      </w:r>
      <w:hyperlink r:id="rId5">
        <w:r w:rsidRPr="2F57370E">
          <w:rPr>
            <w:rStyle w:val="Hyperlink"/>
            <w:rFonts w:ascii="Arial" w:eastAsia="Arial" w:hAnsi="Arial" w:cs="Arial"/>
            <w:color w:val="000000" w:themeColor="text1"/>
            <w:sz w:val="22"/>
            <w:szCs w:val="22"/>
          </w:rPr>
          <w:t>https://www.legislation.gov.uk/ukpga/2010/15/contents</w:t>
        </w:r>
      </w:hyperlink>
      <w:r w:rsidRPr="2F57370E">
        <w:rPr>
          <w:rFonts w:ascii="Arial" w:eastAsia="Arial" w:hAnsi="Arial" w:cs="Arial"/>
          <w:color w:val="000000" w:themeColor="text1"/>
          <w:sz w:val="22"/>
          <w:szCs w:val="22"/>
        </w:rPr>
        <w:t xml:space="preserve"> </w:t>
      </w:r>
    </w:p>
    <w:p w14:paraId="3F2D3F51" w14:textId="6626D3D7" w:rsidR="19256A97" w:rsidRDefault="19256A97"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Barnlund, D.C., 2008. A transactional model of communication. In: Mortensen, C.D., ed. Communication Theory. 2nd ed. New Brunswick: Transaction Publishers, pp.47-57.</w:t>
      </w:r>
    </w:p>
    <w:p w14:paraId="333EDEC7" w14:textId="3E70C950" w:rsidR="13D469B4" w:rsidRDefault="13D469B4"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 xml:space="preserve">Care Quality Commission (2025) Regulation 17: Good governance. Available at: </w:t>
      </w:r>
      <w:hyperlink r:id="rId6">
        <w:r w:rsidRPr="2F57370E">
          <w:rPr>
            <w:rStyle w:val="Hyperlink"/>
            <w:rFonts w:ascii="Arial" w:eastAsia="Arial" w:hAnsi="Arial" w:cs="Arial"/>
            <w:color w:val="000000" w:themeColor="text1"/>
            <w:sz w:val="22"/>
            <w:szCs w:val="22"/>
          </w:rPr>
          <w:t>https://www.cqc.org.uk/guidance-regulation/providers/regulations-service-providers-and-managers/health-social-care-act/regulation-17</w:t>
        </w:r>
      </w:hyperlink>
      <w:r w:rsidRPr="2F57370E">
        <w:rPr>
          <w:rFonts w:ascii="Arial" w:eastAsia="Arial" w:hAnsi="Arial" w:cs="Arial"/>
          <w:color w:val="000000" w:themeColor="text1"/>
          <w:sz w:val="22"/>
          <w:szCs w:val="22"/>
        </w:rPr>
        <w:t xml:space="preserve"> </w:t>
      </w:r>
    </w:p>
    <w:p w14:paraId="0E16E4F6" w14:textId="58CDE0D8" w:rsidR="13D469B4" w:rsidRDefault="13D469B4"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 xml:space="preserve">GovScot (2025) Records Management Code of Practice for Health and Social Care v4.0. Available at: </w:t>
      </w:r>
      <w:hyperlink r:id="rId7">
        <w:r w:rsidRPr="2F57370E">
          <w:rPr>
            <w:rStyle w:val="Hyperlink"/>
            <w:rFonts w:ascii="Arial" w:eastAsia="Arial" w:hAnsi="Arial" w:cs="Arial"/>
            <w:sz w:val="22"/>
            <w:szCs w:val="22"/>
          </w:rPr>
          <w:t>https://www.gov.scot/publications/records-management-code-practice-health-social-care-v4-0/</w:t>
        </w:r>
      </w:hyperlink>
      <w:r w:rsidRPr="2F57370E">
        <w:rPr>
          <w:rFonts w:ascii="Arial" w:eastAsia="Arial" w:hAnsi="Arial" w:cs="Arial"/>
          <w:color w:val="000000" w:themeColor="text1"/>
          <w:sz w:val="22"/>
          <w:szCs w:val="22"/>
        </w:rPr>
        <w:t xml:space="preserve"> </w:t>
      </w:r>
    </w:p>
    <w:p w14:paraId="1D2BAF40" w14:textId="73E0201D" w:rsidR="13D469B4" w:rsidRDefault="13D469B4" w:rsidP="2F57370E">
      <w:pPr>
        <w:spacing w:before="240" w:after="240"/>
        <w:jc w:val="both"/>
        <w:rPr>
          <w:rFonts w:ascii="Arial" w:eastAsia="Arial" w:hAnsi="Arial" w:cs="Arial"/>
          <w:color w:val="000000" w:themeColor="text1"/>
          <w:sz w:val="22"/>
          <w:szCs w:val="22"/>
        </w:rPr>
      </w:pPr>
      <w:r w:rsidRPr="2F57370E">
        <w:rPr>
          <w:rFonts w:ascii="Arial" w:eastAsia="Arial" w:hAnsi="Arial" w:cs="Arial"/>
          <w:color w:val="000000" w:themeColor="text1"/>
          <w:sz w:val="22"/>
          <w:szCs w:val="22"/>
        </w:rPr>
        <w:t xml:space="preserve">NHS Transformation Directorate (2025) Records Management Code of Practice. Available at: </w:t>
      </w:r>
      <w:hyperlink r:id="rId8">
        <w:r w:rsidRPr="2F57370E">
          <w:rPr>
            <w:rStyle w:val="Hyperlink"/>
            <w:rFonts w:ascii="Arial" w:eastAsia="Arial" w:hAnsi="Arial" w:cs="Arial"/>
            <w:color w:val="000000" w:themeColor="text1"/>
            <w:sz w:val="22"/>
            <w:szCs w:val="22"/>
          </w:rPr>
          <w:t>https://transform.england.nhs.uk/information-governance/guidance/records-management-code/</w:t>
        </w:r>
      </w:hyperlink>
      <w:r w:rsidRPr="2F57370E">
        <w:rPr>
          <w:rFonts w:ascii="Arial" w:eastAsia="Arial" w:hAnsi="Arial" w:cs="Arial"/>
          <w:color w:val="000000" w:themeColor="text1"/>
          <w:sz w:val="22"/>
          <w:szCs w:val="22"/>
        </w:rPr>
        <w:t xml:space="preserve"> (Accessed: 17 December 2025).</w:t>
      </w:r>
    </w:p>
    <w:p w14:paraId="08FB5094" w14:textId="16F8F30F" w:rsidR="04F16F41" w:rsidRDefault="04F16F41" w:rsidP="2F57370E">
      <w:pPr>
        <w:spacing w:before="240" w:after="240"/>
        <w:jc w:val="both"/>
      </w:pPr>
      <w:r w:rsidRPr="2F57370E">
        <w:rPr>
          <w:rFonts w:ascii="Arial" w:eastAsia="Arial" w:hAnsi="Arial" w:cs="Arial"/>
          <w:color w:val="000000" w:themeColor="text1"/>
          <w:sz w:val="22"/>
          <w:szCs w:val="22"/>
        </w:rPr>
        <w:t xml:space="preserve">Gillespie, B.M. and Marshall, A.P. (2014) ‘Improving the experience of hip fracture care: A multidisciplinary collaborative approach to implementing evidence‑based, person‑centred practice’, </w:t>
      </w:r>
      <w:r w:rsidRPr="2F57370E">
        <w:rPr>
          <w:rFonts w:ascii="Arial" w:eastAsia="Arial" w:hAnsi="Arial" w:cs="Arial"/>
          <w:i/>
          <w:iCs/>
          <w:color w:val="000000" w:themeColor="text1"/>
          <w:sz w:val="22"/>
          <w:szCs w:val="22"/>
        </w:rPr>
        <w:t>Journal of Clinical Nursing</w:t>
      </w:r>
      <w:r w:rsidRPr="2F57370E">
        <w:rPr>
          <w:rFonts w:ascii="Arial" w:eastAsia="Arial" w:hAnsi="Arial" w:cs="Arial"/>
          <w:color w:val="000000" w:themeColor="text1"/>
          <w:sz w:val="22"/>
          <w:szCs w:val="22"/>
        </w:rPr>
        <w:t xml:space="preserve">. Available through PubMed. </w:t>
      </w:r>
      <w:hyperlink r:id="rId9">
        <w:r w:rsidRPr="2F57370E">
          <w:rPr>
            <w:rStyle w:val="Hyperlink"/>
            <w:rFonts w:ascii="Arial" w:eastAsia="Arial" w:hAnsi="Arial" w:cs="Arial"/>
            <w:color w:val="000000" w:themeColor="text1"/>
            <w:sz w:val="22"/>
            <w:szCs w:val="22"/>
          </w:rPr>
          <w:t>PubMed</w:t>
        </w:r>
      </w:hyperlink>
    </w:p>
    <w:p w14:paraId="4F9EAD82" w14:textId="59F5701F" w:rsidR="04F16F41" w:rsidRDefault="04F16F41" w:rsidP="2F57370E">
      <w:pPr>
        <w:spacing w:before="240" w:after="240"/>
        <w:jc w:val="both"/>
      </w:pPr>
      <w:r w:rsidRPr="2F57370E">
        <w:rPr>
          <w:rFonts w:ascii="Arial" w:eastAsia="Arial" w:hAnsi="Arial" w:cs="Arial"/>
          <w:color w:val="000000" w:themeColor="text1"/>
          <w:sz w:val="22"/>
          <w:szCs w:val="22"/>
        </w:rPr>
        <w:t xml:space="preserve">Hoffmann, T.C. et al. (2024) ‘Older adults’ perceptions and experiences of interprofessional communication in integrated care’, </w:t>
      </w:r>
      <w:r w:rsidRPr="2F57370E">
        <w:rPr>
          <w:rFonts w:ascii="Arial" w:eastAsia="Arial" w:hAnsi="Arial" w:cs="Arial"/>
          <w:i/>
          <w:iCs/>
          <w:color w:val="000000" w:themeColor="text1"/>
          <w:sz w:val="22"/>
          <w:szCs w:val="22"/>
        </w:rPr>
        <w:t>BMC Geriatrics</w:t>
      </w:r>
      <w:r w:rsidRPr="2F57370E">
        <w:rPr>
          <w:rFonts w:ascii="Arial" w:eastAsia="Arial" w:hAnsi="Arial" w:cs="Arial"/>
          <w:color w:val="000000" w:themeColor="text1"/>
          <w:sz w:val="22"/>
          <w:szCs w:val="22"/>
        </w:rPr>
        <w:t xml:space="preserve">, 24:146. </w:t>
      </w:r>
      <w:hyperlink r:id="rId10">
        <w:r w:rsidRPr="2F57370E">
          <w:rPr>
            <w:rStyle w:val="Hyperlink"/>
            <w:rFonts w:ascii="Arial" w:eastAsia="Arial" w:hAnsi="Arial" w:cs="Arial"/>
            <w:color w:val="000000" w:themeColor="text1"/>
            <w:sz w:val="22"/>
            <w:szCs w:val="22"/>
          </w:rPr>
          <w:t>SpringerLink</w:t>
        </w:r>
      </w:hyperlink>
    </w:p>
    <w:p w14:paraId="26B5A762" w14:textId="6BEB84AB" w:rsidR="04F16F41" w:rsidRDefault="04F16F41" w:rsidP="2F57370E">
      <w:pPr>
        <w:spacing w:before="240" w:after="240"/>
        <w:jc w:val="both"/>
      </w:pPr>
      <w:r w:rsidRPr="2F57370E">
        <w:rPr>
          <w:rFonts w:ascii="Arial" w:eastAsia="Arial" w:hAnsi="Arial" w:cs="Arial"/>
          <w:color w:val="000000" w:themeColor="text1"/>
          <w:sz w:val="22"/>
          <w:szCs w:val="22"/>
        </w:rPr>
        <w:t xml:space="preserve">Turner, S. et al. (2012) ‘Multi‑professional communication for older people in transitional care: a review of the literature’, </w:t>
      </w:r>
      <w:r w:rsidRPr="2F57370E">
        <w:rPr>
          <w:rFonts w:ascii="Arial" w:eastAsia="Arial" w:hAnsi="Arial" w:cs="Arial"/>
          <w:i/>
          <w:iCs/>
          <w:color w:val="000000" w:themeColor="text1"/>
          <w:sz w:val="22"/>
          <w:szCs w:val="22"/>
        </w:rPr>
        <w:t>International Journal of Integrated Care</w:t>
      </w:r>
      <w:r w:rsidRPr="2F57370E">
        <w:rPr>
          <w:rFonts w:ascii="Arial" w:eastAsia="Arial" w:hAnsi="Arial" w:cs="Arial"/>
          <w:color w:val="000000" w:themeColor="text1"/>
          <w:sz w:val="22"/>
          <w:szCs w:val="22"/>
        </w:rPr>
        <w:t>.</w:t>
      </w:r>
    </w:p>
    <w:p w14:paraId="5527C37C" w14:textId="3622D3DD" w:rsidR="2F57370E" w:rsidRDefault="2F57370E" w:rsidP="2F57370E">
      <w:pPr>
        <w:jc w:val="both"/>
        <w:rPr>
          <w:rFonts w:ascii="Arial" w:eastAsia="Arial" w:hAnsi="Arial" w:cs="Arial"/>
          <w:color w:val="000000" w:themeColor="text1"/>
          <w:sz w:val="22"/>
          <w:szCs w:val="22"/>
        </w:rPr>
      </w:pPr>
    </w:p>
    <w:sectPr w:rsidR="2F57370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0C5BE"/>
    <w:multiLevelType w:val="hybridMultilevel"/>
    <w:tmpl w:val="FFFFFFFF"/>
    <w:lvl w:ilvl="0" w:tplc="4EEC3C22">
      <w:start w:val="1"/>
      <w:numFmt w:val="bullet"/>
      <w:lvlText w:val=""/>
      <w:lvlJc w:val="left"/>
      <w:pPr>
        <w:ind w:left="720" w:hanging="360"/>
      </w:pPr>
      <w:rPr>
        <w:rFonts w:ascii="Symbol" w:hAnsi="Symbol" w:hint="default"/>
      </w:rPr>
    </w:lvl>
    <w:lvl w:ilvl="1" w:tplc="4BEAA226">
      <w:start w:val="1"/>
      <w:numFmt w:val="bullet"/>
      <w:lvlText w:val="o"/>
      <w:lvlJc w:val="left"/>
      <w:pPr>
        <w:ind w:left="1440" w:hanging="360"/>
      </w:pPr>
      <w:rPr>
        <w:rFonts w:ascii="Courier New" w:hAnsi="Courier New" w:hint="default"/>
      </w:rPr>
    </w:lvl>
    <w:lvl w:ilvl="2" w:tplc="01A219CA">
      <w:start w:val="1"/>
      <w:numFmt w:val="bullet"/>
      <w:lvlText w:val=""/>
      <w:lvlJc w:val="left"/>
      <w:pPr>
        <w:ind w:left="2160" w:hanging="360"/>
      </w:pPr>
      <w:rPr>
        <w:rFonts w:ascii="Wingdings" w:hAnsi="Wingdings" w:hint="default"/>
      </w:rPr>
    </w:lvl>
    <w:lvl w:ilvl="3" w:tplc="98C4327A">
      <w:start w:val="1"/>
      <w:numFmt w:val="bullet"/>
      <w:lvlText w:val=""/>
      <w:lvlJc w:val="left"/>
      <w:pPr>
        <w:ind w:left="2880" w:hanging="360"/>
      </w:pPr>
      <w:rPr>
        <w:rFonts w:ascii="Symbol" w:hAnsi="Symbol" w:hint="default"/>
      </w:rPr>
    </w:lvl>
    <w:lvl w:ilvl="4" w:tplc="CB1454C2">
      <w:start w:val="1"/>
      <w:numFmt w:val="bullet"/>
      <w:lvlText w:val="o"/>
      <w:lvlJc w:val="left"/>
      <w:pPr>
        <w:ind w:left="3600" w:hanging="360"/>
      </w:pPr>
      <w:rPr>
        <w:rFonts w:ascii="Courier New" w:hAnsi="Courier New" w:hint="default"/>
      </w:rPr>
    </w:lvl>
    <w:lvl w:ilvl="5" w:tplc="0A469A2A">
      <w:start w:val="1"/>
      <w:numFmt w:val="bullet"/>
      <w:lvlText w:val=""/>
      <w:lvlJc w:val="left"/>
      <w:pPr>
        <w:ind w:left="4320" w:hanging="360"/>
      </w:pPr>
      <w:rPr>
        <w:rFonts w:ascii="Wingdings" w:hAnsi="Wingdings" w:hint="default"/>
      </w:rPr>
    </w:lvl>
    <w:lvl w:ilvl="6" w:tplc="E71A978E">
      <w:start w:val="1"/>
      <w:numFmt w:val="bullet"/>
      <w:lvlText w:val=""/>
      <w:lvlJc w:val="left"/>
      <w:pPr>
        <w:ind w:left="5040" w:hanging="360"/>
      </w:pPr>
      <w:rPr>
        <w:rFonts w:ascii="Symbol" w:hAnsi="Symbol" w:hint="default"/>
      </w:rPr>
    </w:lvl>
    <w:lvl w:ilvl="7" w:tplc="AD7857F0">
      <w:start w:val="1"/>
      <w:numFmt w:val="bullet"/>
      <w:lvlText w:val="o"/>
      <w:lvlJc w:val="left"/>
      <w:pPr>
        <w:ind w:left="5760" w:hanging="360"/>
      </w:pPr>
      <w:rPr>
        <w:rFonts w:ascii="Courier New" w:hAnsi="Courier New" w:hint="default"/>
      </w:rPr>
    </w:lvl>
    <w:lvl w:ilvl="8" w:tplc="E4FA018E">
      <w:start w:val="1"/>
      <w:numFmt w:val="bullet"/>
      <w:lvlText w:val=""/>
      <w:lvlJc w:val="left"/>
      <w:pPr>
        <w:ind w:left="6480" w:hanging="360"/>
      </w:pPr>
      <w:rPr>
        <w:rFonts w:ascii="Wingdings" w:hAnsi="Wingdings" w:hint="default"/>
      </w:rPr>
    </w:lvl>
  </w:abstractNum>
  <w:num w:numId="1" w16cid:durableId="99421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BE79F4"/>
    <w:rsid w:val="0026153F"/>
    <w:rsid w:val="0036104C"/>
    <w:rsid w:val="00775F94"/>
    <w:rsid w:val="00B17954"/>
    <w:rsid w:val="012FF7F3"/>
    <w:rsid w:val="022B0A46"/>
    <w:rsid w:val="0390ABA1"/>
    <w:rsid w:val="03B0BAF7"/>
    <w:rsid w:val="03CED4B9"/>
    <w:rsid w:val="04525197"/>
    <w:rsid w:val="04F16F41"/>
    <w:rsid w:val="09058A00"/>
    <w:rsid w:val="0A495EC4"/>
    <w:rsid w:val="0D7C46A5"/>
    <w:rsid w:val="0EFCCE98"/>
    <w:rsid w:val="0FFB37E1"/>
    <w:rsid w:val="10F00F8F"/>
    <w:rsid w:val="1132F344"/>
    <w:rsid w:val="134DEA79"/>
    <w:rsid w:val="13D469B4"/>
    <w:rsid w:val="150F229F"/>
    <w:rsid w:val="158C10F2"/>
    <w:rsid w:val="173D9A6E"/>
    <w:rsid w:val="19256A97"/>
    <w:rsid w:val="1D558D35"/>
    <w:rsid w:val="207AD303"/>
    <w:rsid w:val="20E773EF"/>
    <w:rsid w:val="230F1233"/>
    <w:rsid w:val="233BAD86"/>
    <w:rsid w:val="236EDE64"/>
    <w:rsid w:val="2470330E"/>
    <w:rsid w:val="24A07835"/>
    <w:rsid w:val="25609914"/>
    <w:rsid w:val="2611650B"/>
    <w:rsid w:val="2666E41E"/>
    <w:rsid w:val="275C60D9"/>
    <w:rsid w:val="2815C900"/>
    <w:rsid w:val="29FAF7AF"/>
    <w:rsid w:val="2B5D5637"/>
    <w:rsid w:val="2C8464A5"/>
    <w:rsid w:val="2CB6ECC9"/>
    <w:rsid w:val="2D38D8B2"/>
    <w:rsid w:val="2F57370E"/>
    <w:rsid w:val="312DB28A"/>
    <w:rsid w:val="342DB93D"/>
    <w:rsid w:val="34D9067C"/>
    <w:rsid w:val="3941ABEA"/>
    <w:rsid w:val="397D5A68"/>
    <w:rsid w:val="3A21CD86"/>
    <w:rsid w:val="3BD26F46"/>
    <w:rsid w:val="3C2D43B3"/>
    <w:rsid w:val="3DD0B1B8"/>
    <w:rsid w:val="3EEE2BEF"/>
    <w:rsid w:val="3F306F2B"/>
    <w:rsid w:val="3FBE79F4"/>
    <w:rsid w:val="42141E4E"/>
    <w:rsid w:val="4239076B"/>
    <w:rsid w:val="42F584A8"/>
    <w:rsid w:val="43FB68A9"/>
    <w:rsid w:val="44BD3466"/>
    <w:rsid w:val="45F19E48"/>
    <w:rsid w:val="468172C7"/>
    <w:rsid w:val="4C04B4CE"/>
    <w:rsid w:val="4E697D72"/>
    <w:rsid w:val="4F033F1F"/>
    <w:rsid w:val="51B96CC5"/>
    <w:rsid w:val="52E1491F"/>
    <w:rsid w:val="53308E39"/>
    <w:rsid w:val="5366B0FB"/>
    <w:rsid w:val="557E3FBC"/>
    <w:rsid w:val="55AC5CC5"/>
    <w:rsid w:val="5750CC9C"/>
    <w:rsid w:val="57D7E013"/>
    <w:rsid w:val="586A4734"/>
    <w:rsid w:val="594AE909"/>
    <w:rsid w:val="5A8181AF"/>
    <w:rsid w:val="5AEAF719"/>
    <w:rsid w:val="5C4F133D"/>
    <w:rsid w:val="5D2F261F"/>
    <w:rsid w:val="62368469"/>
    <w:rsid w:val="6287818A"/>
    <w:rsid w:val="63322BF2"/>
    <w:rsid w:val="63748F9E"/>
    <w:rsid w:val="664E459F"/>
    <w:rsid w:val="67710D69"/>
    <w:rsid w:val="67A61F4A"/>
    <w:rsid w:val="68213814"/>
    <w:rsid w:val="6957EE4F"/>
    <w:rsid w:val="6A32DDD2"/>
    <w:rsid w:val="6AED4B42"/>
    <w:rsid w:val="6CDDAA25"/>
    <w:rsid w:val="71B40A49"/>
    <w:rsid w:val="722A0F71"/>
    <w:rsid w:val="737715F6"/>
    <w:rsid w:val="73FD21EB"/>
    <w:rsid w:val="74ACA825"/>
    <w:rsid w:val="754D0709"/>
    <w:rsid w:val="755EDC6D"/>
    <w:rsid w:val="77CF493F"/>
    <w:rsid w:val="78216D63"/>
    <w:rsid w:val="7CEF87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E79F4"/>
  <w15:chartTrackingRefBased/>
  <w15:docId w15:val="{35E0B249-870F-4D45-9BD3-2F132A8D5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F57370E"/>
    <w:pPr>
      <w:ind w:left="720"/>
      <w:contextualSpacing/>
    </w:pPr>
  </w:style>
  <w:style w:type="character" w:styleId="Hyperlink">
    <w:name w:val="Hyperlink"/>
    <w:basedOn w:val="DefaultParagraphFont"/>
    <w:uiPriority w:val="99"/>
    <w:unhideWhenUsed/>
    <w:rsid w:val="2F57370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form.england.nhs.uk/information-governance/guidance/records-management-code/?utm_source=chatgpt.com" TargetMode="External"/><Relationship Id="rId3" Type="http://schemas.openxmlformats.org/officeDocument/2006/relationships/settings" Target="settings.xml"/><Relationship Id="rId7" Type="http://schemas.openxmlformats.org/officeDocument/2006/relationships/hyperlink" Target="https://www.gov.scot/publications/records-management-code-practice-health-social-care-v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qc.org.uk/guidance-regulation/providers/regulations-service-providers-and-managers/health-social-care-act/regulation-17?utm_source=chatgpt.com" TargetMode="External"/><Relationship Id="rId11" Type="http://schemas.openxmlformats.org/officeDocument/2006/relationships/fontTable" Target="fontTable.xml"/><Relationship Id="rId5" Type="http://schemas.openxmlformats.org/officeDocument/2006/relationships/hyperlink" Target="https://www.legislation.gov.uk/ukpga/2010/15/contents" TargetMode="External"/><Relationship Id="rId10" Type="http://schemas.openxmlformats.org/officeDocument/2006/relationships/hyperlink" Target="https://bmcgeriatr.biomedcentral.com/articles/10.1186/s12877-024-04745-4?utm_source=chatgpt.com" TargetMode="External"/><Relationship Id="rId4" Type="http://schemas.openxmlformats.org/officeDocument/2006/relationships/webSettings" Target="webSettings.xml"/><Relationship Id="rId9" Type="http://schemas.openxmlformats.org/officeDocument/2006/relationships/hyperlink" Target="https://pubmed.ncbi.nlm.nih.gov/25787814/?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1845</Words>
  <Characters>10517</Characters>
  <Application>Microsoft Office Word</Application>
  <DocSecurity>0</DocSecurity>
  <Lines>87</Lines>
  <Paragraphs>24</Paragraphs>
  <ScaleCrop>false</ScaleCrop>
  <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Dave Olano Galvan (2430423)</dc:creator>
  <cp:keywords/>
  <dc:description/>
  <cp:lastModifiedBy>Christian Dave Olano Galvan (2430423)</cp:lastModifiedBy>
  <cp:revision>2</cp:revision>
  <dcterms:created xsi:type="dcterms:W3CDTF">2025-12-17T19:47:00Z</dcterms:created>
  <dcterms:modified xsi:type="dcterms:W3CDTF">2025-12-17T19:47:00Z</dcterms:modified>
</cp:coreProperties>
</file>