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32C17" w14:textId="13975BED" w:rsidR="00DC2BFD" w:rsidRPr="00795F36" w:rsidRDefault="00DC2BFD" w:rsidP="00795F36">
      <w:pPr>
        <w:spacing w:line="360" w:lineRule="auto"/>
        <w:rPr>
          <w:rFonts w:ascii="Arial" w:hAnsi="Arial" w:cs="Arial"/>
          <w:sz w:val="24"/>
          <w:szCs w:val="24"/>
        </w:rPr>
      </w:pPr>
      <w:bookmarkStart w:id="0" w:name="_Toc234270938"/>
      <w:r w:rsidRPr="00795F36">
        <w:rPr>
          <w:rFonts w:ascii="Arial" w:eastAsia="Calibri" w:hAnsi="Arial" w:cs="Arial"/>
          <w:sz w:val="24"/>
          <w:szCs w:val="24"/>
        </w:rPr>
        <w:t>Project Management</w:t>
      </w:r>
    </w:p>
    <w:p w14:paraId="173F5024" w14:textId="77777777" w:rsidR="00DC2BFD" w:rsidRPr="00795F36" w:rsidRDefault="00DC2BFD" w:rsidP="00795F36">
      <w:pPr>
        <w:pStyle w:val="Heading1"/>
        <w:spacing w:before="300" w:after="200" w:line="360" w:lineRule="auto"/>
        <w:rPr>
          <w:rFonts w:ascii="Arial" w:eastAsia="Calibri" w:hAnsi="Arial" w:cs="Arial"/>
          <w:color w:val="auto"/>
          <w:sz w:val="24"/>
          <w:szCs w:val="24"/>
        </w:rPr>
      </w:pPr>
      <w:r w:rsidRPr="00795F36">
        <w:rPr>
          <w:rFonts w:ascii="Arial" w:eastAsia="Calibri" w:hAnsi="Arial" w:cs="Arial"/>
          <w:color w:val="auto"/>
          <w:sz w:val="24"/>
          <w:szCs w:val="24"/>
        </w:rPr>
        <w:t>LCBB6006</w:t>
      </w:r>
    </w:p>
    <w:p w14:paraId="72F22A20" w14:textId="0C1E576D" w:rsidR="00DC2BFD" w:rsidRPr="00795F36" w:rsidRDefault="00DC2BFD" w:rsidP="00795F36">
      <w:pPr>
        <w:pStyle w:val="Heading1"/>
        <w:spacing w:before="300" w:after="200" w:line="360" w:lineRule="auto"/>
        <w:rPr>
          <w:rFonts w:ascii="Arial" w:eastAsia="Calibri" w:hAnsi="Arial" w:cs="Arial"/>
          <w:color w:val="auto"/>
          <w:sz w:val="24"/>
          <w:szCs w:val="24"/>
        </w:rPr>
      </w:pPr>
      <w:r w:rsidRPr="00795F36">
        <w:rPr>
          <w:rFonts w:ascii="Arial" w:eastAsia="Calibri" w:hAnsi="Arial" w:cs="Arial"/>
          <w:color w:val="auto"/>
          <w:sz w:val="24"/>
          <w:szCs w:val="24"/>
        </w:rPr>
        <w:t xml:space="preserve">Component </w:t>
      </w:r>
      <w:r w:rsidRPr="00795F36">
        <w:rPr>
          <w:rFonts w:ascii="Arial" w:eastAsia="Calibri" w:hAnsi="Arial" w:cs="Arial"/>
          <w:color w:val="auto"/>
          <w:sz w:val="24"/>
          <w:szCs w:val="24"/>
        </w:rPr>
        <w:t>2</w:t>
      </w:r>
      <w:r w:rsidRPr="00795F36">
        <w:rPr>
          <w:rFonts w:ascii="Arial" w:eastAsia="Calibri" w:hAnsi="Arial" w:cs="Arial"/>
          <w:color w:val="auto"/>
          <w:sz w:val="24"/>
          <w:szCs w:val="24"/>
        </w:rPr>
        <w:t>: Coursework:</w:t>
      </w:r>
      <w:r w:rsidRPr="00795F36">
        <w:rPr>
          <w:rFonts w:ascii="Arial" w:eastAsia="Calibri" w:hAnsi="Arial" w:cs="Arial"/>
          <w:b/>
          <w:bCs/>
          <w:color w:val="auto"/>
          <w:sz w:val="24"/>
          <w:szCs w:val="24"/>
        </w:rPr>
        <w:t xml:space="preserve"> </w:t>
      </w:r>
      <w:r w:rsidRPr="00795F36">
        <w:rPr>
          <w:rFonts w:ascii="Arial" w:eastAsia="Calibri" w:hAnsi="Arial" w:cs="Arial"/>
          <w:color w:val="auto"/>
          <w:sz w:val="24"/>
          <w:szCs w:val="24"/>
        </w:rPr>
        <w:t>Essay</w:t>
      </w:r>
    </w:p>
    <w:p w14:paraId="4F46FE8B" w14:textId="77777777" w:rsidR="00DC2BFD" w:rsidRPr="00795F36" w:rsidRDefault="00DC2BFD" w:rsidP="00795F36">
      <w:pPr>
        <w:pStyle w:val="Heading1"/>
        <w:spacing w:before="300" w:after="200" w:line="360" w:lineRule="auto"/>
        <w:rPr>
          <w:rFonts w:ascii="Arial" w:eastAsia="Calibri" w:hAnsi="Arial" w:cs="Arial"/>
          <w:color w:val="auto"/>
          <w:sz w:val="24"/>
          <w:szCs w:val="24"/>
        </w:rPr>
      </w:pPr>
      <w:r w:rsidRPr="00795F36">
        <w:rPr>
          <w:rFonts w:ascii="Arial" w:eastAsia="Calibri" w:hAnsi="Arial" w:cs="Arial"/>
          <w:color w:val="auto"/>
          <w:sz w:val="24"/>
          <w:szCs w:val="24"/>
        </w:rPr>
        <w:t xml:space="preserve">Lecturer: Dr. </w:t>
      </w:r>
      <w:proofErr w:type="spellStart"/>
      <w:r w:rsidRPr="00795F36">
        <w:rPr>
          <w:rFonts w:ascii="Arial" w:eastAsia="Calibri" w:hAnsi="Arial" w:cs="Arial"/>
          <w:color w:val="auto"/>
          <w:sz w:val="24"/>
          <w:szCs w:val="24"/>
        </w:rPr>
        <w:t>Shujun</w:t>
      </w:r>
      <w:proofErr w:type="spellEnd"/>
      <w:r w:rsidRPr="00795F36">
        <w:rPr>
          <w:rFonts w:ascii="Arial" w:eastAsia="Calibri" w:hAnsi="Arial" w:cs="Arial"/>
          <w:color w:val="auto"/>
          <w:sz w:val="24"/>
          <w:szCs w:val="24"/>
        </w:rPr>
        <w:t xml:space="preserve"> Xiao</w:t>
      </w:r>
    </w:p>
    <w:p w14:paraId="719FEA24" w14:textId="77777777" w:rsidR="00DC2BFD" w:rsidRPr="00795F36" w:rsidRDefault="00DC2BFD" w:rsidP="00795F36">
      <w:pPr>
        <w:pStyle w:val="Heading1"/>
        <w:spacing w:before="300" w:after="200" w:line="360" w:lineRule="auto"/>
        <w:rPr>
          <w:rFonts w:ascii="Arial" w:eastAsia="Calibri" w:hAnsi="Arial" w:cs="Arial"/>
          <w:color w:val="auto"/>
          <w:sz w:val="24"/>
          <w:szCs w:val="24"/>
        </w:rPr>
      </w:pPr>
      <w:r w:rsidRPr="00795F36">
        <w:rPr>
          <w:rFonts w:ascii="Arial" w:eastAsia="Calibri" w:hAnsi="Arial" w:cs="Arial"/>
          <w:color w:val="auto"/>
          <w:sz w:val="24"/>
          <w:szCs w:val="24"/>
        </w:rPr>
        <w:t>Student: Catalin Alexandru Artenie</w:t>
      </w:r>
    </w:p>
    <w:p w14:paraId="1EE66A81" w14:textId="77777777" w:rsidR="00DC2BFD" w:rsidRPr="00795F36" w:rsidRDefault="00DC2BFD" w:rsidP="00795F36">
      <w:pPr>
        <w:pStyle w:val="Heading1"/>
        <w:spacing w:before="300" w:after="200" w:line="360" w:lineRule="auto"/>
        <w:rPr>
          <w:rFonts w:ascii="Arial" w:eastAsia="Calibri" w:hAnsi="Arial" w:cs="Arial"/>
          <w:color w:val="auto"/>
          <w:sz w:val="24"/>
          <w:szCs w:val="24"/>
        </w:rPr>
      </w:pPr>
      <w:r w:rsidRPr="00795F36">
        <w:rPr>
          <w:rFonts w:ascii="Arial" w:eastAsia="Calibri" w:hAnsi="Arial" w:cs="Arial"/>
          <w:color w:val="auto"/>
          <w:sz w:val="24"/>
          <w:szCs w:val="24"/>
        </w:rPr>
        <w:t>2240460</w:t>
      </w:r>
    </w:p>
    <w:p w14:paraId="26DE908D" w14:textId="3B736E13" w:rsidR="00795F36" w:rsidRPr="00795F36" w:rsidRDefault="00795F36" w:rsidP="00795F36">
      <w:pPr>
        <w:spacing w:line="360" w:lineRule="auto"/>
        <w:rPr>
          <w:rFonts w:ascii="Arial" w:eastAsia="Calibri" w:hAnsi="Arial" w:cs="Arial"/>
          <w:sz w:val="24"/>
          <w:szCs w:val="24"/>
        </w:rPr>
      </w:pPr>
      <w:r w:rsidRPr="00795F36">
        <w:rPr>
          <w:rFonts w:ascii="Arial" w:eastAsia="Calibri" w:hAnsi="Arial" w:cs="Arial"/>
          <w:sz w:val="24"/>
          <w:szCs w:val="24"/>
        </w:rPr>
        <w:br w:type="page"/>
      </w:r>
    </w:p>
    <w:p w14:paraId="565296FB" w14:textId="4314126E" w:rsidR="00795F36" w:rsidRPr="00795F36" w:rsidRDefault="00795F36" w:rsidP="00795F36">
      <w:pPr>
        <w:spacing w:line="360" w:lineRule="auto"/>
        <w:rPr>
          <w:rFonts w:ascii="Arial" w:eastAsia="Calibri" w:hAnsi="Arial" w:cs="Arial"/>
          <w:sz w:val="24"/>
          <w:szCs w:val="24"/>
        </w:rPr>
      </w:pPr>
      <w:r w:rsidRPr="00795F36">
        <w:rPr>
          <w:rFonts w:ascii="Arial" w:eastAsia="Calibri" w:hAnsi="Arial" w:cs="Arial"/>
          <w:sz w:val="24"/>
          <w:szCs w:val="24"/>
        </w:rPr>
        <w:lastRenderedPageBreak/>
        <w:t>Table of Contents</w:t>
      </w:r>
    </w:p>
    <w:p w14:paraId="42126C07" w14:textId="77777777" w:rsidR="00795F36" w:rsidRPr="00795F36" w:rsidRDefault="00795F36" w:rsidP="00795F36">
      <w:pPr>
        <w:spacing w:line="360" w:lineRule="auto"/>
        <w:rPr>
          <w:rFonts w:ascii="Arial" w:eastAsia="Calibri" w:hAnsi="Arial" w:cs="Arial"/>
          <w:sz w:val="24"/>
          <w:szCs w:val="24"/>
        </w:rPr>
      </w:pPr>
    </w:p>
    <w:bookmarkStart w:id="1" w:name="_Toc234270939"/>
    <w:bookmarkEnd w:id="0"/>
    <w:p w14:paraId="365C4137" w14:textId="18D7831A" w:rsidR="00795F36" w:rsidRPr="00795F36" w:rsidRDefault="00795F36" w:rsidP="00795F36">
      <w:pPr>
        <w:pStyle w:val="TOC1"/>
        <w:tabs>
          <w:tab w:val="right" w:leader="dot" w:pos="9016"/>
        </w:tabs>
        <w:spacing w:line="360" w:lineRule="auto"/>
        <w:rPr>
          <w:rFonts w:ascii="Arial" w:hAnsi="Arial" w:cs="Arial"/>
          <w:sz w:val="24"/>
          <w:szCs w:val="24"/>
        </w:rPr>
      </w:pPr>
      <w:r w:rsidRPr="00795F36">
        <w:rPr>
          <w:rFonts w:ascii="Arial" w:hAnsi="Arial" w:cs="Arial"/>
          <w:sz w:val="24"/>
          <w:szCs w:val="24"/>
        </w:rPr>
        <w:fldChar w:fldCharType="begin"/>
      </w:r>
      <w:r w:rsidRPr="00795F36">
        <w:rPr>
          <w:rFonts w:ascii="Arial" w:hAnsi="Arial" w:cs="Arial"/>
          <w:sz w:val="24"/>
          <w:szCs w:val="24"/>
        </w:rPr>
        <w:instrText>HYPERLINK \l "_Toc234270939"</w:instrText>
      </w:r>
      <w:r w:rsidRPr="00795F36">
        <w:rPr>
          <w:rFonts w:ascii="Arial" w:hAnsi="Arial" w:cs="Arial"/>
          <w:sz w:val="24"/>
          <w:szCs w:val="24"/>
        </w:rPr>
      </w:r>
      <w:r w:rsidRPr="00795F36">
        <w:rPr>
          <w:rFonts w:ascii="Arial" w:hAnsi="Arial" w:cs="Arial"/>
          <w:sz w:val="24"/>
          <w:szCs w:val="24"/>
        </w:rPr>
        <w:fldChar w:fldCharType="separate"/>
      </w:r>
      <w:r w:rsidRPr="00795F36">
        <w:rPr>
          <w:rStyle w:val="Hyperlink"/>
          <w:rFonts w:ascii="Arial" w:eastAsia="Calibri" w:hAnsi="Arial" w:cs="Arial"/>
          <w:noProof/>
          <w:color w:val="auto"/>
          <w:sz w:val="24"/>
          <w:szCs w:val="24"/>
        </w:rPr>
        <w:t>1. Introduction</w:t>
      </w:r>
      <w:r>
        <w:rPr>
          <w:rFonts w:ascii="Arial" w:hAnsi="Arial" w:cs="Arial"/>
          <w:noProof/>
          <w:sz w:val="24"/>
          <w:szCs w:val="24"/>
        </w:rPr>
        <w:t xml:space="preserve"> </w:t>
      </w:r>
      <w:r w:rsidRPr="00795F36">
        <w:rPr>
          <w:rFonts w:ascii="Arial" w:hAnsi="Arial" w:cs="Arial"/>
          <w:noProof/>
          <w:sz w:val="24"/>
          <w:szCs w:val="24"/>
        </w:rPr>
        <w:t>…………………………….</w:t>
      </w:r>
      <w:r w:rsidRPr="00795F36">
        <w:rPr>
          <w:rFonts w:ascii="Arial" w:hAnsi="Arial" w:cs="Arial"/>
          <w:sz w:val="24"/>
          <w:szCs w:val="24"/>
        </w:rPr>
        <w:fldChar w:fldCharType="end"/>
      </w:r>
      <w:r w:rsidRPr="00795F36">
        <w:rPr>
          <w:rFonts w:ascii="Arial" w:hAnsi="Arial" w:cs="Arial"/>
          <w:sz w:val="24"/>
          <w:szCs w:val="24"/>
        </w:rPr>
        <w:t>.......................................................</w:t>
      </w:r>
      <w:r>
        <w:rPr>
          <w:rFonts w:ascii="Arial" w:hAnsi="Arial" w:cs="Arial"/>
          <w:sz w:val="24"/>
          <w:szCs w:val="24"/>
        </w:rPr>
        <w:t>.............3</w:t>
      </w:r>
    </w:p>
    <w:p w14:paraId="0C3EA7B6" w14:textId="4A4E19EF" w:rsidR="00795F36" w:rsidRPr="00795F36" w:rsidRDefault="00795F36" w:rsidP="00795F36">
      <w:pPr>
        <w:pStyle w:val="TOC1"/>
        <w:tabs>
          <w:tab w:val="right" w:leader="dot" w:pos="9016"/>
        </w:tabs>
        <w:spacing w:line="360" w:lineRule="auto"/>
        <w:rPr>
          <w:rFonts w:ascii="Arial" w:hAnsi="Arial" w:cs="Arial"/>
          <w:noProof/>
          <w:sz w:val="24"/>
          <w:szCs w:val="24"/>
        </w:rPr>
      </w:pPr>
      <w:hyperlink w:anchor="_Toc234270940" w:history="1">
        <w:r w:rsidRPr="00795F36">
          <w:rPr>
            <w:rStyle w:val="Hyperlink"/>
            <w:rFonts w:ascii="Arial" w:eastAsia="Calibri" w:hAnsi="Arial" w:cs="Arial"/>
            <w:noProof/>
            <w:color w:val="auto"/>
            <w:sz w:val="24"/>
            <w:szCs w:val="24"/>
          </w:rPr>
          <w:t>2. Turnkey Contracting</w:t>
        </w:r>
        <w:r w:rsidRPr="00795F36">
          <w:rPr>
            <w:rFonts w:ascii="Arial" w:hAnsi="Arial" w:cs="Arial"/>
            <w:noProof/>
            <w:sz w:val="24"/>
            <w:szCs w:val="24"/>
          </w:rPr>
          <w:tab/>
        </w:r>
      </w:hyperlink>
      <w:r w:rsidRPr="00795F36">
        <w:rPr>
          <w:rFonts w:ascii="Arial" w:hAnsi="Arial" w:cs="Arial"/>
          <w:sz w:val="24"/>
          <w:szCs w:val="24"/>
        </w:rPr>
        <w:t>3</w:t>
      </w:r>
    </w:p>
    <w:p w14:paraId="5AB4A497" w14:textId="08F92543" w:rsidR="00795F36" w:rsidRPr="00795F36" w:rsidRDefault="00795F36" w:rsidP="00795F36">
      <w:pPr>
        <w:pStyle w:val="TOC2"/>
        <w:tabs>
          <w:tab w:val="right" w:leader="dot" w:pos="9016"/>
        </w:tabs>
        <w:spacing w:line="360" w:lineRule="auto"/>
        <w:rPr>
          <w:rFonts w:ascii="Arial" w:hAnsi="Arial" w:cs="Arial"/>
          <w:noProof/>
          <w:sz w:val="24"/>
          <w:szCs w:val="24"/>
        </w:rPr>
      </w:pPr>
      <w:hyperlink w:anchor="_Toc234270941" w:history="1">
        <w:r w:rsidRPr="00795F36">
          <w:rPr>
            <w:rStyle w:val="Hyperlink"/>
            <w:rFonts w:ascii="Arial" w:eastAsia="Calibri" w:hAnsi="Arial" w:cs="Arial"/>
            <w:noProof/>
            <w:color w:val="auto"/>
            <w:sz w:val="24"/>
            <w:szCs w:val="24"/>
          </w:rPr>
          <w:t>Definition</w:t>
        </w:r>
        <w:r w:rsidRPr="00795F36">
          <w:rPr>
            <w:rFonts w:ascii="Arial" w:hAnsi="Arial" w:cs="Arial"/>
            <w:sz w:val="24"/>
            <w:szCs w:val="24"/>
          </w:rPr>
          <w:t xml:space="preserve"> </w:t>
        </w:r>
        <w:r w:rsidRPr="00795F36">
          <w:rPr>
            <w:rStyle w:val="Hyperlink"/>
            <w:rFonts w:ascii="Arial" w:eastAsia="Calibri" w:hAnsi="Arial" w:cs="Arial"/>
            <w:noProof/>
            <w:color w:val="auto"/>
            <w:sz w:val="24"/>
            <w:szCs w:val="24"/>
          </w:rPr>
          <w:t>Component 2: Coursework:  Essay</w:t>
        </w:r>
        <w:r w:rsidRPr="00795F36">
          <w:rPr>
            <w:rFonts w:ascii="Arial" w:hAnsi="Arial" w:cs="Arial"/>
            <w:noProof/>
            <w:sz w:val="24"/>
            <w:szCs w:val="24"/>
          </w:rPr>
          <w:tab/>
        </w:r>
      </w:hyperlink>
      <w:r w:rsidRPr="00795F36">
        <w:rPr>
          <w:rFonts w:ascii="Arial" w:hAnsi="Arial" w:cs="Arial"/>
          <w:sz w:val="24"/>
          <w:szCs w:val="24"/>
        </w:rPr>
        <w:t>3</w:t>
      </w:r>
    </w:p>
    <w:p w14:paraId="5F1B2CE4" w14:textId="6B4EC3DE" w:rsidR="00795F36" w:rsidRPr="00795F36" w:rsidRDefault="00795F36" w:rsidP="00795F36">
      <w:pPr>
        <w:pStyle w:val="TOC2"/>
        <w:tabs>
          <w:tab w:val="right" w:leader="dot" w:pos="9016"/>
        </w:tabs>
        <w:spacing w:line="360" w:lineRule="auto"/>
        <w:rPr>
          <w:rFonts w:ascii="Arial" w:hAnsi="Arial" w:cs="Arial"/>
          <w:noProof/>
          <w:sz w:val="24"/>
          <w:szCs w:val="24"/>
        </w:rPr>
      </w:pPr>
      <w:hyperlink w:anchor="_Toc234270942" w:history="1">
        <w:r w:rsidRPr="00795F36">
          <w:rPr>
            <w:rStyle w:val="Hyperlink"/>
            <w:rFonts w:ascii="Arial" w:eastAsia="Calibri" w:hAnsi="Arial" w:cs="Arial"/>
            <w:noProof/>
            <w:color w:val="auto"/>
            <w:sz w:val="24"/>
            <w:szCs w:val="24"/>
          </w:rPr>
          <w:t>Advantages</w:t>
        </w:r>
        <w:r w:rsidRPr="00795F36">
          <w:rPr>
            <w:rFonts w:ascii="Arial" w:hAnsi="Arial" w:cs="Arial"/>
            <w:sz w:val="24"/>
            <w:szCs w:val="24"/>
          </w:rPr>
          <w:t xml:space="preserve"> </w:t>
        </w:r>
        <w:r w:rsidRPr="00795F36">
          <w:rPr>
            <w:rStyle w:val="Hyperlink"/>
            <w:rFonts w:ascii="Arial" w:eastAsia="Calibri" w:hAnsi="Arial" w:cs="Arial"/>
            <w:noProof/>
            <w:color w:val="auto"/>
            <w:sz w:val="24"/>
            <w:szCs w:val="24"/>
          </w:rPr>
          <w:t>Component 2: Coursework:  Essay</w:t>
        </w:r>
        <w:r w:rsidRPr="00795F36">
          <w:rPr>
            <w:rFonts w:ascii="Arial" w:hAnsi="Arial" w:cs="Arial"/>
            <w:noProof/>
            <w:sz w:val="24"/>
            <w:szCs w:val="24"/>
          </w:rPr>
          <w:tab/>
        </w:r>
      </w:hyperlink>
      <w:r w:rsidRPr="00795F36">
        <w:rPr>
          <w:rFonts w:ascii="Arial" w:hAnsi="Arial" w:cs="Arial"/>
          <w:sz w:val="24"/>
          <w:szCs w:val="24"/>
        </w:rPr>
        <w:t>4</w:t>
      </w:r>
    </w:p>
    <w:p w14:paraId="30960038" w14:textId="3C8C0FD3" w:rsidR="00795F36" w:rsidRPr="00795F36" w:rsidRDefault="00795F36" w:rsidP="00795F36">
      <w:pPr>
        <w:pStyle w:val="TOC2"/>
        <w:tabs>
          <w:tab w:val="right" w:leader="dot" w:pos="9016"/>
        </w:tabs>
        <w:spacing w:line="360" w:lineRule="auto"/>
        <w:rPr>
          <w:rFonts w:ascii="Arial" w:hAnsi="Arial" w:cs="Arial"/>
          <w:noProof/>
          <w:sz w:val="24"/>
          <w:szCs w:val="24"/>
        </w:rPr>
      </w:pPr>
      <w:hyperlink w:anchor="_Toc234270943" w:history="1">
        <w:r w:rsidRPr="00795F36">
          <w:rPr>
            <w:rStyle w:val="Hyperlink"/>
            <w:rFonts w:ascii="Arial" w:eastAsia="Calibri" w:hAnsi="Arial" w:cs="Arial"/>
            <w:noProof/>
            <w:color w:val="auto"/>
            <w:sz w:val="24"/>
            <w:szCs w:val="24"/>
          </w:rPr>
          <w:t>Disadvantages</w:t>
        </w:r>
        <w:r w:rsidRPr="00795F36">
          <w:rPr>
            <w:rFonts w:ascii="Arial" w:hAnsi="Arial" w:cs="Arial"/>
            <w:noProof/>
            <w:sz w:val="24"/>
            <w:szCs w:val="24"/>
          </w:rPr>
          <w:tab/>
        </w:r>
        <w:r w:rsidRPr="00795F36">
          <w:rPr>
            <w:rFonts w:ascii="Arial" w:hAnsi="Arial" w:cs="Arial"/>
            <w:noProof/>
            <w:sz w:val="24"/>
            <w:szCs w:val="24"/>
          </w:rPr>
          <w:t>4</w:t>
        </w:r>
      </w:hyperlink>
    </w:p>
    <w:p w14:paraId="05933293" w14:textId="32A41AAB" w:rsidR="00795F36" w:rsidRPr="00795F36" w:rsidRDefault="00795F36" w:rsidP="00795F36">
      <w:pPr>
        <w:pStyle w:val="TOC2"/>
        <w:tabs>
          <w:tab w:val="right" w:leader="dot" w:pos="9016"/>
        </w:tabs>
        <w:spacing w:line="360" w:lineRule="auto"/>
        <w:rPr>
          <w:rFonts w:ascii="Arial" w:hAnsi="Arial" w:cs="Arial"/>
          <w:noProof/>
          <w:sz w:val="24"/>
          <w:szCs w:val="24"/>
        </w:rPr>
      </w:pPr>
      <w:hyperlink w:anchor="_Toc234270944" w:history="1">
        <w:r w:rsidRPr="00795F36">
          <w:rPr>
            <w:rStyle w:val="Hyperlink"/>
            <w:rFonts w:ascii="Arial" w:eastAsia="Calibri" w:hAnsi="Arial" w:cs="Arial"/>
            <w:noProof/>
            <w:color w:val="auto"/>
            <w:sz w:val="24"/>
            <w:szCs w:val="24"/>
          </w:rPr>
          <w:t>Suitable projects</w:t>
        </w:r>
        <w:r w:rsidRPr="00795F36">
          <w:rPr>
            <w:rFonts w:ascii="Arial" w:hAnsi="Arial" w:cs="Arial"/>
            <w:noProof/>
            <w:sz w:val="24"/>
            <w:szCs w:val="24"/>
          </w:rPr>
          <w:tab/>
        </w:r>
      </w:hyperlink>
      <w:r w:rsidRPr="00795F36">
        <w:rPr>
          <w:rFonts w:ascii="Arial" w:hAnsi="Arial" w:cs="Arial"/>
          <w:sz w:val="24"/>
          <w:szCs w:val="24"/>
        </w:rPr>
        <w:t>4</w:t>
      </w:r>
    </w:p>
    <w:p w14:paraId="7B07D6CA" w14:textId="69B8595B" w:rsidR="00795F36" w:rsidRPr="00795F36" w:rsidRDefault="00795F36" w:rsidP="00795F36">
      <w:pPr>
        <w:pStyle w:val="TOC1"/>
        <w:tabs>
          <w:tab w:val="right" w:leader="dot" w:pos="9016"/>
        </w:tabs>
        <w:spacing w:line="360" w:lineRule="auto"/>
        <w:rPr>
          <w:rFonts w:ascii="Arial" w:hAnsi="Arial" w:cs="Arial"/>
          <w:noProof/>
          <w:sz w:val="24"/>
          <w:szCs w:val="24"/>
        </w:rPr>
      </w:pPr>
      <w:hyperlink w:anchor="_Toc234270945" w:history="1">
        <w:r w:rsidRPr="00795F36">
          <w:rPr>
            <w:rStyle w:val="Hyperlink"/>
            <w:rFonts w:ascii="Arial" w:eastAsia="Calibri" w:hAnsi="Arial" w:cs="Arial"/>
            <w:noProof/>
            <w:color w:val="auto"/>
            <w:sz w:val="24"/>
            <w:szCs w:val="24"/>
          </w:rPr>
          <w:t>3. Multi-Contract Method</w:t>
        </w:r>
        <w:r w:rsidRPr="00795F36">
          <w:rPr>
            <w:rFonts w:ascii="Arial" w:hAnsi="Arial" w:cs="Arial"/>
            <w:noProof/>
            <w:sz w:val="24"/>
            <w:szCs w:val="24"/>
          </w:rPr>
          <w:tab/>
        </w:r>
      </w:hyperlink>
      <w:r w:rsidRPr="00795F36">
        <w:rPr>
          <w:rFonts w:ascii="Arial" w:hAnsi="Arial" w:cs="Arial"/>
          <w:sz w:val="24"/>
          <w:szCs w:val="24"/>
        </w:rPr>
        <w:t>4</w:t>
      </w:r>
    </w:p>
    <w:p w14:paraId="76C7F5B8" w14:textId="65D148E7" w:rsidR="00795F36" w:rsidRPr="00795F36" w:rsidRDefault="00795F36" w:rsidP="00795F36">
      <w:pPr>
        <w:pStyle w:val="TOC2"/>
        <w:tabs>
          <w:tab w:val="right" w:leader="dot" w:pos="9016"/>
        </w:tabs>
        <w:spacing w:line="360" w:lineRule="auto"/>
        <w:rPr>
          <w:rFonts w:ascii="Arial" w:hAnsi="Arial" w:cs="Arial"/>
          <w:noProof/>
          <w:sz w:val="24"/>
          <w:szCs w:val="24"/>
        </w:rPr>
      </w:pPr>
      <w:hyperlink w:anchor="_Toc234270946" w:history="1">
        <w:r w:rsidRPr="00795F36">
          <w:rPr>
            <w:rStyle w:val="Hyperlink"/>
            <w:rFonts w:ascii="Arial" w:eastAsia="Calibri" w:hAnsi="Arial" w:cs="Arial"/>
            <w:noProof/>
            <w:color w:val="auto"/>
            <w:sz w:val="24"/>
            <w:szCs w:val="24"/>
          </w:rPr>
          <w:t>Definition</w:t>
        </w:r>
        <w:r w:rsidRPr="00795F36">
          <w:rPr>
            <w:rFonts w:ascii="Arial" w:hAnsi="Arial" w:cs="Arial"/>
            <w:noProof/>
            <w:sz w:val="24"/>
            <w:szCs w:val="24"/>
          </w:rPr>
          <w:tab/>
        </w:r>
        <w:r w:rsidRPr="00795F36">
          <w:rPr>
            <w:rFonts w:ascii="Arial" w:hAnsi="Arial" w:cs="Arial"/>
            <w:noProof/>
            <w:sz w:val="24"/>
            <w:szCs w:val="24"/>
          </w:rPr>
          <w:t>4</w:t>
        </w:r>
      </w:hyperlink>
    </w:p>
    <w:p w14:paraId="702A9B3D" w14:textId="37DB49FA" w:rsidR="00795F36" w:rsidRPr="00795F36" w:rsidRDefault="00795F36" w:rsidP="00795F36">
      <w:pPr>
        <w:pStyle w:val="TOC2"/>
        <w:tabs>
          <w:tab w:val="right" w:leader="dot" w:pos="9016"/>
        </w:tabs>
        <w:spacing w:line="360" w:lineRule="auto"/>
        <w:rPr>
          <w:rFonts w:ascii="Arial" w:hAnsi="Arial" w:cs="Arial"/>
          <w:noProof/>
          <w:sz w:val="24"/>
          <w:szCs w:val="24"/>
        </w:rPr>
      </w:pPr>
      <w:hyperlink w:anchor="_Toc234270947" w:history="1">
        <w:r w:rsidRPr="00795F36">
          <w:rPr>
            <w:rStyle w:val="Hyperlink"/>
            <w:rFonts w:ascii="Arial" w:eastAsia="Calibri" w:hAnsi="Arial" w:cs="Arial"/>
            <w:noProof/>
            <w:color w:val="auto"/>
            <w:sz w:val="24"/>
            <w:szCs w:val="24"/>
          </w:rPr>
          <w:t>Advantages</w:t>
        </w:r>
        <w:r w:rsidRPr="00795F36">
          <w:rPr>
            <w:rFonts w:ascii="Arial" w:hAnsi="Arial" w:cs="Arial"/>
            <w:noProof/>
            <w:sz w:val="24"/>
            <w:szCs w:val="24"/>
          </w:rPr>
          <w:tab/>
        </w:r>
      </w:hyperlink>
      <w:r w:rsidRPr="00795F36">
        <w:rPr>
          <w:rFonts w:ascii="Arial" w:hAnsi="Arial" w:cs="Arial"/>
          <w:sz w:val="24"/>
          <w:szCs w:val="24"/>
        </w:rPr>
        <w:t>5</w:t>
      </w:r>
    </w:p>
    <w:p w14:paraId="2D9255B1" w14:textId="2C641A4D" w:rsidR="00795F36" w:rsidRPr="00795F36" w:rsidRDefault="00795F36" w:rsidP="00795F36">
      <w:pPr>
        <w:pStyle w:val="TOC2"/>
        <w:tabs>
          <w:tab w:val="right" w:leader="dot" w:pos="9016"/>
        </w:tabs>
        <w:spacing w:line="360" w:lineRule="auto"/>
        <w:rPr>
          <w:rFonts w:ascii="Arial" w:hAnsi="Arial" w:cs="Arial"/>
          <w:noProof/>
          <w:sz w:val="24"/>
          <w:szCs w:val="24"/>
        </w:rPr>
      </w:pPr>
      <w:hyperlink w:anchor="_Toc234270948" w:history="1">
        <w:r w:rsidRPr="00795F36">
          <w:rPr>
            <w:rStyle w:val="Hyperlink"/>
            <w:rFonts w:ascii="Arial" w:eastAsia="Calibri" w:hAnsi="Arial" w:cs="Arial"/>
            <w:noProof/>
            <w:color w:val="auto"/>
            <w:sz w:val="24"/>
            <w:szCs w:val="24"/>
          </w:rPr>
          <w:t>Disadvantages</w:t>
        </w:r>
        <w:r w:rsidRPr="00795F36">
          <w:rPr>
            <w:rFonts w:ascii="Arial" w:hAnsi="Arial" w:cs="Arial"/>
            <w:noProof/>
            <w:sz w:val="24"/>
            <w:szCs w:val="24"/>
          </w:rPr>
          <w:tab/>
        </w:r>
      </w:hyperlink>
      <w:r w:rsidRPr="00795F36">
        <w:rPr>
          <w:rFonts w:ascii="Arial" w:hAnsi="Arial" w:cs="Arial"/>
          <w:sz w:val="24"/>
          <w:szCs w:val="24"/>
        </w:rPr>
        <w:t>5</w:t>
      </w:r>
    </w:p>
    <w:p w14:paraId="61EE3BBE" w14:textId="3500D239" w:rsidR="00795F36" w:rsidRPr="00795F36" w:rsidRDefault="00795F36" w:rsidP="00795F36">
      <w:pPr>
        <w:pStyle w:val="TOC2"/>
        <w:tabs>
          <w:tab w:val="right" w:leader="dot" w:pos="9016"/>
        </w:tabs>
        <w:spacing w:line="360" w:lineRule="auto"/>
        <w:rPr>
          <w:rFonts w:ascii="Arial" w:hAnsi="Arial" w:cs="Arial"/>
          <w:noProof/>
          <w:sz w:val="24"/>
          <w:szCs w:val="24"/>
        </w:rPr>
      </w:pPr>
      <w:hyperlink w:anchor="_Toc234270949" w:history="1">
        <w:r w:rsidRPr="00795F36">
          <w:rPr>
            <w:rStyle w:val="Hyperlink"/>
            <w:rFonts w:ascii="Arial" w:eastAsia="Calibri" w:hAnsi="Arial" w:cs="Arial"/>
            <w:noProof/>
            <w:color w:val="auto"/>
            <w:sz w:val="24"/>
            <w:szCs w:val="24"/>
          </w:rPr>
          <w:t>Suitable projects</w:t>
        </w:r>
        <w:r w:rsidRPr="00795F36">
          <w:rPr>
            <w:rFonts w:ascii="Arial" w:hAnsi="Arial" w:cs="Arial"/>
            <w:noProof/>
            <w:sz w:val="24"/>
            <w:szCs w:val="24"/>
          </w:rPr>
          <w:tab/>
        </w:r>
      </w:hyperlink>
      <w:r w:rsidRPr="00795F36">
        <w:rPr>
          <w:rFonts w:ascii="Arial" w:hAnsi="Arial" w:cs="Arial"/>
          <w:sz w:val="24"/>
          <w:szCs w:val="24"/>
        </w:rPr>
        <w:t>5</w:t>
      </w:r>
    </w:p>
    <w:p w14:paraId="6A0B7E02" w14:textId="274509F6" w:rsidR="00795F36" w:rsidRPr="00795F36" w:rsidRDefault="00795F36" w:rsidP="00795F36">
      <w:pPr>
        <w:pStyle w:val="TOC1"/>
        <w:tabs>
          <w:tab w:val="right" w:leader="dot" w:pos="9016"/>
        </w:tabs>
        <w:spacing w:line="360" w:lineRule="auto"/>
        <w:rPr>
          <w:rFonts w:ascii="Arial" w:hAnsi="Arial" w:cs="Arial"/>
          <w:noProof/>
          <w:sz w:val="24"/>
          <w:szCs w:val="24"/>
        </w:rPr>
      </w:pPr>
      <w:hyperlink w:anchor="_Toc234270950" w:history="1">
        <w:r w:rsidRPr="00795F36">
          <w:rPr>
            <w:rStyle w:val="Hyperlink"/>
            <w:rFonts w:ascii="Arial" w:eastAsia="Calibri" w:hAnsi="Arial" w:cs="Arial"/>
            <w:noProof/>
            <w:color w:val="auto"/>
            <w:sz w:val="24"/>
            <w:szCs w:val="24"/>
          </w:rPr>
          <w:t>4. Do-It-Yourself (DIY) Contracting</w:t>
        </w:r>
        <w:r w:rsidRPr="00795F36">
          <w:rPr>
            <w:rFonts w:ascii="Arial" w:hAnsi="Arial" w:cs="Arial"/>
            <w:noProof/>
            <w:sz w:val="24"/>
            <w:szCs w:val="24"/>
          </w:rPr>
          <w:tab/>
        </w:r>
        <w:r w:rsidRPr="00795F36">
          <w:rPr>
            <w:rFonts w:ascii="Arial" w:hAnsi="Arial" w:cs="Arial"/>
            <w:noProof/>
            <w:sz w:val="24"/>
            <w:szCs w:val="24"/>
          </w:rPr>
          <w:t>6</w:t>
        </w:r>
      </w:hyperlink>
    </w:p>
    <w:p w14:paraId="55EE12B4" w14:textId="5B9B4ED0" w:rsidR="00795F36" w:rsidRPr="00795F36" w:rsidRDefault="00795F36" w:rsidP="00795F36">
      <w:pPr>
        <w:pStyle w:val="TOC2"/>
        <w:tabs>
          <w:tab w:val="right" w:leader="dot" w:pos="9016"/>
        </w:tabs>
        <w:spacing w:line="360" w:lineRule="auto"/>
        <w:rPr>
          <w:rFonts w:ascii="Arial" w:hAnsi="Arial" w:cs="Arial"/>
          <w:noProof/>
          <w:sz w:val="24"/>
          <w:szCs w:val="24"/>
        </w:rPr>
      </w:pPr>
      <w:hyperlink w:anchor="_Toc234270952" w:history="1">
        <w:r w:rsidRPr="00795F36">
          <w:rPr>
            <w:rStyle w:val="Hyperlink"/>
            <w:rFonts w:ascii="Arial" w:eastAsia="Calibri" w:hAnsi="Arial" w:cs="Arial"/>
            <w:noProof/>
            <w:color w:val="auto"/>
            <w:sz w:val="24"/>
            <w:szCs w:val="24"/>
          </w:rPr>
          <w:t>Advantages</w:t>
        </w:r>
        <w:r w:rsidRPr="00795F36">
          <w:rPr>
            <w:rFonts w:ascii="Arial" w:hAnsi="Arial" w:cs="Arial"/>
            <w:noProof/>
            <w:sz w:val="24"/>
            <w:szCs w:val="24"/>
          </w:rPr>
          <w:tab/>
        </w:r>
        <w:r w:rsidRPr="00795F36">
          <w:rPr>
            <w:rFonts w:ascii="Arial" w:hAnsi="Arial" w:cs="Arial"/>
            <w:noProof/>
            <w:sz w:val="24"/>
            <w:szCs w:val="24"/>
          </w:rPr>
          <w:t>6</w:t>
        </w:r>
      </w:hyperlink>
    </w:p>
    <w:p w14:paraId="29506686" w14:textId="4AAECC78" w:rsidR="00795F36" w:rsidRPr="00795F36" w:rsidRDefault="00795F36" w:rsidP="00795F36">
      <w:pPr>
        <w:pStyle w:val="TOC2"/>
        <w:tabs>
          <w:tab w:val="right" w:leader="dot" w:pos="9016"/>
        </w:tabs>
        <w:spacing w:line="360" w:lineRule="auto"/>
        <w:rPr>
          <w:rFonts w:ascii="Arial" w:hAnsi="Arial" w:cs="Arial"/>
          <w:noProof/>
          <w:sz w:val="24"/>
          <w:szCs w:val="24"/>
        </w:rPr>
      </w:pPr>
      <w:hyperlink w:anchor="_Toc234270953" w:history="1">
        <w:r w:rsidRPr="00795F36">
          <w:rPr>
            <w:rStyle w:val="Hyperlink"/>
            <w:rFonts w:ascii="Arial" w:eastAsia="Calibri" w:hAnsi="Arial" w:cs="Arial"/>
            <w:noProof/>
            <w:color w:val="auto"/>
            <w:sz w:val="24"/>
            <w:szCs w:val="24"/>
          </w:rPr>
          <w:t>Disadvantages</w:t>
        </w:r>
        <w:r w:rsidRPr="00795F36">
          <w:rPr>
            <w:rFonts w:ascii="Arial" w:hAnsi="Arial" w:cs="Arial"/>
            <w:noProof/>
            <w:sz w:val="24"/>
            <w:szCs w:val="24"/>
          </w:rPr>
          <w:tab/>
        </w:r>
        <w:r w:rsidRPr="00795F36">
          <w:rPr>
            <w:rFonts w:ascii="Arial" w:hAnsi="Arial" w:cs="Arial"/>
            <w:noProof/>
            <w:sz w:val="24"/>
            <w:szCs w:val="24"/>
          </w:rPr>
          <w:t>6</w:t>
        </w:r>
      </w:hyperlink>
    </w:p>
    <w:p w14:paraId="0C79E213" w14:textId="6CB20207" w:rsidR="00795F36" w:rsidRPr="00795F36" w:rsidRDefault="00795F36" w:rsidP="00795F36">
      <w:pPr>
        <w:pStyle w:val="TOC2"/>
        <w:tabs>
          <w:tab w:val="right" w:leader="dot" w:pos="9016"/>
        </w:tabs>
        <w:spacing w:line="360" w:lineRule="auto"/>
        <w:rPr>
          <w:rFonts w:ascii="Arial" w:hAnsi="Arial" w:cs="Arial"/>
          <w:noProof/>
          <w:sz w:val="24"/>
          <w:szCs w:val="24"/>
        </w:rPr>
      </w:pPr>
      <w:hyperlink w:anchor="_Toc234270954" w:history="1">
        <w:r w:rsidRPr="00795F36">
          <w:rPr>
            <w:rStyle w:val="Hyperlink"/>
            <w:rFonts w:ascii="Arial" w:eastAsia="Calibri" w:hAnsi="Arial" w:cs="Arial"/>
            <w:noProof/>
            <w:color w:val="auto"/>
            <w:sz w:val="24"/>
            <w:szCs w:val="24"/>
          </w:rPr>
          <w:t>Suitable projects</w:t>
        </w:r>
        <w:r w:rsidRPr="00795F36">
          <w:rPr>
            <w:rFonts w:ascii="Arial" w:hAnsi="Arial" w:cs="Arial"/>
            <w:noProof/>
            <w:sz w:val="24"/>
            <w:szCs w:val="24"/>
          </w:rPr>
          <w:tab/>
        </w:r>
      </w:hyperlink>
      <w:r w:rsidRPr="00795F36">
        <w:rPr>
          <w:rFonts w:ascii="Arial" w:hAnsi="Arial" w:cs="Arial"/>
          <w:sz w:val="24"/>
          <w:szCs w:val="24"/>
        </w:rPr>
        <w:t>6</w:t>
      </w:r>
    </w:p>
    <w:p w14:paraId="3AE299A4" w14:textId="75AE444C" w:rsidR="00795F36" w:rsidRPr="00795F36" w:rsidRDefault="00795F36" w:rsidP="00795F36">
      <w:pPr>
        <w:pStyle w:val="TOC1"/>
        <w:tabs>
          <w:tab w:val="right" w:leader="dot" w:pos="9016"/>
        </w:tabs>
        <w:spacing w:line="360" w:lineRule="auto"/>
        <w:rPr>
          <w:rFonts w:ascii="Arial" w:hAnsi="Arial" w:cs="Arial"/>
          <w:noProof/>
          <w:sz w:val="24"/>
          <w:szCs w:val="24"/>
        </w:rPr>
      </w:pPr>
      <w:hyperlink w:anchor="_Toc234270955" w:history="1">
        <w:r w:rsidRPr="00795F36">
          <w:rPr>
            <w:rStyle w:val="Hyperlink"/>
            <w:rFonts w:ascii="Arial" w:eastAsia="Calibri" w:hAnsi="Arial" w:cs="Arial"/>
            <w:noProof/>
            <w:color w:val="auto"/>
            <w:sz w:val="24"/>
            <w:szCs w:val="24"/>
          </w:rPr>
          <w:t>5. Multi-Contract Plus DIY</w:t>
        </w:r>
        <w:r w:rsidRPr="00795F36">
          <w:rPr>
            <w:rFonts w:ascii="Arial" w:hAnsi="Arial" w:cs="Arial"/>
            <w:noProof/>
            <w:sz w:val="24"/>
            <w:szCs w:val="24"/>
          </w:rPr>
          <w:tab/>
        </w:r>
        <w:r w:rsidRPr="00795F36">
          <w:rPr>
            <w:rFonts w:ascii="Arial" w:hAnsi="Arial" w:cs="Arial"/>
            <w:noProof/>
            <w:sz w:val="24"/>
            <w:szCs w:val="24"/>
          </w:rPr>
          <w:t>7</w:t>
        </w:r>
      </w:hyperlink>
    </w:p>
    <w:p w14:paraId="222CFEE6" w14:textId="67E02416" w:rsidR="00795F36" w:rsidRPr="00795F36" w:rsidRDefault="00795F36" w:rsidP="00795F36">
      <w:pPr>
        <w:pStyle w:val="TOC2"/>
        <w:tabs>
          <w:tab w:val="right" w:leader="dot" w:pos="9016"/>
        </w:tabs>
        <w:spacing w:line="360" w:lineRule="auto"/>
        <w:rPr>
          <w:rFonts w:ascii="Arial" w:hAnsi="Arial" w:cs="Arial"/>
          <w:noProof/>
          <w:sz w:val="24"/>
          <w:szCs w:val="24"/>
        </w:rPr>
      </w:pPr>
      <w:hyperlink w:anchor="_Toc234270956" w:history="1">
        <w:r w:rsidRPr="00795F36">
          <w:rPr>
            <w:rStyle w:val="Hyperlink"/>
            <w:rFonts w:ascii="Arial" w:eastAsia="Calibri" w:hAnsi="Arial" w:cs="Arial"/>
            <w:noProof/>
            <w:color w:val="auto"/>
            <w:sz w:val="24"/>
            <w:szCs w:val="24"/>
          </w:rPr>
          <w:t>Definition</w:t>
        </w:r>
        <w:r w:rsidRPr="00795F36">
          <w:rPr>
            <w:rFonts w:ascii="Arial" w:hAnsi="Arial" w:cs="Arial"/>
            <w:noProof/>
            <w:sz w:val="24"/>
            <w:szCs w:val="24"/>
          </w:rPr>
          <w:tab/>
        </w:r>
      </w:hyperlink>
      <w:r w:rsidRPr="00795F36">
        <w:rPr>
          <w:rFonts w:ascii="Arial" w:hAnsi="Arial" w:cs="Arial"/>
          <w:sz w:val="24"/>
          <w:szCs w:val="24"/>
        </w:rPr>
        <w:t>7</w:t>
      </w:r>
    </w:p>
    <w:p w14:paraId="333B7A9F" w14:textId="3F2EC2FA" w:rsidR="00795F36" w:rsidRPr="00795F36" w:rsidRDefault="00795F36" w:rsidP="00795F36">
      <w:pPr>
        <w:pStyle w:val="TOC2"/>
        <w:tabs>
          <w:tab w:val="right" w:leader="dot" w:pos="9016"/>
        </w:tabs>
        <w:spacing w:line="360" w:lineRule="auto"/>
        <w:rPr>
          <w:rFonts w:ascii="Arial" w:hAnsi="Arial" w:cs="Arial"/>
          <w:noProof/>
          <w:sz w:val="24"/>
          <w:szCs w:val="24"/>
        </w:rPr>
      </w:pPr>
      <w:hyperlink w:anchor="_Toc234270957" w:history="1">
        <w:r w:rsidRPr="00795F36">
          <w:rPr>
            <w:rStyle w:val="Hyperlink"/>
            <w:rFonts w:ascii="Arial" w:eastAsia="Calibri" w:hAnsi="Arial" w:cs="Arial"/>
            <w:noProof/>
            <w:color w:val="auto"/>
            <w:sz w:val="24"/>
            <w:szCs w:val="24"/>
          </w:rPr>
          <w:t>Advantages</w:t>
        </w:r>
        <w:r w:rsidRPr="00795F36">
          <w:rPr>
            <w:rFonts w:ascii="Arial" w:hAnsi="Arial" w:cs="Arial"/>
            <w:noProof/>
            <w:sz w:val="24"/>
            <w:szCs w:val="24"/>
          </w:rPr>
          <w:tab/>
        </w:r>
        <w:r w:rsidRPr="00795F36">
          <w:rPr>
            <w:rFonts w:ascii="Arial" w:hAnsi="Arial" w:cs="Arial"/>
            <w:noProof/>
            <w:sz w:val="24"/>
            <w:szCs w:val="24"/>
          </w:rPr>
          <w:t>7</w:t>
        </w:r>
      </w:hyperlink>
    </w:p>
    <w:p w14:paraId="0BDC0107" w14:textId="5296CE91" w:rsidR="00795F36" w:rsidRPr="00795F36" w:rsidRDefault="00795F36" w:rsidP="00795F36">
      <w:pPr>
        <w:pStyle w:val="TOC2"/>
        <w:tabs>
          <w:tab w:val="right" w:leader="dot" w:pos="9016"/>
        </w:tabs>
        <w:spacing w:line="360" w:lineRule="auto"/>
        <w:rPr>
          <w:rFonts w:ascii="Arial" w:hAnsi="Arial" w:cs="Arial"/>
          <w:noProof/>
          <w:sz w:val="24"/>
          <w:szCs w:val="24"/>
        </w:rPr>
      </w:pPr>
      <w:hyperlink w:anchor="_Toc234270958" w:history="1">
        <w:r w:rsidRPr="00795F36">
          <w:rPr>
            <w:rStyle w:val="Hyperlink"/>
            <w:rFonts w:ascii="Arial" w:eastAsia="Calibri" w:hAnsi="Arial" w:cs="Arial"/>
            <w:noProof/>
            <w:color w:val="auto"/>
            <w:sz w:val="24"/>
            <w:szCs w:val="24"/>
          </w:rPr>
          <w:t>Disadvantages</w:t>
        </w:r>
        <w:r w:rsidRPr="00795F36">
          <w:rPr>
            <w:rFonts w:ascii="Arial" w:hAnsi="Arial" w:cs="Arial"/>
            <w:noProof/>
            <w:sz w:val="24"/>
            <w:szCs w:val="24"/>
          </w:rPr>
          <w:tab/>
        </w:r>
        <w:r w:rsidRPr="00795F36">
          <w:rPr>
            <w:rFonts w:ascii="Arial" w:hAnsi="Arial" w:cs="Arial"/>
            <w:noProof/>
            <w:sz w:val="24"/>
            <w:szCs w:val="24"/>
          </w:rPr>
          <w:t>7</w:t>
        </w:r>
      </w:hyperlink>
    </w:p>
    <w:p w14:paraId="1220262A" w14:textId="7A680D23" w:rsidR="00795F36" w:rsidRPr="00795F36" w:rsidRDefault="00795F36" w:rsidP="00795F36">
      <w:pPr>
        <w:pStyle w:val="TOC2"/>
        <w:tabs>
          <w:tab w:val="right" w:leader="dot" w:pos="9016"/>
        </w:tabs>
        <w:spacing w:line="360" w:lineRule="auto"/>
        <w:rPr>
          <w:rFonts w:ascii="Arial" w:hAnsi="Arial" w:cs="Arial"/>
          <w:noProof/>
          <w:sz w:val="24"/>
          <w:szCs w:val="24"/>
        </w:rPr>
      </w:pPr>
      <w:hyperlink w:anchor="_Toc234270959" w:history="1">
        <w:r w:rsidRPr="00795F36">
          <w:rPr>
            <w:rStyle w:val="Hyperlink"/>
            <w:rFonts w:ascii="Arial" w:eastAsia="Calibri" w:hAnsi="Arial" w:cs="Arial"/>
            <w:noProof/>
            <w:color w:val="auto"/>
            <w:sz w:val="24"/>
            <w:szCs w:val="24"/>
          </w:rPr>
          <w:t>Suitable projects</w:t>
        </w:r>
        <w:r w:rsidRPr="00795F36">
          <w:rPr>
            <w:rFonts w:ascii="Arial" w:hAnsi="Arial" w:cs="Arial"/>
            <w:noProof/>
            <w:sz w:val="24"/>
            <w:szCs w:val="24"/>
          </w:rPr>
          <w:tab/>
        </w:r>
        <w:r w:rsidRPr="00795F36">
          <w:rPr>
            <w:rFonts w:ascii="Arial" w:hAnsi="Arial" w:cs="Arial"/>
            <w:noProof/>
            <w:sz w:val="24"/>
            <w:szCs w:val="24"/>
          </w:rPr>
          <w:t>7</w:t>
        </w:r>
      </w:hyperlink>
    </w:p>
    <w:p w14:paraId="7664CAB5" w14:textId="461646B4" w:rsidR="00795F36" w:rsidRPr="00795F36" w:rsidRDefault="00795F36" w:rsidP="00795F36">
      <w:pPr>
        <w:pStyle w:val="TOC1"/>
        <w:tabs>
          <w:tab w:val="right" w:leader="dot" w:pos="9016"/>
        </w:tabs>
        <w:spacing w:line="360" w:lineRule="auto"/>
        <w:rPr>
          <w:rFonts w:ascii="Arial" w:hAnsi="Arial" w:cs="Arial"/>
          <w:noProof/>
          <w:sz w:val="24"/>
          <w:szCs w:val="24"/>
        </w:rPr>
      </w:pPr>
      <w:hyperlink w:anchor="_Toc234270960" w:history="1">
        <w:r w:rsidRPr="00795F36">
          <w:rPr>
            <w:rStyle w:val="Hyperlink"/>
            <w:rFonts w:ascii="Arial" w:eastAsia="Calibri" w:hAnsi="Arial" w:cs="Arial"/>
            <w:noProof/>
            <w:color w:val="auto"/>
            <w:sz w:val="24"/>
            <w:szCs w:val="24"/>
          </w:rPr>
          <w:t>6. Comparative Discussion</w:t>
        </w:r>
        <w:r w:rsidRPr="00795F36">
          <w:rPr>
            <w:rFonts w:ascii="Arial" w:hAnsi="Arial" w:cs="Arial"/>
            <w:noProof/>
            <w:sz w:val="24"/>
            <w:szCs w:val="24"/>
          </w:rPr>
          <w:tab/>
        </w:r>
      </w:hyperlink>
      <w:r w:rsidRPr="00795F36">
        <w:rPr>
          <w:rFonts w:ascii="Arial" w:hAnsi="Arial" w:cs="Arial"/>
          <w:sz w:val="24"/>
          <w:szCs w:val="24"/>
        </w:rPr>
        <w:t>8</w:t>
      </w:r>
    </w:p>
    <w:p w14:paraId="13C17D77" w14:textId="16DED107" w:rsidR="00795F36" w:rsidRPr="00795F36" w:rsidRDefault="00795F36" w:rsidP="00795F36">
      <w:pPr>
        <w:pStyle w:val="TOC1"/>
        <w:tabs>
          <w:tab w:val="right" w:leader="dot" w:pos="9016"/>
        </w:tabs>
        <w:spacing w:line="360" w:lineRule="auto"/>
        <w:rPr>
          <w:rFonts w:ascii="Arial" w:hAnsi="Arial" w:cs="Arial"/>
          <w:noProof/>
          <w:sz w:val="24"/>
          <w:szCs w:val="24"/>
        </w:rPr>
      </w:pPr>
      <w:hyperlink w:anchor="_Toc234270961" w:history="1">
        <w:r w:rsidRPr="00795F36">
          <w:rPr>
            <w:rStyle w:val="Hyperlink"/>
            <w:rFonts w:ascii="Arial" w:eastAsia="Calibri" w:hAnsi="Arial" w:cs="Arial"/>
            <w:noProof/>
            <w:color w:val="auto"/>
            <w:sz w:val="24"/>
            <w:szCs w:val="24"/>
          </w:rPr>
          <w:t>7. Conclusion</w:t>
        </w:r>
        <w:r w:rsidRPr="00795F36">
          <w:rPr>
            <w:rFonts w:ascii="Arial" w:hAnsi="Arial" w:cs="Arial"/>
            <w:noProof/>
            <w:sz w:val="24"/>
            <w:szCs w:val="24"/>
          </w:rPr>
          <w:tab/>
        </w:r>
      </w:hyperlink>
      <w:r w:rsidRPr="00795F36">
        <w:rPr>
          <w:rFonts w:ascii="Arial" w:hAnsi="Arial" w:cs="Arial"/>
          <w:sz w:val="24"/>
          <w:szCs w:val="24"/>
        </w:rPr>
        <w:t>9</w:t>
      </w:r>
    </w:p>
    <w:p w14:paraId="00F6ED84" w14:textId="69246E16" w:rsidR="00795F36" w:rsidRPr="00795F36" w:rsidRDefault="00795F36" w:rsidP="00795F36">
      <w:pPr>
        <w:pStyle w:val="TOC1"/>
        <w:tabs>
          <w:tab w:val="right" w:leader="dot" w:pos="9016"/>
        </w:tabs>
        <w:spacing w:line="360" w:lineRule="auto"/>
        <w:rPr>
          <w:rFonts w:ascii="Arial" w:hAnsi="Arial" w:cs="Arial"/>
          <w:sz w:val="24"/>
          <w:szCs w:val="24"/>
        </w:rPr>
      </w:pPr>
      <w:hyperlink w:anchor="_Toc234270962" w:history="1">
        <w:r w:rsidRPr="00795F36">
          <w:rPr>
            <w:rStyle w:val="Hyperlink"/>
            <w:rFonts w:ascii="Arial" w:eastAsia="Calibri" w:hAnsi="Arial" w:cs="Arial"/>
            <w:noProof/>
            <w:color w:val="auto"/>
            <w:sz w:val="24"/>
            <w:szCs w:val="24"/>
          </w:rPr>
          <w:t>References</w:t>
        </w:r>
        <w:r w:rsidRPr="00795F36">
          <w:rPr>
            <w:rFonts w:ascii="Arial" w:hAnsi="Arial" w:cs="Arial"/>
            <w:noProof/>
            <w:sz w:val="24"/>
            <w:szCs w:val="24"/>
          </w:rPr>
          <w:tab/>
        </w:r>
        <w:r w:rsidRPr="00795F36">
          <w:rPr>
            <w:rFonts w:ascii="Arial" w:hAnsi="Arial" w:cs="Arial"/>
            <w:noProof/>
            <w:sz w:val="24"/>
            <w:szCs w:val="24"/>
          </w:rPr>
          <w:t>10</w:t>
        </w:r>
      </w:hyperlink>
    </w:p>
    <w:p w14:paraId="59EB248B" w14:textId="2CE5D00C" w:rsidR="00795F36" w:rsidRPr="00795F36" w:rsidRDefault="00795F36" w:rsidP="00795F36">
      <w:pPr>
        <w:spacing w:line="360" w:lineRule="auto"/>
        <w:rPr>
          <w:rFonts w:ascii="Arial" w:hAnsi="Arial" w:cs="Arial"/>
          <w:sz w:val="24"/>
          <w:szCs w:val="24"/>
        </w:rPr>
      </w:pPr>
      <w:r w:rsidRPr="00795F36">
        <w:rPr>
          <w:rFonts w:ascii="Arial" w:hAnsi="Arial" w:cs="Arial"/>
          <w:sz w:val="24"/>
          <w:szCs w:val="24"/>
        </w:rPr>
        <w:br w:type="page"/>
      </w:r>
    </w:p>
    <w:p w14:paraId="076B3740" w14:textId="77777777" w:rsidR="00795F36" w:rsidRPr="00795F36" w:rsidRDefault="00795F36" w:rsidP="00795F36">
      <w:pPr>
        <w:spacing w:line="360" w:lineRule="auto"/>
        <w:rPr>
          <w:rFonts w:ascii="Arial" w:hAnsi="Arial" w:cs="Arial"/>
          <w:sz w:val="24"/>
          <w:szCs w:val="24"/>
        </w:rPr>
      </w:pPr>
    </w:p>
    <w:p w14:paraId="71192172" w14:textId="52618F5A" w:rsidR="00B83D19" w:rsidRPr="00795F36" w:rsidRDefault="00000000" w:rsidP="00795F36">
      <w:pPr>
        <w:spacing w:line="360" w:lineRule="auto"/>
        <w:rPr>
          <w:rFonts w:ascii="Arial" w:hAnsi="Arial" w:cs="Arial"/>
          <w:sz w:val="24"/>
          <w:szCs w:val="24"/>
        </w:rPr>
      </w:pPr>
      <w:r w:rsidRPr="00795F36">
        <w:rPr>
          <w:rFonts w:ascii="Arial" w:eastAsia="Calibri" w:hAnsi="Arial" w:cs="Arial"/>
          <w:sz w:val="24"/>
          <w:szCs w:val="24"/>
        </w:rPr>
        <w:t>1. Introduction</w:t>
      </w:r>
      <w:bookmarkEnd w:id="1"/>
    </w:p>
    <w:p w14:paraId="6C25002F" w14:textId="77777777"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Project management is concerned with planning, organising, and controlling resources to deliver a defined scope of work within agreed time, cost, and quality constraints (Kerzner, 2017, p.673). A central decision facing any project sponsor is contracting strategy: the choice of who will carry out the work, and under what contractual arrangement. Contracting refers to the transfer of some or all project activities to external parties in exchange for payment, rather than relying solely on the client's own workforce (Winch, 2010, p.101). A make-or-buy analysis determines whether project work is best done internally or purchased externally, weighing the organisation's resources, skills, and the risks of each option (Project Management Institute, 2025, p.246). Contracting out can access specialist expertise and transfer risk, but it reduces the client's direct control over cost, quality, and schedule (Winch, 2010, pp.101-102). Four broad methods of contracting can be identified: Turnkey, Multi-contract, Do-It-Yourself (DIY), and a hybrid Multi-contract plus DIY approach. These sit along a spectrum of client involvement, from minimal (Turnkey) to total (DIY) (De Marco, 2011, p.25). This essay explains each method, evaluates its advantages and disadvantages, and considers when each is most appropriate.</w:t>
      </w:r>
    </w:p>
    <w:p w14:paraId="6284E8F5" w14:textId="77777777" w:rsidR="00B83D19" w:rsidRPr="00795F36" w:rsidRDefault="00000000" w:rsidP="00795F36">
      <w:pPr>
        <w:pStyle w:val="Heading1"/>
        <w:spacing w:before="300" w:after="200" w:line="360" w:lineRule="auto"/>
        <w:rPr>
          <w:rFonts w:ascii="Arial" w:hAnsi="Arial" w:cs="Arial"/>
          <w:color w:val="auto"/>
          <w:sz w:val="24"/>
          <w:szCs w:val="24"/>
        </w:rPr>
      </w:pPr>
      <w:bookmarkStart w:id="2" w:name="_Toc234270940"/>
      <w:r w:rsidRPr="00795F36">
        <w:rPr>
          <w:rFonts w:ascii="Arial" w:eastAsia="Calibri" w:hAnsi="Arial" w:cs="Arial"/>
          <w:color w:val="auto"/>
          <w:sz w:val="24"/>
          <w:szCs w:val="24"/>
        </w:rPr>
        <w:t>2. Turnkey Contracting</w:t>
      </w:r>
      <w:bookmarkEnd w:id="2"/>
    </w:p>
    <w:p w14:paraId="1FE9EFC6" w14:textId="77777777" w:rsidR="00B83D19" w:rsidRPr="00795F36" w:rsidRDefault="00000000" w:rsidP="00795F36">
      <w:pPr>
        <w:pStyle w:val="Heading2"/>
        <w:spacing w:before="300" w:after="200" w:line="360" w:lineRule="auto"/>
        <w:rPr>
          <w:rFonts w:ascii="Arial" w:hAnsi="Arial" w:cs="Arial"/>
          <w:color w:val="auto"/>
          <w:sz w:val="24"/>
          <w:szCs w:val="24"/>
        </w:rPr>
      </w:pPr>
      <w:bookmarkStart w:id="3" w:name="_Toc234270941"/>
      <w:r w:rsidRPr="00795F36">
        <w:rPr>
          <w:rFonts w:ascii="Arial" w:eastAsia="Calibri" w:hAnsi="Arial" w:cs="Arial"/>
          <w:color w:val="auto"/>
          <w:sz w:val="24"/>
          <w:szCs w:val="24"/>
        </w:rPr>
        <w:t>Definition</w:t>
      </w:r>
      <w:bookmarkEnd w:id="3"/>
    </w:p>
    <w:p w14:paraId="6CA04091" w14:textId="77777777"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In a Turnkey arrangement, one contractor is responsible for the total project, from design through to handover of a facility ready to operate, sometimes extending to site purchase, project funding, and, under private finance arrangements, subsequent operation (Masterman, 2002, pp.50-51). Winch (2010, pp.111-112) models this as an "integrated coalition", in which the client contracts a single turnkey contractor who deploys in-house professionals, an operative workforce, and subcontractors beneath it. The Project Management Institute (2025, p.247) lists turnkey alongside design-build and design-bid-</w:t>
      </w:r>
      <w:proofErr w:type="spellStart"/>
      <w:r w:rsidRPr="00795F36">
        <w:rPr>
          <w:rFonts w:ascii="Arial" w:eastAsia="Calibri" w:hAnsi="Arial" w:cs="Arial"/>
          <w:sz w:val="24"/>
          <w:szCs w:val="24"/>
        </w:rPr>
        <w:t>build</w:t>
      </w:r>
      <w:proofErr w:type="spellEnd"/>
      <w:r w:rsidRPr="00795F36">
        <w:rPr>
          <w:rFonts w:ascii="Arial" w:eastAsia="Calibri" w:hAnsi="Arial" w:cs="Arial"/>
          <w:sz w:val="24"/>
          <w:szCs w:val="24"/>
        </w:rPr>
        <w:t xml:space="preserve"> as a principal delivery method once a make-or-buy decision favours external delivery.</w:t>
      </w:r>
    </w:p>
    <w:p w14:paraId="46EC8C63" w14:textId="77777777" w:rsidR="00795F36" w:rsidRPr="00795F36" w:rsidRDefault="00795F36" w:rsidP="00795F36">
      <w:pPr>
        <w:pStyle w:val="Heading2"/>
        <w:spacing w:before="300" w:after="200" w:line="360" w:lineRule="auto"/>
        <w:rPr>
          <w:rFonts w:ascii="Arial" w:eastAsia="Calibri" w:hAnsi="Arial" w:cs="Arial"/>
          <w:color w:val="auto"/>
          <w:sz w:val="24"/>
          <w:szCs w:val="24"/>
        </w:rPr>
      </w:pPr>
      <w:bookmarkStart w:id="4" w:name="_Toc234270942"/>
    </w:p>
    <w:p w14:paraId="5655DA80" w14:textId="77777777" w:rsidR="00795F36" w:rsidRPr="00795F36" w:rsidRDefault="00795F36" w:rsidP="00795F36">
      <w:pPr>
        <w:pStyle w:val="Heading2"/>
        <w:spacing w:before="300" w:after="200" w:line="360" w:lineRule="auto"/>
        <w:rPr>
          <w:rFonts w:ascii="Arial" w:eastAsia="Calibri" w:hAnsi="Arial" w:cs="Arial"/>
          <w:color w:val="auto"/>
          <w:sz w:val="24"/>
          <w:szCs w:val="24"/>
        </w:rPr>
      </w:pPr>
    </w:p>
    <w:p w14:paraId="5AD9D902" w14:textId="7BD2856E" w:rsidR="00B83D19" w:rsidRPr="00795F36" w:rsidRDefault="00000000" w:rsidP="00795F36">
      <w:pPr>
        <w:pStyle w:val="Heading2"/>
        <w:spacing w:before="300" w:after="200" w:line="360" w:lineRule="auto"/>
        <w:rPr>
          <w:rFonts w:ascii="Arial" w:hAnsi="Arial" w:cs="Arial"/>
          <w:color w:val="auto"/>
          <w:sz w:val="24"/>
          <w:szCs w:val="24"/>
        </w:rPr>
      </w:pPr>
      <w:r w:rsidRPr="00795F36">
        <w:rPr>
          <w:rFonts w:ascii="Arial" w:eastAsia="Calibri" w:hAnsi="Arial" w:cs="Arial"/>
          <w:color w:val="auto"/>
          <w:sz w:val="24"/>
          <w:szCs w:val="24"/>
        </w:rPr>
        <w:t>Advantages</w:t>
      </w:r>
      <w:bookmarkEnd w:id="4"/>
    </w:p>
    <w:p w14:paraId="726715F0" w14:textId="77777777"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The client deals with a single point of contact responsible for the whole project, which greatly simplifies administration compared with dealing with several separate organisations (Masterman, 2002, p.53). Because the turnkey contractor typically accepts a lump-sum price and completion date, the client gains cost certainty and transfers much of the delivery risk to the contractor (De Marco, 2011, p.23; Kerzner, 2017, p.673). This arrangement is well suited to housing and process-plant work, since it gives the owner time to raise funds while construction proceeds without needing to manage the contractor's internal operations directly (De Marco, 2011, p.23).</w:t>
      </w:r>
    </w:p>
    <w:p w14:paraId="77C18DD2" w14:textId="77777777" w:rsidR="00B83D19" w:rsidRPr="00795F36" w:rsidRDefault="00000000" w:rsidP="00795F36">
      <w:pPr>
        <w:pStyle w:val="Heading2"/>
        <w:spacing w:before="300" w:after="200" w:line="360" w:lineRule="auto"/>
        <w:rPr>
          <w:rFonts w:ascii="Arial" w:hAnsi="Arial" w:cs="Arial"/>
          <w:color w:val="auto"/>
          <w:sz w:val="24"/>
          <w:szCs w:val="24"/>
        </w:rPr>
      </w:pPr>
      <w:bookmarkStart w:id="5" w:name="_Toc234270943"/>
      <w:r w:rsidRPr="00795F36">
        <w:rPr>
          <w:rFonts w:ascii="Arial" w:eastAsia="Calibri" w:hAnsi="Arial" w:cs="Arial"/>
          <w:color w:val="auto"/>
          <w:sz w:val="24"/>
          <w:szCs w:val="24"/>
        </w:rPr>
        <w:t>Disadvantages</w:t>
      </w:r>
      <w:bookmarkEnd w:id="5"/>
    </w:p>
    <w:p w14:paraId="576AB862" w14:textId="69095E64"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The cost to the client is often higher than under more conventional procurement systems, since the contractor prices in a premium for the risk it has assumed (Masterman, 2002, p.54). Kerzner (2017, p.673) frames this as the opposite end of the spectrum from cost-plus arrangements: under turnkey, the contractor assumes full responsibility for profit or loss on timely performance and cost.</w:t>
      </w:r>
    </w:p>
    <w:p w14:paraId="343074A0" w14:textId="77777777" w:rsidR="00B83D19" w:rsidRPr="00795F36" w:rsidRDefault="00000000" w:rsidP="00795F36">
      <w:pPr>
        <w:pStyle w:val="Heading2"/>
        <w:spacing w:before="300" w:after="200" w:line="360" w:lineRule="auto"/>
        <w:rPr>
          <w:rFonts w:ascii="Arial" w:hAnsi="Arial" w:cs="Arial"/>
          <w:color w:val="auto"/>
          <w:sz w:val="24"/>
          <w:szCs w:val="24"/>
        </w:rPr>
      </w:pPr>
      <w:bookmarkStart w:id="6" w:name="_Toc234270944"/>
      <w:r w:rsidRPr="00795F36">
        <w:rPr>
          <w:rFonts w:ascii="Arial" w:eastAsia="Calibri" w:hAnsi="Arial" w:cs="Arial"/>
          <w:color w:val="auto"/>
          <w:sz w:val="24"/>
          <w:szCs w:val="24"/>
        </w:rPr>
        <w:t>Suitable projects</w:t>
      </w:r>
      <w:bookmarkEnd w:id="6"/>
    </w:p>
    <w:p w14:paraId="41F6DC9E" w14:textId="77777777"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Turnkey suits large, technically complex projects where the client lacks the in-house expertise to manage the work directly, historically including process plants, oil refineries, and power stations (Masterman, 2002, p.50). Pietroforte and Miller (2002, pp.426-427) similarly place turnkey alongside design-bid-build and design-build as a segmented, directly funded delivery method suited to facilities where the client wants a single completion date and is prepared to fund the project itself rather than transfer financing risk to a concessionaire.</w:t>
      </w:r>
    </w:p>
    <w:p w14:paraId="367A5F9B" w14:textId="77777777" w:rsidR="00B83D19" w:rsidRPr="00795F36" w:rsidRDefault="00000000" w:rsidP="00795F36">
      <w:pPr>
        <w:pStyle w:val="Heading1"/>
        <w:spacing w:before="300" w:after="200" w:line="360" w:lineRule="auto"/>
        <w:rPr>
          <w:rFonts w:ascii="Arial" w:hAnsi="Arial" w:cs="Arial"/>
          <w:color w:val="auto"/>
          <w:sz w:val="24"/>
          <w:szCs w:val="24"/>
        </w:rPr>
      </w:pPr>
      <w:bookmarkStart w:id="7" w:name="_Toc234270945"/>
      <w:r w:rsidRPr="00795F36">
        <w:rPr>
          <w:rFonts w:ascii="Arial" w:eastAsia="Calibri" w:hAnsi="Arial" w:cs="Arial"/>
          <w:color w:val="auto"/>
          <w:sz w:val="24"/>
          <w:szCs w:val="24"/>
        </w:rPr>
        <w:t>3. Multi-Contract Method</w:t>
      </w:r>
      <w:bookmarkEnd w:id="7"/>
    </w:p>
    <w:p w14:paraId="0FB29EB8" w14:textId="77777777" w:rsidR="00B83D19" w:rsidRPr="00795F36" w:rsidRDefault="00000000" w:rsidP="00795F36">
      <w:pPr>
        <w:pStyle w:val="Heading2"/>
        <w:spacing w:before="300" w:after="200" w:line="360" w:lineRule="auto"/>
        <w:rPr>
          <w:rFonts w:ascii="Arial" w:hAnsi="Arial" w:cs="Arial"/>
          <w:color w:val="auto"/>
          <w:sz w:val="24"/>
          <w:szCs w:val="24"/>
        </w:rPr>
      </w:pPr>
      <w:bookmarkStart w:id="8" w:name="_Toc234270946"/>
      <w:r w:rsidRPr="00795F36">
        <w:rPr>
          <w:rFonts w:ascii="Arial" w:eastAsia="Calibri" w:hAnsi="Arial" w:cs="Arial"/>
          <w:color w:val="auto"/>
          <w:sz w:val="24"/>
          <w:szCs w:val="24"/>
        </w:rPr>
        <w:t>Definition</w:t>
      </w:r>
      <w:bookmarkEnd w:id="8"/>
    </w:p>
    <w:p w14:paraId="527FB16A" w14:textId="77777777"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Under the Multi-contract method, the client divides the project into separate packages and enters direct contracts with a number of specialist trade contractors, rather than channelling work through a single main contractor (Masterman, 2002, p.68). De Marco (2011, pp.20-21) describes the equivalent US "Multiple Primes" arrangement, where the general contractor is eliminated and replaced by a manager, possibly the owner's own project manager, responsible for selecting and managing several construction contractors. Clough et al. (2015, p.81) note that on many projects construction is performed by a number of separate prime contractors who each hold a direct contract with the owner.</w:t>
      </w:r>
    </w:p>
    <w:p w14:paraId="07C60EAC" w14:textId="77777777" w:rsidR="00B83D19" w:rsidRPr="00795F36" w:rsidRDefault="00000000" w:rsidP="00795F36">
      <w:pPr>
        <w:pStyle w:val="Heading2"/>
        <w:spacing w:before="300" w:after="200" w:line="360" w:lineRule="auto"/>
        <w:rPr>
          <w:rFonts w:ascii="Arial" w:hAnsi="Arial" w:cs="Arial"/>
          <w:color w:val="auto"/>
          <w:sz w:val="24"/>
          <w:szCs w:val="24"/>
        </w:rPr>
      </w:pPr>
      <w:bookmarkStart w:id="9" w:name="_Toc234270947"/>
      <w:r w:rsidRPr="00795F36">
        <w:rPr>
          <w:rFonts w:ascii="Arial" w:eastAsia="Calibri" w:hAnsi="Arial" w:cs="Arial"/>
          <w:color w:val="auto"/>
          <w:sz w:val="24"/>
          <w:szCs w:val="24"/>
        </w:rPr>
        <w:t>Advantages</w:t>
      </w:r>
      <w:bookmarkEnd w:id="9"/>
    </w:p>
    <w:p w14:paraId="542D83D2" w14:textId="2EB4CC2B"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 xml:space="preserve">Because the employer enters into direct contracts with the works-package contractors, the client retains a greater measure of control over costs and can adjust the scope of uncommitted packages as the project proceeds (Masterman, 2002, p.69). Competitive tendering of individual packages, together with the ability to overlap design and construction as each package becomes ready, has been shown in practice to produce faster completion than conventional procurement on comparable projects (Masterman, 2002, p.68). </w:t>
      </w:r>
    </w:p>
    <w:p w14:paraId="7126F6FD" w14:textId="77777777" w:rsidR="00B83D19" w:rsidRPr="00795F36" w:rsidRDefault="00000000" w:rsidP="00795F36">
      <w:pPr>
        <w:pStyle w:val="Heading2"/>
        <w:spacing w:before="300" w:after="200" w:line="360" w:lineRule="auto"/>
        <w:rPr>
          <w:rFonts w:ascii="Arial" w:hAnsi="Arial" w:cs="Arial"/>
          <w:color w:val="auto"/>
          <w:sz w:val="24"/>
          <w:szCs w:val="24"/>
        </w:rPr>
      </w:pPr>
      <w:bookmarkStart w:id="10" w:name="_Toc234270948"/>
      <w:r w:rsidRPr="00795F36">
        <w:rPr>
          <w:rFonts w:ascii="Arial" w:eastAsia="Calibri" w:hAnsi="Arial" w:cs="Arial"/>
          <w:color w:val="auto"/>
          <w:sz w:val="24"/>
          <w:szCs w:val="24"/>
        </w:rPr>
        <w:t>Disadvantages</w:t>
      </w:r>
      <w:bookmarkEnd w:id="10"/>
    </w:p>
    <w:p w14:paraId="7EDE30BB" w14:textId="5DCA2330" w:rsidR="00B83D19" w:rsidRPr="00795F36" w:rsidRDefault="00000000" w:rsidP="00795F36">
      <w:pPr>
        <w:spacing w:after="200" w:line="360" w:lineRule="auto"/>
        <w:rPr>
          <w:rFonts w:ascii="Arial" w:hAnsi="Arial" w:cs="Arial"/>
          <w:sz w:val="24"/>
          <w:szCs w:val="24"/>
        </w:rPr>
      </w:pPr>
      <w:r w:rsidRPr="00795F36">
        <w:rPr>
          <w:rFonts w:ascii="Arial" w:eastAsia="Calibri" w:hAnsi="Arial" w:cs="Arial"/>
          <w:sz w:val="24"/>
          <w:szCs w:val="24"/>
        </w:rPr>
        <w:t>The client carries the burden of integrating the programmes and interfaces of several contractors directly, since no main contractor absorbs that coordination role (De Marco, 2011, pp.20-21).</w:t>
      </w:r>
      <w:r w:rsidR="00795F36" w:rsidRPr="00795F36">
        <w:rPr>
          <w:rFonts w:ascii="Arial" w:eastAsia="Calibri" w:hAnsi="Arial" w:cs="Arial"/>
          <w:sz w:val="24"/>
          <w:szCs w:val="24"/>
        </w:rPr>
        <w:t xml:space="preserve"> </w:t>
      </w:r>
      <w:r w:rsidRPr="00795F36">
        <w:rPr>
          <w:rFonts w:ascii="Arial" w:eastAsia="Calibri" w:hAnsi="Arial" w:cs="Arial"/>
          <w:sz w:val="24"/>
          <w:szCs w:val="24"/>
        </w:rPr>
        <w:t>Where a management contractor coordinates works contractors on the client's behalf, clients have historically reported delays caused by trade contractors over whom they have no direct control, plus additional costs and the absence of a fixed contract sum (Masterman, 2002, p.57).</w:t>
      </w:r>
    </w:p>
    <w:p w14:paraId="2D007AA2" w14:textId="77777777" w:rsidR="00B83D19" w:rsidRPr="00795F36" w:rsidRDefault="00000000" w:rsidP="00795F36">
      <w:pPr>
        <w:pStyle w:val="Heading2"/>
        <w:spacing w:before="300" w:after="200" w:line="360" w:lineRule="auto"/>
        <w:rPr>
          <w:rFonts w:ascii="Arial" w:hAnsi="Arial" w:cs="Arial"/>
          <w:color w:val="auto"/>
          <w:sz w:val="24"/>
          <w:szCs w:val="24"/>
        </w:rPr>
      </w:pPr>
      <w:bookmarkStart w:id="11" w:name="_Toc234270949"/>
      <w:r w:rsidRPr="00795F36">
        <w:rPr>
          <w:rFonts w:ascii="Arial" w:eastAsia="Calibri" w:hAnsi="Arial" w:cs="Arial"/>
          <w:color w:val="auto"/>
          <w:sz w:val="24"/>
          <w:szCs w:val="24"/>
        </w:rPr>
        <w:t>Suitable projects</w:t>
      </w:r>
      <w:bookmarkEnd w:id="11"/>
    </w:p>
    <w:p w14:paraId="066D66B5" w14:textId="77777777"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Multi-contracting suits projects requiring several genuinely distinct specialisms, where the client has, or can hire, the project management capacity to coordinate them directly (De Marco, 2011, p.20). Historically, US federal agencies with ongoing construction programmes, such as those requiring phased construction and close consultant and contractor cooperation, adopted this approach precisely because it kept control and risk allocation with the client rather than a single intermediary (Masterman, 2002, p.56).</w:t>
      </w:r>
    </w:p>
    <w:p w14:paraId="066AF728" w14:textId="77777777" w:rsidR="00795F36" w:rsidRPr="00795F36" w:rsidRDefault="00795F36" w:rsidP="00795F36">
      <w:pPr>
        <w:pStyle w:val="Heading1"/>
        <w:spacing w:before="300" w:after="200" w:line="360" w:lineRule="auto"/>
        <w:rPr>
          <w:rFonts w:ascii="Arial" w:eastAsia="Calibri" w:hAnsi="Arial" w:cs="Arial"/>
          <w:color w:val="auto"/>
          <w:sz w:val="24"/>
          <w:szCs w:val="24"/>
        </w:rPr>
      </w:pPr>
      <w:bookmarkStart w:id="12" w:name="_Toc234270950"/>
    </w:p>
    <w:p w14:paraId="2E09D6AB" w14:textId="7B8DB523" w:rsidR="00B83D19" w:rsidRPr="00795F36" w:rsidRDefault="00000000" w:rsidP="00795F36">
      <w:pPr>
        <w:pStyle w:val="Heading1"/>
        <w:spacing w:before="300" w:after="200" w:line="360" w:lineRule="auto"/>
        <w:rPr>
          <w:rFonts w:ascii="Arial" w:hAnsi="Arial" w:cs="Arial"/>
          <w:color w:val="auto"/>
          <w:sz w:val="24"/>
          <w:szCs w:val="24"/>
        </w:rPr>
      </w:pPr>
      <w:r w:rsidRPr="00795F36">
        <w:rPr>
          <w:rFonts w:ascii="Arial" w:eastAsia="Calibri" w:hAnsi="Arial" w:cs="Arial"/>
          <w:color w:val="auto"/>
          <w:sz w:val="24"/>
          <w:szCs w:val="24"/>
        </w:rPr>
        <w:t>4. Do-It-Yourself (DIY) Contracting</w:t>
      </w:r>
      <w:bookmarkEnd w:id="12"/>
    </w:p>
    <w:p w14:paraId="4A7D1857" w14:textId="77777777" w:rsidR="00B83D19" w:rsidRPr="00795F36" w:rsidRDefault="00000000" w:rsidP="00795F36">
      <w:pPr>
        <w:pStyle w:val="Heading2"/>
        <w:spacing w:before="300" w:after="200" w:line="360" w:lineRule="auto"/>
        <w:rPr>
          <w:rFonts w:ascii="Arial" w:hAnsi="Arial" w:cs="Arial"/>
          <w:color w:val="auto"/>
          <w:sz w:val="24"/>
          <w:szCs w:val="24"/>
        </w:rPr>
      </w:pPr>
      <w:bookmarkStart w:id="13" w:name="_Toc234270951"/>
      <w:r w:rsidRPr="00795F36">
        <w:rPr>
          <w:rFonts w:ascii="Arial" w:eastAsia="Calibri" w:hAnsi="Arial" w:cs="Arial"/>
          <w:color w:val="auto"/>
          <w:sz w:val="24"/>
          <w:szCs w:val="24"/>
        </w:rPr>
        <w:t>Definition</w:t>
      </w:r>
      <w:bookmarkEnd w:id="13"/>
    </w:p>
    <w:p w14:paraId="3C1BA09D" w14:textId="77777777"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In the DIY method, the client executes the project using its own in-house workforce rather than engaging external contractors for the substantive work (Winch, 2010, p.101). Walker (2015, p.158) describes this as clients developing projects using specialist staff employed within their own organisation, including the construction phase, using directly employed labour.</w:t>
      </w:r>
    </w:p>
    <w:p w14:paraId="0AED8D2A" w14:textId="77777777" w:rsidR="00B83D19" w:rsidRPr="00795F36" w:rsidRDefault="00000000" w:rsidP="00795F36">
      <w:pPr>
        <w:pStyle w:val="Heading2"/>
        <w:spacing w:before="300" w:after="200" w:line="360" w:lineRule="auto"/>
        <w:rPr>
          <w:rFonts w:ascii="Arial" w:hAnsi="Arial" w:cs="Arial"/>
          <w:color w:val="auto"/>
          <w:sz w:val="24"/>
          <w:szCs w:val="24"/>
        </w:rPr>
      </w:pPr>
      <w:bookmarkStart w:id="14" w:name="_Toc234270952"/>
      <w:r w:rsidRPr="00795F36">
        <w:rPr>
          <w:rFonts w:ascii="Arial" w:eastAsia="Calibri" w:hAnsi="Arial" w:cs="Arial"/>
          <w:color w:val="auto"/>
          <w:sz w:val="24"/>
          <w:szCs w:val="24"/>
        </w:rPr>
        <w:t>Advantages</w:t>
      </w:r>
      <w:bookmarkEnd w:id="14"/>
    </w:p>
    <w:p w14:paraId="564D4DD6" w14:textId="77777777"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An in-house capability removes the need to write a complete contract before starting, since the authority relationship between client and its own staff allows continual adjustment as the project develops (Winch, 2010, p.101). The client has full visibility of, and control over, the operations and expenditure of its own team, and opportunistic profiteering is minimised because an in-house operation runs as a cost centre rather than a profit centre (Winch, 2010, p.101). Walker (2015, p.158) notes that contributors' allegiance runs directly to the client, reducing conflicting objectives.</w:t>
      </w:r>
    </w:p>
    <w:p w14:paraId="6EAFF2D1" w14:textId="77777777" w:rsidR="00B83D19" w:rsidRPr="00795F36" w:rsidRDefault="00000000" w:rsidP="00795F36">
      <w:pPr>
        <w:pStyle w:val="Heading2"/>
        <w:spacing w:before="300" w:after="200" w:line="360" w:lineRule="auto"/>
        <w:rPr>
          <w:rFonts w:ascii="Arial" w:hAnsi="Arial" w:cs="Arial"/>
          <w:color w:val="auto"/>
          <w:sz w:val="24"/>
          <w:szCs w:val="24"/>
        </w:rPr>
      </w:pPr>
      <w:bookmarkStart w:id="15" w:name="_Toc234270953"/>
      <w:r w:rsidRPr="00795F36">
        <w:rPr>
          <w:rFonts w:ascii="Arial" w:eastAsia="Calibri" w:hAnsi="Arial" w:cs="Arial"/>
          <w:color w:val="auto"/>
          <w:sz w:val="24"/>
          <w:szCs w:val="24"/>
        </w:rPr>
        <w:t>Disadvantages</w:t>
      </w:r>
      <w:bookmarkEnd w:id="15"/>
    </w:p>
    <w:p w14:paraId="6F03213A" w14:textId="77777777"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Winch (2010, p.102) sets out three drawbacks: if construction is not the client's core business, managing it directly diverts management attention; low transaction frequency can make an in-house capability uneconomic; and lack of external competition can allow inefficiencies to develop, raising costs. Walker (2015, p.158) adds that most clients cannot sustain a genuine in-house capability, and that UK local authority direct labour organisations had a mixed record, for reasons often more political than managerial.</w:t>
      </w:r>
    </w:p>
    <w:p w14:paraId="661E9E16" w14:textId="77777777" w:rsidR="00B83D19" w:rsidRPr="00795F36" w:rsidRDefault="00000000" w:rsidP="00795F36">
      <w:pPr>
        <w:pStyle w:val="Heading2"/>
        <w:spacing w:before="300" w:after="200" w:line="360" w:lineRule="auto"/>
        <w:rPr>
          <w:rFonts w:ascii="Arial" w:hAnsi="Arial" w:cs="Arial"/>
          <w:color w:val="auto"/>
          <w:sz w:val="24"/>
          <w:szCs w:val="24"/>
        </w:rPr>
      </w:pPr>
      <w:bookmarkStart w:id="16" w:name="_Toc234270954"/>
      <w:r w:rsidRPr="00795F36">
        <w:rPr>
          <w:rFonts w:ascii="Arial" w:eastAsia="Calibri" w:hAnsi="Arial" w:cs="Arial"/>
          <w:color w:val="auto"/>
          <w:sz w:val="24"/>
          <w:szCs w:val="24"/>
        </w:rPr>
        <w:t>Suitable projects</w:t>
      </w:r>
      <w:bookmarkEnd w:id="16"/>
    </w:p>
    <w:p w14:paraId="3FA3A11C" w14:textId="77777777"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 xml:space="preserve">DIY suits organisations running a large, continuous volume of project work, such as government agencies and large industrial firms, once transaction frequency justifies the fixed investment (Winch, 2010, pp.101-102). Winch (2010, p.101) cites the US Army Corps of Engineers and France's Directions </w:t>
      </w:r>
      <w:proofErr w:type="spellStart"/>
      <w:r w:rsidRPr="00795F36">
        <w:rPr>
          <w:rFonts w:ascii="Arial" w:eastAsia="Calibri" w:hAnsi="Arial" w:cs="Arial"/>
          <w:sz w:val="24"/>
          <w:szCs w:val="24"/>
        </w:rPr>
        <w:t>d'Equipement</w:t>
      </w:r>
      <w:proofErr w:type="spellEnd"/>
      <w:r w:rsidRPr="00795F36">
        <w:rPr>
          <w:rFonts w:ascii="Arial" w:eastAsia="Calibri" w:hAnsi="Arial" w:cs="Arial"/>
          <w:sz w:val="24"/>
          <w:szCs w:val="24"/>
        </w:rPr>
        <w:t xml:space="preserve"> as long-standing examples, alongside facilities-management teams that large property-owning firms retain in-house for repair and maintenance work.</w:t>
      </w:r>
    </w:p>
    <w:p w14:paraId="03689754" w14:textId="77777777" w:rsidR="00B83D19" w:rsidRPr="00795F36" w:rsidRDefault="00000000" w:rsidP="00795F36">
      <w:pPr>
        <w:pStyle w:val="Heading1"/>
        <w:spacing w:before="300" w:after="200" w:line="360" w:lineRule="auto"/>
        <w:rPr>
          <w:rFonts w:ascii="Arial" w:hAnsi="Arial" w:cs="Arial"/>
          <w:color w:val="auto"/>
          <w:sz w:val="24"/>
          <w:szCs w:val="24"/>
        </w:rPr>
      </w:pPr>
      <w:bookmarkStart w:id="17" w:name="_Toc234270955"/>
      <w:r w:rsidRPr="00795F36">
        <w:rPr>
          <w:rFonts w:ascii="Arial" w:eastAsia="Calibri" w:hAnsi="Arial" w:cs="Arial"/>
          <w:color w:val="auto"/>
          <w:sz w:val="24"/>
          <w:szCs w:val="24"/>
        </w:rPr>
        <w:t>5. Multi-Contract Plus DIY</w:t>
      </w:r>
      <w:bookmarkEnd w:id="17"/>
    </w:p>
    <w:p w14:paraId="5E82110F" w14:textId="77777777" w:rsidR="00B83D19" w:rsidRPr="00795F36" w:rsidRDefault="00000000" w:rsidP="00795F36">
      <w:pPr>
        <w:pStyle w:val="Heading2"/>
        <w:spacing w:before="300" w:after="200" w:line="360" w:lineRule="auto"/>
        <w:rPr>
          <w:rFonts w:ascii="Arial" w:hAnsi="Arial" w:cs="Arial"/>
          <w:color w:val="auto"/>
          <w:sz w:val="24"/>
          <w:szCs w:val="24"/>
        </w:rPr>
      </w:pPr>
      <w:bookmarkStart w:id="18" w:name="_Toc234270956"/>
      <w:r w:rsidRPr="00795F36">
        <w:rPr>
          <w:rFonts w:ascii="Arial" w:eastAsia="Calibri" w:hAnsi="Arial" w:cs="Arial"/>
          <w:color w:val="auto"/>
          <w:sz w:val="24"/>
          <w:szCs w:val="24"/>
        </w:rPr>
        <w:t>Definition</w:t>
      </w:r>
      <w:bookmarkEnd w:id="18"/>
    </w:p>
    <w:p w14:paraId="3ED55859" w14:textId="77777777"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This hybrid method combines the two preceding approaches: some activities are carried out using the client's own resources while others are let to external contractors. Clough et al. (2015, p.114) describe the underlying logic from the contracting side: before estimating, a contractor's staff determine which items will be self-performed with its own labour and which will be subcontracted. The same logic applies to a client's overall contracting strategy, where some packages are retained in-house and others let externally.</w:t>
      </w:r>
    </w:p>
    <w:p w14:paraId="19AB1764" w14:textId="77777777" w:rsidR="00B83D19" w:rsidRPr="00795F36" w:rsidRDefault="00000000" w:rsidP="00795F36">
      <w:pPr>
        <w:pStyle w:val="Heading2"/>
        <w:spacing w:before="300" w:after="200" w:line="360" w:lineRule="auto"/>
        <w:rPr>
          <w:rFonts w:ascii="Arial" w:hAnsi="Arial" w:cs="Arial"/>
          <w:color w:val="auto"/>
          <w:sz w:val="24"/>
          <w:szCs w:val="24"/>
        </w:rPr>
      </w:pPr>
      <w:bookmarkStart w:id="19" w:name="_Toc234270957"/>
      <w:r w:rsidRPr="00795F36">
        <w:rPr>
          <w:rFonts w:ascii="Arial" w:eastAsia="Calibri" w:hAnsi="Arial" w:cs="Arial"/>
          <w:color w:val="auto"/>
          <w:sz w:val="24"/>
          <w:szCs w:val="24"/>
        </w:rPr>
        <w:t>Advantages</w:t>
      </w:r>
      <w:bookmarkEnd w:id="19"/>
    </w:p>
    <w:p w14:paraId="53AD0EA0" w14:textId="77777777"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De Marco (2011, p.25) frames delivery method choice as a spectrum running from 100% owner to 100% contractor risk and know-how, and the hybrid position on that spectrum allows a client to retain the packages where it has genuine in-house expertise while transferring the packages where a specialist contractor is better placed to manage the risk. This flexibility means cost and risk can, in principle, be allocated activity by activity rather than applying a single blanket arrangement across the whole project.</w:t>
      </w:r>
    </w:p>
    <w:p w14:paraId="3116EBEA" w14:textId="77777777" w:rsidR="00B83D19" w:rsidRPr="00795F36" w:rsidRDefault="00000000" w:rsidP="00795F36">
      <w:pPr>
        <w:pStyle w:val="Heading2"/>
        <w:spacing w:before="300" w:after="200" w:line="360" w:lineRule="auto"/>
        <w:rPr>
          <w:rFonts w:ascii="Arial" w:hAnsi="Arial" w:cs="Arial"/>
          <w:color w:val="auto"/>
          <w:sz w:val="24"/>
          <w:szCs w:val="24"/>
        </w:rPr>
      </w:pPr>
      <w:bookmarkStart w:id="20" w:name="_Toc234270958"/>
      <w:r w:rsidRPr="00795F36">
        <w:rPr>
          <w:rFonts w:ascii="Arial" w:eastAsia="Calibri" w:hAnsi="Arial" w:cs="Arial"/>
          <w:color w:val="auto"/>
          <w:sz w:val="24"/>
          <w:szCs w:val="24"/>
        </w:rPr>
        <w:t>Disadvantages</w:t>
      </w:r>
      <w:bookmarkEnd w:id="20"/>
    </w:p>
    <w:p w14:paraId="5765370A" w14:textId="77777777"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The trade-off is complexity: the client must manage its own delivery team for the retained scope while coordinating interfaces with external contractors for the rest, combining the coordination burden of Multi-contract with the resourcing burden of DIY. Clough et al. (2015, p.114) note that the boundary between self-performed and subcontracted work must be determined carefully before estimating, since costs are built up differently on either side of it.</w:t>
      </w:r>
    </w:p>
    <w:p w14:paraId="60FD5BF7" w14:textId="6E5F383C" w:rsidR="00B83D19" w:rsidRPr="00795F36" w:rsidRDefault="00000000" w:rsidP="00795F36">
      <w:pPr>
        <w:pStyle w:val="Heading2"/>
        <w:spacing w:before="300" w:after="200" w:line="360" w:lineRule="auto"/>
        <w:rPr>
          <w:rFonts w:ascii="Arial" w:hAnsi="Arial" w:cs="Arial"/>
          <w:color w:val="auto"/>
          <w:sz w:val="24"/>
          <w:szCs w:val="24"/>
        </w:rPr>
      </w:pPr>
      <w:bookmarkStart w:id="21" w:name="_Toc234270959"/>
      <w:r w:rsidRPr="00795F36">
        <w:rPr>
          <w:rFonts w:ascii="Arial" w:eastAsia="Calibri" w:hAnsi="Arial" w:cs="Arial"/>
          <w:color w:val="auto"/>
          <w:sz w:val="24"/>
          <w:szCs w:val="24"/>
        </w:rPr>
        <w:t>Suitable projects</w:t>
      </w:r>
      <w:bookmarkEnd w:id="21"/>
    </w:p>
    <w:p w14:paraId="72BDEAB2" w14:textId="77777777"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This method suits projects with a mixture of strategically core and commercially peripheral activities, where the client has genuine in-house capability for some elements, of the kind described by Winch (2010, p.101) for state agencies and large facilities-owning firms, but needs external specialist input for other elements outside that core capability.</w:t>
      </w:r>
    </w:p>
    <w:p w14:paraId="7AE191F1" w14:textId="77777777" w:rsidR="00B83D19" w:rsidRPr="00795F36" w:rsidRDefault="00000000" w:rsidP="00795F36">
      <w:pPr>
        <w:pStyle w:val="Heading1"/>
        <w:spacing w:before="300" w:after="200" w:line="360" w:lineRule="auto"/>
        <w:rPr>
          <w:rFonts w:ascii="Arial" w:hAnsi="Arial" w:cs="Arial"/>
          <w:color w:val="auto"/>
          <w:sz w:val="24"/>
          <w:szCs w:val="24"/>
        </w:rPr>
      </w:pPr>
      <w:bookmarkStart w:id="22" w:name="_Toc234270960"/>
      <w:r w:rsidRPr="00795F36">
        <w:rPr>
          <w:rFonts w:ascii="Arial" w:eastAsia="Calibri" w:hAnsi="Arial" w:cs="Arial"/>
          <w:color w:val="auto"/>
          <w:sz w:val="24"/>
          <w:szCs w:val="24"/>
        </w:rPr>
        <w:t>6. Comparative Discussion</w:t>
      </w:r>
      <w:bookmarkEnd w:id="22"/>
    </w:p>
    <w:p w14:paraId="3AA8BE51" w14:textId="558D7EE1"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Reviewing the four methods together shows contracting choice is best understood as a spectrum from full risk transfer to full client control, not a binary choice (De Marco, 2011, p.25). Turnkey maximises risk transfer and simplicity at the cost of control and price (Masterman, 2002, pp.53-54). DIY maximises control but depends on sufficient in-house capability and transaction volume (Winch, 2010, pp.101-102). Multi-contract and its hybrid occupy intermediate positions, trading simplicity for control and cost efficiency, provided the client has the coordination capacity these methods demand (Masterman, 2002, pp.68-69). The choice is also tied to the type of risk transfer sought. Müller and Turner (2005, p.401) note that fixed-price contracts, of which Turnkey is the clearest example, shift essentially all delivery risk to the contractor and can reduce the owner's day-to-day involvement, whereas cost-plus arrangements shift risk back toward the owner and require closer monitoring. A client with limited internal project management resource and a strong preference for cost certainty is pushed toward Turnkey, whereas a client able to stay closely involved is better placed to use Multi-contract or a hybrid arrangement. Historical experience with large projects illustrates the risk side of this trade-off. Flyvbjerg (2014, p.10) finds nine out of ten large infrastructure and engineering projects experience cost overruns, with overruns above 50% in real terms not uncommon, partly attributable to the difficulty of accurately pricing risk at the point a fixed-price or turnkey-type contract is agreed. Mispricing risk transferred under a Turnkey contract, or underestimating the coordination demands of a Multi-contract arrangement, can materially affect whether a project is delivered to budget. Procurement research on partnering extends this logic to how methods can be modified rather than simply chosen outright. Eriksson (2010, p.909) argues that as project complexity, customisation, uncertainty, duration, and time pressure rise, procurement arrangements should shift toward more cooperative governance, regardless of the base contracting method. Clients facing higher complexity may therefore need more collaborative procedures within a Multi-contract or Turnkey arrangement, such as earlier contractor involvement or bid evaluation weighted toward competence over price, to manage risks the base method does not resolve alone.</w:t>
      </w:r>
    </w:p>
    <w:p w14:paraId="7699F553" w14:textId="77777777" w:rsidR="00B83D19" w:rsidRPr="00795F36" w:rsidRDefault="00000000" w:rsidP="00795F36">
      <w:pPr>
        <w:pStyle w:val="Heading1"/>
        <w:spacing w:before="300" w:after="200" w:line="360" w:lineRule="auto"/>
        <w:rPr>
          <w:rFonts w:ascii="Arial" w:hAnsi="Arial" w:cs="Arial"/>
          <w:color w:val="auto"/>
          <w:sz w:val="24"/>
          <w:szCs w:val="24"/>
        </w:rPr>
      </w:pPr>
      <w:bookmarkStart w:id="23" w:name="_Toc234270961"/>
      <w:r w:rsidRPr="00795F36">
        <w:rPr>
          <w:rFonts w:ascii="Arial" w:eastAsia="Calibri" w:hAnsi="Arial" w:cs="Arial"/>
          <w:color w:val="auto"/>
          <w:sz w:val="24"/>
          <w:szCs w:val="24"/>
        </w:rPr>
        <w:t>7. Conclusion</w:t>
      </w:r>
      <w:bookmarkEnd w:id="23"/>
    </w:p>
    <w:p w14:paraId="0B65716F" w14:textId="77777777" w:rsidR="00B83D19" w:rsidRPr="00795F36" w:rsidRDefault="00000000" w:rsidP="00795F36">
      <w:pPr>
        <w:spacing w:after="200" w:line="360" w:lineRule="auto"/>
        <w:jc w:val="both"/>
        <w:rPr>
          <w:rFonts w:ascii="Arial" w:hAnsi="Arial" w:cs="Arial"/>
          <w:sz w:val="24"/>
          <w:szCs w:val="24"/>
        </w:rPr>
      </w:pPr>
      <w:r w:rsidRPr="00795F36">
        <w:rPr>
          <w:rFonts w:ascii="Arial" w:eastAsia="Calibri" w:hAnsi="Arial" w:cs="Arial"/>
          <w:sz w:val="24"/>
          <w:szCs w:val="24"/>
        </w:rPr>
        <w:t>This essay has explained the four principal methods of contracting: Turnkey, Multi-contract, DIY, and Multi-contract plus DIY, and evaluated their relative advantages and disadvantages. No single method is universally superior; each balances client control, coordination burden, cost, and risk transfer differently. Turnkey offers simplicity and risk transfer at a price premium, suiting large, technically complex projects beyond the client's expertise (Masterman, 2002, pp.50-54). Multi-contract preserves client control and cost visibility but demands strong coordination capability (Masterman, 2002, pp.68-69; De Marco, 2011, pp.20-21). DIY maximises control but requires genuine in-house capability and transaction volume, and retains risk a specialist contractor might manage better (Winch, 2010, pp.101-102). Multi-contract plus DIY offers a flexible middle path for projects with both core and peripheral activities, at the cost of managing two forms of complexity at once. Effective contracting strategy therefore requires weighing project complexity, in-house expertise, and risk appetite before selecting the method, or combination of methods, best suited to the project.</w:t>
      </w:r>
    </w:p>
    <w:p w14:paraId="4DBD619A" w14:textId="77777777" w:rsidR="00B83D19" w:rsidRPr="00795F36" w:rsidRDefault="00000000" w:rsidP="00795F36">
      <w:pPr>
        <w:spacing w:line="360" w:lineRule="auto"/>
        <w:rPr>
          <w:rFonts w:ascii="Arial" w:hAnsi="Arial" w:cs="Arial"/>
          <w:sz w:val="24"/>
          <w:szCs w:val="24"/>
        </w:rPr>
      </w:pPr>
      <w:r w:rsidRPr="00795F36">
        <w:rPr>
          <w:rFonts w:ascii="Arial" w:hAnsi="Arial" w:cs="Arial"/>
          <w:sz w:val="24"/>
          <w:szCs w:val="24"/>
        </w:rPr>
        <w:br w:type="page"/>
      </w:r>
    </w:p>
    <w:p w14:paraId="75562636" w14:textId="77777777" w:rsidR="00B83D19" w:rsidRPr="00795F36" w:rsidRDefault="00000000" w:rsidP="00795F36">
      <w:pPr>
        <w:pStyle w:val="Heading1"/>
        <w:spacing w:before="300" w:after="200" w:line="360" w:lineRule="auto"/>
        <w:rPr>
          <w:rFonts w:ascii="Arial" w:hAnsi="Arial" w:cs="Arial"/>
          <w:color w:val="auto"/>
          <w:sz w:val="24"/>
          <w:szCs w:val="24"/>
        </w:rPr>
      </w:pPr>
      <w:bookmarkStart w:id="24" w:name="_Toc234270962"/>
      <w:r w:rsidRPr="00795F36">
        <w:rPr>
          <w:rFonts w:ascii="Arial" w:eastAsia="Calibri" w:hAnsi="Arial" w:cs="Arial"/>
          <w:color w:val="auto"/>
          <w:sz w:val="24"/>
          <w:szCs w:val="24"/>
        </w:rPr>
        <w:t>References</w:t>
      </w:r>
      <w:bookmarkEnd w:id="24"/>
    </w:p>
    <w:p w14:paraId="0504DA96" w14:textId="77777777" w:rsidR="00B83D19" w:rsidRPr="00795F36" w:rsidRDefault="00000000" w:rsidP="00795F36">
      <w:pPr>
        <w:spacing w:after="200" w:line="360" w:lineRule="auto"/>
        <w:ind w:left="720" w:hanging="720"/>
        <w:rPr>
          <w:rFonts w:ascii="Arial" w:hAnsi="Arial" w:cs="Arial"/>
          <w:sz w:val="24"/>
          <w:szCs w:val="24"/>
        </w:rPr>
      </w:pPr>
      <w:r w:rsidRPr="00795F36">
        <w:rPr>
          <w:rFonts w:ascii="Arial" w:eastAsia="Calibri" w:hAnsi="Arial" w:cs="Arial"/>
          <w:sz w:val="24"/>
          <w:szCs w:val="24"/>
        </w:rPr>
        <w:t xml:space="preserve">Clough, R.H., Sears, G.A., Sears, S.K., Segner, R.O. and Rounds, J.L. (2015) </w:t>
      </w:r>
      <w:r w:rsidRPr="00795F36">
        <w:rPr>
          <w:rFonts w:ascii="Arial" w:eastAsia="Calibri" w:hAnsi="Arial" w:cs="Arial"/>
          <w:i/>
          <w:iCs/>
          <w:sz w:val="24"/>
          <w:szCs w:val="24"/>
        </w:rPr>
        <w:t>Construction Contracting: A Practical Guide to Company Management</w:t>
      </w:r>
      <w:r w:rsidRPr="00795F36">
        <w:rPr>
          <w:rFonts w:ascii="Arial" w:eastAsia="Calibri" w:hAnsi="Arial" w:cs="Arial"/>
          <w:sz w:val="24"/>
          <w:szCs w:val="24"/>
        </w:rPr>
        <w:t xml:space="preserve">. 8th </w:t>
      </w:r>
      <w:proofErr w:type="spellStart"/>
      <w:r w:rsidRPr="00795F36">
        <w:rPr>
          <w:rFonts w:ascii="Arial" w:eastAsia="Calibri" w:hAnsi="Arial" w:cs="Arial"/>
          <w:sz w:val="24"/>
          <w:szCs w:val="24"/>
        </w:rPr>
        <w:t>edn</w:t>
      </w:r>
      <w:proofErr w:type="spellEnd"/>
      <w:r w:rsidRPr="00795F36">
        <w:rPr>
          <w:rFonts w:ascii="Arial" w:eastAsia="Calibri" w:hAnsi="Arial" w:cs="Arial"/>
          <w:sz w:val="24"/>
          <w:szCs w:val="24"/>
        </w:rPr>
        <w:t>. Hoboken, NJ: Wiley.</w:t>
      </w:r>
    </w:p>
    <w:p w14:paraId="26424E70" w14:textId="77777777" w:rsidR="00B83D19" w:rsidRPr="00795F36" w:rsidRDefault="00000000" w:rsidP="00795F36">
      <w:pPr>
        <w:spacing w:after="200" w:line="360" w:lineRule="auto"/>
        <w:ind w:left="720" w:hanging="720"/>
        <w:rPr>
          <w:rFonts w:ascii="Arial" w:hAnsi="Arial" w:cs="Arial"/>
          <w:sz w:val="24"/>
          <w:szCs w:val="24"/>
        </w:rPr>
      </w:pPr>
      <w:r w:rsidRPr="00795F36">
        <w:rPr>
          <w:rFonts w:ascii="Arial" w:eastAsia="Calibri" w:hAnsi="Arial" w:cs="Arial"/>
          <w:sz w:val="24"/>
          <w:szCs w:val="24"/>
        </w:rPr>
        <w:t xml:space="preserve">De Marco, A. (2011) </w:t>
      </w:r>
      <w:r w:rsidRPr="00795F36">
        <w:rPr>
          <w:rFonts w:ascii="Arial" w:eastAsia="Calibri" w:hAnsi="Arial" w:cs="Arial"/>
          <w:i/>
          <w:iCs/>
          <w:sz w:val="24"/>
          <w:szCs w:val="24"/>
        </w:rPr>
        <w:t>Project Management for Facility Constructions: A Guide for Engineers and Architects.</w:t>
      </w:r>
      <w:r w:rsidRPr="00795F36">
        <w:rPr>
          <w:rFonts w:ascii="Arial" w:eastAsia="Calibri" w:hAnsi="Arial" w:cs="Arial"/>
          <w:sz w:val="24"/>
          <w:szCs w:val="24"/>
        </w:rPr>
        <w:t xml:space="preserve"> Berlin: Springer.</w:t>
      </w:r>
    </w:p>
    <w:p w14:paraId="58C7DD07" w14:textId="77777777" w:rsidR="00B83D19" w:rsidRPr="00795F36" w:rsidRDefault="00000000" w:rsidP="00795F36">
      <w:pPr>
        <w:spacing w:after="200" w:line="360" w:lineRule="auto"/>
        <w:ind w:left="720" w:hanging="720"/>
        <w:rPr>
          <w:rFonts w:ascii="Arial" w:hAnsi="Arial" w:cs="Arial"/>
          <w:sz w:val="24"/>
          <w:szCs w:val="24"/>
        </w:rPr>
      </w:pPr>
      <w:r w:rsidRPr="00795F36">
        <w:rPr>
          <w:rFonts w:ascii="Arial" w:eastAsia="Calibri" w:hAnsi="Arial" w:cs="Arial"/>
          <w:sz w:val="24"/>
          <w:szCs w:val="24"/>
        </w:rPr>
        <w:t xml:space="preserve">Eriksson, P.E. (2010) 'Partnering: what is it, when should it be used, and how should it be implemented?', </w:t>
      </w:r>
      <w:r w:rsidRPr="00795F36">
        <w:rPr>
          <w:rFonts w:ascii="Arial" w:eastAsia="Calibri" w:hAnsi="Arial" w:cs="Arial"/>
          <w:i/>
          <w:iCs/>
          <w:sz w:val="24"/>
          <w:szCs w:val="24"/>
        </w:rPr>
        <w:t>Construction Management and Economics,</w:t>
      </w:r>
      <w:r w:rsidRPr="00795F36">
        <w:rPr>
          <w:rFonts w:ascii="Arial" w:eastAsia="Calibri" w:hAnsi="Arial" w:cs="Arial"/>
          <w:sz w:val="24"/>
          <w:szCs w:val="24"/>
        </w:rPr>
        <w:t xml:space="preserve"> 28(9), pp.905-917.</w:t>
      </w:r>
    </w:p>
    <w:p w14:paraId="0677342E" w14:textId="77777777" w:rsidR="00B83D19" w:rsidRPr="00795F36" w:rsidRDefault="00000000" w:rsidP="00795F36">
      <w:pPr>
        <w:spacing w:after="200" w:line="360" w:lineRule="auto"/>
        <w:ind w:left="720" w:hanging="720"/>
        <w:rPr>
          <w:rFonts w:ascii="Arial" w:hAnsi="Arial" w:cs="Arial"/>
          <w:sz w:val="24"/>
          <w:szCs w:val="24"/>
        </w:rPr>
      </w:pPr>
      <w:r w:rsidRPr="00795F36">
        <w:rPr>
          <w:rFonts w:ascii="Arial" w:eastAsia="Calibri" w:hAnsi="Arial" w:cs="Arial"/>
          <w:sz w:val="24"/>
          <w:szCs w:val="24"/>
        </w:rPr>
        <w:t xml:space="preserve">Flyvbjerg, B. (2014) 'What you should know about megaprojects and why: an overview', </w:t>
      </w:r>
      <w:r w:rsidRPr="00795F36">
        <w:rPr>
          <w:rFonts w:ascii="Arial" w:eastAsia="Calibri" w:hAnsi="Arial" w:cs="Arial"/>
          <w:i/>
          <w:iCs/>
          <w:sz w:val="24"/>
          <w:szCs w:val="24"/>
        </w:rPr>
        <w:t>Project Management Journal</w:t>
      </w:r>
      <w:r w:rsidRPr="00795F36">
        <w:rPr>
          <w:rFonts w:ascii="Arial" w:eastAsia="Calibri" w:hAnsi="Arial" w:cs="Arial"/>
          <w:sz w:val="24"/>
          <w:szCs w:val="24"/>
        </w:rPr>
        <w:t>, 45(2), pp.6-19.</w:t>
      </w:r>
    </w:p>
    <w:p w14:paraId="3D1C93D2" w14:textId="77777777" w:rsidR="00B83D19" w:rsidRPr="00795F36" w:rsidRDefault="00000000" w:rsidP="00795F36">
      <w:pPr>
        <w:spacing w:after="200" w:line="360" w:lineRule="auto"/>
        <w:ind w:left="720" w:hanging="720"/>
        <w:rPr>
          <w:rFonts w:ascii="Arial" w:hAnsi="Arial" w:cs="Arial"/>
          <w:sz w:val="24"/>
          <w:szCs w:val="24"/>
        </w:rPr>
      </w:pPr>
      <w:r w:rsidRPr="00795F36">
        <w:rPr>
          <w:rFonts w:ascii="Arial" w:eastAsia="Calibri" w:hAnsi="Arial" w:cs="Arial"/>
          <w:sz w:val="24"/>
          <w:szCs w:val="24"/>
        </w:rPr>
        <w:t xml:space="preserve">Kerzner, H. (2017) </w:t>
      </w:r>
      <w:r w:rsidRPr="00795F36">
        <w:rPr>
          <w:rFonts w:ascii="Arial" w:eastAsia="Calibri" w:hAnsi="Arial" w:cs="Arial"/>
          <w:i/>
          <w:iCs/>
          <w:sz w:val="24"/>
          <w:szCs w:val="24"/>
        </w:rPr>
        <w:t>Project Management: A Systems Approach to Planning, Scheduling, and Controlling</w:t>
      </w:r>
      <w:r w:rsidRPr="00795F36">
        <w:rPr>
          <w:rFonts w:ascii="Arial" w:eastAsia="Calibri" w:hAnsi="Arial" w:cs="Arial"/>
          <w:sz w:val="24"/>
          <w:szCs w:val="24"/>
        </w:rPr>
        <w:t xml:space="preserve">. 12th </w:t>
      </w:r>
      <w:proofErr w:type="spellStart"/>
      <w:r w:rsidRPr="00795F36">
        <w:rPr>
          <w:rFonts w:ascii="Arial" w:eastAsia="Calibri" w:hAnsi="Arial" w:cs="Arial"/>
          <w:sz w:val="24"/>
          <w:szCs w:val="24"/>
        </w:rPr>
        <w:t>edn</w:t>
      </w:r>
      <w:proofErr w:type="spellEnd"/>
      <w:r w:rsidRPr="00795F36">
        <w:rPr>
          <w:rFonts w:ascii="Arial" w:eastAsia="Calibri" w:hAnsi="Arial" w:cs="Arial"/>
          <w:sz w:val="24"/>
          <w:szCs w:val="24"/>
        </w:rPr>
        <w:t>. Hoboken, NJ: Wiley.</w:t>
      </w:r>
    </w:p>
    <w:p w14:paraId="0C5FC57F" w14:textId="77777777" w:rsidR="00B83D19" w:rsidRPr="00795F36" w:rsidRDefault="00000000" w:rsidP="00795F36">
      <w:pPr>
        <w:spacing w:after="200" w:line="360" w:lineRule="auto"/>
        <w:ind w:left="720" w:hanging="720"/>
        <w:rPr>
          <w:rFonts w:ascii="Arial" w:hAnsi="Arial" w:cs="Arial"/>
          <w:sz w:val="24"/>
          <w:szCs w:val="24"/>
        </w:rPr>
      </w:pPr>
      <w:r w:rsidRPr="00795F36">
        <w:rPr>
          <w:rFonts w:ascii="Arial" w:eastAsia="Calibri" w:hAnsi="Arial" w:cs="Arial"/>
          <w:sz w:val="24"/>
          <w:szCs w:val="24"/>
        </w:rPr>
        <w:t xml:space="preserve">Masterman, J.W.E. (2002) </w:t>
      </w:r>
      <w:r w:rsidRPr="00795F36">
        <w:rPr>
          <w:rFonts w:ascii="Arial" w:eastAsia="Calibri" w:hAnsi="Arial" w:cs="Arial"/>
          <w:i/>
          <w:iCs/>
          <w:sz w:val="24"/>
          <w:szCs w:val="24"/>
        </w:rPr>
        <w:t>An Introduction to Building Procurement Systems.</w:t>
      </w:r>
      <w:r w:rsidRPr="00795F36">
        <w:rPr>
          <w:rFonts w:ascii="Arial" w:eastAsia="Calibri" w:hAnsi="Arial" w:cs="Arial"/>
          <w:sz w:val="24"/>
          <w:szCs w:val="24"/>
        </w:rPr>
        <w:t xml:space="preserve"> 2nd </w:t>
      </w:r>
      <w:proofErr w:type="spellStart"/>
      <w:r w:rsidRPr="00795F36">
        <w:rPr>
          <w:rFonts w:ascii="Arial" w:eastAsia="Calibri" w:hAnsi="Arial" w:cs="Arial"/>
          <w:sz w:val="24"/>
          <w:szCs w:val="24"/>
        </w:rPr>
        <w:t>edn</w:t>
      </w:r>
      <w:proofErr w:type="spellEnd"/>
      <w:r w:rsidRPr="00795F36">
        <w:rPr>
          <w:rFonts w:ascii="Arial" w:eastAsia="Calibri" w:hAnsi="Arial" w:cs="Arial"/>
          <w:sz w:val="24"/>
          <w:szCs w:val="24"/>
        </w:rPr>
        <w:t>. London: Spon Press.</w:t>
      </w:r>
    </w:p>
    <w:p w14:paraId="51284352" w14:textId="77777777" w:rsidR="00B83D19" w:rsidRPr="00795F36" w:rsidRDefault="00000000" w:rsidP="00795F36">
      <w:pPr>
        <w:spacing w:after="200" w:line="360" w:lineRule="auto"/>
        <w:ind w:left="720" w:hanging="720"/>
        <w:rPr>
          <w:rFonts w:ascii="Arial" w:hAnsi="Arial" w:cs="Arial"/>
          <w:sz w:val="24"/>
          <w:szCs w:val="24"/>
        </w:rPr>
      </w:pPr>
      <w:r w:rsidRPr="00795F36">
        <w:rPr>
          <w:rFonts w:ascii="Arial" w:eastAsia="Calibri" w:hAnsi="Arial" w:cs="Arial"/>
          <w:sz w:val="24"/>
          <w:szCs w:val="24"/>
        </w:rPr>
        <w:t xml:space="preserve">Müller, R. and Turner, J.R. (2005) 'The impact of principal-agent relationship and contract type on communication between project owner and manager', </w:t>
      </w:r>
      <w:r w:rsidRPr="00795F36">
        <w:rPr>
          <w:rFonts w:ascii="Arial" w:eastAsia="Calibri" w:hAnsi="Arial" w:cs="Arial"/>
          <w:i/>
          <w:iCs/>
          <w:sz w:val="24"/>
          <w:szCs w:val="24"/>
        </w:rPr>
        <w:t>International Journal of Project Management</w:t>
      </w:r>
      <w:r w:rsidRPr="00795F36">
        <w:rPr>
          <w:rFonts w:ascii="Arial" w:eastAsia="Calibri" w:hAnsi="Arial" w:cs="Arial"/>
          <w:sz w:val="24"/>
          <w:szCs w:val="24"/>
        </w:rPr>
        <w:t>, 23(5), pp.398-403.</w:t>
      </w:r>
    </w:p>
    <w:p w14:paraId="10AB84BF" w14:textId="77777777" w:rsidR="00B83D19" w:rsidRPr="00795F36" w:rsidRDefault="00000000" w:rsidP="00795F36">
      <w:pPr>
        <w:spacing w:after="200" w:line="360" w:lineRule="auto"/>
        <w:ind w:left="720" w:hanging="720"/>
        <w:rPr>
          <w:rFonts w:ascii="Arial" w:hAnsi="Arial" w:cs="Arial"/>
          <w:sz w:val="24"/>
          <w:szCs w:val="24"/>
        </w:rPr>
      </w:pPr>
      <w:r w:rsidRPr="00795F36">
        <w:rPr>
          <w:rFonts w:ascii="Arial" w:eastAsia="Calibri" w:hAnsi="Arial" w:cs="Arial"/>
          <w:sz w:val="24"/>
          <w:szCs w:val="24"/>
        </w:rPr>
        <w:t xml:space="preserve">Pietroforte, R. and Miller, J.B. (2002) 'Procurement methods for US infrastructure: historical perspectives and recent trends', </w:t>
      </w:r>
      <w:r w:rsidRPr="00795F36">
        <w:rPr>
          <w:rFonts w:ascii="Arial" w:eastAsia="Calibri" w:hAnsi="Arial" w:cs="Arial"/>
          <w:i/>
          <w:iCs/>
          <w:sz w:val="24"/>
          <w:szCs w:val="24"/>
        </w:rPr>
        <w:t>Building Research &amp; Information</w:t>
      </w:r>
      <w:r w:rsidRPr="00795F36">
        <w:rPr>
          <w:rFonts w:ascii="Arial" w:eastAsia="Calibri" w:hAnsi="Arial" w:cs="Arial"/>
          <w:sz w:val="24"/>
          <w:szCs w:val="24"/>
        </w:rPr>
        <w:t>, 30(6), pp.425-434.</w:t>
      </w:r>
    </w:p>
    <w:p w14:paraId="1F1052B4" w14:textId="77777777" w:rsidR="00B83D19" w:rsidRPr="00795F36" w:rsidRDefault="00000000" w:rsidP="00795F36">
      <w:pPr>
        <w:spacing w:after="200" w:line="360" w:lineRule="auto"/>
        <w:ind w:left="720" w:hanging="720"/>
        <w:rPr>
          <w:rFonts w:ascii="Arial" w:hAnsi="Arial" w:cs="Arial"/>
          <w:sz w:val="24"/>
          <w:szCs w:val="24"/>
        </w:rPr>
      </w:pPr>
      <w:r w:rsidRPr="00795F36">
        <w:rPr>
          <w:rFonts w:ascii="Arial" w:eastAsia="Calibri" w:hAnsi="Arial" w:cs="Arial"/>
          <w:sz w:val="24"/>
          <w:szCs w:val="24"/>
        </w:rPr>
        <w:t xml:space="preserve">Project Management Institute (2025) </w:t>
      </w:r>
      <w:r w:rsidRPr="00795F36">
        <w:rPr>
          <w:rFonts w:ascii="Arial" w:eastAsia="Calibri" w:hAnsi="Arial" w:cs="Arial"/>
          <w:i/>
          <w:iCs/>
          <w:sz w:val="24"/>
          <w:szCs w:val="24"/>
        </w:rPr>
        <w:t>A Guide to the Project Management Body of Knowledge (PMBOK Guide).</w:t>
      </w:r>
      <w:r w:rsidRPr="00795F36">
        <w:rPr>
          <w:rFonts w:ascii="Arial" w:eastAsia="Calibri" w:hAnsi="Arial" w:cs="Arial"/>
          <w:sz w:val="24"/>
          <w:szCs w:val="24"/>
        </w:rPr>
        <w:t xml:space="preserve"> 8th </w:t>
      </w:r>
      <w:proofErr w:type="spellStart"/>
      <w:r w:rsidRPr="00795F36">
        <w:rPr>
          <w:rFonts w:ascii="Arial" w:eastAsia="Calibri" w:hAnsi="Arial" w:cs="Arial"/>
          <w:sz w:val="24"/>
          <w:szCs w:val="24"/>
        </w:rPr>
        <w:t>edn</w:t>
      </w:r>
      <w:proofErr w:type="spellEnd"/>
      <w:r w:rsidRPr="00795F36">
        <w:rPr>
          <w:rFonts w:ascii="Arial" w:eastAsia="Calibri" w:hAnsi="Arial" w:cs="Arial"/>
          <w:sz w:val="24"/>
          <w:szCs w:val="24"/>
        </w:rPr>
        <w:t>. Newtown Square, PA: Project Management Institute.</w:t>
      </w:r>
    </w:p>
    <w:p w14:paraId="50418986" w14:textId="77777777" w:rsidR="00B83D19" w:rsidRPr="00795F36" w:rsidRDefault="00000000" w:rsidP="00795F36">
      <w:pPr>
        <w:spacing w:after="200" w:line="360" w:lineRule="auto"/>
        <w:ind w:left="720" w:hanging="720"/>
        <w:rPr>
          <w:rFonts w:ascii="Arial" w:hAnsi="Arial" w:cs="Arial"/>
          <w:sz w:val="24"/>
          <w:szCs w:val="24"/>
        </w:rPr>
      </w:pPr>
      <w:r w:rsidRPr="00795F36">
        <w:rPr>
          <w:rFonts w:ascii="Arial" w:eastAsia="Calibri" w:hAnsi="Arial" w:cs="Arial"/>
          <w:sz w:val="24"/>
          <w:szCs w:val="24"/>
        </w:rPr>
        <w:t xml:space="preserve">Walker, A. (2015) </w:t>
      </w:r>
      <w:r w:rsidRPr="00795F36">
        <w:rPr>
          <w:rFonts w:ascii="Arial" w:eastAsia="Calibri" w:hAnsi="Arial" w:cs="Arial"/>
          <w:i/>
          <w:iCs/>
          <w:sz w:val="24"/>
          <w:szCs w:val="24"/>
        </w:rPr>
        <w:t>Project Management in Construction.</w:t>
      </w:r>
      <w:r w:rsidRPr="00795F36">
        <w:rPr>
          <w:rFonts w:ascii="Arial" w:eastAsia="Calibri" w:hAnsi="Arial" w:cs="Arial"/>
          <w:sz w:val="24"/>
          <w:szCs w:val="24"/>
        </w:rPr>
        <w:t xml:space="preserve"> 6th </w:t>
      </w:r>
      <w:proofErr w:type="spellStart"/>
      <w:r w:rsidRPr="00795F36">
        <w:rPr>
          <w:rFonts w:ascii="Arial" w:eastAsia="Calibri" w:hAnsi="Arial" w:cs="Arial"/>
          <w:sz w:val="24"/>
          <w:szCs w:val="24"/>
        </w:rPr>
        <w:t>edn</w:t>
      </w:r>
      <w:proofErr w:type="spellEnd"/>
      <w:r w:rsidRPr="00795F36">
        <w:rPr>
          <w:rFonts w:ascii="Arial" w:eastAsia="Calibri" w:hAnsi="Arial" w:cs="Arial"/>
          <w:sz w:val="24"/>
          <w:szCs w:val="24"/>
        </w:rPr>
        <w:t>. Chichester: Wiley.</w:t>
      </w:r>
    </w:p>
    <w:p w14:paraId="7D45B41D" w14:textId="77777777" w:rsidR="00B83D19" w:rsidRPr="00795F36" w:rsidRDefault="00000000" w:rsidP="00795F36">
      <w:pPr>
        <w:spacing w:after="200" w:line="360" w:lineRule="auto"/>
        <w:ind w:left="720" w:hanging="720"/>
        <w:rPr>
          <w:rFonts w:ascii="Arial" w:hAnsi="Arial" w:cs="Arial"/>
          <w:sz w:val="24"/>
          <w:szCs w:val="24"/>
        </w:rPr>
      </w:pPr>
      <w:r w:rsidRPr="00795F36">
        <w:rPr>
          <w:rFonts w:ascii="Arial" w:eastAsia="Calibri" w:hAnsi="Arial" w:cs="Arial"/>
          <w:sz w:val="24"/>
          <w:szCs w:val="24"/>
        </w:rPr>
        <w:t xml:space="preserve">Winch, G.M. (2010) </w:t>
      </w:r>
      <w:r w:rsidRPr="00795F36">
        <w:rPr>
          <w:rFonts w:ascii="Arial" w:eastAsia="Calibri" w:hAnsi="Arial" w:cs="Arial"/>
          <w:i/>
          <w:iCs/>
          <w:sz w:val="24"/>
          <w:szCs w:val="24"/>
        </w:rPr>
        <w:t>Managing Construction Projects: An Information Processing Approach</w:t>
      </w:r>
      <w:r w:rsidRPr="00795F36">
        <w:rPr>
          <w:rFonts w:ascii="Arial" w:eastAsia="Calibri" w:hAnsi="Arial" w:cs="Arial"/>
          <w:sz w:val="24"/>
          <w:szCs w:val="24"/>
        </w:rPr>
        <w:t xml:space="preserve">. 2nd </w:t>
      </w:r>
      <w:proofErr w:type="spellStart"/>
      <w:r w:rsidRPr="00795F36">
        <w:rPr>
          <w:rFonts w:ascii="Arial" w:eastAsia="Calibri" w:hAnsi="Arial" w:cs="Arial"/>
          <w:sz w:val="24"/>
          <w:szCs w:val="24"/>
        </w:rPr>
        <w:t>edn</w:t>
      </w:r>
      <w:proofErr w:type="spellEnd"/>
      <w:r w:rsidRPr="00795F36">
        <w:rPr>
          <w:rFonts w:ascii="Arial" w:eastAsia="Calibri" w:hAnsi="Arial" w:cs="Arial"/>
          <w:sz w:val="24"/>
          <w:szCs w:val="24"/>
        </w:rPr>
        <w:t>. Chichester: Wiley-Blackwell.</w:t>
      </w:r>
    </w:p>
    <w:sectPr w:rsidR="00B83D19" w:rsidRPr="00795F36">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B8343" w14:textId="77777777" w:rsidR="00E25A1B" w:rsidRDefault="00E25A1B">
      <w:r>
        <w:separator/>
      </w:r>
    </w:p>
  </w:endnote>
  <w:endnote w:type="continuationSeparator" w:id="0">
    <w:p w14:paraId="65356341" w14:textId="77777777" w:rsidR="00E25A1B" w:rsidRDefault="00E25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4A22D" w14:textId="77777777" w:rsidR="00B83D19" w:rsidRDefault="00000000">
    <w:pPr>
      <w:jc w:val="center"/>
    </w:pPr>
    <w:r>
      <w:rPr>
        <w:rFonts w:ascii="Calibri" w:eastAsia="Calibri" w:hAnsi="Calibri" w:cs="Calibri"/>
        <w:sz w:val="18"/>
        <w:szCs w:val="18"/>
      </w:rPr>
      <w:fldChar w:fldCharType="begin"/>
    </w:r>
    <w:r>
      <w:rPr>
        <w:rFonts w:ascii="Calibri" w:eastAsia="Calibri" w:hAnsi="Calibri" w:cs="Calibri"/>
        <w:sz w:val="18"/>
        <w:szCs w:val="18"/>
      </w:rPr>
      <w:instrText>PAGE</w:instrText>
    </w:r>
    <w:r>
      <w:rPr>
        <w:rFonts w:ascii="Calibri" w:eastAsia="Calibri" w:hAnsi="Calibri" w:cs="Calibri"/>
        <w:sz w:val="18"/>
        <w:szCs w:val="18"/>
      </w:rPr>
      <w:fldChar w:fldCharType="separate"/>
    </w:r>
    <w:r w:rsidR="00295214">
      <w:rPr>
        <w:rFonts w:ascii="Calibri" w:eastAsia="Calibri" w:hAnsi="Calibri" w:cs="Calibri"/>
        <w:noProof/>
        <w:sz w:val="18"/>
        <w:szCs w:val="18"/>
      </w:rPr>
      <w:t>1</w:t>
    </w:r>
    <w:r>
      <w:rPr>
        <w:rFonts w:ascii="Calibri" w:eastAsia="Calibri" w:hAnsi="Calibri" w:cs="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B5345" w14:textId="77777777" w:rsidR="00E25A1B" w:rsidRDefault="00E25A1B">
      <w:r>
        <w:separator/>
      </w:r>
    </w:p>
  </w:footnote>
  <w:footnote w:type="continuationSeparator" w:id="0">
    <w:p w14:paraId="4D6DB9B1" w14:textId="77777777" w:rsidR="00E25A1B" w:rsidRDefault="00E25A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05D21"/>
    <w:multiLevelType w:val="hybridMultilevel"/>
    <w:tmpl w:val="2E643F32"/>
    <w:lvl w:ilvl="0" w:tplc="CBBED030">
      <w:start w:val="1"/>
      <w:numFmt w:val="bullet"/>
      <w:lvlText w:val="●"/>
      <w:lvlJc w:val="left"/>
      <w:pPr>
        <w:ind w:left="720" w:hanging="360"/>
      </w:pPr>
    </w:lvl>
    <w:lvl w:ilvl="1" w:tplc="59104EF2">
      <w:start w:val="1"/>
      <w:numFmt w:val="bullet"/>
      <w:lvlText w:val="○"/>
      <w:lvlJc w:val="left"/>
      <w:pPr>
        <w:ind w:left="1440" w:hanging="360"/>
      </w:pPr>
    </w:lvl>
    <w:lvl w:ilvl="2" w:tplc="1E7E4BF4">
      <w:start w:val="1"/>
      <w:numFmt w:val="bullet"/>
      <w:lvlText w:val="■"/>
      <w:lvlJc w:val="left"/>
      <w:pPr>
        <w:ind w:left="2160" w:hanging="360"/>
      </w:pPr>
    </w:lvl>
    <w:lvl w:ilvl="3" w:tplc="5AC6E8A0">
      <w:start w:val="1"/>
      <w:numFmt w:val="bullet"/>
      <w:lvlText w:val="●"/>
      <w:lvlJc w:val="left"/>
      <w:pPr>
        <w:ind w:left="2880" w:hanging="360"/>
      </w:pPr>
    </w:lvl>
    <w:lvl w:ilvl="4" w:tplc="F31AD742">
      <w:start w:val="1"/>
      <w:numFmt w:val="bullet"/>
      <w:lvlText w:val="○"/>
      <w:lvlJc w:val="left"/>
      <w:pPr>
        <w:ind w:left="3600" w:hanging="360"/>
      </w:pPr>
    </w:lvl>
    <w:lvl w:ilvl="5" w:tplc="7ABCF99A">
      <w:start w:val="1"/>
      <w:numFmt w:val="bullet"/>
      <w:lvlText w:val="■"/>
      <w:lvlJc w:val="left"/>
      <w:pPr>
        <w:ind w:left="4320" w:hanging="360"/>
      </w:pPr>
    </w:lvl>
    <w:lvl w:ilvl="6" w:tplc="121042FA">
      <w:start w:val="1"/>
      <w:numFmt w:val="bullet"/>
      <w:lvlText w:val="●"/>
      <w:lvlJc w:val="left"/>
      <w:pPr>
        <w:ind w:left="5040" w:hanging="360"/>
      </w:pPr>
    </w:lvl>
    <w:lvl w:ilvl="7" w:tplc="D96CC270">
      <w:start w:val="1"/>
      <w:numFmt w:val="bullet"/>
      <w:lvlText w:val="●"/>
      <w:lvlJc w:val="left"/>
      <w:pPr>
        <w:ind w:left="5760" w:hanging="360"/>
      </w:pPr>
    </w:lvl>
    <w:lvl w:ilvl="8" w:tplc="DFC40A02">
      <w:start w:val="1"/>
      <w:numFmt w:val="bullet"/>
      <w:lvlText w:val="●"/>
      <w:lvlJc w:val="left"/>
      <w:pPr>
        <w:ind w:left="6480" w:hanging="360"/>
      </w:pPr>
    </w:lvl>
  </w:abstractNum>
  <w:num w:numId="1" w16cid:durableId="123011420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D19"/>
    <w:rsid w:val="0003169A"/>
    <w:rsid w:val="00295214"/>
    <w:rsid w:val="0076032F"/>
    <w:rsid w:val="00795F36"/>
    <w:rsid w:val="00B83D19"/>
    <w:rsid w:val="00DC2BFD"/>
    <w:rsid w:val="00E25A1B"/>
    <w:rsid w:val="00EB6F47"/>
    <w:rsid w:val="00F77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F62DD"/>
  <w15:docId w15:val="{FBF64051-1D56-422A-B2E4-BAC98E668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295214"/>
    <w:pPr>
      <w:spacing w:after="100"/>
    </w:pPr>
  </w:style>
  <w:style w:type="paragraph" w:styleId="TOC2">
    <w:name w:val="toc 2"/>
    <w:basedOn w:val="Normal"/>
    <w:next w:val="Normal"/>
    <w:autoRedefine/>
    <w:uiPriority w:val="39"/>
    <w:unhideWhenUsed/>
    <w:rsid w:val="00295214"/>
    <w:pPr>
      <w:spacing w:after="100"/>
      <w:ind w:left="200"/>
    </w:pPr>
  </w:style>
  <w:style w:type="paragraph" w:styleId="Header">
    <w:name w:val="header"/>
    <w:basedOn w:val="Normal"/>
    <w:link w:val="HeaderChar"/>
    <w:uiPriority w:val="99"/>
    <w:unhideWhenUsed/>
    <w:rsid w:val="00295214"/>
    <w:pPr>
      <w:tabs>
        <w:tab w:val="center" w:pos="4513"/>
        <w:tab w:val="right" w:pos="9026"/>
      </w:tabs>
    </w:pPr>
  </w:style>
  <w:style w:type="character" w:customStyle="1" w:styleId="HeaderChar">
    <w:name w:val="Header Char"/>
    <w:basedOn w:val="DefaultParagraphFont"/>
    <w:link w:val="Header"/>
    <w:uiPriority w:val="99"/>
    <w:rsid w:val="00295214"/>
  </w:style>
  <w:style w:type="paragraph" w:styleId="Footer">
    <w:name w:val="footer"/>
    <w:basedOn w:val="Normal"/>
    <w:link w:val="FooterChar"/>
    <w:uiPriority w:val="99"/>
    <w:unhideWhenUsed/>
    <w:rsid w:val="00295214"/>
    <w:pPr>
      <w:tabs>
        <w:tab w:val="center" w:pos="4513"/>
        <w:tab w:val="right" w:pos="9026"/>
      </w:tabs>
    </w:pPr>
  </w:style>
  <w:style w:type="character" w:customStyle="1" w:styleId="FooterChar">
    <w:name w:val="Footer Char"/>
    <w:basedOn w:val="DefaultParagraphFont"/>
    <w:link w:val="Footer"/>
    <w:uiPriority w:val="99"/>
    <w:rsid w:val="00295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TotalTime>
  <Pages>10</Pages>
  <Words>2491</Words>
  <Characters>14199</Characters>
  <Application>Microsoft Office Word</Application>
  <DocSecurity>0</DocSecurity>
  <Lines>118</Lines>
  <Paragraphs>33</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LCBB6006</vt:lpstr>
      <vt:lpstr>Component 2: Coursework: Essay</vt:lpstr>
      <vt:lpstr>Lecturer: Dr. Shujun Xiao</vt:lpstr>
      <vt:lpstr>Student: Catalin Alexandru Artenie</vt:lpstr>
      <vt:lpstr>2240460</vt:lpstr>
      <vt:lpstr>Table of Contents</vt:lpstr>
      <vt:lpstr>2. Turnkey Contracting</vt:lpstr>
      <vt:lpstr>    Definition</vt:lpstr>
      <vt:lpstr>    Advantages</vt:lpstr>
      <vt:lpstr>    Disadvantages</vt:lpstr>
      <vt:lpstr>    Suitable projects</vt:lpstr>
      <vt:lpstr>3. Multi-Contract Method</vt:lpstr>
      <vt:lpstr>    Definition</vt:lpstr>
      <vt:lpstr>    Advantages</vt:lpstr>
      <vt:lpstr>    Disadvantages</vt:lpstr>
      <vt:lpstr>    Suitable projects</vt:lpstr>
      <vt:lpstr>4. Do-It-Yourself (DIY) Contracting</vt:lpstr>
      <vt:lpstr>    Definition</vt:lpstr>
      <vt:lpstr>    Advantages</vt:lpstr>
      <vt:lpstr>    Disadvantages</vt:lpstr>
      <vt:lpstr>    Suitable projects</vt:lpstr>
      <vt:lpstr>5. Multi-Contract Plus DIY</vt:lpstr>
      <vt:lpstr>    Definition</vt:lpstr>
      <vt:lpstr>    Advantages</vt:lpstr>
      <vt:lpstr>    Disadvantages</vt:lpstr>
      <vt:lpstr>    Suitable projects</vt:lpstr>
      <vt:lpstr>6. Comparative Discussion</vt:lpstr>
      <vt:lpstr>7. Conclusion</vt:lpstr>
      <vt:lpstr>References</vt:lpstr>
    </vt:vector>
  </TitlesOfParts>
  <Company/>
  <LinksUpToDate>false</LinksUpToDate>
  <CharactersWithSpaces>16657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Catalin Artenie (2240460)</cp:lastModifiedBy>
  <cp:revision>4</cp:revision>
  <dcterms:created xsi:type="dcterms:W3CDTF">2026-07-06T21:37:00Z</dcterms:created>
  <dcterms:modified xsi:type="dcterms:W3CDTF">2026-07-11T16:20:00Z</dcterms:modified>
</cp:coreProperties>
</file>