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Heading 4"/>
        <w:shd w:val="clear" w:color="auto" w:fill="ffffff"/>
        <w:spacing w:before="150" w:after="150"/>
        <w:rPr>
          <w:rFonts w:ascii="Times New Roman" w:hAnsi="Times New Roman"/>
          <w:b w:val="0"/>
          <w:bCs w:val="0"/>
          <w:outline w:val="0"/>
          <w:color w:val="333333"/>
          <w:sz w:val="27"/>
          <w:szCs w:val="27"/>
          <w:u w:color="333333"/>
          <w14:textFill>
            <w14:solidFill>
              <w14:srgbClr w14:val="333333"/>
            </w14:solidFill>
          </w14:textFill>
        </w:rPr>
      </w:pPr>
    </w:p>
    <w:p>
      <w:pPr>
        <w:pStyle w:val="Normal.0"/>
      </w:pPr>
    </w:p>
    <w:p>
      <w:pPr>
        <w:pStyle w:val="Normal.0"/>
      </w:pPr>
    </w:p>
    <w:p>
      <w:pPr>
        <w:pStyle w:val="Normal.0"/>
      </w:pPr>
    </w:p>
    <w:p>
      <w:pPr>
        <w:pStyle w:val="Normal.0"/>
      </w:pPr>
    </w:p>
    <w:p>
      <w:pPr>
        <w:pStyle w:val="Normal.0"/>
      </w:pPr>
    </w:p>
    <w:p>
      <w:pPr>
        <w:pStyle w:val="Normal.0"/>
      </w:pPr>
    </w:p>
    <w:tbl>
      <w:tblPr>
        <w:tblW w:w="9638" w:type="dxa"/>
        <w:jc w:val="center"/>
        <w:tblInd w:w="972" w:type="dxa"/>
        <w:tblBorders>
          <w:top w:val="single" w:color="ffffff" w:sz="8" w:space="0" w:shadow="0" w:frame="0"/>
          <w:left w:val="single" w:color="ffffff" w:sz="8" w:space="0" w:shadow="0" w:frame="0"/>
          <w:bottom w:val="single" w:color="ffffff" w:sz="8" w:space="0" w:shadow="0" w:frame="0"/>
          <w:right w:val="single" w:color="ffffff" w:sz="8" w:space="0" w:shadow="0" w:frame="0"/>
          <w:insideH w:val="single" w:color="ffffff" w:sz="8" w:space="0" w:shadow="0" w:frame="0"/>
          <w:insideV w:val="single" w:color="ffffff" w:sz="8" w:space="0" w:shadow="0" w:frame="0"/>
        </w:tblBorders>
        <w:shd w:val="clear" w:color="auto" w:fill="ced7e7"/>
        <w:tblLayout w:type="fixed"/>
      </w:tblPr>
      <w:tblGrid>
        <w:gridCol w:w="9638"/>
      </w:tblGrid>
      <w:tr>
        <w:tblPrEx>
          <w:shd w:val="clear" w:color="auto" w:fill="ced7e7"/>
        </w:tblPrEx>
        <w:trPr>
          <w:trHeight w:val="410" w:hRule="atLeast"/>
        </w:trPr>
        <w:tc>
          <w:tcPr>
            <w:tcW w:type="dxa" w:w="963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jc w:val="both"/>
            </w:pPr>
            <w:r>
              <w:rPr>
                <w:rFonts w:ascii="Times New Roman" w:hAnsi="Times New Roman"/>
                <w:b w:val="1"/>
                <w:bCs w:val="1"/>
                <w:sz w:val="30"/>
                <w:szCs w:val="30"/>
                <w:shd w:val="nil" w:color="auto" w:fill="auto"/>
                <w:rtl w:val="0"/>
              </w:rPr>
              <w:t xml:space="preserve">Name                  </w:t>
            </w:r>
            <w:r>
              <w:rPr>
                <w:rFonts w:ascii="Times New Roman" w:hAnsi="Times New Roman"/>
                <w:b w:val="1"/>
                <w:bCs w:val="1"/>
                <w:sz w:val="30"/>
                <w:szCs w:val="30"/>
                <w:shd w:val="nil" w:color="auto" w:fill="auto"/>
                <w:rtl w:val="0"/>
                <w:lang w:val="en-US"/>
              </w:rPr>
              <w:t xml:space="preserve">                      </w:t>
            </w:r>
            <w:r>
              <w:rPr>
                <w:rFonts w:ascii="Times New Roman" w:hAnsi="Times New Roman"/>
                <w:b w:val="1"/>
                <w:bCs w:val="1"/>
                <w:sz w:val="30"/>
                <w:szCs w:val="30"/>
                <w:shd w:val="nil" w:color="auto" w:fill="auto"/>
                <w:rtl w:val="0"/>
                <w:lang w:val="de-DE"/>
              </w:rPr>
              <w:t xml:space="preserve"> : Shikder Sujan</w:t>
            </w:r>
          </w:p>
        </w:tc>
      </w:tr>
      <w:tr>
        <w:tblPrEx>
          <w:shd w:val="clear" w:color="auto" w:fill="ced7e7"/>
        </w:tblPrEx>
        <w:trPr>
          <w:trHeight w:val="410" w:hRule="atLeast"/>
        </w:trPr>
        <w:tc>
          <w:tcPr>
            <w:tcW w:type="dxa" w:w="963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jc w:val="both"/>
            </w:pPr>
            <w:r>
              <w:rPr>
                <w:rFonts w:ascii="Times New Roman" w:hAnsi="Times New Roman"/>
                <w:b w:val="1"/>
                <w:bCs w:val="1"/>
                <w:sz w:val="30"/>
                <w:szCs w:val="30"/>
                <w:shd w:val="nil" w:color="auto" w:fill="auto"/>
                <w:rtl w:val="0"/>
                <w:lang w:val="de-DE"/>
              </w:rPr>
              <w:t xml:space="preserve">Student Number         </w:t>
            </w:r>
            <w:r>
              <w:rPr>
                <w:rFonts w:ascii="Times New Roman" w:hAnsi="Times New Roman"/>
                <w:b w:val="1"/>
                <w:bCs w:val="1"/>
                <w:sz w:val="30"/>
                <w:szCs w:val="30"/>
                <w:shd w:val="nil" w:color="auto" w:fill="auto"/>
                <w:rtl w:val="0"/>
                <w:lang w:val="en-US"/>
              </w:rPr>
              <w:t xml:space="preserve">            </w:t>
            </w:r>
            <w:r>
              <w:rPr>
                <w:rFonts w:ascii="Times New Roman" w:hAnsi="Times New Roman"/>
                <w:b w:val="1"/>
                <w:bCs w:val="1"/>
                <w:sz w:val="30"/>
                <w:szCs w:val="30"/>
                <w:shd w:val="nil" w:color="auto" w:fill="auto"/>
                <w:rtl w:val="0"/>
              </w:rPr>
              <w:t xml:space="preserve"> : 2115669</w:t>
            </w:r>
          </w:p>
        </w:tc>
      </w:tr>
      <w:tr>
        <w:tblPrEx>
          <w:shd w:val="clear" w:color="auto" w:fill="ced7e7"/>
        </w:tblPrEx>
        <w:trPr>
          <w:trHeight w:val="410" w:hRule="atLeast"/>
        </w:trPr>
        <w:tc>
          <w:tcPr>
            <w:tcW w:type="dxa" w:w="963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jc w:val="both"/>
            </w:pPr>
            <w:r>
              <w:rPr>
                <w:rFonts w:ascii="Times New Roman" w:hAnsi="Times New Roman"/>
                <w:b w:val="1"/>
                <w:bCs w:val="1"/>
                <w:sz w:val="30"/>
                <w:szCs w:val="30"/>
                <w:shd w:val="nil" w:color="auto" w:fill="auto"/>
                <w:rtl w:val="0"/>
                <w:lang w:val="en-US"/>
              </w:rPr>
              <w:t>Programme                              : Skills for the Workplace</w:t>
            </w:r>
          </w:p>
        </w:tc>
      </w:tr>
      <w:tr>
        <w:tblPrEx>
          <w:shd w:val="clear" w:color="auto" w:fill="ced7e7"/>
        </w:tblPrEx>
        <w:trPr>
          <w:trHeight w:val="410" w:hRule="atLeast"/>
        </w:trPr>
        <w:tc>
          <w:tcPr>
            <w:tcW w:type="dxa" w:w="963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jc w:val="both"/>
            </w:pPr>
            <w:r>
              <w:rPr>
                <w:rFonts w:ascii="Times New Roman" w:hAnsi="Times New Roman"/>
                <w:b w:val="1"/>
                <w:bCs w:val="1"/>
                <w:sz w:val="30"/>
                <w:szCs w:val="30"/>
                <w:shd w:val="nil" w:color="auto" w:fill="auto"/>
                <w:rtl w:val="0"/>
                <w:lang w:val="en-US"/>
              </w:rPr>
              <w:t>Module                                     : Academic and Employability Skills</w:t>
            </w:r>
          </w:p>
        </w:tc>
      </w:tr>
      <w:tr>
        <w:tblPrEx>
          <w:shd w:val="clear" w:color="auto" w:fill="ced7e7"/>
        </w:tblPrEx>
        <w:trPr>
          <w:trHeight w:val="410" w:hRule="atLeast"/>
        </w:trPr>
        <w:tc>
          <w:tcPr>
            <w:tcW w:type="dxa" w:w="963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jc w:val="both"/>
            </w:pPr>
            <w:r>
              <w:rPr>
                <w:rFonts w:ascii="Times New Roman" w:hAnsi="Times New Roman"/>
                <w:b w:val="1"/>
                <w:bCs w:val="1"/>
                <w:sz w:val="30"/>
                <w:szCs w:val="30"/>
                <w:shd w:val="nil" w:color="auto" w:fill="auto"/>
                <w:rtl w:val="0"/>
              </w:rPr>
              <w:t xml:space="preserve">Module Code              </w:t>
            </w:r>
            <w:r>
              <w:rPr>
                <w:rFonts w:ascii="Times New Roman" w:hAnsi="Times New Roman"/>
                <w:b w:val="1"/>
                <w:bCs w:val="1"/>
                <w:sz w:val="30"/>
                <w:szCs w:val="30"/>
                <w:shd w:val="nil" w:color="auto" w:fill="auto"/>
                <w:rtl w:val="0"/>
                <w:lang w:val="en-US"/>
              </w:rPr>
              <w:t xml:space="preserve">       </w:t>
            </w:r>
            <w:r>
              <w:rPr>
                <w:rFonts w:ascii="Times New Roman" w:hAnsi="Times New Roman"/>
                <w:b w:val="1"/>
                <w:bCs w:val="1"/>
                <w:sz w:val="30"/>
                <w:szCs w:val="30"/>
                <w:shd w:val="nil" w:color="auto" w:fill="auto"/>
                <w:rtl w:val="0"/>
              </w:rPr>
              <w:t xml:space="preserve">      : BMSW4001</w:t>
            </w:r>
          </w:p>
        </w:tc>
      </w:tr>
      <w:tr>
        <w:tblPrEx>
          <w:shd w:val="clear" w:color="auto" w:fill="ced7e7"/>
        </w:tblPrEx>
        <w:trPr>
          <w:trHeight w:val="410" w:hRule="atLeast"/>
        </w:trPr>
        <w:tc>
          <w:tcPr>
            <w:tcW w:type="dxa" w:w="9638"/>
            <w:tcBorders>
              <w:top w:val="single" w:color="000000" w:sz="2" w:space="0" w:shadow="0" w:frame="0"/>
              <w:left w:val="single" w:color="000000" w:sz="2" w:space="0" w:shadow="0" w:frame="0"/>
              <w:bottom w:val="single" w:color="000000" w:sz="2" w:space="0" w:shadow="0" w:frame="0"/>
              <w:right w:val="single" w:color="000000" w:sz="2" w:space="0" w:shadow="0" w:frame="0"/>
            </w:tcBorders>
            <w:shd w:val="clear" w:color="auto" w:fill="ffffff"/>
            <w:tcMar>
              <w:top w:type="dxa" w:w="80"/>
              <w:left w:type="dxa" w:w="80"/>
              <w:bottom w:type="dxa" w:w="80"/>
              <w:right w:type="dxa" w:w="80"/>
            </w:tcMar>
            <w:vAlign w:val="top"/>
          </w:tcPr>
          <w:p>
            <w:pPr>
              <w:pStyle w:val="Table Style 2"/>
              <w:jc w:val="both"/>
            </w:pPr>
            <w:r>
              <w:rPr>
                <w:rFonts w:ascii="Times New Roman" w:hAnsi="Times New Roman"/>
                <w:b w:val="1"/>
                <w:bCs w:val="1"/>
                <w:sz w:val="30"/>
                <w:szCs w:val="30"/>
                <w:shd w:val="nil" w:color="auto" w:fill="auto"/>
                <w:rtl w:val="0"/>
                <w:lang w:val="en-US"/>
              </w:rPr>
              <w:t>Word Count</w:t>
            </w:r>
            <w:r>
              <w:rPr>
                <w:rFonts w:ascii="Times New Roman" w:hAnsi="Times New Roman"/>
                <w:b w:val="1"/>
                <w:bCs w:val="1"/>
                <w:sz w:val="30"/>
                <w:szCs w:val="30"/>
                <w:shd w:val="nil" w:color="auto" w:fill="auto"/>
                <w:rtl w:val="0"/>
              </w:rPr>
              <w:t xml:space="preserve">               </w:t>
            </w:r>
            <w:r>
              <w:rPr>
                <w:rFonts w:ascii="Times New Roman" w:hAnsi="Times New Roman"/>
                <w:b w:val="1"/>
                <w:bCs w:val="1"/>
                <w:sz w:val="30"/>
                <w:szCs w:val="30"/>
                <w:shd w:val="nil" w:color="auto" w:fill="auto"/>
                <w:rtl w:val="0"/>
                <w:lang w:val="en-US"/>
              </w:rPr>
              <w:t xml:space="preserve">           </w:t>
            </w:r>
            <w:r>
              <w:rPr>
                <w:rFonts w:ascii="Times New Roman" w:hAnsi="Times New Roman"/>
                <w:b w:val="1"/>
                <w:bCs w:val="1"/>
                <w:sz w:val="30"/>
                <w:szCs w:val="30"/>
                <w:shd w:val="nil" w:color="auto" w:fill="auto"/>
                <w:rtl w:val="0"/>
                <w:lang w:val="fr-FR"/>
              </w:rPr>
              <w:t xml:space="preserve">   : Laura James</w:t>
            </w:r>
          </w:p>
        </w:tc>
      </w:tr>
    </w:tbl>
    <w:p>
      <w:pPr>
        <w:pStyle w:val="Normal.0"/>
        <w:widowControl w:val="0"/>
        <w:spacing w:line="240" w:lineRule="auto"/>
        <w:ind w:left="864" w:hanging="864"/>
        <w:jc w:val="center"/>
      </w:pPr>
    </w:p>
    <w:p>
      <w:pPr>
        <w:pStyle w:val="Normal.0"/>
        <w:widowControl w:val="0"/>
        <w:spacing w:line="240" w:lineRule="auto"/>
        <w:ind w:left="756" w:hanging="756"/>
        <w:jc w:val="center"/>
      </w:pPr>
    </w:p>
    <w:p>
      <w:pPr>
        <w:pStyle w:val="Normal.0"/>
        <w:widowControl w:val="0"/>
        <w:spacing w:line="240" w:lineRule="auto"/>
        <w:ind w:left="648" w:hanging="648"/>
        <w:jc w:val="center"/>
      </w:pPr>
    </w:p>
    <w:p>
      <w:pPr>
        <w:pStyle w:val="Normal.0"/>
        <w:widowControl w:val="0"/>
        <w:spacing w:line="240" w:lineRule="auto"/>
        <w:ind w:left="540" w:hanging="540"/>
        <w:jc w:val="center"/>
      </w:pPr>
    </w:p>
    <w:p>
      <w:pPr>
        <w:pStyle w:val="Normal.0"/>
        <w:widowControl w:val="0"/>
        <w:spacing w:line="240" w:lineRule="auto"/>
        <w:ind w:left="432" w:hanging="432"/>
        <w:jc w:val="center"/>
      </w:pPr>
    </w:p>
    <w:p>
      <w:pPr>
        <w:pStyle w:val="Normal.0"/>
        <w:widowControl w:val="0"/>
        <w:spacing w:line="240" w:lineRule="auto"/>
        <w:ind w:left="324" w:hanging="324"/>
        <w:jc w:val="center"/>
      </w:pPr>
    </w:p>
    <w:p>
      <w:pPr>
        <w:pStyle w:val="Default"/>
        <w:widowControl w:val="0"/>
        <w:spacing w:before="0" w:line="240" w:lineRule="auto"/>
        <w:ind w:left="216" w:hanging="216"/>
        <w:jc w:val="center"/>
        <w:rPr>
          <w:sz w:val="22"/>
          <w:szCs w:val="22"/>
          <w:u w:color="000000"/>
          <w14:textOutline w14:w="12700" w14:cap="flat">
            <w14:noFill/>
            <w14:miter w14:lim="400000"/>
          </w14:textOutline>
        </w:rPr>
      </w:pPr>
    </w:p>
    <w:p>
      <w:pPr>
        <w:pStyle w:val="Default"/>
        <w:spacing w:before="0" w:line="240" w:lineRule="auto"/>
        <w:jc w:val="center"/>
        <w:rPr>
          <w:sz w:val="22"/>
          <w:szCs w:val="22"/>
          <w:u w:color="000000"/>
          <w14:textOutline w14:w="12700" w14:cap="flat">
            <w14:noFill/>
            <w14:miter w14:lim="400000"/>
          </w14:textOutline>
        </w:rPr>
      </w:pPr>
    </w:p>
    <w:p>
      <w:pPr>
        <w:pStyle w:val="Default"/>
        <w:spacing w:before="0" w:line="240" w:lineRule="auto"/>
        <w:jc w:val="center"/>
        <w:rPr>
          <w:sz w:val="22"/>
          <w:szCs w:val="22"/>
          <w:u w:color="000000"/>
          <w14:textOutline w14:w="12700" w14:cap="flat">
            <w14:noFill/>
            <w14:miter w14:lim="400000"/>
          </w14:textOutline>
        </w:rPr>
      </w:pPr>
    </w:p>
    <w:p>
      <w:pPr>
        <w:pStyle w:val="Default"/>
        <w:spacing w:before="0" w:line="240" w:lineRule="auto"/>
        <w:jc w:val="center"/>
        <w:rPr>
          <w:sz w:val="22"/>
          <w:szCs w:val="22"/>
          <w:u w:val="single" w:color="000000"/>
          <w14:textOutline w14:w="12700" w14:cap="flat">
            <w14:noFill/>
            <w14:miter w14:lim="400000"/>
          </w14:textOutline>
        </w:rPr>
      </w:pPr>
    </w:p>
    <w:p>
      <w:pPr>
        <w:pStyle w:val="Default"/>
        <w:spacing w:before="0" w:line="240" w:lineRule="auto"/>
        <w:jc w:val="center"/>
        <w:rPr>
          <w:rFonts w:ascii="Times New Roman" w:cs="Times New Roman" w:hAnsi="Times New Roman" w:eastAsia="Times New Roman"/>
          <w:i w:val="1"/>
          <w:iCs w:val="1"/>
          <w:sz w:val="88"/>
          <w:szCs w:val="88"/>
          <w:u w:color="000000"/>
          <w:shd w:val="clear" w:color="auto" w:fill="ffffff"/>
          <w14:textOutline w14:w="12700" w14:cap="flat">
            <w14:noFill/>
            <w14:miter w14:lim="400000"/>
          </w14:textOutline>
        </w:rPr>
      </w:pPr>
      <w:r>
        <w:rPr>
          <w:rFonts w:ascii="Times New Roman" w:hAnsi="Times New Roman"/>
          <w:b w:val="1"/>
          <w:bCs w:val="1"/>
          <w:sz w:val="42"/>
          <w:szCs w:val="42"/>
          <w:u w:val="single" w:color="000000"/>
          <w:rtl w:val="0"/>
          <w:lang w:val="en-US"/>
          <w14:textOutline w14:w="12700" w14:cap="flat">
            <w14:noFill/>
            <w14:miter w14:lim="400000"/>
          </w14:textOutline>
        </w:rPr>
        <w:t>Assignment Title</w:t>
      </w:r>
    </w:p>
    <w:p>
      <w:pPr>
        <w:pStyle w:val="Default"/>
        <w:spacing w:before="0" w:after="240" w:line="240" w:lineRule="auto"/>
        <w:jc w:val="center"/>
        <w:rPr>
          <w:rFonts w:ascii="Times New Roman" w:cs="Times New Roman" w:hAnsi="Times New Roman" w:eastAsia="Times New Roman"/>
          <w:b w:val="1"/>
          <w:bCs w:val="1"/>
          <w:sz w:val="33"/>
          <w:szCs w:val="33"/>
          <w:u w:color="000000"/>
          <w14:textOutline w14:w="12700" w14:cap="flat">
            <w14:noFill/>
            <w14:miter w14:lim="400000"/>
          </w14:textOutline>
        </w:rPr>
      </w:pPr>
      <w:r>
        <w:rPr>
          <w:rFonts w:ascii="Times New Roman" w:hAnsi="Times New Roman"/>
          <w:b w:val="1"/>
          <w:bCs w:val="1"/>
          <w:sz w:val="33"/>
          <w:szCs w:val="33"/>
          <w:u w:color="000000"/>
          <w:rtl w:val="0"/>
          <w:lang w:val="en-US"/>
          <w14:textOutline w14:w="12700" w14:cap="flat">
            <w14:noFill/>
            <w14:miter w14:lim="400000"/>
          </w14:textOutline>
        </w:rPr>
        <w:t xml:space="preserve">You are required to write a 1000-word (+/- 10%) Reflection based on your experience of returning to education using a </w:t>
      </w:r>
      <w:r>
        <w:rPr>
          <w:rFonts w:ascii="Times New Roman" w:hAnsi="Times New Roman"/>
          <w:b w:val="1"/>
          <w:bCs w:val="1"/>
          <w:i w:val="1"/>
          <w:iCs w:val="1"/>
          <w:sz w:val="33"/>
          <w:szCs w:val="33"/>
          <w:u w:color="000000"/>
          <w:rtl w:val="0"/>
          <w:lang w:val="en-US"/>
          <w14:textOutline w14:w="12700" w14:cap="flat">
            <w14:noFill/>
            <w14:miter w14:lim="400000"/>
          </w14:textOutline>
        </w:rPr>
        <w:t xml:space="preserve">recognised reflective theory to structure your work </w:t>
      </w:r>
      <w:r>
        <w:rPr>
          <w:rFonts w:ascii="Times New Roman" w:hAnsi="Times New Roman"/>
          <w:b w:val="1"/>
          <w:bCs w:val="1"/>
          <w:sz w:val="33"/>
          <w:szCs w:val="33"/>
          <w:u w:color="000000"/>
          <w:rtl w:val="0"/>
          <w:lang w:val="en-US"/>
          <w14:textOutline w14:w="12700" w14:cap="flat">
            <w14:noFill/>
            <w14:miter w14:lim="400000"/>
          </w14:textOutline>
        </w:rPr>
        <w:t>(I.e., Kolb or Gibbs).</w:t>
      </w:r>
    </w:p>
    <w:p>
      <w:pPr>
        <w:pStyle w:val="Default"/>
        <w:spacing w:before="0" w:after="240" w:line="240" w:lineRule="auto"/>
        <w:jc w:val="center"/>
        <w:rPr>
          <w:rFonts w:ascii="Times New Roman" w:cs="Times New Roman" w:hAnsi="Times New Roman" w:eastAsia="Times New Roman"/>
          <w:b w:val="1"/>
          <w:bCs w:val="1"/>
          <w:sz w:val="33"/>
          <w:szCs w:val="33"/>
          <w:u w:val="single" w:color="000000"/>
          <w:lang w:val="en-US"/>
          <w14:textOutline w14:w="12700" w14:cap="flat">
            <w14:noFill/>
            <w14:miter w14:lim="400000"/>
          </w14:textOutline>
        </w:rPr>
      </w:pPr>
    </w:p>
    <w:p>
      <w:pPr>
        <w:pStyle w:val="Default"/>
        <w:spacing w:before="0" w:after="240" w:line="240" w:lineRule="auto"/>
        <w:jc w:val="center"/>
        <w:rPr>
          <w:rFonts w:ascii="Times New Roman" w:cs="Times New Roman" w:hAnsi="Times New Roman" w:eastAsia="Times New Roman"/>
          <w:b w:val="1"/>
          <w:bCs w:val="1"/>
          <w:sz w:val="33"/>
          <w:szCs w:val="33"/>
          <w:u w:val="single" w:color="000000"/>
          <w:lang w:val="en-US"/>
          <w14:textOutline w14:w="12700" w14:cap="flat">
            <w14:noFill/>
            <w14:miter w14:lim="400000"/>
          </w14:textOutline>
        </w:rPr>
      </w:pPr>
    </w:p>
    <w:p>
      <w:pPr>
        <w:pStyle w:val="Default"/>
        <w:spacing w:before="0" w:after="240" w:line="240" w:lineRule="auto"/>
        <w:jc w:val="center"/>
        <w:rPr>
          <w:rFonts w:ascii="Times New Roman" w:cs="Times New Roman" w:hAnsi="Times New Roman" w:eastAsia="Times New Roman"/>
          <w:b w:val="1"/>
          <w:bCs w:val="1"/>
          <w:sz w:val="39"/>
          <w:szCs w:val="39"/>
          <w:u w:val="single" w:color="000000"/>
          <w:lang w:val="en-US"/>
          <w14:textOutline w14:w="12700" w14:cap="flat">
            <w14:noFill/>
            <w14:miter w14:lim="400000"/>
          </w14:textOutline>
        </w:rPr>
      </w:pPr>
    </w:p>
    <w:p>
      <w:pPr>
        <w:pStyle w:val="Default"/>
        <w:spacing w:before="0" w:after="240" w:line="240" w:lineRule="auto"/>
        <w:jc w:val="center"/>
        <w:rPr>
          <w:rFonts w:ascii="Times New Roman" w:cs="Times New Roman" w:hAnsi="Times New Roman" w:eastAsia="Times New Roman"/>
          <w:u w:val="single" w:color="000000"/>
          <w14:textOutline w14:w="12700" w14:cap="flat">
            <w14:noFill/>
            <w14:miter w14:lim="400000"/>
          </w14:textOutline>
        </w:rPr>
      </w:pPr>
    </w:p>
    <w:p>
      <w:pPr>
        <w:pStyle w:val="Default"/>
        <w:spacing w:before="0" w:after="240" w:line="240" w:lineRule="auto"/>
        <w:jc w:val="center"/>
        <w:rPr>
          <w:rFonts w:ascii="Times New Roman" w:cs="Times New Roman" w:hAnsi="Times New Roman" w:eastAsia="Times New Roman"/>
          <w:u w:val="single" w:color="000000"/>
          <w14:textOutline w14:w="12700" w14:cap="flat">
            <w14:noFill/>
            <w14:miter w14:lim="400000"/>
          </w14:textOutline>
        </w:rPr>
      </w:pPr>
    </w:p>
    <w:p>
      <w:pPr>
        <w:pStyle w:val="Default"/>
        <w:spacing w:before="0" w:after="240" w:line="240" w:lineRule="auto"/>
        <w:jc w:val="center"/>
        <w:rPr>
          <w:rFonts w:ascii="Times New Roman" w:cs="Times New Roman" w:hAnsi="Times New Roman" w:eastAsia="Times New Roman"/>
          <w:u w:val="single" w:color="000000"/>
          <w14:textOutline w14:w="12700" w14:cap="flat">
            <w14:noFill/>
            <w14:miter w14:lim="400000"/>
          </w14:textOutline>
        </w:rPr>
      </w:pPr>
    </w:p>
    <w:p>
      <w:pPr>
        <w:pStyle w:val="Default"/>
        <w:spacing w:before="0" w:after="240" w:line="240" w:lineRule="auto"/>
        <w:jc w:val="center"/>
        <w:rPr>
          <w:rFonts w:ascii="Times New Roman" w:cs="Times New Roman" w:hAnsi="Times New Roman" w:eastAsia="Times New Roman"/>
          <w:u w:val="single" w:color="000000"/>
          <w14:textOutline w14:w="12700" w14:cap="flat">
            <w14:noFill/>
            <w14:miter w14:lim="400000"/>
          </w14:textOutline>
        </w:rPr>
      </w:pPr>
    </w:p>
    <w:p>
      <w:pPr>
        <w:pStyle w:val="Default"/>
        <w:spacing w:before="0" w:after="240" w:line="240" w:lineRule="auto"/>
        <w:jc w:val="center"/>
        <w:rPr>
          <w:rFonts w:ascii="Times New Roman" w:cs="Times New Roman" w:hAnsi="Times New Roman" w:eastAsia="Times New Roman"/>
          <w:u w:val="single" w:color="000000"/>
          <w14:textOutline w14:w="12700" w14:cap="flat">
            <w14:noFill/>
            <w14:miter w14:lim="400000"/>
          </w14:textOutline>
        </w:rPr>
      </w:pPr>
    </w:p>
    <w:p>
      <w:pPr>
        <w:pStyle w:val="Default"/>
        <w:spacing w:before="0" w:after="240" w:line="240" w:lineRule="auto"/>
        <w:jc w:val="center"/>
        <w:rPr>
          <w:rFonts w:ascii="Times New Roman" w:cs="Times New Roman" w:hAnsi="Times New Roman" w:eastAsia="Times New Roman"/>
          <w:u w:val="single" w:color="000000"/>
          <w14:textOutline w14:w="12700" w14:cap="flat">
            <w14:noFill/>
            <w14:miter w14:lim="400000"/>
          </w14:textOutline>
        </w:rPr>
      </w:pPr>
    </w:p>
    <w:p>
      <w:pPr>
        <w:pStyle w:val="Default"/>
        <w:spacing w:before="0" w:after="240" w:line="240" w:lineRule="auto"/>
        <w:jc w:val="center"/>
        <w:rPr>
          <w:rFonts w:ascii="Times New Roman" w:cs="Times New Roman" w:hAnsi="Times New Roman" w:eastAsia="Times New Roman"/>
          <w:u w:val="single" w:color="000000"/>
          <w14:textOutline w14:w="12700" w14:cap="flat">
            <w14:noFill/>
            <w14:miter w14:lim="400000"/>
          </w14:textOutline>
        </w:rPr>
      </w:pPr>
    </w:p>
    <w:p>
      <w:pPr>
        <w:pStyle w:val="Default"/>
        <w:spacing w:before="0" w:after="240" w:line="240" w:lineRule="auto"/>
        <w:jc w:val="center"/>
        <w:rPr>
          <w:rFonts w:ascii="Times New Roman" w:cs="Times New Roman" w:hAnsi="Times New Roman" w:eastAsia="Times New Roman"/>
          <w:u w:val="single" w:color="000000"/>
          <w14:textOutline w14:w="12700" w14:cap="flat">
            <w14:noFill/>
            <w14:miter w14:lim="400000"/>
          </w14:textOutline>
        </w:rPr>
      </w:pPr>
    </w:p>
    <w:p>
      <w:pPr>
        <w:pStyle w:val="Default"/>
        <w:spacing w:before="0" w:after="240" w:line="240" w:lineRule="auto"/>
        <w:jc w:val="center"/>
        <w:rPr>
          <w:rFonts w:ascii="Times New Roman" w:cs="Times New Roman" w:hAnsi="Times New Roman" w:eastAsia="Times New Roman"/>
          <w:u w:val="single" w:color="000000"/>
          <w14:textOutline w14:w="12700" w14:cap="flat">
            <w14:noFill/>
            <w14:miter w14:lim="400000"/>
          </w14:textOutline>
        </w:rPr>
      </w:pPr>
    </w:p>
    <w:p>
      <w:pPr>
        <w:pStyle w:val="Default"/>
        <w:spacing w:before="0" w:after="240" w:line="240" w:lineRule="auto"/>
        <w:jc w:val="center"/>
        <w:rPr>
          <w:rFonts w:ascii="Times New Roman" w:cs="Times New Roman" w:hAnsi="Times New Roman" w:eastAsia="Times New Roman"/>
          <w:u w:val="single" w:color="000000"/>
          <w14:textOutline w14:w="12700" w14:cap="flat">
            <w14:noFill/>
            <w14:miter w14:lim="400000"/>
          </w14:textOutline>
        </w:rPr>
      </w:pPr>
    </w:p>
    <w:p>
      <w:pPr>
        <w:pStyle w:val="Default"/>
        <w:spacing w:before="0" w:after="240" w:line="240" w:lineRule="auto"/>
        <w:jc w:val="center"/>
        <w:rPr>
          <w:rFonts w:ascii="Times New Roman" w:cs="Times New Roman" w:hAnsi="Times New Roman" w:eastAsia="Times New Roman"/>
          <w:u w:val="single" w:color="000000"/>
          <w14:textOutline w14:w="12700" w14:cap="flat">
            <w14:noFill/>
            <w14:miter w14:lim="400000"/>
          </w14:textOutline>
        </w:rPr>
      </w:pPr>
    </w:p>
    <w:p>
      <w:pPr>
        <w:pStyle w:val="Default"/>
        <w:spacing w:before="0" w:after="240" w:line="240" w:lineRule="auto"/>
        <w:jc w:val="center"/>
        <w:rPr>
          <w:rFonts w:ascii="Times New Roman" w:cs="Times New Roman" w:hAnsi="Times New Roman" w:eastAsia="Times New Roman"/>
          <w:u w:val="single" w:color="000000"/>
          <w14:textOutline w14:w="12700" w14:cap="flat">
            <w14:noFill/>
            <w14:miter w14:lim="400000"/>
          </w14:textOutline>
        </w:rPr>
      </w:pPr>
    </w:p>
    <w:p>
      <w:pPr>
        <w:pStyle w:val="Default"/>
        <w:spacing w:before="0" w:after="240" w:line="240" w:lineRule="auto"/>
        <w:jc w:val="center"/>
        <w:rPr>
          <w:rFonts w:ascii="Times New Roman" w:cs="Times New Roman" w:hAnsi="Times New Roman" w:eastAsia="Times New Roman"/>
          <w:b w:val="1"/>
          <w:bCs w:val="1"/>
          <w:sz w:val="39"/>
          <w:szCs w:val="39"/>
          <w:u w:val="single" w:color="000000"/>
          <w14:textOutline w14:w="12700" w14:cap="flat">
            <w14:noFill/>
            <w14:miter w14:lim="400000"/>
          </w14:textOutline>
        </w:rPr>
      </w:pPr>
      <w:r>
        <w:rPr>
          <w:rFonts w:ascii="Times New Roman" w:hAnsi="Times New Roman"/>
          <w:b w:val="1"/>
          <w:bCs w:val="1"/>
          <w:sz w:val="39"/>
          <w:szCs w:val="39"/>
          <w:u w:val="single" w:color="000000"/>
          <w:rtl w:val="0"/>
          <w:lang w:val="en-US"/>
          <w14:textOutline w14:w="12700" w14:cap="flat">
            <w14:noFill/>
            <w14:miter w14:lim="400000"/>
          </w14:textOutline>
        </w:rPr>
        <w:t>Purpose</w:t>
      </w:r>
    </w:p>
    <w:p>
      <w:pPr>
        <w:pStyle w:val="Default"/>
        <w:spacing w:before="0" w:after="240" w:line="240" w:lineRule="auto"/>
        <w:jc w:val="center"/>
      </w:pPr>
      <w:r>
        <w:rPr>
          <w:rFonts w:ascii="Times New Roman" w:hAnsi="Times New Roman"/>
          <w:b w:val="1"/>
          <w:bCs w:val="1"/>
          <w:sz w:val="31"/>
          <w:szCs w:val="31"/>
          <w:u w:color="000000"/>
          <w:rtl w:val="0"/>
          <w:lang w:val="en-US"/>
          <w14:textOutline w14:w="12700" w14:cap="flat">
            <w14:noFill/>
            <w14:miter w14:lim="400000"/>
          </w14:textOutline>
        </w:rPr>
        <w:t xml:space="preserve">The purpose of this reflective writing is to discuss my experience based on Gibbs (1988) reflective theory. </w:t>
      </w:r>
      <w:r>
        <w:rPr>
          <w:rFonts w:ascii="Arial Unicode MS" w:cs="Arial Unicode MS" w:hAnsi="Arial Unicode MS" w:eastAsia="Arial Unicode MS"/>
          <w:b w:val="0"/>
          <w:bCs w:val="0"/>
          <w:i w:val="0"/>
          <w:iCs w:val="0"/>
          <w:sz w:val="39"/>
          <w:szCs w:val="39"/>
          <w:u w:color="000000"/>
          <w14:textOutline w14:w="12700" w14:cap="flat">
            <w14:noFill/>
            <w14:miter w14:lim="400000"/>
          </w14:textOutline>
        </w:rPr>
        <w:br w:type="page"/>
      </w:r>
    </w:p>
    <w:p>
      <w:pPr>
        <w:pStyle w:val="TOC Heading"/>
        <w:rPr>
          <w:rFonts w:ascii="Times New Roman" w:cs="Times New Roman" w:hAnsi="Times New Roman" w:eastAsia="Times New Roman"/>
        </w:rPr>
      </w:pPr>
      <w:bookmarkStart w:name="_Toc" w:id="0"/>
      <w:r>
        <w:rPr>
          <w:rFonts w:ascii="Times New Roman" w:hAnsi="Times New Roman"/>
          <w:rtl w:val="0"/>
          <w:lang w:val="en-US"/>
        </w:rPr>
        <w:t>Contents</w:t>
      </w:r>
      <w:bookmarkEnd w:id="0"/>
    </w:p>
    <w:p>
      <w:pPr>
        <w:pStyle w:val="Normal.0"/>
      </w:pPr>
      <w:r>
        <w:rPr/>
        <w:fldChar w:fldCharType="begin" w:fldLock="0"/>
      </w:r>
      <w:r>
        <w:instrText xml:space="preserve"> TOC \o 1-1 \t "Heading 4, 2,TOC Heading, 3"</w:instrText>
      </w:r>
      <w:r>
        <w:rPr/>
        <w:fldChar w:fldCharType="separate" w:fldLock="0"/>
      </w:r>
    </w:p>
    <w:p>
      <w:pPr>
        <w:pStyle w:val="TOC 3"/>
      </w:pPr>
      <w:r>
        <w:rPr>
          <w:rFonts w:cs="Arial Unicode MS" w:eastAsia="Arial Unicode MS"/>
          <w:rtl w:val="0"/>
        </w:rPr>
        <w:t>Contents</w:t>
        <w:tab/>
      </w:r>
      <w:r>
        <w:rPr/>
        <w:fldChar w:fldCharType="begin" w:fldLock="0"/>
      </w:r>
      <w:r>
        <w:instrText xml:space="preserve"> PAGEREF _Toc \h </w:instrText>
      </w:r>
      <w:r>
        <w:rPr/>
        <w:fldChar w:fldCharType="separate" w:fldLock="0"/>
      </w:r>
      <w:r>
        <w:rPr>
          <w:rFonts w:cs="Arial Unicode MS" w:eastAsia="Arial Unicode MS"/>
          <w:rtl w:val="0"/>
        </w:rPr>
        <w:t>3</w:t>
      </w:r>
      <w:r>
        <w:rPr/>
        <w:fldChar w:fldCharType="end" w:fldLock="0"/>
      </w:r>
    </w:p>
    <w:p>
      <w:pPr>
        <w:pStyle w:val="TOC 1"/>
      </w:pPr>
      <w:r>
        <w:rPr>
          <w:rFonts w:cs="Arial Unicode MS" w:eastAsia="Arial Unicode MS"/>
          <w:rtl w:val="0"/>
        </w:rPr>
        <w:t>Reflection based on experience of returning to education using a recognised reflective theory</w:t>
        <w:tab/>
      </w:r>
      <w:r>
        <w:rPr/>
        <w:fldChar w:fldCharType="begin" w:fldLock="0"/>
      </w:r>
      <w:r>
        <w:instrText xml:space="preserve"> PAGEREF _Toc1 \h </w:instrText>
      </w:r>
      <w:r>
        <w:rPr/>
        <w:fldChar w:fldCharType="separate" w:fldLock="0"/>
      </w:r>
      <w:r>
        <w:rPr>
          <w:rFonts w:cs="Arial Unicode MS" w:eastAsia="Arial Unicode MS"/>
          <w:rtl w:val="0"/>
        </w:rPr>
        <w:t>1</w:t>
      </w:r>
      <w:r>
        <w:rPr/>
        <w:fldChar w:fldCharType="end" w:fldLock="0"/>
      </w:r>
    </w:p>
    <w:p>
      <w:pPr>
        <w:pStyle w:val="TOC 1"/>
      </w:pPr>
      <w:r>
        <w:rPr>
          <w:rFonts w:cs="Arial Unicode MS" w:eastAsia="Arial Unicode MS"/>
          <w:rtl w:val="0"/>
        </w:rPr>
        <w:t>REFERENCES</w:t>
        <w:tab/>
      </w:r>
      <w:r>
        <w:rPr/>
        <w:fldChar w:fldCharType="begin" w:fldLock="0"/>
      </w:r>
      <w:r>
        <w:instrText xml:space="preserve"> PAGEREF _Toc2 \h </w:instrText>
      </w:r>
      <w:r>
        <w:rPr/>
        <w:fldChar w:fldCharType="separate" w:fldLock="0"/>
      </w:r>
      <w:r>
        <w:rPr>
          <w:rFonts w:cs="Arial Unicode MS" w:eastAsia="Arial Unicode MS"/>
          <w:rtl w:val="0"/>
        </w:rPr>
        <w:t>4</w:t>
      </w:r>
      <w:r>
        <w:rPr/>
        <w:fldChar w:fldCharType="end" w:fldLock="0"/>
      </w:r>
    </w:p>
    <w:p>
      <w:pPr>
        <w:pStyle w:val="Normal.0"/>
        <w:rPr>
          <w:sz w:val="26"/>
          <w:szCs w:val="26"/>
        </w:rPr>
      </w:pPr>
      <w:r>
        <w:rPr/>
        <w:fldChar w:fldCharType="end" w:fldLock="0"/>
      </w:r>
    </w:p>
    <w:p>
      <w:pPr>
        <w:pStyle w:val="No Spacing"/>
        <w:jc w:val="center"/>
        <w:rPr>
          <w:rFonts w:ascii="Times New Roman" w:cs="Times New Roman" w:hAnsi="Times New Roman" w:eastAsia="Times New Roman"/>
          <w:b w:val="1"/>
          <w:bCs w:val="1"/>
          <w:i w:val="1"/>
          <w:iCs w:val="1"/>
          <w:sz w:val="80"/>
          <w:szCs w:val="80"/>
          <w:shd w:val="clear" w:color="auto" w:fill="ffffff"/>
        </w:rPr>
      </w:pPr>
    </w:p>
    <w:p>
      <w:pPr>
        <w:pStyle w:val="Normal.0"/>
        <w:rPr>
          <w:outline w:val="0"/>
          <w:color w:val="000000"/>
          <w:u w:color="000000"/>
          <w14:textFill>
            <w14:solidFill>
              <w14:srgbClr w14:val="000000"/>
            </w14:solidFill>
          </w14:textFill>
        </w:rPr>
      </w:pPr>
    </w:p>
    <w:p>
      <w:pPr>
        <w:pStyle w:val="Heading 1"/>
        <w:ind w:left="0" w:firstLine="0"/>
        <w:jc w:val="center"/>
        <w:rPr>
          <w:rFonts w:ascii="Times Roman" w:cs="Times Roman" w:hAnsi="Times Roman" w:eastAsia="Times Roman"/>
          <w:outline w:val="0"/>
          <w:color w:val="000000"/>
          <w:sz w:val="88"/>
          <w:szCs w:val="88"/>
          <w:u w:color="000000"/>
          <w14:textFill>
            <w14:solidFill>
              <w14:srgbClr w14:val="000000"/>
            </w14:solidFill>
          </w14:textFill>
        </w:rPr>
      </w:pPr>
    </w:p>
    <w:p>
      <w:pPr>
        <w:pStyle w:val="Heading 1"/>
        <w:ind w:left="0" w:firstLine="0"/>
        <w:jc w:val="center"/>
        <w:rPr>
          <w:rFonts w:ascii="Times Roman" w:cs="Times Roman" w:hAnsi="Times Roman" w:eastAsia="Times Roman"/>
          <w:outline w:val="0"/>
          <w:color w:val="000000"/>
          <w:sz w:val="88"/>
          <w:szCs w:val="88"/>
          <w:u w:color="000000"/>
          <w14:textFill>
            <w14:solidFill>
              <w14:srgbClr w14:val="000000"/>
            </w14:solidFill>
          </w14:textFill>
        </w:rPr>
      </w:pPr>
    </w:p>
    <w:p>
      <w:pPr>
        <w:pStyle w:val="Heading 1"/>
        <w:ind w:left="0" w:firstLine="0"/>
        <w:jc w:val="center"/>
        <w:rPr>
          <w:rFonts w:ascii="Times Roman" w:cs="Times Roman" w:hAnsi="Times Roman" w:eastAsia="Times Roman"/>
          <w:outline w:val="0"/>
          <w:color w:val="000000"/>
          <w:u w:color="000000"/>
          <w14:textFill>
            <w14:solidFill>
              <w14:srgbClr w14:val="000000"/>
            </w14:solidFill>
          </w14:textFill>
        </w:rPr>
      </w:pPr>
    </w:p>
    <w:p>
      <w:pPr>
        <w:pStyle w:val="Normal.0"/>
        <w:spacing w:before="113"/>
        <w:jc w:val="center"/>
        <w:rPr>
          <w:rFonts w:ascii="Times Roman" w:cs="Times Roman" w:hAnsi="Times Roman" w:eastAsia="Times Roman"/>
          <w:outline w:val="0"/>
          <w:color w:val="000000"/>
          <w:sz w:val="88"/>
          <w:szCs w:val="88"/>
          <w:u w:color="000000"/>
          <w14:textFill>
            <w14:solidFill>
              <w14:srgbClr w14:val="000000"/>
            </w14:solidFill>
          </w14:textFill>
        </w:rPr>
      </w:pPr>
    </w:p>
    <w:p>
      <w:pPr>
        <w:pStyle w:val="Normal.0"/>
        <w:sectPr>
          <w:headerReference w:type="default" r:id="rId4"/>
          <w:footerReference w:type="default" r:id="rId5"/>
          <w:pgSz w:w="12240" w:h="15840" w:orient="portrait"/>
          <w:pgMar w:top="1440" w:right="1440" w:bottom="1440" w:left="1440" w:header="720" w:footer="720"/>
          <w:bidi w:val="0"/>
        </w:sectPr>
      </w:pPr>
    </w:p>
    <w:p>
      <w:pPr>
        <w:pStyle w:val="Heading 1"/>
        <w:jc w:val="left"/>
      </w:pPr>
      <w:bookmarkStart w:name="_Toc1" w:id="1"/>
      <w:r>
        <w:rPr>
          <w:rtl w:val="0"/>
          <w:lang w:val="en-US"/>
        </w:rPr>
        <w:t xml:space="preserve">Reflection based on experience of returning to education using a recognised reflective theory </w:t>
      </w:r>
      <w:bookmarkEnd w:id="1"/>
    </w:p>
    <w:p>
      <w:pPr>
        <w:pStyle w:val="Normal.0"/>
        <w:ind w:firstLine="432"/>
      </w:pPr>
      <w:r>
        <w:rPr>
          <w:rtl w:val="0"/>
          <w:lang w:val="en-US"/>
        </w:rPr>
        <w:t>I made a decision for returning to education after almost 14 years. According to me, returning to education was one of my best decision in life. Returning to education is step-by-step approach wherein each step is required to be managed wisely. To elaborate my experience of returning to education, use of Gibbs reflective theory is effective. It provides structure to learn from experience in an event or situation. My experience when I returned to education is defined within stages mentioned in Gibbs Reflective Cycle (1988):</w:t>
      </w:r>
    </w:p>
    <w:p>
      <w:pPr>
        <w:pStyle w:val="Normal.0"/>
        <w:ind w:firstLine="432"/>
      </w:pPr>
      <w:r>
        <w:rPr>
          <w:b w:val="1"/>
          <w:bCs w:val="1"/>
          <w:i w:val="1"/>
          <w:iCs w:val="1"/>
          <w:rtl w:val="0"/>
          <w:lang w:val="en-US"/>
        </w:rPr>
        <w:t>Description</w:t>
      </w:r>
      <w:r>
        <w:rPr>
          <w:rtl w:val="0"/>
          <w:lang w:val="en-US"/>
        </w:rPr>
        <w:t xml:space="preserve">: Returning to education was one of decision that I made to open doors for my career and employability. I participated in a course that is named as Skills for Workplace (CertHE). The length of the course was of 1 Year (Full Time). It was lot of fun as well as excitement as in the university which I applied for continuing my studies, </w:t>
      </w:r>
      <w:r>
        <w:rPr>
          <w:sz w:val="26"/>
          <w:szCs w:val="26"/>
          <w:rtl w:val="0"/>
          <w:lang w:val="en-US"/>
        </w:rPr>
        <w:t>I was not only an adult but others were also adults.</w:t>
      </w:r>
      <w:r>
        <w:rPr>
          <w:rtl w:val="0"/>
          <w:lang w:val="en-US"/>
        </w:rPr>
        <w:t xml:space="preserve"> I participated in various extra curriculum activities and group project that motivated me to learn new things as well as achieve good grades. Learning in this period brought meaning together with purpose of life and clarified my future aspiration. In initial days, I faced huge complexities to learn and understand topics, but, support from my classmates and professors helped me to complete the education. All my classmates and teachers provided my study material so that I achieve success in improving my studies and get good opportunities in career. The course is particularly created as well as its flexible delivery, gave me confidence for anticipating together with approaching challenges that challenged me independently or with others.</w:t>
      </w:r>
    </w:p>
    <w:p>
      <w:pPr>
        <w:pStyle w:val="Normal.0"/>
        <w:ind w:firstLine="432"/>
      </w:pPr>
      <w:r>
        <w:rPr>
          <w:rtl w:val="0"/>
        </w:rPr>
        <w:tab/>
        <w:t xml:space="preserve"> </w:t>
      </w:r>
      <w:r>
        <w:rPr>
          <w:b w:val="1"/>
          <w:bCs w:val="1"/>
          <w:i w:val="1"/>
          <w:iCs w:val="1"/>
          <w:rtl w:val="0"/>
          <w:lang w:val="en-US"/>
        </w:rPr>
        <w:t>Feelings</w:t>
      </w:r>
      <w:r>
        <w:rPr>
          <w:rtl w:val="0"/>
          <w:lang w:val="en-US"/>
        </w:rPr>
        <w:t xml:space="preserve">: In my case, I felt nervous when I made the decision of returning to education. Before completing all the formalities of University, I was little anxious, but more excited about my studies. When I started attending lectures and completing assignments, I felt great as my knowledge and skills sets were improving that will help me in my future employment. However, it was a stressful experience for me as studying together with fulfilling my responsibilities towards family was bit complicated. It developed a feeling of motivation within me to learn variant skill sets that are importance for workplace in modern era. Looking back at my experience, I am feeling more satisfied that I made a right decision to return to education as it changed my whole life. Now, with the knowledge and skills I am gathering, I hope and confident I will achieve my desired position in my present workplace. </w:t>
      </w:r>
    </w:p>
    <w:p>
      <w:pPr>
        <w:pStyle w:val="Normal.0"/>
      </w:pPr>
      <w:r>
        <w:tab/>
      </w:r>
      <w:r>
        <w:rPr>
          <w:b w:val="1"/>
          <w:bCs w:val="1"/>
          <w:i w:val="1"/>
          <w:iCs w:val="1"/>
          <w:rtl w:val="0"/>
          <w:lang w:val="en-US"/>
        </w:rPr>
        <w:t>Evaluation</w:t>
      </w:r>
      <w:r>
        <w:rPr>
          <w:rtl w:val="0"/>
          <w:lang w:val="en-US"/>
        </w:rPr>
        <w:t>: In my experience to returning to education, it is evaluated that the thing which was good was my dedication to studies. Moreover, my communication skill also resulted in achieving success in my study for Skills for Workplace (CertHE) as I shared and exchanged notes, assignments and learnings with classmates as well as professors. It enables me to take responsibilities of my own. In contrary, the thing which clearly didn</w:t>
      </w:r>
      <w:r>
        <w:rPr>
          <w:rtl w:val="0"/>
          <w:lang w:val="en-US"/>
        </w:rPr>
        <w:t>’</w:t>
      </w:r>
      <w:r>
        <w:rPr>
          <w:rtl w:val="0"/>
          <w:lang w:val="en-US"/>
        </w:rPr>
        <w:t xml:space="preserve">t went well was mismanagement of time. My time management did not go well because I was not able to give time to my family and often get frustrated. I also faced problems in travelling due to huge distance from my house to campus. </w:t>
      </w:r>
    </w:p>
    <w:p>
      <w:pPr>
        <w:pStyle w:val="Normal.0"/>
      </w:pPr>
      <w:r>
        <w:tab/>
      </w:r>
      <w:r>
        <w:rPr>
          <w:b w:val="1"/>
          <w:bCs w:val="1"/>
          <w:i w:val="1"/>
          <w:iCs w:val="1"/>
          <w:rtl w:val="0"/>
          <w:lang w:val="en-US"/>
        </w:rPr>
        <w:t>Analysis</w:t>
      </w:r>
      <w:r>
        <w:rPr>
          <w:rtl w:val="0"/>
          <w:lang w:val="en-US"/>
        </w:rPr>
        <w:t xml:space="preserve">: From my experience of returning to education, it is analysed that Skills for Workplace (CertHE) has changed my life </w:t>
      </w:r>
      <w:r>
        <w:rPr>
          <w:outline w:val="0"/>
          <w:color w:val="222222"/>
          <w:u w:color="222222"/>
          <w:shd w:val="clear" w:color="auto" w:fill="ffffff"/>
          <w:rtl w:val="0"/>
          <w:lang w:val="en-US"/>
          <w14:textFill>
            <w14:solidFill>
              <w14:srgbClr w14:val="222222"/>
            </w14:solidFill>
          </w14:textFill>
        </w:rPr>
        <w:t>(Yu, 2019)</w:t>
      </w:r>
      <w:r>
        <w:rPr>
          <w:rtl w:val="0"/>
          <w:lang w:val="en-US"/>
        </w:rPr>
        <w:t>. Experience of returning to education went well as I got assistance, materials and support from teachers along with classmates that improved my studies (</w:t>
      </w:r>
      <w:r>
        <w:rPr>
          <w:outline w:val="0"/>
          <w:color w:val="222222"/>
          <w:u w:color="222222"/>
          <w:shd w:val="clear" w:color="auto" w:fill="ffffff"/>
          <w:rtl w:val="0"/>
          <w:lang w:val="en-US"/>
          <w14:textFill>
            <w14:solidFill>
              <w14:srgbClr w14:val="222222"/>
            </w14:solidFill>
          </w14:textFill>
        </w:rPr>
        <w:t>Monaghan and Swords, 2021)</w:t>
      </w:r>
      <w:r>
        <w:rPr>
          <w:rtl w:val="0"/>
          <w:lang w:val="en-US"/>
        </w:rPr>
        <w:t xml:space="preserve">. Other than lectures of the course, I have participated in other programme which helped me to learn quickly. With application of theory, I can say that it happened because of support from family, classmate and tutors. Also, my dedication to study further is also reason behind things happened in such manner. </w:t>
      </w:r>
    </w:p>
    <w:p>
      <w:pPr>
        <w:pStyle w:val="Normal.0"/>
        <w:ind w:firstLine="720"/>
      </w:pPr>
      <w:r>
        <w:rPr>
          <w:rtl w:val="0"/>
          <w:lang w:val="en-US"/>
        </w:rPr>
        <w:t>It enabled me to develop confidence along with competence that are essential within effective employees. However, things didn</w:t>
      </w:r>
      <w:r>
        <w:rPr>
          <w:rtl w:val="0"/>
          <w:lang w:val="en-US"/>
        </w:rPr>
        <w:t>’</w:t>
      </w:r>
      <w:r>
        <w:rPr>
          <w:rtl w:val="0"/>
          <w:lang w:val="en-US"/>
        </w:rPr>
        <w:t xml:space="preserve">t go well because of my poor time management skill as I was unable to manage my time in ample number of practices. Many a times, I have skipped practices so that I can complete the course within the determined time duration. From the whole situation, I can make sense that retuning to education was my best decisions </w:t>
      </w:r>
      <w:r>
        <w:rPr>
          <w:outline w:val="0"/>
          <w:color w:val="222222"/>
          <w:u w:color="222222"/>
          <w:shd w:val="clear" w:color="auto" w:fill="ffffff"/>
          <w:rtl w:val="0"/>
          <w:lang w:val="en-US"/>
          <w14:textFill>
            <w14:solidFill>
              <w14:srgbClr w14:val="222222"/>
            </w14:solidFill>
          </w14:textFill>
        </w:rPr>
        <w:t>(Castleberry and Nolen, 2018</w:t>
      </w:r>
      <w:r>
        <w:rPr>
          <w:rtl w:val="0"/>
          <w:lang w:val="en-US"/>
        </w:rPr>
        <w:t>).</w:t>
      </w:r>
    </w:p>
    <w:p>
      <w:pPr>
        <w:pStyle w:val="Normal.0"/>
      </w:pPr>
      <w:r>
        <w:tab/>
      </w:r>
      <w:r>
        <w:rPr>
          <w:b w:val="1"/>
          <w:bCs w:val="1"/>
          <w:i w:val="1"/>
          <w:iCs w:val="1"/>
          <w:rtl w:val="0"/>
          <w:lang w:val="en-US"/>
        </w:rPr>
        <w:t>Conclusions</w:t>
      </w:r>
      <w:r>
        <w:rPr>
          <w:rtl w:val="0"/>
          <w:lang w:val="en-US"/>
        </w:rPr>
        <w:t>: I have learned that returning to education has improved my knowledge and skill sets for working in modern organisations. Returning to education was my great experience as it was full of excitement and developed my employability attributes. I got various help and materials from teachers in order to complete the course and learn new things. I learned that returning to education opens new opportunities which might not developed before. It empowered me and assisted me for attaining my aspirations together with career goals. In the course of Skills for Workplace (CertHE), I have discovered my talents and expanded my skills to gain sense of pride in achievements. In future, if I have to handle the situation like this, I need to develop time management skill and organising skills. Also, I think for developing my confidence and to be successful in education I have to use the resources provided effectively from professors.</w:t>
      </w:r>
    </w:p>
    <w:p>
      <w:pPr>
        <w:pStyle w:val="Normal.0"/>
      </w:pPr>
      <w:r>
        <w:tab/>
      </w:r>
      <w:r>
        <w:rPr>
          <w:b w:val="1"/>
          <w:bCs w:val="1"/>
          <w:i w:val="1"/>
          <w:iCs w:val="1"/>
          <w:rtl w:val="0"/>
          <w:lang w:val="en-US"/>
        </w:rPr>
        <w:t>Action Plan</w:t>
      </w:r>
      <w:r>
        <w:rPr>
          <w:rtl w:val="0"/>
          <w:lang w:val="en-US"/>
        </w:rPr>
        <w:t xml:space="preserve">: If I get the chance to return to education in future, I need to develop certain skills </w:t>
      </w:r>
      <w:r>
        <w:rPr>
          <w:outline w:val="0"/>
          <w:color w:val="222222"/>
          <w:u w:color="222222"/>
          <w:shd w:val="clear" w:color="auto" w:fill="ffffff"/>
          <w:rtl w:val="0"/>
          <w:lang w:val="en-US"/>
          <w14:textFill>
            <w14:solidFill>
              <w14:srgbClr w14:val="222222"/>
            </w14:solidFill>
          </w14:textFill>
        </w:rPr>
        <w:t>(Pennington, 2020</w:t>
      </w:r>
      <w:r>
        <w:rPr>
          <w:rtl w:val="0"/>
          <w:lang w:val="en-US"/>
        </w:rPr>
        <w:t xml:space="preserve">). I will develop my time managements skill through effectively prioritizing tasks, developing a schedule, learn patterns of productivity and reinforcing good habits in one month of period. Moreover. I will improve my organising skill through actions of beginning tasks early, avoiding distractions and maintaining efficiency in 2 months. </w:t>
      </w:r>
    </w:p>
    <w:p>
      <w:pPr>
        <w:pStyle w:val="Normal.0"/>
        <w:ind w:left="432" w:firstLine="0"/>
        <w:rPr>
          <w:rFonts w:ascii="Helvetica Neue" w:cs="Helvetica Neue" w:hAnsi="Helvetica Neue" w:eastAsia="Helvetica Neue"/>
        </w:rPr>
      </w:pPr>
    </w:p>
    <w:p>
      <w:pPr>
        <w:pStyle w:val="Normal.0"/>
        <w:ind w:firstLine="432"/>
      </w:pPr>
    </w:p>
    <w:p>
      <w:pPr>
        <w:pStyle w:val="Normal.0"/>
        <w:ind w:firstLine="432"/>
      </w:pPr>
    </w:p>
    <w:p>
      <w:pPr>
        <w:pStyle w:val="Normal.0"/>
        <w:ind w:firstLine="432"/>
      </w:pPr>
    </w:p>
    <w:p>
      <w:pPr>
        <w:pStyle w:val="Heading 1"/>
      </w:pPr>
      <w:r>
        <w:rPr>
          <w:rFonts w:ascii="Arial Unicode MS" w:cs="Arial Unicode MS" w:hAnsi="Arial Unicode MS" w:eastAsia="Arial Unicode MS"/>
          <w:b w:val="0"/>
          <w:bCs w:val="0"/>
          <w:i w:val="0"/>
          <w:iCs w:val="0"/>
        </w:rPr>
        <w:br w:type="page"/>
      </w:r>
    </w:p>
    <w:p>
      <w:pPr>
        <w:pStyle w:val="Heading 1"/>
      </w:pPr>
      <w:bookmarkStart w:name="_Toc2" w:id="2"/>
      <w:r>
        <w:rPr>
          <w:rFonts w:cs="Arial Unicode MS" w:eastAsia="Arial Unicode MS"/>
          <w:rtl w:val="0"/>
          <w:lang w:val="en-US"/>
        </w:rPr>
        <w:t>REFERENCES</w:t>
      </w:r>
      <w:bookmarkEnd w:id="2"/>
    </w:p>
    <w:p>
      <w:pPr>
        <w:pStyle w:val="Normal.0"/>
        <w:rPr>
          <w:outline w:val="0"/>
          <w:color w:val="222222"/>
          <w:sz w:val="26"/>
          <w:szCs w:val="26"/>
          <w:u w:color="222222"/>
          <w:shd w:val="clear" w:color="auto" w:fill="ffffff"/>
          <w14:textFill>
            <w14:solidFill>
              <w14:srgbClr w14:val="222222"/>
            </w14:solidFill>
          </w14:textFill>
        </w:rPr>
      </w:pPr>
      <w:r>
        <w:rPr>
          <w:sz w:val="26"/>
          <w:szCs w:val="26"/>
          <w:u w:val="single"/>
          <w:rtl w:val="0"/>
          <w:lang w:val="en-US"/>
        </w:rPr>
        <w:t>Books and Journals:</w:t>
      </w:r>
    </w:p>
    <w:p>
      <w:pPr>
        <w:pStyle w:val="Normal.0"/>
        <w:spacing w:line="240" w:lineRule="auto"/>
        <w:ind w:left="840" w:hanging="840"/>
        <w:rPr>
          <w:sz w:val="26"/>
          <w:szCs w:val="26"/>
        </w:rPr>
      </w:pPr>
      <w:r>
        <w:rPr>
          <w:sz w:val="26"/>
          <w:szCs w:val="26"/>
          <w:rtl w:val="0"/>
          <w:lang w:val="en-US"/>
        </w:rPr>
        <w:t>Gibbs G (1988). Learning by Doing: A guide to teaching and learning methods. Further Education Unit. Oxford Polytechnic: Oxford.</w:t>
      </w:r>
    </w:p>
    <w:p>
      <w:pPr>
        <w:pStyle w:val="Normal.0"/>
        <w:spacing w:line="240" w:lineRule="auto"/>
        <w:ind w:left="840" w:hanging="840"/>
        <w:rPr>
          <w:sz w:val="26"/>
          <w:szCs w:val="26"/>
        </w:rPr>
      </w:pPr>
    </w:p>
    <w:p>
      <w:pPr>
        <w:pStyle w:val="Normal.0"/>
        <w:spacing w:line="240" w:lineRule="auto"/>
        <w:ind w:left="840" w:hanging="840"/>
        <w:rPr>
          <w:sz w:val="26"/>
          <w:szCs w:val="26"/>
          <w:u w:color="222222"/>
          <w:shd w:val="clear" w:color="auto" w:fill="ffffff"/>
        </w:rPr>
      </w:pPr>
      <w:r>
        <w:rPr>
          <w:sz w:val="26"/>
          <w:szCs w:val="26"/>
          <w:u w:color="222222"/>
          <w:shd w:val="clear" w:color="auto" w:fill="ffffff"/>
          <w:rtl w:val="0"/>
          <w:lang w:val="en-US"/>
        </w:rPr>
        <w:t>Castleberry, A. and Nolen, A., (2018). Thematic analysis of qualitative research data: is it as easy as it sounds?.</w:t>
      </w:r>
      <w:r>
        <w:rPr>
          <w:sz w:val="26"/>
          <w:szCs w:val="26"/>
          <w:u w:color="222222"/>
          <w:shd w:val="clear" w:color="auto" w:fill="ffffff"/>
          <w:rtl w:val="0"/>
          <w:lang w:val="en-US"/>
        </w:rPr>
        <w:t> </w:t>
      </w:r>
      <w:r>
        <w:rPr>
          <w:i w:val="1"/>
          <w:iCs w:val="1"/>
          <w:sz w:val="26"/>
          <w:szCs w:val="26"/>
          <w:u w:color="222222"/>
          <w:shd w:val="clear" w:color="auto" w:fill="ffffff"/>
          <w:rtl w:val="0"/>
          <w:lang w:val="en-US"/>
        </w:rPr>
        <w:t>Currents in pharmacy teaching and learning</w:t>
      </w:r>
      <w:r>
        <w:rPr>
          <w:sz w:val="26"/>
          <w:szCs w:val="26"/>
          <w:u w:color="222222"/>
          <w:shd w:val="clear" w:color="auto" w:fill="ffffff"/>
          <w:rtl w:val="0"/>
          <w:lang w:val="en-US"/>
        </w:rPr>
        <w:t>.</w:t>
      </w:r>
      <w:r>
        <w:rPr>
          <w:sz w:val="26"/>
          <w:szCs w:val="26"/>
          <w:u w:color="222222"/>
          <w:shd w:val="clear" w:color="auto" w:fill="ffffff"/>
          <w:rtl w:val="0"/>
          <w:lang w:val="en-US"/>
        </w:rPr>
        <w:t> </w:t>
      </w:r>
      <w:r>
        <w:rPr>
          <w:sz w:val="26"/>
          <w:szCs w:val="26"/>
          <w:u w:color="222222"/>
          <w:shd w:val="clear" w:color="auto" w:fill="ffffff"/>
          <w:rtl w:val="0"/>
          <w:lang w:val="en-US"/>
        </w:rPr>
        <w:t>10(6). pp.807-815.</w:t>
      </w:r>
      <w:r>
        <w:rPr>
          <w:sz w:val="26"/>
          <w:szCs w:val="26"/>
          <w:u w:color="222222"/>
          <w:shd w:val="clear" w:color="auto" w:fill="ffffff"/>
        </w:rPr>
        <w:br w:type="textWrapping"/>
      </w:r>
    </w:p>
    <w:p>
      <w:pPr>
        <w:pStyle w:val="Normal.0"/>
        <w:spacing w:line="240" w:lineRule="auto"/>
        <w:ind w:left="840" w:hanging="840"/>
        <w:rPr>
          <w:sz w:val="26"/>
          <w:szCs w:val="26"/>
          <w:u w:color="222222"/>
          <w:shd w:val="clear" w:color="auto" w:fill="ffffff"/>
        </w:rPr>
      </w:pPr>
      <w:r>
        <w:rPr>
          <w:sz w:val="26"/>
          <w:szCs w:val="26"/>
          <w:u w:color="222222"/>
          <w:shd w:val="clear" w:color="auto" w:fill="ffffff"/>
          <w:rtl w:val="0"/>
          <w:lang w:val="en-US"/>
        </w:rPr>
        <w:t>Monaghan, C. and Swords, L., (2021). I</w:t>
      </w:r>
      <w:r>
        <w:rPr>
          <w:sz w:val="26"/>
          <w:szCs w:val="26"/>
          <w:u w:color="222222"/>
          <w:shd w:val="clear" w:color="auto" w:fill="ffffff"/>
          <w:rtl w:val="0"/>
          <w:lang w:val="en-US"/>
        </w:rPr>
        <w:t>’</w:t>
      </w:r>
      <w:r>
        <w:rPr>
          <w:sz w:val="26"/>
          <w:szCs w:val="26"/>
          <w:u w:color="222222"/>
          <w:shd w:val="clear" w:color="auto" w:fill="ffffff"/>
          <w:rtl w:val="0"/>
          <w:lang w:val="en-US"/>
        </w:rPr>
        <w:t>m still learning: perspectives on returning to education among early school leavers.</w:t>
      </w:r>
      <w:r>
        <w:rPr>
          <w:sz w:val="26"/>
          <w:szCs w:val="26"/>
          <w:u w:color="222222"/>
          <w:shd w:val="clear" w:color="auto" w:fill="ffffff"/>
          <w:rtl w:val="0"/>
          <w:lang w:val="en-US"/>
        </w:rPr>
        <w:t> </w:t>
      </w:r>
      <w:r>
        <w:rPr>
          <w:i w:val="1"/>
          <w:iCs w:val="1"/>
          <w:sz w:val="26"/>
          <w:szCs w:val="26"/>
          <w:u w:color="222222"/>
          <w:shd w:val="clear" w:color="auto" w:fill="ffffff"/>
          <w:rtl w:val="0"/>
          <w:lang w:val="en-US"/>
        </w:rPr>
        <w:t>International Journal of Inclusive Education</w:t>
      </w:r>
      <w:r>
        <w:rPr>
          <w:sz w:val="26"/>
          <w:szCs w:val="26"/>
          <w:u w:color="222222"/>
          <w:shd w:val="clear" w:color="auto" w:fill="ffffff"/>
          <w:rtl w:val="0"/>
          <w:lang w:val="en-US"/>
        </w:rPr>
        <w:t>, pp.1-14.</w:t>
      </w:r>
      <w:r>
        <w:rPr>
          <w:sz w:val="26"/>
          <w:szCs w:val="26"/>
          <w:u w:color="222222"/>
          <w:shd w:val="clear" w:color="auto" w:fill="ffffff"/>
        </w:rPr>
        <w:br w:type="textWrapping"/>
      </w:r>
    </w:p>
    <w:p>
      <w:pPr>
        <w:pStyle w:val="Normal.0"/>
        <w:spacing w:line="240" w:lineRule="auto"/>
        <w:ind w:left="840" w:hanging="840"/>
        <w:rPr>
          <w:sz w:val="26"/>
          <w:szCs w:val="26"/>
          <w:u w:color="222222"/>
          <w:shd w:val="clear" w:color="auto" w:fill="ffffff"/>
        </w:rPr>
      </w:pPr>
      <w:r>
        <w:rPr>
          <w:sz w:val="26"/>
          <w:szCs w:val="26"/>
          <w:u w:color="222222"/>
          <w:shd w:val="clear" w:color="auto" w:fill="ffffff"/>
          <w:rtl w:val="0"/>
          <w:lang w:val="en-US"/>
        </w:rPr>
        <w:t>Monaghan, C. and Swords, L., (2021). I</w:t>
      </w:r>
      <w:r>
        <w:rPr>
          <w:sz w:val="26"/>
          <w:szCs w:val="26"/>
          <w:u w:color="222222"/>
          <w:shd w:val="clear" w:color="auto" w:fill="ffffff"/>
          <w:rtl w:val="0"/>
          <w:lang w:val="en-US"/>
        </w:rPr>
        <w:t>’</w:t>
      </w:r>
      <w:r>
        <w:rPr>
          <w:sz w:val="26"/>
          <w:szCs w:val="26"/>
          <w:u w:color="222222"/>
          <w:shd w:val="clear" w:color="auto" w:fill="ffffff"/>
          <w:rtl w:val="0"/>
          <w:lang w:val="en-US"/>
        </w:rPr>
        <w:t>m still learning: perspectives on returning to education among early school leavers.</w:t>
      </w:r>
      <w:r>
        <w:rPr>
          <w:sz w:val="26"/>
          <w:szCs w:val="26"/>
          <w:u w:color="222222"/>
          <w:shd w:val="clear" w:color="auto" w:fill="ffffff"/>
          <w:rtl w:val="0"/>
          <w:lang w:val="en-US"/>
        </w:rPr>
        <w:t> </w:t>
      </w:r>
      <w:r>
        <w:rPr>
          <w:i w:val="1"/>
          <w:iCs w:val="1"/>
          <w:sz w:val="26"/>
          <w:szCs w:val="26"/>
          <w:u w:color="222222"/>
          <w:shd w:val="clear" w:color="auto" w:fill="ffffff"/>
          <w:rtl w:val="0"/>
          <w:lang w:val="en-US"/>
        </w:rPr>
        <w:t>International Journal of Inclusive Education</w:t>
      </w:r>
      <w:r>
        <w:rPr>
          <w:sz w:val="26"/>
          <w:szCs w:val="26"/>
          <w:u w:color="222222"/>
          <w:shd w:val="clear" w:color="auto" w:fill="ffffff"/>
          <w:rtl w:val="0"/>
          <w:lang w:val="en-US"/>
        </w:rPr>
        <w:t>, pp.1-14.</w:t>
      </w:r>
      <w:r>
        <w:rPr>
          <w:sz w:val="26"/>
          <w:szCs w:val="26"/>
          <w:u w:color="222222"/>
          <w:shd w:val="clear" w:color="auto" w:fill="ffffff"/>
        </w:rPr>
        <w:br w:type="textWrapping"/>
      </w:r>
    </w:p>
    <w:p>
      <w:pPr>
        <w:pStyle w:val="Normal.0"/>
        <w:spacing w:line="240" w:lineRule="auto"/>
        <w:ind w:left="840" w:hanging="840"/>
        <w:rPr>
          <w:sz w:val="26"/>
          <w:szCs w:val="26"/>
        </w:rPr>
      </w:pPr>
      <w:r>
        <w:rPr>
          <w:sz w:val="26"/>
          <w:szCs w:val="26"/>
          <w:u w:color="222222"/>
          <w:shd w:val="clear" w:color="auto" w:fill="ffffff"/>
          <w:rtl w:val="0"/>
          <w:lang w:val="en-US"/>
        </w:rPr>
        <w:t>Pennington, G., (2020). Returning the Game to the Original Owners.</w:t>
      </w:r>
      <w:r>
        <w:rPr>
          <w:sz w:val="26"/>
          <w:szCs w:val="26"/>
          <w:u w:color="222222"/>
          <w:shd w:val="clear" w:color="auto" w:fill="ffffff"/>
          <w:rtl w:val="0"/>
          <w:lang w:val="en-US"/>
        </w:rPr>
        <w:t> </w:t>
      </w:r>
      <w:r>
        <w:rPr>
          <w:i w:val="1"/>
          <w:iCs w:val="1"/>
          <w:sz w:val="26"/>
          <w:szCs w:val="26"/>
          <w:u w:color="222222"/>
          <w:shd w:val="clear" w:color="auto" w:fill="ffffff"/>
          <w:rtl w:val="0"/>
          <w:lang w:val="en-US"/>
        </w:rPr>
        <w:t>Physical &amp; Health Education Journal</w:t>
      </w:r>
      <w:r>
        <w:rPr>
          <w:sz w:val="26"/>
          <w:szCs w:val="26"/>
          <w:u w:color="222222"/>
          <w:shd w:val="clear" w:color="auto" w:fill="ffffff"/>
          <w:rtl w:val="0"/>
          <w:lang w:val="en-US"/>
        </w:rPr>
        <w:t>.</w:t>
      </w:r>
      <w:r>
        <w:rPr>
          <w:sz w:val="26"/>
          <w:szCs w:val="26"/>
          <w:u w:color="222222"/>
          <w:shd w:val="clear" w:color="auto" w:fill="ffffff"/>
          <w:rtl w:val="0"/>
          <w:lang w:val="en-US"/>
        </w:rPr>
        <w:t> </w:t>
      </w:r>
      <w:r>
        <w:rPr>
          <w:sz w:val="26"/>
          <w:szCs w:val="26"/>
          <w:u w:color="222222"/>
          <w:shd w:val="clear" w:color="auto" w:fill="ffffff"/>
          <w:rtl w:val="0"/>
          <w:lang w:val="en-US"/>
        </w:rPr>
        <w:t>86(3). pp.1-5.</w:t>
      </w:r>
      <w:r>
        <w:rPr>
          <w:sz w:val="26"/>
          <w:szCs w:val="26"/>
          <w:u w:color="222222"/>
          <w:shd w:val="clear" w:color="auto" w:fill="ffffff"/>
        </w:rPr>
        <w:br w:type="textWrapping"/>
      </w:r>
    </w:p>
    <w:p>
      <w:pPr>
        <w:pStyle w:val="Normal.0"/>
        <w:spacing w:line="240" w:lineRule="auto"/>
        <w:ind w:left="840" w:hanging="840"/>
      </w:pPr>
      <w:r>
        <w:rPr>
          <w:sz w:val="26"/>
          <w:szCs w:val="26"/>
          <w:u w:color="222222"/>
          <w:shd w:val="clear" w:color="auto" w:fill="ffffff"/>
          <w:rtl w:val="0"/>
          <w:lang w:val="en-US"/>
        </w:rPr>
        <w:t>Yu, L. T., (2019). Returning Special Education Students to General Education Classrooms: Effects on Peers</w:t>
      </w:r>
      <w:r>
        <w:rPr>
          <w:sz w:val="26"/>
          <w:szCs w:val="26"/>
          <w:u w:color="222222"/>
          <w:shd w:val="clear" w:color="auto" w:fill="ffffff"/>
          <w:rtl w:val="0"/>
          <w:lang w:val="en-US"/>
        </w:rPr>
        <w:t xml:space="preserve">’ </w:t>
      </w:r>
      <w:r>
        <w:rPr>
          <w:sz w:val="26"/>
          <w:szCs w:val="26"/>
          <w:u w:color="222222"/>
          <w:shd w:val="clear" w:color="auto" w:fill="ffffff"/>
          <w:rtl w:val="0"/>
          <w:lang w:val="en-US"/>
        </w:rPr>
        <w:t>Reading Scores.</w:t>
      </w:r>
      <w:r>
        <w:rPr>
          <w:sz w:val="26"/>
          <w:szCs w:val="26"/>
          <w:u w:color="222222"/>
          <w:shd w:val="clear" w:color="auto" w:fill="ffffff"/>
          <w:rtl w:val="0"/>
          <w:lang w:val="en-US"/>
        </w:rPr>
        <w:t> </w:t>
      </w:r>
      <w:r>
        <w:rPr>
          <w:i w:val="1"/>
          <w:iCs w:val="1"/>
          <w:sz w:val="26"/>
          <w:szCs w:val="26"/>
          <w:u w:color="222222"/>
          <w:shd w:val="clear" w:color="auto" w:fill="ffffff"/>
          <w:rtl w:val="0"/>
          <w:lang w:val="en-US"/>
        </w:rPr>
        <w:t>Chicago Policy Review (Online)</w:t>
      </w:r>
      <w:r>
        <w:rPr>
          <w:sz w:val="26"/>
          <w:szCs w:val="26"/>
          <w:u w:color="222222"/>
          <w:shd w:val="clear" w:color="auto" w:fill="ffffff"/>
          <w:rtl w:val="0"/>
          <w:lang w:val="en-US"/>
        </w:rPr>
        <w:t>.</w:t>
      </w:r>
    </w:p>
    <w:sectPr>
      <w:headerReference w:type="default" r:id="rId6"/>
      <w:footerReference w:type="default" r:id="rId7"/>
      <w:pgSz w:w="12240" w:h="15840" w:orient="portrait"/>
      <w:pgMar w:top="1440" w:right="1440" w:bottom="1440" w:left="1440" w:header="720" w:footer="720"/>
      <w:pgNumType w:start="1"/>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Calibri">
    <w:charset w:val="00"/>
    <w:family w:val="roman"/>
    <w:pitch w:val="default"/>
  </w:font>
  <w:font w:name="Calibri Light">
    <w:charset w:val="00"/>
    <w:family w:val="roman"/>
    <w:pitch w:val="default"/>
  </w:font>
  <w:font w:name="Tinos">
    <w:charset w:val="00"/>
    <w:family w:val="roman"/>
    <w:pitch w:val="default"/>
  </w:font>
  <w:font w:name="Times Roman">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pPr>
    <w:r/>
  </w:p>
</w:ftr>
</file>

<file path=word/footer2.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Footer"/>
      <w:tabs>
        <w:tab w:val="right" w:pos="9340"/>
        <w:tab w:val="clear" w:pos="9360"/>
      </w:tabs>
      <w:jc w:val="center"/>
    </w:pPr>
    <w:r>
      <w:rPr/>
      <w:fldChar w:fldCharType="begin" w:fldLock="0"/>
    </w:r>
    <w:r>
      <w:instrText xml:space="preserve"> PAGE </w:instrText>
    </w:r>
    <w:r>
      <w:rPr/>
      <w:fldChar w:fldCharType="separate" w:fldLock="0"/>
    </w:r>
    <w:r/>
    <w:r>
      <w:rPr/>
      <w:fldChar w:fldCharType="end" w:fldLock="0"/>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pPr>
    <w:r>
      <mc:AlternateContent>
        <mc:Choice Requires="wps">
          <w:drawing xmlns:a="http://schemas.openxmlformats.org/drawingml/2006/main">
            <wp:anchor distT="152400" distB="152400" distL="152400" distR="152400" simplePos="0" relativeHeight="251658240" behindDoc="1" locked="0" layoutInCell="1" allowOverlap="1">
              <wp:simplePos x="0" y="0"/>
              <wp:positionH relativeFrom="page">
                <wp:posOffset>0</wp:posOffset>
              </wp:positionH>
              <wp:positionV relativeFrom="page">
                <wp:posOffset>0</wp:posOffset>
              </wp:positionV>
              <wp:extent cx="7772400" cy="10058400"/>
              <wp:effectExtent l="0" t="0" r="0" b="0"/>
              <wp:wrapNone/>
              <wp:docPr id="1073741825" name="officeArt object" descr="Rectangle"/>
              <wp:cNvGraphicFramePr/>
              <a:graphic xmlns:a="http://schemas.openxmlformats.org/drawingml/2006/main">
                <a:graphicData uri="http://schemas.microsoft.com/office/word/2010/wordprocessingShape">
                  <wps:wsp>
                    <wps:cNvSpPr/>
                    <wps:spPr>
                      <a:xfrm>
                        <a:off x="0" y="0"/>
                        <a:ext cx="7772400" cy="10058400"/>
                      </a:xfrm>
                      <a:prstGeom prst="roundRect">
                        <a:avLst>
                          <a:gd name="adj" fmla="val 0"/>
                        </a:avLst>
                      </a:prstGeom>
                      <a:solidFill>
                        <a:srgbClr val="FFFFFF"/>
                      </a:solidFill>
                      <a:ln w="12700" cap="flat">
                        <a:noFill/>
                        <a:miter lim="400000"/>
                      </a:ln>
                      <a:effectLst/>
                    </wps:spPr>
                    <wps:bodyPr/>
                  </wps:wsp>
                </a:graphicData>
              </a:graphic>
            </wp:anchor>
          </w:drawing>
        </mc:Choice>
        <mc:Fallback>
          <w:pict>
            <v:roundrect id="_x0000_s1026" style="visibility:visible;position:absolute;margin-left:0.0pt;margin-top:0.0pt;width:612.0pt;height:792.0pt;z-index:-251658240;mso-position-horizontal:absolute;mso-position-horizontal-relative:page;mso-position-vertical:absolute;mso-position-vertical-relative:page;mso-wrap-distance-left:12.0pt;mso-wrap-distance-top:12.0pt;mso-wrap-distance-right:12.0pt;mso-wrap-distance-bottom:12.0pt;" adj="0">
              <v:fill color="#FFFFFF" opacity="100.0%" type="solid"/>
              <v:stroke on="f" weight="1.0pt" dashstyle="solid" endcap="flat" miterlimit="400.0%" joinstyle="miter" linestyle="single" startarrow="none" startarrowwidth="medium" startarrowlength="medium" endarrow="none" endarrowwidth="medium" endarrowlength="medium"/>
              <w10:wrap type="none" side="bothSides" anchorx="page" anchory="page"/>
            </v:roundrect>
          </w:pict>
        </mc:Fallback>
      </mc:AlternateContent>
    </w:r>
    <w:r/>
  </w:p>
</w:hdr>
</file>

<file path=word/header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pPr>
    <w:r>
      <mc:AlternateContent>
        <mc:Choice Requires="wps">
          <w:drawing xmlns:a="http://schemas.openxmlformats.org/drawingml/2006/main">
            <wp:anchor distT="152400" distB="152400" distL="152400" distR="152400" simplePos="0" relativeHeight="251658240" behindDoc="1" locked="0" layoutInCell="1" allowOverlap="1">
              <wp:simplePos x="0" y="0"/>
              <wp:positionH relativeFrom="page">
                <wp:posOffset>0</wp:posOffset>
              </wp:positionH>
              <wp:positionV relativeFrom="page">
                <wp:posOffset>0</wp:posOffset>
              </wp:positionV>
              <wp:extent cx="7772400" cy="10058400"/>
              <wp:effectExtent l="0" t="0" r="0" b="0"/>
              <wp:wrapNone/>
              <wp:docPr id="1073741826" name="officeArt object" descr="Rectangle"/>
              <wp:cNvGraphicFramePr/>
              <a:graphic xmlns:a="http://schemas.openxmlformats.org/drawingml/2006/main">
                <a:graphicData uri="http://schemas.microsoft.com/office/word/2010/wordprocessingShape">
                  <wps:wsp>
                    <wps:cNvSpPr/>
                    <wps:spPr>
                      <a:xfrm>
                        <a:off x="0" y="0"/>
                        <a:ext cx="7772400" cy="10058400"/>
                      </a:xfrm>
                      <a:prstGeom prst="roundRect">
                        <a:avLst>
                          <a:gd name="adj" fmla="val 0"/>
                        </a:avLst>
                      </a:prstGeom>
                      <a:solidFill>
                        <a:srgbClr val="FFFFFF"/>
                      </a:solidFill>
                      <a:ln w="12700" cap="flat">
                        <a:noFill/>
                        <a:miter lim="400000"/>
                      </a:ln>
                      <a:effectLst/>
                    </wps:spPr>
                    <wps:bodyPr/>
                  </wps:wsp>
                </a:graphicData>
              </a:graphic>
            </wp:anchor>
          </w:drawing>
        </mc:Choice>
        <mc:Fallback>
          <w:pict>
            <v:roundrect id="_x0000_s1027" style="visibility:visible;position:absolute;margin-left:0.0pt;margin-top:0.0pt;width:612.0pt;height:792.0pt;z-index:-251658240;mso-position-horizontal:absolute;mso-position-horizontal-relative:page;mso-position-vertical:absolute;mso-position-vertical-relative:page;mso-wrap-distance-left:12.0pt;mso-wrap-distance-top:12.0pt;mso-wrap-distance-right:12.0pt;mso-wrap-distance-bottom:12.0pt;" adj="0">
              <v:fill color="#FFFFFF" opacity="100.0%" type="solid"/>
              <v:stroke on="f" weight="1.0pt" dashstyle="solid" endcap="flat" miterlimit="400.0%" joinstyle="miter" linestyle="single" startarrow="none" startarrowwidth="medium" startarrowlength="medium" endarrow="none" endarrowwidth="medium" endarrowlength="medium"/>
              <w10:wrap type="none" side="bothSides" anchorx="page" anchory="page"/>
            </v:roundrect>
          </w:pict>
        </mc:Fallback>
      </mc:AlternateContent>
    </w:r>
    <w:r/>
  </w:p>
</w:hdr>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w="12700" w14:cap="flat">
        <w14:noFill/>
        <w14:miter w14:lim="400000"/>
      </w14:textOutline>
      <w14:textFill>
        <w14:solidFill>
          <w14:srgbClr w14:val="000000"/>
        </w14:solidFill>
      </w14:textFill>
    </w:rPr>
  </w:style>
  <w:style w:type="paragraph" w:styleId="Heading 4">
    <w:name w:val="Heading 4"/>
    <w:next w:val="Normal.0"/>
    <w:pPr>
      <w:keepNext w:val="1"/>
      <w:keepLines w:val="0"/>
      <w:pageBreakBefore w:val="0"/>
      <w:widowControl w:val="1"/>
      <w:shd w:val="clear" w:color="auto" w:fill="auto"/>
      <w:suppressAutoHyphens w:val="1"/>
      <w:bidi w:val="0"/>
      <w:spacing w:before="240" w:after="60" w:line="360" w:lineRule="auto"/>
      <w:ind w:left="0" w:right="0" w:firstLine="0"/>
      <w:jc w:val="both"/>
      <w:outlineLvl w:val="1"/>
    </w:pPr>
    <w:rPr>
      <w:rFonts w:ascii="Calibri" w:cs="Arial Unicode MS" w:hAnsi="Calibri" w:eastAsia="Arial Unicode MS"/>
      <w:b w:val="1"/>
      <w:bCs w:val="1"/>
      <w:i w:val="0"/>
      <w:iCs w:val="0"/>
      <w:caps w:val="0"/>
      <w:smallCaps w:val="0"/>
      <w:strike w:val="0"/>
      <w:dstrike w:val="0"/>
      <w:outline w:val="0"/>
      <w:color w:val="000000"/>
      <w:spacing w:val="0"/>
      <w:kern w:val="0"/>
      <w:position w:val="0"/>
      <w:sz w:val="28"/>
      <w:szCs w:val="28"/>
      <w:u w:val="none" w:color="000000"/>
      <w:shd w:val="nil" w:color="auto" w:fill="auto"/>
      <w:vertAlign w:val="baseline"/>
      <w:lang w:val="en-US"/>
      <w14:textFill>
        <w14:solidFill>
          <w14:srgbClr w14:val="000000"/>
        </w14:solidFill>
      </w14:textFill>
    </w:rPr>
  </w:style>
  <w:style w:type="paragraph" w:styleId="Normal.0">
    <w:name w:val="Normal"/>
    <w:next w:val="Normal.0"/>
    <w:pPr>
      <w:keepNext w:val="0"/>
      <w:keepLines w:val="0"/>
      <w:pageBreakBefore w:val="0"/>
      <w:widowControl w:val="1"/>
      <w:shd w:val="clear" w:color="auto" w:fill="auto"/>
      <w:suppressAutoHyphens w:val="1"/>
      <w:bidi w:val="0"/>
      <w:spacing w:before="0" w:after="0" w:line="360" w:lineRule="auto"/>
      <w:ind w:left="0" w:right="0" w:firstLine="0"/>
      <w:jc w:val="both"/>
      <w:outlineLvl w:val="9"/>
    </w:pPr>
    <w:rPr>
      <w:rFonts w:ascii="Times New Roman" w:cs="Arial Unicode MS" w:hAnsi="Times New Roman" w:eastAsia="Arial Unicode M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paragraph" w:styleId="Table Style 2">
    <w:name w:val="Table Style 2"/>
    <w:next w:val="Table Style 2"/>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0"/>
      <w:szCs w:val="20"/>
      <w:u w:val="none" w:color="000000"/>
      <w:shd w:val="nil" w:color="auto" w:fill="auto"/>
      <w:vertAlign w:val="baseline"/>
      <w14:textOutline w14:w="12700" w14:cap="flat">
        <w14:noFill/>
        <w14:miter w14:lim="400000"/>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14:textOutline w14:w="12700" w14:cap="flat">
        <w14:noFill/>
        <w14:miter w14:lim="400000"/>
      </w14:textOutline>
      <w14:textFill>
        <w14:solidFill>
          <w14:srgbClr w14:val="000000"/>
        </w14:solidFill>
      </w14:textFill>
    </w:rPr>
  </w:style>
  <w:style w:type="paragraph" w:styleId="TOC Heading">
    <w:name w:val="TOC Heading"/>
    <w:next w:val="Normal.0"/>
    <w:pPr>
      <w:keepNext w:val="1"/>
      <w:keepLines w:val="1"/>
      <w:pageBreakBefore w:val="0"/>
      <w:widowControl w:val="1"/>
      <w:shd w:val="clear" w:color="auto" w:fill="auto"/>
      <w:suppressAutoHyphens w:val="0"/>
      <w:bidi w:val="0"/>
      <w:spacing w:before="240" w:after="0" w:line="252" w:lineRule="auto"/>
      <w:ind w:left="0" w:right="0" w:firstLine="0"/>
      <w:jc w:val="left"/>
      <w:outlineLvl w:val="2"/>
    </w:pPr>
    <w:rPr>
      <w:rFonts w:ascii="Calibri Light" w:cs="Calibri Light" w:hAnsi="Calibri Light" w:eastAsia="Calibri Light"/>
      <w:b w:val="0"/>
      <w:bCs w:val="0"/>
      <w:i w:val="0"/>
      <w:iCs w:val="0"/>
      <w:caps w:val="0"/>
      <w:smallCaps w:val="0"/>
      <w:strike w:val="0"/>
      <w:dstrike w:val="0"/>
      <w:outline w:val="0"/>
      <w:color w:val="2e74b5"/>
      <w:spacing w:val="0"/>
      <w:kern w:val="0"/>
      <w:position w:val="0"/>
      <w:sz w:val="32"/>
      <w:szCs w:val="32"/>
      <w:u w:val="none" w:color="2e74b5"/>
      <w:shd w:val="nil" w:color="auto" w:fill="auto"/>
      <w:vertAlign w:val="baseline"/>
      <w:lang w:val="en-US"/>
      <w14:textFill>
        <w14:solidFill>
          <w14:srgbClr w14:val="2E74B5"/>
        </w14:solidFill>
      </w14:textFill>
    </w:rPr>
  </w:style>
  <w:style w:type="paragraph" w:styleId="TOC 1">
    <w:name w:val="TOC 1"/>
    <w:next w:val="TOC 1"/>
    <w:pPr>
      <w:keepNext w:val="0"/>
      <w:keepLines w:val="0"/>
      <w:pageBreakBefore w:val="0"/>
      <w:widowControl w:val="1"/>
      <w:shd w:val="clear" w:color="auto" w:fill="auto"/>
      <w:tabs>
        <w:tab w:val="right" w:pos="9340" w:leader="dot"/>
      </w:tabs>
      <w:suppressAutoHyphens w:val="1"/>
      <w:bidi w:val="0"/>
      <w:spacing w:before="0" w:after="0" w:line="360" w:lineRule="auto"/>
      <w:ind w:left="0" w:right="0" w:firstLine="0"/>
      <w:jc w:val="both"/>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Heading 1">
    <w:name w:val="Heading 1"/>
    <w:next w:val="Normal.0"/>
    <w:pPr>
      <w:keepNext w:val="1"/>
      <w:keepLines w:val="1"/>
      <w:pageBreakBefore w:val="0"/>
      <w:widowControl w:val="1"/>
      <w:shd w:val="clear" w:color="auto" w:fill="auto"/>
      <w:suppressAutoHyphens w:val="1"/>
      <w:bidi w:val="0"/>
      <w:spacing w:before="113" w:after="0" w:line="360" w:lineRule="auto"/>
      <w:ind w:left="432" w:right="0" w:hanging="432"/>
      <w:jc w:val="both"/>
      <w:outlineLvl w:val="0"/>
    </w:pPr>
    <w:rPr>
      <w:rFonts w:ascii="Times New Roman" w:cs="Times New Roman" w:hAnsi="Times New Roman" w:eastAsia="Times New Roman"/>
      <w:b w:val="1"/>
      <w:bCs w:val="1"/>
      <w:i w:val="0"/>
      <w:iCs w:val="0"/>
      <w:caps w:val="0"/>
      <w:smallCaps w:val="0"/>
      <w:strike w:val="0"/>
      <w:dstrike w:val="0"/>
      <w:outline w:val="0"/>
      <w:color w:val="000000"/>
      <w:spacing w:val="0"/>
      <w:kern w:val="0"/>
      <w:position w:val="0"/>
      <w:sz w:val="28"/>
      <w:szCs w:val="28"/>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paragraph" w:styleId="TOC 2">
    <w:name w:val="TOC 2"/>
    <w:next w:val="TOC 2"/>
    <w:pPr>
      <w:keepNext w:val="0"/>
      <w:keepLines w:val="0"/>
      <w:pageBreakBefore w:val="0"/>
      <w:widowControl w:val="1"/>
      <w:shd w:val="clear" w:color="auto" w:fill="auto"/>
      <w:tabs>
        <w:tab w:val="right" w:pos="9340" w:leader="dot"/>
      </w:tabs>
      <w:suppressAutoHyphens w:val="0"/>
      <w:bidi w:val="0"/>
      <w:spacing w:before="160" w:after="0" w:line="240" w:lineRule="auto"/>
      <w:ind w:left="0" w:right="0" w:firstLine="720"/>
      <w:jc w:val="left"/>
      <w:outlineLvl w:val="9"/>
    </w:pPr>
    <w:rPr>
      <w:rFonts w:ascii="Helvetica Neue" w:cs="Helvetica Neue" w:hAnsi="Helvetica Neue" w:eastAsia="Helvetica Neue"/>
      <w:b w:val="0"/>
      <w:bCs w:val="0"/>
      <w:i w:val="0"/>
      <w:iCs w:val="0"/>
      <w:caps w:val="0"/>
      <w:smallCaps w:val="0"/>
      <w:strike w:val="0"/>
      <w:dstrike w:val="0"/>
      <w:outline w:val="0"/>
      <w:color w:val="000000"/>
      <w:spacing w:val="0"/>
      <w:kern w:val="0"/>
      <w:position w:val="0"/>
      <w:sz w:val="28"/>
      <w:szCs w:val="28"/>
      <w:u w:val="none" w:color="000000"/>
      <w:shd w:val="nil" w:color="auto" w:fill="auto"/>
      <w:vertAlign w:val="baseline"/>
      <w14:textOutline w14:w="12700" w14:cap="flat">
        <w14:noFill/>
        <w14:miter w14:lim="400000"/>
      </w14:textOutline>
      <w14:textFill>
        <w14:solidFill>
          <w14:srgbClr w14:val="000000"/>
        </w14:solidFill>
      </w14:textFill>
    </w:rPr>
  </w:style>
  <w:style w:type="paragraph" w:styleId="TOC 3">
    <w:name w:val="TOC 3"/>
    <w:next w:val="TOC 3"/>
    <w:pPr>
      <w:keepNext w:val="0"/>
      <w:keepLines w:val="0"/>
      <w:pageBreakBefore w:val="0"/>
      <w:widowControl w:val="1"/>
      <w:shd w:val="clear" w:color="auto" w:fill="auto"/>
      <w:tabs>
        <w:tab w:val="right" w:pos="9340" w:leader="dot"/>
      </w:tabs>
      <w:suppressAutoHyphens w:val="1"/>
      <w:bidi w:val="0"/>
      <w:spacing w:before="0" w:after="0" w:line="360" w:lineRule="auto"/>
      <w:ind w:left="0" w:right="0" w:firstLine="0"/>
      <w:jc w:val="both"/>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6"/>
      <w:szCs w:val="26"/>
      <w:u w:val="none" w:color="000000"/>
      <w:shd w:val="nil" w:color="auto" w:fill="auto"/>
      <w:vertAlign w:val="baseline"/>
      <w:lang w:val="en-US"/>
      <w14:textFill>
        <w14:solidFill>
          <w14:srgbClr w14:val="000000"/>
        </w14:solidFill>
      </w14:textFill>
    </w:rPr>
  </w:style>
  <w:style w:type="paragraph" w:styleId="No Spacing">
    <w:name w:val="No Spacing"/>
    <w:next w:val="No Spacing"/>
    <w:pPr>
      <w:keepNext w:val="0"/>
      <w:keepLines w:val="0"/>
      <w:pageBreakBefore w:val="0"/>
      <w:widowControl w:val="1"/>
      <w:shd w:val="clear" w:color="auto" w:fill="auto"/>
      <w:suppressAutoHyphens w:val="1"/>
      <w:bidi w:val="0"/>
      <w:spacing w:before="0" w:after="0" w:line="100" w:lineRule="atLeast"/>
      <w:ind w:left="0" w:right="0" w:firstLine="0"/>
      <w:jc w:val="both"/>
      <w:outlineLvl w:val="9"/>
    </w:pPr>
    <w:rPr>
      <w:rFonts w:ascii="Tinos" w:cs="Tinos" w:hAnsi="Tinos" w:eastAsia="Tinos"/>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 w:type="paragraph" w:styleId="Footer">
    <w:name w:val="Footer"/>
    <w:next w:val="Footer"/>
    <w:pPr>
      <w:keepNext w:val="0"/>
      <w:keepLines w:val="0"/>
      <w:pageBreakBefore w:val="0"/>
      <w:widowControl w:val="1"/>
      <w:shd w:val="clear" w:color="auto" w:fill="auto"/>
      <w:tabs>
        <w:tab w:val="center" w:pos="4680"/>
        <w:tab w:val="right" w:pos="9360"/>
      </w:tabs>
      <w:suppressAutoHyphens w:val="1"/>
      <w:bidi w:val="0"/>
      <w:spacing w:before="0" w:after="0" w:line="240" w:lineRule="auto"/>
      <w:ind w:left="0" w:right="0" w:firstLine="0"/>
      <w:jc w:val="both"/>
      <w:outlineLvl w:val="9"/>
    </w:pPr>
    <w:rPr>
      <w:rFonts w:ascii="Times New Roman" w:cs="Times New Roman" w:hAnsi="Times New Roman" w:eastAsia="Times New Roman"/>
      <w:b w:val="0"/>
      <w:bCs w:val="0"/>
      <w:i w:val="0"/>
      <w:iCs w:val="0"/>
      <w:caps w:val="0"/>
      <w:smallCaps w:val="0"/>
      <w:strike w:val="0"/>
      <w:dstrike w:val="0"/>
      <w:outline w:val="0"/>
      <w:color w:val="000000"/>
      <w:spacing w:val="0"/>
      <w:kern w:val="0"/>
      <w:position w:val="0"/>
      <w:sz w:val="24"/>
      <w:szCs w:val="24"/>
      <w:u w:val="none" w:color="000000"/>
      <w:shd w:val="nil" w:color="auto" w:fill="auto"/>
      <w:vertAlign w:val="baseline"/>
      <w:lang w:val="en-US"/>
      <w14:textFill>
        <w14:solidFill>
          <w14:srgbClr w14:val="000000"/>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header" Target="header2.xml"/><Relationship Id="rId7" Type="http://schemas.openxmlformats.org/officeDocument/2006/relationships/footer" Target="footer2.xml"/><Relationship Id="rId8"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Office">
  <a:themeElements>
    <a:clrScheme name="Offic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a:majorFont>
        <a:latin typeface="Helvetica Neue"/>
        <a:ea typeface="Helvetica Neue"/>
        <a:cs typeface="Helvetica Neue"/>
      </a:majorFont>
      <a:minorFont>
        <a:latin typeface="Helvetica Neue"/>
        <a:ea typeface="Helvetica Neue"/>
        <a:cs typeface="Helvetica Neu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0" tIns="0" rIns="0" bIns="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0" tIns="0" rIns="0" bIns="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