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1645475"/>
        <w:docPartObj>
          <w:docPartGallery w:val="Cover Pages"/>
          <w:docPartUnique/>
        </w:docPartObj>
      </w:sdtPr>
      <w:sdtEndPr>
        <w:rPr>
          <w:rFonts w:ascii="Arial Black" w:hAnsi="Arial Black" w:cs="Arial"/>
          <w:color w:val="00B0F0"/>
        </w:rPr>
      </w:sdtEndPr>
      <w:sdtContent>
        <w:p w14:paraId="04CAC3DA" w14:textId="34F034E5" w:rsidR="003E03D3" w:rsidRDefault="003E03D3">
          <w:r>
            <w:rPr>
              <w:noProof/>
            </w:rPr>
            <mc:AlternateContent>
              <mc:Choice Requires="wpg">
                <w:drawing>
                  <wp:anchor distT="0" distB="0" distL="114300" distR="114300" simplePos="0" relativeHeight="251659264" behindDoc="1" locked="0" layoutInCell="1" allowOverlap="1" wp14:anchorId="71C8264F" wp14:editId="267293A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A776332" w14:textId="50D4D268" w:rsidR="003E03D3" w:rsidRDefault="003E03D3">
                                      <w:pPr>
                                        <w:pStyle w:val="NoSpacing"/>
                                        <w:spacing w:before="120"/>
                                        <w:jc w:val="center"/>
                                        <w:rPr>
                                          <w:color w:val="FFFFFF" w:themeColor="background1"/>
                                        </w:rPr>
                                      </w:pPr>
                                      <w:r w:rsidRPr="003E03D3">
                                        <w:rPr>
                                          <w:rFonts w:ascii="Arial Black" w:hAnsi="Arial Black"/>
                                          <w:color w:val="FFFFFF" w:themeColor="background1"/>
                                          <w:sz w:val="32"/>
                                          <w:szCs w:val="32"/>
                                        </w:rPr>
                                        <w:t>Ilie Sbircea (2414596)</w:t>
                                      </w:r>
                                    </w:p>
                                  </w:sdtContent>
                                </w:sdt>
                                <w:p w14:paraId="4125511A" w14:textId="6C8286B1" w:rsidR="003E03D3" w:rsidRDefault="003E03D3" w:rsidP="003E03D3">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DE5E69A" w14:textId="0B17965A" w:rsidR="003E03D3" w:rsidRDefault="003E03D3">
                                      <w:pPr>
                                        <w:pStyle w:val="NoSpacing"/>
                                        <w:jc w:val="center"/>
                                        <w:rPr>
                                          <w:rFonts w:asciiTheme="majorHAnsi" w:eastAsiaTheme="majorEastAsia" w:hAnsiTheme="majorHAnsi" w:cstheme="majorBidi"/>
                                          <w:caps/>
                                          <w:color w:val="156082" w:themeColor="accent1"/>
                                          <w:sz w:val="72"/>
                                          <w:szCs w:val="72"/>
                                        </w:rPr>
                                      </w:pPr>
                                      <w:r w:rsidRPr="003E03D3">
                                        <w:rPr>
                                          <w:rFonts w:ascii="Arial Black" w:eastAsiaTheme="majorEastAsia" w:hAnsi="Arial Black" w:cstheme="majorBidi"/>
                                          <w:caps/>
                                          <w:color w:val="156082" w:themeColor="accent1"/>
                                          <w:sz w:val="72"/>
                                          <w:szCs w:val="72"/>
                                        </w:rPr>
                                        <w:t xml:space="preserve">The Appraisal of swansea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C8264F"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Arial Black" w:hAnsi="Arial Black"/>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A776332" w14:textId="50D4D268" w:rsidR="003E03D3" w:rsidRDefault="003E03D3">
                                <w:pPr>
                                  <w:pStyle w:val="NoSpacing"/>
                                  <w:spacing w:before="120"/>
                                  <w:jc w:val="center"/>
                                  <w:rPr>
                                    <w:color w:val="FFFFFF" w:themeColor="background1"/>
                                  </w:rPr>
                                </w:pPr>
                                <w:r w:rsidRPr="003E03D3">
                                  <w:rPr>
                                    <w:rFonts w:ascii="Arial Black" w:hAnsi="Arial Black"/>
                                    <w:color w:val="FFFFFF" w:themeColor="background1"/>
                                    <w:sz w:val="32"/>
                                    <w:szCs w:val="32"/>
                                  </w:rPr>
                                  <w:t>Ilie Sbircea (2414596)</w:t>
                                </w:r>
                              </w:p>
                            </w:sdtContent>
                          </w:sdt>
                          <w:p w14:paraId="4125511A" w14:textId="6C8286B1" w:rsidR="003E03D3" w:rsidRDefault="003E03D3" w:rsidP="003E03D3">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Black" w:eastAsiaTheme="majorEastAsia" w:hAnsi="Arial Black"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DE5E69A" w14:textId="0B17965A" w:rsidR="003E03D3" w:rsidRDefault="003E03D3">
                                <w:pPr>
                                  <w:pStyle w:val="NoSpacing"/>
                                  <w:jc w:val="center"/>
                                  <w:rPr>
                                    <w:rFonts w:asciiTheme="majorHAnsi" w:eastAsiaTheme="majorEastAsia" w:hAnsiTheme="majorHAnsi" w:cstheme="majorBidi"/>
                                    <w:caps/>
                                    <w:color w:val="156082" w:themeColor="accent1"/>
                                    <w:sz w:val="72"/>
                                    <w:szCs w:val="72"/>
                                  </w:rPr>
                                </w:pPr>
                                <w:r w:rsidRPr="003E03D3">
                                  <w:rPr>
                                    <w:rFonts w:ascii="Arial Black" w:eastAsiaTheme="majorEastAsia" w:hAnsi="Arial Black" w:cstheme="majorBidi"/>
                                    <w:caps/>
                                    <w:color w:val="156082" w:themeColor="accent1"/>
                                    <w:sz w:val="72"/>
                                    <w:szCs w:val="72"/>
                                  </w:rPr>
                                  <w:t xml:space="preserve">The Appraisal of swansea </w:t>
                                </w:r>
                              </w:p>
                            </w:sdtContent>
                          </w:sdt>
                        </w:txbxContent>
                      </v:textbox>
                    </v:shape>
                    <w10:wrap anchorx="page" anchory="page"/>
                  </v:group>
                </w:pict>
              </mc:Fallback>
            </mc:AlternateContent>
          </w:r>
        </w:p>
        <w:p w14:paraId="5F41E95A" w14:textId="21AF4E44" w:rsidR="003E03D3" w:rsidRDefault="003E03D3">
          <w:pPr>
            <w:rPr>
              <w:rFonts w:ascii="Arial Black" w:hAnsi="Arial Black" w:cs="Arial"/>
              <w:color w:val="00B0F0"/>
            </w:rPr>
          </w:pPr>
          <w:r>
            <w:rPr>
              <w:rFonts w:ascii="Arial Black" w:hAnsi="Arial Black" w:cs="Arial"/>
              <w:color w:val="00B0F0"/>
            </w:rPr>
            <w:br w:type="page"/>
          </w:r>
        </w:p>
      </w:sdtContent>
    </w:sdt>
    <w:p w14:paraId="0D97717D" w14:textId="7205B01B" w:rsidR="00692CC6" w:rsidRPr="00E73D03" w:rsidRDefault="00692CC6" w:rsidP="00692CC6">
      <w:pPr>
        <w:spacing w:line="480" w:lineRule="auto"/>
        <w:rPr>
          <w:rFonts w:ascii="Arial Black" w:hAnsi="Arial Black" w:cs="Arial"/>
          <w:color w:val="00B0F0"/>
        </w:rPr>
      </w:pPr>
      <w:r w:rsidRPr="00E73D03">
        <w:rPr>
          <w:rFonts w:ascii="Arial Black" w:hAnsi="Arial Black" w:cs="Arial"/>
          <w:color w:val="00B0F0"/>
        </w:rPr>
        <w:lastRenderedPageBreak/>
        <w:t xml:space="preserve">Changing </w:t>
      </w:r>
      <w:r w:rsidRPr="00E73D03">
        <w:rPr>
          <w:rFonts w:ascii="Arial Black" w:hAnsi="Arial Black" w:cs="Arial"/>
          <w:color w:val="00B0F0"/>
        </w:rPr>
        <w:t xml:space="preserve">Fortune </w:t>
      </w:r>
    </w:p>
    <w:p w14:paraId="6BD7A764" w14:textId="77777777" w:rsidR="00692CC6" w:rsidRPr="00692CC6" w:rsidRDefault="00692CC6" w:rsidP="00692CC6">
      <w:pPr>
        <w:spacing w:line="480" w:lineRule="auto"/>
        <w:rPr>
          <w:rFonts w:ascii="Arial" w:hAnsi="Arial" w:cs="Arial"/>
        </w:rPr>
      </w:pPr>
      <w:r w:rsidRPr="00692CC6">
        <w:rPr>
          <w:rFonts w:ascii="Arial" w:hAnsi="Arial" w:cs="Arial"/>
        </w:rPr>
        <w:t>Swansea's city past is one of significant change. Once a busy industrial city, its fortunes have changed a lot in the last hundred years. Swansea became industrialised quickly due to heavy businesses like copper smelting, steel production, and coal mining. These fields created jobs and helped shape the city's layout, leading to a spread of industrial areas and nearby housing. The fall of these industries, sped up by changes in the global market and local economic problems, led to a time of deindustrialisation. This process resulted in important physical and social impacts, such as brownfield areas, environmental damage, and communities dealing with economic insecurity.</w:t>
      </w:r>
    </w:p>
    <w:p w14:paraId="132F0DBF" w14:textId="77777777" w:rsidR="00692CC6" w:rsidRPr="00692CC6" w:rsidRDefault="00692CC6" w:rsidP="00692CC6">
      <w:pPr>
        <w:spacing w:line="480" w:lineRule="auto"/>
        <w:rPr>
          <w:rFonts w:ascii="Arial" w:hAnsi="Arial" w:cs="Arial"/>
        </w:rPr>
      </w:pPr>
      <w:r w:rsidRPr="00692CC6">
        <w:rPr>
          <w:rFonts w:ascii="Arial" w:hAnsi="Arial" w:cs="Arial"/>
        </w:rPr>
        <w:t>The history of abandoned industries in Swansea is not just about the city's economy getting smaller; it also affects how people identify with the place. Leftover parts from our industrial history have created "problem areas" that are both challenges and possibilities. According to Dixon (2007), brownfield sites are not just problems; they are areas with hidden promise that can be turned into viable, eco-friendly spaces if we think of new ways to use them. The city has shifted from being a strong industrial centre to trying to redefine itself through renewal and improvement. In this situation, the story of decline is mixed with resilience. This resilience shows in how local authorities and communities are ready to rethink these histories to encourage future growth.</w:t>
      </w:r>
    </w:p>
    <w:p w14:paraId="3478BCEC" w14:textId="77777777" w:rsidR="00692CC6" w:rsidRDefault="00692CC6" w:rsidP="00692CC6">
      <w:pPr>
        <w:spacing w:line="480" w:lineRule="auto"/>
        <w:rPr>
          <w:rFonts w:ascii="Arial" w:hAnsi="Arial" w:cs="Arial"/>
        </w:rPr>
      </w:pPr>
      <w:r w:rsidRPr="00692CC6">
        <w:rPr>
          <w:rFonts w:ascii="Arial" w:hAnsi="Arial" w:cs="Arial"/>
        </w:rPr>
        <w:t xml:space="preserve">Changes in the global economy, new technologies, and changes in policies have all played a role in shaping Swansea's economy. The decrease in standard manufacturing jobs happened </w:t>
      </w:r>
      <w:r w:rsidRPr="00692CC6">
        <w:rPr>
          <w:rFonts w:ascii="Arial" w:hAnsi="Arial" w:cs="Arial"/>
        </w:rPr>
        <w:t>while</w:t>
      </w:r>
      <w:r w:rsidRPr="00692CC6">
        <w:rPr>
          <w:rFonts w:ascii="Arial" w:hAnsi="Arial" w:cs="Arial"/>
        </w:rPr>
        <w:t xml:space="preserve"> cities have focused more on jobs in knowledge and creative fields. The mix of worldwide and local issues has made us rethink what </w:t>
      </w:r>
      <w:r w:rsidRPr="00692CC6">
        <w:rPr>
          <w:rFonts w:ascii="Arial" w:hAnsi="Arial" w:cs="Arial"/>
        </w:rPr>
        <w:lastRenderedPageBreak/>
        <w:t>it means to be successful and to make progress. For example, regeneration policies now tend to emphasise sustainable growth and involving the community, instead of just repeating past industrial activities.</w:t>
      </w:r>
    </w:p>
    <w:p w14:paraId="268897B6" w14:textId="711457C9" w:rsidR="00692CC6" w:rsidRPr="00692CC6" w:rsidRDefault="00692CC6" w:rsidP="00692CC6">
      <w:pPr>
        <w:spacing w:line="480" w:lineRule="auto"/>
        <w:rPr>
          <w:rFonts w:ascii="Arial" w:hAnsi="Arial" w:cs="Arial"/>
        </w:rPr>
      </w:pPr>
      <w:r w:rsidRPr="00692CC6">
        <w:rPr>
          <w:rFonts w:ascii="Arial" w:hAnsi="Arial" w:cs="Arial"/>
        </w:rPr>
        <w:t>You can also understand Swansea's changing situation by looking at the social and political changes. As the city has reduced its dependence on heavy industry, the way it is governed has also changed. There is now a stronger focus on working with different groups, including community members, considering the environment, and encouraging business growth. This change fits into the larger discussions about improving cities, where economic collapse is seen as a chance for sustainable growth. Actor-network theory, explained by Dobson (2015), shows that changes do not happen in a straight line. Instead, they result from complicated relationships between people, physical structures, and organisational methods.</w:t>
      </w:r>
    </w:p>
    <w:p w14:paraId="2D3E1004" w14:textId="77777777" w:rsidR="00692CC6" w:rsidRPr="00692CC6" w:rsidRDefault="00692CC6" w:rsidP="00692CC6">
      <w:pPr>
        <w:spacing w:line="480" w:lineRule="auto"/>
        <w:rPr>
          <w:rFonts w:ascii="Arial" w:hAnsi="Arial" w:cs="Arial"/>
        </w:rPr>
      </w:pPr>
      <w:r w:rsidRPr="00692CC6">
        <w:rPr>
          <w:rFonts w:ascii="Arial" w:hAnsi="Arial" w:cs="Arial"/>
        </w:rPr>
        <w:t>The changing circumstances have led to two different stories in Swansea. On one side, there is the sense of strong industry and the economic problems that came with it. On the other hand, more people are hopeful about the chance to improve city areas by focussing on sustainability and community needs. This duality is important to understand the present situation: although the fall of industries in the past has negatively impacted cities, it has also sparked new efforts to improve these "problem areas" and turn them into places for creativity, business, and community involvement. This process of transformation is consistent with modern approaches to regeneration that emphasise adaptive reuse and environmental sustainability (Dixon, 2007).</w:t>
      </w:r>
    </w:p>
    <w:p w14:paraId="33F0D8EE" w14:textId="77777777" w:rsidR="00692CC6" w:rsidRDefault="00692CC6" w:rsidP="00692CC6">
      <w:pPr>
        <w:spacing w:line="480" w:lineRule="auto"/>
        <w:rPr>
          <w:rFonts w:ascii="Arial" w:hAnsi="Arial" w:cs="Arial"/>
        </w:rPr>
      </w:pPr>
      <w:r w:rsidRPr="00692CC6">
        <w:rPr>
          <w:rFonts w:ascii="Arial" w:hAnsi="Arial" w:cs="Arial"/>
        </w:rPr>
        <w:t xml:space="preserve">In simple words, the changes in Swansea show that any improvement plan needs to consider the city's complex history. Future sustainable projects should recognise the </w:t>
      </w:r>
      <w:r w:rsidRPr="00692CC6">
        <w:rPr>
          <w:rFonts w:ascii="Arial" w:hAnsi="Arial" w:cs="Arial"/>
        </w:rPr>
        <w:lastRenderedPageBreak/>
        <w:t>economic and social challenges we've faced before. They should also use local resources to build strong communities. This strategy is important for both recovering the economy and building a stronger sense of community and pride. As cities around the world change their old industrial areas, Swansea shows the difficulties and opportunities that come with improving urban spaces.</w:t>
      </w:r>
    </w:p>
    <w:p w14:paraId="398B9C90" w14:textId="3849A3DE" w:rsidR="00692CC6" w:rsidRPr="00E73D03" w:rsidRDefault="00692CC6" w:rsidP="00692CC6">
      <w:pPr>
        <w:spacing w:line="480" w:lineRule="auto"/>
        <w:rPr>
          <w:rFonts w:ascii="Arial Black" w:hAnsi="Arial Black" w:cs="Arial"/>
          <w:color w:val="00B0F0"/>
        </w:rPr>
      </w:pPr>
      <w:r w:rsidRPr="00E73D03">
        <w:rPr>
          <w:rFonts w:ascii="Arial Black" w:hAnsi="Arial Black" w:cs="Arial"/>
          <w:color w:val="00B0F0"/>
        </w:rPr>
        <w:t>Existing assets, structures and economic character</w:t>
      </w:r>
    </w:p>
    <w:p w14:paraId="59E24EAA" w14:textId="77777777" w:rsidR="00E73D03" w:rsidRPr="00E73D03" w:rsidRDefault="00E73D03" w:rsidP="00E73D03">
      <w:pPr>
        <w:spacing w:line="480" w:lineRule="auto"/>
        <w:rPr>
          <w:rFonts w:ascii="Arial" w:hAnsi="Arial" w:cs="Arial"/>
        </w:rPr>
      </w:pPr>
      <w:r w:rsidRPr="00E73D03">
        <w:rPr>
          <w:rFonts w:ascii="Arial" w:hAnsi="Arial" w:cs="Arial"/>
        </w:rPr>
        <w:t>Swansea's natural setting reflects the city's multilayered past. Physical assets include the surviving architectural aspects of past industrial structures as well as more modern expenditures in cultural and educational facilities. This blend of old and new is important to the city's economic identity and provides ideal ground for restoration efforts. Many of the remaining structures, which were once emblems of industrial power, are now regarded as potential catalysts for urban rebirth. For example, old factories and warehouses can be converted into mixed-use buildings including housing, creative workspaces, and community facilities, echoing Dixon's (2007) demand for sustainable brownfield redevelopment.</w:t>
      </w:r>
    </w:p>
    <w:p w14:paraId="04E5B35F" w14:textId="77777777" w:rsidR="00E73D03" w:rsidRPr="00E73D03" w:rsidRDefault="00E73D03" w:rsidP="00E73D03">
      <w:pPr>
        <w:spacing w:line="480" w:lineRule="auto"/>
        <w:rPr>
          <w:rFonts w:ascii="Arial" w:hAnsi="Arial" w:cs="Arial"/>
        </w:rPr>
      </w:pPr>
      <w:r w:rsidRPr="00E73D03">
        <w:rPr>
          <w:rFonts w:ascii="Arial" w:hAnsi="Arial" w:cs="Arial"/>
        </w:rPr>
        <w:t>Swansea's waterfront is a remarkable feature, having traditionally served as both an industrial artery and a municipal gateway. In recent years, this area has gained recognition for its potential as a public space that can revitalise the urban landscape. Efforts to rehabilitate the waterfront reflect a larger trend in urban planning that prioritises environmental sustainability and public accessibility (Heise, 2008). The rethinking of such spaces is about more than just physical development; it is also about recapturing a sense of place, which is critical for fostering community well-being and economic dynamism (Jones &amp; Evans, 2012).</w:t>
      </w:r>
    </w:p>
    <w:p w14:paraId="7B1F05AC" w14:textId="77777777" w:rsidR="00E73D03" w:rsidRPr="00E73D03" w:rsidRDefault="00E73D03" w:rsidP="00E73D03">
      <w:pPr>
        <w:spacing w:line="480" w:lineRule="auto"/>
        <w:rPr>
          <w:rFonts w:ascii="Arial" w:hAnsi="Arial" w:cs="Arial"/>
        </w:rPr>
      </w:pPr>
    </w:p>
    <w:p w14:paraId="7029803B" w14:textId="14BA29B3" w:rsidR="00E73D03" w:rsidRPr="00E73D03" w:rsidRDefault="00E73D03" w:rsidP="00E73D03">
      <w:pPr>
        <w:spacing w:line="480" w:lineRule="auto"/>
        <w:rPr>
          <w:rFonts w:ascii="Arial" w:hAnsi="Arial" w:cs="Arial"/>
        </w:rPr>
      </w:pPr>
      <w:r w:rsidRPr="00E73D03">
        <w:rPr>
          <w:rFonts w:ascii="Arial" w:hAnsi="Arial" w:cs="Arial"/>
        </w:rPr>
        <w:lastRenderedPageBreak/>
        <w:t xml:space="preserve">In addition to the waterfront, the city has cultural assets such as historical landmarks, museums, and theatres that contribute to its distinct identity. These assets provide prospects for economic diversification by helping the tourism and cultural industries. As cities transition to a post-industrial economic paradigm, utilising cultural heritage can </w:t>
      </w:r>
      <w:r w:rsidRPr="00E73D03">
        <w:rPr>
          <w:rFonts w:ascii="Arial" w:hAnsi="Arial" w:cs="Arial"/>
        </w:rPr>
        <w:t>open</w:t>
      </w:r>
      <w:r w:rsidRPr="00E73D03">
        <w:rPr>
          <w:rFonts w:ascii="Arial" w:hAnsi="Arial" w:cs="Arial"/>
        </w:rPr>
        <w:t xml:space="preserve"> new opportunities for growth that are both sustainable and socially inclusive. For example, adaptive reuse of historic buildings can lessen the environmental impact of new development while preserving the city's architectural heritage (Burton, Jenks, &amp; Williams, 1997).</w:t>
      </w:r>
    </w:p>
    <w:p w14:paraId="63B7DE19" w14:textId="77777777" w:rsidR="00E73D03" w:rsidRPr="00E73D03" w:rsidRDefault="00E73D03" w:rsidP="00E73D03">
      <w:pPr>
        <w:spacing w:line="480" w:lineRule="auto"/>
        <w:rPr>
          <w:rFonts w:ascii="Arial" w:hAnsi="Arial" w:cs="Arial"/>
        </w:rPr>
      </w:pPr>
      <w:r w:rsidRPr="00E73D03">
        <w:rPr>
          <w:rFonts w:ascii="Arial" w:hAnsi="Arial" w:cs="Arial"/>
        </w:rPr>
        <w:t>Swansea's physical structure reflects the economic transformations it has experienced. Areas that were once dominated by heavy industry must now find new uses for enormous, sometimes underutilised spaces. This transition is complicated because it entails not only the physical alteration of buildings and infrastructure, but also the reconfiguration of the social and economic networks that support them. In many ways, the city's existing assets serve as a bridge between its industrial history and a more diverse future. Converting these assets into hubs for new industries like technology, creative arts, and green companies can boost local economies while tackling the environmental and social concerns left by deindustrialisation (CEC, 1998).</w:t>
      </w:r>
    </w:p>
    <w:p w14:paraId="1688C431" w14:textId="77777777" w:rsidR="00E73D03" w:rsidRPr="00E73D03" w:rsidRDefault="00E73D03" w:rsidP="00E73D03">
      <w:pPr>
        <w:spacing w:line="480" w:lineRule="auto"/>
        <w:rPr>
          <w:rFonts w:ascii="Arial" w:hAnsi="Arial" w:cs="Arial"/>
        </w:rPr>
      </w:pPr>
      <w:r w:rsidRPr="00E73D03">
        <w:rPr>
          <w:rFonts w:ascii="Arial" w:hAnsi="Arial" w:cs="Arial"/>
        </w:rPr>
        <w:t xml:space="preserve">Swansea's economy is characterised by both continuity and change. While relics of the industrial age continue to shape the city's spatial organisation and social structure, new economic activity are increasingly defining its identity. This confluence necessitates that regeneration policies be both inventive and sensitive to historical context. For example, sustainable redevelopment strategies must strike a balance between protecting heritage and meeting contemporary demands. According to Pemberton (2019), urban renewal in situations such as Swansea must carefully </w:t>
      </w:r>
      <w:r w:rsidRPr="00E73D03">
        <w:rPr>
          <w:rFonts w:ascii="Arial" w:hAnsi="Arial" w:cs="Arial"/>
        </w:rPr>
        <w:lastRenderedPageBreak/>
        <w:t>balance opposing demands to produce areas that are both economically feasible and socially equitable.</w:t>
      </w:r>
    </w:p>
    <w:p w14:paraId="531141B4" w14:textId="455DAD45" w:rsidR="00E73D03" w:rsidRPr="00E73D03" w:rsidRDefault="00E73D03" w:rsidP="00E73D03">
      <w:pPr>
        <w:spacing w:line="480" w:lineRule="auto"/>
        <w:rPr>
          <w:rFonts w:ascii="Arial" w:hAnsi="Arial" w:cs="Arial"/>
        </w:rPr>
      </w:pPr>
      <w:r w:rsidRPr="00E73D03">
        <w:rPr>
          <w:rFonts w:ascii="Arial" w:hAnsi="Arial" w:cs="Arial"/>
        </w:rPr>
        <w:t xml:space="preserve">Furthermore, Swansea's existing assets include more than just physical infrastructure. The social capital contained in old community networks, as well as the informal knowledge retained by </w:t>
      </w:r>
      <w:r w:rsidRPr="00E73D03">
        <w:rPr>
          <w:rFonts w:ascii="Arial" w:hAnsi="Arial" w:cs="Arial"/>
        </w:rPr>
        <w:t>residents</w:t>
      </w:r>
      <w:r w:rsidRPr="00E73D03">
        <w:rPr>
          <w:rFonts w:ascii="Arial" w:hAnsi="Arial" w:cs="Arial"/>
        </w:rPr>
        <w:t>, are crucial assets for any regeneration project. This intangible capital is typically disregarded in standard economic assessments, but it is critical for promoting sustainable urban growth. Planners can guarantee that regeneration is not only economically profitable, but also culturally appropriate and environmentally sustainable, by incorporating community involvement and local traditions into redevelopment projects (Barton, Grant, &amp; Guise, 2003).</w:t>
      </w:r>
    </w:p>
    <w:p w14:paraId="7B85AA7C" w14:textId="56E113AC" w:rsidR="00E73D03" w:rsidRDefault="00E73D03" w:rsidP="00E73D03">
      <w:pPr>
        <w:spacing w:line="480" w:lineRule="auto"/>
        <w:rPr>
          <w:rFonts w:ascii="Arial" w:hAnsi="Arial" w:cs="Arial"/>
        </w:rPr>
      </w:pPr>
      <w:r w:rsidRPr="00E73D03">
        <w:rPr>
          <w:rFonts w:ascii="Arial" w:hAnsi="Arial" w:cs="Arial"/>
        </w:rPr>
        <w:t>Finally, Swansea's existing assets and economic profile provide a solid platform for future development. The challenge is to harness these assets in ways that address previous legacies while laying the groundwork for a more resilient future. Adaptive reuse, mixed-use developments, and community-led cultural activities are all ways for closing the gap between the city's past character and its future possibilities. As a result, the transformation of Swansea's physical and economic landscape should be tackled holistically, acknowledging the interconnection of material, social, and economic variables in producing sustainable urban environments (Burton et al., 1997; Dixon, 2007).</w:t>
      </w:r>
    </w:p>
    <w:p w14:paraId="1EAED5F7" w14:textId="4948B7A2" w:rsidR="00E73D03" w:rsidRPr="00E73D03" w:rsidRDefault="00E73D03" w:rsidP="00E73D03">
      <w:pPr>
        <w:spacing w:line="480" w:lineRule="auto"/>
        <w:rPr>
          <w:rFonts w:ascii="Arial Black" w:hAnsi="Arial Black" w:cs="Arial"/>
          <w:color w:val="00B0F0"/>
        </w:rPr>
      </w:pPr>
      <w:r w:rsidRPr="00E73D03">
        <w:rPr>
          <w:rFonts w:ascii="Arial Black" w:hAnsi="Arial Black" w:cs="Arial"/>
          <w:color w:val="00B0F0"/>
        </w:rPr>
        <w:t>Key stakeholders and interest groups</w:t>
      </w:r>
    </w:p>
    <w:p w14:paraId="4A0BB6D4" w14:textId="77777777" w:rsidR="00E73D03" w:rsidRPr="00E73D03" w:rsidRDefault="00E73D03" w:rsidP="00E73D03">
      <w:pPr>
        <w:spacing w:line="480" w:lineRule="auto"/>
        <w:rPr>
          <w:rFonts w:ascii="Arial" w:hAnsi="Arial" w:cs="Arial"/>
        </w:rPr>
      </w:pPr>
      <w:r w:rsidRPr="00E73D03">
        <w:rPr>
          <w:rFonts w:ascii="Arial" w:hAnsi="Arial" w:cs="Arial"/>
        </w:rPr>
        <w:t xml:space="preserve">The regeneration of Swansea is fundamentally a collaborative endeavour that engages a variety of stakeholders and interest groups. Local authorities are essential to this process, as their policy frameworks and planning strategies have markedly </w:t>
      </w:r>
      <w:r w:rsidRPr="00E73D03">
        <w:rPr>
          <w:rFonts w:ascii="Arial" w:hAnsi="Arial" w:cs="Arial"/>
        </w:rPr>
        <w:lastRenderedPageBreak/>
        <w:t xml:space="preserve">developed in response to the challenges posed by deindustrialisation and economic transformation. Municipal authorities are increasingly receptive to participatory planning approaches that incorporate contributions from community organisations, local enterprises, and university specialists. This approach corresponds with the broader evolution in urban governance that prioritises inclusivity and stakeholder participation, as seen by </w:t>
      </w:r>
      <w:proofErr w:type="spellStart"/>
      <w:r w:rsidRPr="00E73D03">
        <w:rPr>
          <w:rFonts w:ascii="Arial" w:hAnsi="Arial" w:cs="Arial"/>
        </w:rPr>
        <w:t>Bevir</w:t>
      </w:r>
      <w:proofErr w:type="spellEnd"/>
      <w:r w:rsidRPr="00E73D03">
        <w:rPr>
          <w:rFonts w:ascii="Arial" w:hAnsi="Arial" w:cs="Arial"/>
        </w:rPr>
        <w:t xml:space="preserve"> and Rhodes (2003).</w:t>
      </w:r>
    </w:p>
    <w:p w14:paraId="2C66EF3B" w14:textId="77777777" w:rsidR="00E73D03" w:rsidRPr="00E73D03" w:rsidRDefault="00E73D03" w:rsidP="00E73D03">
      <w:pPr>
        <w:spacing w:line="480" w:lineRule="auto"/>
        <w:rPr>
          <w:rFonts w:ascii="Arial" w:hAnsi="Arial" w:cs="Arial"/>
        </w:rPr>
      </w:pPr>
      <w:r w:rsidRPr="00E73D03">
        <w:rPr>
          <w:rFonts w:ascii="Arial" w:hAnsi="Arial" w:cs="Arial"/>
        </w:rPr>
        <w:t>Local community groups and civic organisations are essential to the rebuilding process. Their profound comprehension of local issues and historical settings allows them to promote solutions that address community needs and embody local identities. Initiatives aimed at conserving Swansea's cultural legacy frequently originate from grassroots groups that endeavour to recover and reinterpret the city's industrial history. These efforts are crucial for fostering a sense of ownership and pride among people, which is critical for the sustained success of regeneration initiatives (Jones &amp; Evans, 2012).</w:t>
      </w:r>
    </w:p>
    <w:p w14:paraId="567203E0" w14:textId="77777777" w:rsidR="00E73D03" w:rsidRPr="00E73D03" w:rsidRDefault="00E73D03" w:rsidP="00E73D03">
      <w:pPr>
        <w:spacing w:line="480" w:lineRule="auto"/>
        <w:rPr>
          <w:rFonts w:ascii="Arial" w:hAnsi="Arial" w:cs="Arial"/>
        </w:rPr>
      </w:pPr>
      <w:r w:rsidRPr="00E73D03">
        <w:rPr>
          <w:rFonts w:ascii="Arial" w:hAnsi="Arial" w:cs="Arial"/>
        </w:rPr>
        <w:t xml:space="preserve">Alongside community organisations, private investors and developers are progressively participating in regeneration initiatives. These stakeholders are drawn by the prospective rewards associated with the redevelopment of brownfield lands and other underutilised assets. Nonetheless, the participation of private capital presents obstacles, as the pursuit of profit may occasionally contradict wider social and environmental goals. Consequently, efficient governance frameworks are essential to guarantee that private investments correspond with public interests. The equilibrium between market-oriented growth and community advantage is a persistent topic in regeneration discussions, and Swansea exemplifies this issue. Dobson (2015) demonstrates that effective regeneration necessitates the </w:t>
      </w:r>
      <w:r w:rsidRPr="00E73D03">
        <w:rPr>
          <w:rFonts w:ascii="Arial" w:hAnsi="Arial" w:cs="Arial"/>
        </w:rPr>
        <w:lastRenderedPageBreak/>
        <w:t>orchestration of various players, each contributing distinct resources, knowledge, and priorities, to establish networks that facilitate sustainable results.</w:t>
      </w:r>
    </w:p>
    <w:p w14:paraId="2B329FC1" w14:textId="77777777" w:rsidR="00E73D03" w:rsidRPr="00E73D03" w:rsidRDefault="00E73D03" w:rsidP="00E73D03">
      <w:pPr>
        <w:spacing w:line="480" w:lineRule="auto"/>
        <w:rPr>
          <w:rFonts w:ascii="Arial" w:hAnsi="Arial" w:cs="Arial"/>
        </w:rPr>
      </w:pPr>
      <w:r w:rsidRPr="00E73D03">
        <w:rPr>
          <w:rFonts w:ascii="Arial" w:hAnsi="Arial" w:cs="Arial"/>
        </w:rPr>
        <w:t>Scholars and planning experts also play a crucial role in the regeneration dialogue. Their research elucidates optimal practices, possible challenges, and inventive ways for sustainable development. Research on sustainable brownfield regeneration (Dixon, 2007) and urban translations (Dobson, 2015) provides significant insights into the reconfiguration of physical places to foster economic development while reducing environmental consequences. These academic contributions are essential in formulating policies that are both evidence-based and contextually relevant, guaranteeing that regeneration programs are tailored to address the specific requirements of Swansea’s urban environment.</w:t>
      </w:r>
    </w:p>
    <w:p w14:paraId="1312001D" w14:textId="77777777" w:rsidR="00E73D03" w:rsidRPr="00E73D03" w:rsidRDefault="00E73D03" w:rsidP="00E73D03">
      <w:pPr>
        <w:spacing w:line="480" w:lineRule="auto"/>
        <w:rPr>
          <w:rFonts w:ascii="Arial" w:hAnsi="Arial" w:cs="Arial"/>
        </w:rPr>
      </w:pPr>
      <w:r w:rsidRPr="00E73D03">
        <w:rPr>
          <w:rFonts w:ascii="Arial" w:hAnsi="Arial" w:cs="Arial"/>
        </w:rPr>
        <w:t>Additionally, regional development organisations and national governmental entities are key participants in the regeneration process. Their participation typically manifests as financial support, strategic direction, and policy frameworks that establish the overarching environment for local activities. The interaction between local aspirations and regional objectives is essential; local players have a deep understanding of Swansea’s issues and potential, while regional entities can offer the resources and regulatory assistance required for extensive initiatives. The multi-level governance approach is increasingly acknowledged as a best practice in urban regeneration, allowing cities to utilise extensive support networks while preserving local authority (Powe, Pringle, &amp; Hart, 2015).</w:t>
      </w:r>
    </w:p>
    <w:p w14:paraId="3F0B3404" w14:textId="77777777" w:rsidR="00E73D03" w:rsidRPr="00E73D03" w:rsidRDefault="00E73D03" w:rsidP="00E73D03">
      <w:pPr>
        <w:spacing w:line="480" w:lineRule="auto"/>
        <w:rPr>
          <w:rFonts w:ascii="Arial" w:hAnsi="Arial" w:cs="Arial"/>
        </w:rPr>
      </w:pPr>
      <w:r w:rsidRPr="00E73D03">
        <w:rPr>
          <w:rFonts w:ascii="Arial" w:hAnsi="Arial" w:cs="Arial"/>
        </w:rPr>
        <w:t xml:space="preserve">Interests among these varied stakeholder groups are not consistently aligned, potentially resulting in tensions and disputes. For example, community organisations may emphasise cultural preservation and social inclusivity, whereas developers may </w:t>
      </w:r>
      <w:r w:rsidRPr="00E73D03">
        <w:rPr>
          <w:rFonts w:ascii="Arial" w:hAnsi="Arial" w:cs="Arial"/>
        </w:rPr>
        <w:lastRenderedPageBreak/>
        <w:t>concentrate on optimising economic gains. Such disparities require effective processes for conflict resolution and collaborative decision-making. Cento Bull and Jones (2006) shown that cultivating social capital and promoting transparent communication among stakeholders are essential for addressing these difficulties. In Swansea, procedures including public consultations, participatory budgeting, and community advisory panels have been utilised to reconcile conflicting interests and guarantee that regeneration projects yield widespread advantages.</w:t>
      </w:r>
    </w:p>
    <w:p w14:paraId="3D34BFDC" w14:textId="7E3435D0" w:rsidR="00E73D03" w:rsidRDefault="00E73D03" w:rsidP="00E73D03">
      <w:pPr>
        <w:spacing w:line="480" w:lineRule="auto"/>
        <w:rPr>
          <w:rFonts w:ascii="Arial" w:hAnsi="Arial" w:cs="Arial"/>
        </w:rPr>
      </w:pPr>
      <w:r w:rsidRPr="00E73D03">
        <w:rPr>
          <w:rFonts w:ascii="Arial" w:hAnsi="Arial" w:cs="Arial"/>
        </w:rPr>
        <w:t>The success of regeneration in Swansea will hinge on the capacity of these diverse parties to collaborate effectively. Strategic collaborations can facilitate the comprehensive rehabilitation of metropolitan areas, encompassing both the physical change of locations and the socio-economic revitalisation of populations. Integrating the viewpoints of local authorities, community organisations, corporate investors, and academic specialists allows regeneration projects to be customised to foster sustainable growth that is economically feasible and socially equitable. This integrated approach is fundamental to the developing narrative of urban regeneration, which increasingly acknowledges that sustainable outcomes are attained through collaborative governance and collective accountability (O’Brien &amp; Matthews, 2015).</w:t>
      </w:r>
    </w:p>
    <w:p w14:paraId="336CE2E7" w14:textId="15177108" w:rsidR="00E73D03" w:rsidRPr="00E73D03" w:rsidRDefault="00E73D03" w:rsidP="00E73D03">
      <w:pPr>
        <w:spacing w:line="480" w:lineRule="auto"/>
        <w:rPr>
          <w:rFonts w:ascii="Arial Black" w:hAnsi="Arial Black" w:cs="Arial"/>
          <w:color w:val="00B0F0"/>
        </w:rPr>
      </w:pPr>
      <w:r w:rsidRPr="00E73D03">
        <w:rPr>
          <w:rFonts w:ascii="Arial Black" w:hAnsi="Arial Black" w:cs="Arial"/>
          <w:color w:val="00B0F0"/>
        </w:rPr>
        <w:t>Local/regional development strategies</w:t>
      </w:r>
    </w:p>
    <w:p w14:paraId="38A950F4" w14:textId="77777777" w:rsidR="00E13DB2" w:rsidRPr="00E13DB2" w:rsidRDefault="00E13DB2" w:rsidP="00E13DB2">
      <w:pPr>
        <w:spacing w:line="480" w:lineRule="auto"/>
        <w:rPr>
          <w:rFonts w:ascii="Arial" w:hAnsi="Arial" w:cs="Arial"/>
        </w:rPr>
      </w:pPr>
      <w:r w:rsidRPr="00E13DB2">
        <w:rPr>
          <w:rFonts w:ascii="Arial" w:hAnsi="Arial" w:cs="Arial"/>
        </w:rPr>
        <w:t>Swansea is transforming its local and regional development plans to address past industrial decline and focus on sustainable growth that benefits the community. Modern planning methods have evolved from being controlled by top-down authorities to more collaborative approaches, focusing on rebuilding physical spaces, improving social connections, and boosting local economies.</w:t>
      </w:r>
    </w:p>
    <w:p w14:paraId="529362F4" w14:textId="77777777" w:rsidR="00E13DB2" w:rsidRPr="00E13DB2" w:rsidRDefault="00E13DB2" w:rsidP="00E13DB2">
      <w:pPr>
        <w:spacing w:line="480" w:lineRule="auto"/>
        <w:rPr>
          <w:rFonts w:ascii="Arial" w:hAnsi="Arial" w:cs="Arial"/>
        </w:rPr>
      </w:pPr>
    </w:p>
    <w:p w14:paraId="3C8D690F" w14:textId="77777777" w:rsidR="00E13DB2" w:rsidRDefault="00E13DB2" w:rsidP="00E13DB2">
      <w:pPr>
        <w:spacing w:line="480" w:lineRule="auto"/>
        <w:rPr>
          <w:rFonts w:ascii="Arial" w:hAnsi="Arial" w:cs="Arial"/>
        </w:rPr>
      </w:pPr>
      <w:r w:rsidRPr="00E13DB2">
        <w:rPr>
          <w:rFonts w:ascii="Arial" w:hAnsi="Arial" w:cs="Arial"/>
        </w:rPr>
        <w:t>A major part of Swansea's growth plan is to improve abandoned or unused land, reusing old industrial areas for new purposes and combining different types of uses in those spaces. This approach helps fix environmental problems and boost the local economy by attracting new businesses, homes, and community services. Revitalising the waterfront is about creating places where people can come together, share their culture, and have easy ways to get around. Improving public transport, creating green spaces, and using eco-friendly building methods are important parts of these plans.</w:t>
      </w:r>
    </w:p>
    <w:p w14:paraId="56855868" w14:textId="545784C5" w:rsidR="00E13DB2" w:rsidRPr="00E13DB2" w:rsidRDefault="00E13DB2" w:rsidP="00E13DB2">
      <w:pPr>
        <w:spacing w:line="480" w:lineRule="auto"/>
        <w:rPr>
          <w:rFonts w:ascii="Arial" w:hAnsi="Arial" w:cs="Arial"/>
        </w:rPr>
      </w:pPr>
      <w:r w:rsidRPr="00E13DB2">
        <w:rPr>
          <w:rFonts w:ascii="Arial" w:hAnsi="Arial" w:cs="Arial"/>
        </w:rPr>
        <w:t xml:space="preserve">Involving the community in planning choices is both a democratic requirement and a smart way to ensure renovation projects address the needs of </w:t>
      </w:r>
      <w:r w:rsidRPr="00E13DB2">
        <w:rPr>
          <w:rFonts w:ascii="Arial" w:hAnsi="Arial" w:cs="Arial"/>
        </w:rPr>
        <w:t>residents</w:t>
      </w:r>
      <w:r w:rsidRPr="00E13DB2">
        <w:rPr>
          <w:rFonts w:ascii="Arial" w:hAnsi="Arial" w:cs="Arial"/>
        </w:rPr>
        <w:t xml:space="preserve"> and workers. Participatory planning builds trust between communities and decision-makers, which is essential for the lasting success of any renewal project.</w:t>
      </w:r>
    </w:p>
    <w:p w14:paraId="39490625" w14:textId="12DF1D9D" w:rsidR="00E13DB2" w:rsidRPr="00E13DB2" w:rsidRDefault="00E13DB2" w:rsidP="00E13DB2">
      <w:pPr>
        <w:spacing w:line="480" w:lineRule="auto"/>
        <w:rPr>
          <w:rFonts w:ascii="Arial" w:hAnsi="Arial" w:cs="Arial"/>
        </w:rPr>
      </w:pPr>
      <w:r w:rsidRPr="00E13DB2">
        <w:rPr>
          <w:rFonts w:ascii="Arial" w:hAnsi="Arial" w:cs="Arial"/>
        </w:rPr>
        <w:t xml:space="preserve">Creating creativity </w:t>
      </w:r>
      <w:r w:rsidRPr="00E13DB2">
        <w:rPr>
          <w:rFonts w:ascii="Arial" w:hAnsi="Arial" w:cs="Arial"/>
        </w:rPr>
        <w:t>centres</w:t>
      </w:r>
      <w:r w:rsidRPr="00E13DB2">
        <w:rPr>
          <w:rFonts w:ascii="Arial" w:hAnsi="Arial" w:cs="Arial"/>
        </w:rPr>
        <w:t xml:space="preserve"> in old industrial buildings can help create flexible workspaces that promote teamwork and build a strong local economy. Improving public spaces along the city's main streets, including the waterfront and important roads, can help create a compact city, lower carbon emissions, and improve air quality, which are important for reaching overall sustainability goals.</w:t>
      </w:r>
    </w:p>
    <w:p w14:paraId="5E0CFE86" w14:textId="08BBEC04" w:rsidR="00692CC6" w:rsidRDefault="00E13DB2" w:rsidP="00E13DB2">
      <w:pPr>
        <w:spacing w:line="480" w:lineRule="auto"/>
        <w:rPr>
          <w:rFonts w:ascii="Arial" w:hAnsi="Arial" w:cs="Arial"/>
        </w:rPr>
      </w:pPr>
      <w:r w:rsidRPr="00E13DB2">
        <w:rPr>
          <w:rFonts w:ascii="Arial" w:hAnsi="Arial" w:cs="Arial"/>
        </w:rPr>
        <w:t>In the future, rebuilding Swansea should be seen as a long-term process that changes and improves based on new challenges and possibilities. Combining digital technology with city planning and services can make regeneration projects more efficient and quicker to respond.</w:t>
      </w:r>
    </w:p>
    <w:p w14:paraId="3AFEF581" w14:textId="77777777" w:rsidR="00E13DB2" w:rsidRDefault="00E13DB2" w:rsidP="00E13DB2">
      <w:pPr>
        <w:spacing w:line="480" w:lineRule="auto"/>
        <w:rPr>
          <w:rFonts w:ascii="Arial" w:hAnsi="Arial" w:cs="Arial"/>
        </w:rPr>
      </w:pPr>
    </w:p>
    <w:p w14:paraId="15291927" w14:textId="77777777" w:rsidR="00E13DB2" w:rsidRDefault="00E13DB2" w:rsidP="00E13DB2">
      <w:pPr>
        <w:spacing w:line="480" w:lineRule="auto"/>
        <w:rPr>
          <w:rFonts w:ascii="Arial" w:hAnsi="Arial" w:cs="Arial"/>
        </w:rPr>
      </w:pPr>
    </w:p>
    <w:p w14:paraId="4CB3B1D2" w14:textId="665EE493" w:rsidR="00E13DB2" w:rsidRPr="00E13DB2" w:rsidRDefault="00E13DB2" w:rsidP="00E13DB2">
      <w:pPr>
        <w:spacing w:line="480" w:lineRule="auto"/>
        <w:rPr>
          <w:rFonts w:ascii="Arial Black" w:hAnsi="Arial Black" w:cs="Arial"/>
          <w:color w:val="00B0F0"/>
        </w:rPr>
      </w:pPr>
      <w:r w:rsidRPr="00E13DB2">
        <w:rPr>
          <w:rFonts w:ascii="Arial Black" w:hAnsi="Arial Black" w:cs="Arial"/>
          <w:color w:val="00B0F0"/>
        </w:rPr>
        <w:lastRenderedPageBreak/>
        <w:t xml:space="preserve">Conclusion </w:t>
      </w:r>
    </w:p>
    <w:p w14:paraId="329793AF" w14:textId="75166250" w:rsidR="00E13DB2" w:rsidRDefault="00E13DB2" w:rsidP="00E13DB2">
      <w:pPr>
        <w:spacing w:line="480" w:lineRule="auto"/>
        <w:rPr>
          <w:rFonts w:ascii="Arial" w:hAnsi="Arial" w:cs="Arial"/>
        </w:rPr>
      </w:pPr>
      <w:r w:rsidRPr="00E13DB2">
        <w:rPr>
          <w:rFonts w:ascii="Arial" w:hAnsi="Arial" w:cs="Arial"/>
        </w:rPr>
        <w:t>In conclusion, Swansea's urban regeneration potential is bolstered by its rich history, diverse assets, and the active involvement of key stakeholders. By embracing innovative development strategies and recognizing the interplay between its industrial legacy and modern needs, Swansea can transform its challenges into opportunities for sustainable growth. This holistic approach not only aims for physical revitalization but also fosters a sense of community and belonging among residents. As the city moves forward, it is well-positioned to become a model of sustainable regeneration, where economic resilience, cultural vibrancy, and environmental stewardship are integral to its future.</w:t>
      </w:r>
    </w:p>
    <w:p w14:paraId="779CB3B8" w14:textId="77777777" w:rsidR="00E13DB2" w:rsidRDefault="00E13DB2" w:rsidP="00E13DB2">
      <w:pPr>
        <w:spacing w:line="480" w:lineRule="auto"/>
        <w:rPr>
          <w:rFonts w:ascii="Arial" w:hAnsi="Arial" w:cs="Arial"/>
        </w:rPr>
      </w:pPr>
    </w:p>
    <w:p w14:paraId="25FB8E0A" w14:textId="77777777" w:rsidR="00E13DB2" w:rsidRDefault="00E13DB2" w:rsidP="00E13DB2">
      <w:pPr>
        <w:spacing w:line="480" w:lineRule="auto"/>
        <w:rPr>
          <w:rFonts w:ascii="Arial" w:hAnsi="Arial" w:cs="Arial"/>
        </w:rPr>
      </w:pPr>
    </w:p>
    <w:p w14:paraId="09BC0AF9" w14:textId="77777777" w:rsidR="00E13DB2" w:rsidRDefault="00E13DB2" w:rsidP="00E13DB2">
      <w:pPr>
        <w:spacing w:line="480" w:lineRule="auto"/>
        <w:rPr>
          <w:rFonts w:ascii="Arial" w:hAnsi="Arial" w:cs="Arial"/>
        </w:rPr>
      </w:pPr>
    </w:p>
    <w:p w14:paraId="57D367FC" w14:textId="77777777" w:rsidR="00E13DB2" w:rsidRDefault="00E13DB2" w:rsidP="00E13DB2">
      <w:pPr>
        <w:spacing w:line="480" w:lineRule="auto"/>
        <w:rPr>
          <w:rFonts w:ascii="Arial" w:hAnsi="Arial" w:cs="Arial"/>
        </w:rPr>
      </w:pPr>
    </w:p>
    <w:p w14:paraId="63491350" w14:textId="77777777" w:rsidR="00E13DB2" w:rsidRDefault="00E13DB2" w:rsidP="00E13DB2">
      <w:pPr>
        <w:spacing w:line="480" w:lineRule="auto"/>
        <w:rPr>
          <w:rFonts w:ascii="Arial" w:hAnsi="Arial" w:cs="Arial"/>
        </w:rPr>
      </w:pPr>
    </w:p>
    <w:p w14:paraId="3A0959F1" w14:textId="77777777" w:rsidR="00E13DB2" w:rsidRDefault="00E13DB2" w:rsidP="00E13DB2">
      <w:pPr>
        <w:spacing w:line="480" w:lineRule="auto"/>
        <w:rPr>
          <w:rFonts w:ascii="Arial" w:hAnsi="Arial" w:cs="Arial"/>
        </w:rPr>
      </w:pPr>
    </w:p>
    <w:p w14:paraId="1CE6A92C" w14:textId="77777777" w:rsidR="00E13DB2" w:rsidRDefault="00E13DB2" w:rsidP="00E13DB2">
      <w:pPr>
        <w:spacing w:line="480" w:lineRule="auto"/>
        <w:rPr>
          <w:rFonts w:ascii="Arial" w:hAnsi="Arial" w:cs="Arial"/>
        </w:rPr>
      </w:pPr>
    </w:p>
    <w:p w14:paraId="606D58AF" w14:textId="77777777" w:rsidR="00E13DB2" w:rsidRDefault="00E13DB2" w:rsidP="00E13DB2">
      <w:pPr>
        <w:spacing w:line="480" w:lineRule="auto"/>
        <w:rPr>
          <w:rFonts w:ascii="Arial" w:hAnsi="Arial" w:cs="Arial"/>
        </w:rPr>
      </w:pPr>
    </w:p>
    <w:p w14:paraId="614B2121" w14:textId="77777777" w:rsidR="00E13DB2" w:rsidRDefault="00E13DB2" w:rsidP="00E13DB2">
      <w:pPr>
        <w:spacing w:line="480" w:lineRule="auto"/>
        <w:rPr>
          <w:rFonts w:ascii="Arial" w:hAnsi="Arial" w:cs="Arial"/>
        </w:rPr>
      </w:pPr>
    </w:p>
    <w:p w14:paraId="11838325" w14:textId="77777777" w:rsidR="00E13DB2" w:rsidRDefault="00E13DB2" w:rsidP="00E13DB2">
      <w:pPr>
        <w:spacing w:line="480" w:lineRule="auto"/>
        <w:rPr>
          <w:rFonts w:ascii="Arial" w:hAnsi="Arial" w:cs="Arial"/>
        </w:rPr>
      </w:pPr>
    </w:p>
    <w:p w14:paraId="3B9B82EE" w14:textId="77777777" w:rsidR="00E13DB2" w:rsidRDefault="00E13DB2" w:rsidP="00E13DB2">
      <w:pPr>
        <w:spacing w:line="480" w:lineRule="auto"/>
        <w:rPr>
          <w:rFonts w:ascii="Arial" w:hAnsi="Arial" w:cs="Arial"/>
        </w:rPr>
      </w:pPr>
    </w:p>
    <w:p w14:paraId="72BB439E" w14:textId="04BF85C8" w:rsidR="00E13DB2" w:rsidRPr="00E13DB2" w:rsidRDefault="00E13DB2" w:rsidP="00E13DB2">
      <w:pPr>
        <w:spacing w:line="480" w:lineRule="auto"/>
        <w:rPr>
          <w:rFonts w:ascii="Arial Black" w:hAnsi="Arial Black" w:cs="Arial"/>
          <w:color w:val="00B0F0"/>
        </w:rPr>
      </w:pPr>
      <w:r w:rsidRPr="00E13DB2">
        <w:rPr>
          <w:rFonts w:ascii="Arial Black" w:hAnsi="Arial Black" w:cs="Arial"/>
          <w:color w:val="00B0F0"/>
        </w:rPr>
        <w:lastRenderedPageBreak/>
        <w:t xml:space="preserve">References </w:t>
      </w:r>
    </w:p>
    <w:p w14:paraId="3FE1A30E" w14:textId="77777777" w:rsidR="00E13DB2" w:rsidRPr="00E13DB2" w:rsidRDefault="00E13DB2" w:rsidP="00E13DB2">
      <w:pPr>
        <w:spacing w:line="480" w:lineRule="auto"/>
        <w:rPr>
          <w:rFonts w:ascii="Arial" w:hAnsi="Arial" w:cs="Arial"/>
        </w:rPr>
      </w:pPr>
      <w:r w:rsidRPr="00E13DB2">
        <w:rPr>
          <w:rFonts w:ascii="Arial" w:hAnsi="Arial" w:cs="Arial"/>
        </w:rPr>
        <w:t xml:space="preserve">All Party Urban Development Group. (2009). </w:t>
      </w:r>
      <w:r w:rsidRPr="00E13DB2">
        <w:rPr>
          <w:rFonts w:ascii="Arial" w:hAnsi="Arial" w:cs="Arial"/>
          <w:i/>
          <w:iCs/>
        </w:rPr>
        <w:t>Regeneration and the recession</w:t>
      </w:r>
      <w:r w:rsidRPr="00E13DB2">
        <w:rPr>
          <w:rFonts w:ascii="Arial" w:hAnsi="Arial" w:cs="Arial"/>
        </w:rPr>
        <w:t>. All Party Urban Development Group.</w:t>
      </w:r>
    </w:p>
    <w:p w14:paraId="033DCCF0" w14:textId="77777777" w:rsidR="00E13DB2" w:rsidRPr="00E13DB2" w:rsidRDefault="00E13DB2" w:rsidP="00E13DB2">
      <w:pPr>
        <w:spacing w:line="480" w:lineRule="auto"/>
        <w:rPr>
          <w:rFonts w:ascii="Arial" w:hAnsi="Arial" w:cs="Arial"/>
        </w:rPr>
      </w:pPr>
      <w:r w:rsidRPr="00E13DB2">
        <w:rPr>
          <w:rFonts w:ascii="Arial" w:hAnsi="Arial" w:cs="Arial"/>
        </w:rPr>
        <w:t xml:space="preserve">Barton, H., Grant, M., &amp; Guise, R. (2003). </w:t>
      </w:r>
      <w:r w:rsidRPr="00E13DB2">
        <w:rPr>
          <w:rFonts w:ascii="Arial" w:hAnsi="Arial" w:cs="Arial"/>
          <w:i/>
          <w:iCs/>
        </w:rPr>
        <w:t>Shaping neighbourhoods: A guide for health, sustainability and vitality.</w:t>
      </w:r>
      <w:r w:rsidRPr="00E13DB2">
        <w:rPr>
          <w:rFonts w:ascii="Arial" w:hAnsi="Arial" w:cs="Arial"/>
        </w:rPr>
        <w:t xml:space="preserve"> Spon.</w:t>
      </w:r>
    </w:p>
    <w:p w14:paraId="1148BAEE" w14:textId="77777777" w:rsidR="00E13DB2" w:rsidRPr="00E13DB2" w:rsidRDefault="00E13DB2" w:rsidP="00E13DB2">
      <w:pPr>
        <w:spacing w:line="480" w:lineRule="auto"/>
        <w:rPr>
          <w:rFonts w:ascii="Arial" w:hAnsi="Arial" w:cs="Arial"/>
        </w:rPr>
      </w:pPr>
      <w:proofErr w:type="spellStart"/>
      <w:r w:rsidRPr="00E13DB2">
        <w:rPr>
          <w:rFonts w:ascii="Arial" w:hAnsi="Arial" w:cs="Arial"/>
        </w:rPr>
        <w:t>Bevir</w:t>
      </w:r>
      <w:proofErr w:type="spellEnd"/>
      <w:r w:rsidRPr="00E13DB2">
        <w:rPr>
          <w:rFonts w:ascii="Arial" w:hAnsi="Arial" w:cs="Arial"/>
        </w:rPr>
        <w:t xml:space="preserve">, M., &amp; Rhodes, R. A. W. (2003). Searching for civil society: Changing patterns of governance in Britain. </w:t>
      </w:r>
      <w:r w:rsidRPr="00E13DB2">
        <w:rPr>
          <w:rFonts w:ascii="Arial" w:hAnsi="Arial" w:cs="Arial"/>
          <w:i/>
          <w:iCs/>
        </w:rPr>
        <w:t>Public Administration, 81</w:t>
      </w:r>
      <w:r w:rsidRPr="00E13DB2">
        <w:rPr>
          <w:rFonts w:ascii="Arial" w:hAnsi="Arial" w:cs="Arial"/>
        </w:rPr>
        <w:t>(1), 41–61.</w:t>
      </w:r>
    </w:p>
    <w:p w14:paraId="355840B4" w14:textId="77777777" w:rsidR="00E13DB2" w:rsidRPr="00E13DB2" w:rsidRDefault="00E13DB2" w:rsidP="00E13DB2">
      <w:pPr>
        <w:spacing w:line="480" w:lineRule="auto"/>
        <w:rPr>
          <w:rFonts w:ascii="Arial" w:hAnsi="Arial" w:cs="Arial"/>
        </w:rPr>
      </w:pPr>
      <w:r w:rsidRPr="00E13DB2">
        <w:rPr>
          <w:rFonts w:ascii="Arial" w:hAnsi="Arial" w:cs="Arial"/>
        </w:rPr>
        <w:t xml:space="preserve">Burton, E., Jenks, M., &amp; Williams, K. (1997). </w:t>
      </w:r>
      <w:r w:rsidRPr="00E13DB2">
        <w:rPr>
          <w:rFonts w:ascii="Arial" w:hAnsi="Arial" w:cs="Arial"/>
          <w:i/>
          <w:iCs/>
        </w:rPr>
        <w:t>The compact city: A sustainable form?</w:t>
      </w:r>
      <w:r w:rsidRPr="00E13DB2">
        <w:rPr>
          <w:rFonts w:ascii="Arial" w:hAnsi="Arial" w:cs="Arial"/>
        </w:rPr>
        <w:t xml:space="preserve"> Routledge.</w:t>
      </w:r>
    </w:p>
    <w:p w14:paraId="282235DF" w14:textId="34C8BF25" w:rsidR="00E13DB2" w:rsidRPr="00E13DB2" w:rsidRDefault="00E13DB2" w:rsidP="00E13DB2">
      <w:pPr>
        <w:spacing w:line="480" w:lineRule="auto"/>
        <w:rPr>
          <w:rFonts w:ascii="Arial" w:hAnsi="Arial" w:cs="Arial"/>
        </w:rPr>
      </w:pPr>
      <w:r w:rsidRPr="00E13DB2">
        <w:rPr>
          <w:rFonts w:ascii="Arial" w:hAnsi="Arial" w:cs="Arial"/>
        </w:rPr>
        <w:t xml:space="preserve">CEC. (1998). </w:t>
      </w:r>
      <w:r w:rsidRPr="00E13DB2">
        <w:rPr>
          <w:rFonts w:ascii="Arial" w:hAnsi="Arial" w:cs="Arial"/>
          <w:i/>
          <w:iCs/>
        </w:rPr>
        <w:t xml:space="preserve">Urban sustainable development in the EU: A framework for action </w:t>
      </w:r>
      <w:r w:rsidRPr="00E13DB2">
        <w:rPr>
          <w:rFonts w:ascii="Arial" w:hAnsi="Arial" w:cs="Arial"/>
        </w:rPr>
        <w:t>[</w:t>
      </w:r>
      <w:r w:rsidRPr="00E13DB2">
        <w:rPr>
          <w:rFonts w:ascii="Arial" w:hAnsi="Arial" w:cs="Arial"/>
        </w:rPr>
        <w:t>COM (</w:t>
      </w:r>
      <w:r w:rsidRPr="00E13DB2">
        <w:rPr>
          <w:rFonts w:ascii="Arial" w:hAnsi="Arial" w:cs="Arial"/>
        </w:rPr>
        <w:t>98) 605 final]. Commission of the European Communities.</w:t>
      </w:r>
    </w:p>
    <w:p w14:paraId="245C388C" w14:textId="77777777" w:rsidR="00E13DB2" w:rsidRPr="00E13DB2" w:rsidRDefault="00E13DB2" w:rsidP="00E13DB2">
      <w:pPr>
        <w:spacing w:line="480" w:lineRule="auto"/>
        <w:rPr>
          <w:rFonts w:ascii="Arial" w:hAnsi="Arial" w:cs="Arial"/>
        </w:rPr>
      </w:pPr>
      <w:r w:rsidRPr="00E13DB2">
        <w:rPr>
          <w:rFonts w:ascii="Arial" w:hAnsi="Arial" w:cs="Arial"/>
        </w:rPr>
        <w:t xml:space="preserve">Cento Bull, A., &amp; Jones, B. (2006, April). Governance and social capital in urban regeneration: A comparison between Bristol and Naples. </w:t>
      </w:r>
      <w:r w:rsidRPr="00E13DB2">
        <w:rPr>
          <w:rFonts w:ascii="Arial" w:hAnsi="Arial" w:cs="Arial"/>
          <w:i/>
          <w:iCs/>
        </w:rPr>
        <w:t>Urban Studies, 43</w:t>
      </w:r>
      <w:r w:rsidRPr="00E13DB2">
        <w:rPr>
          <w:rFonts w:ascii="Arial" w:hAnsi="Arial" w:cs="Arial"/>
        </w:rPr>
        <w:t>(4), 767–786.</w:t>
      </w:r>
    </w:p>
    <w:p w14:paraId="626DC5F1" w14:textId="77777777" w:rsidR="00E13DB2" w:rsidRPr="00E13DB2" w:rsidRDefault="00E13DB2" w:rsidP="00E13DB2">
      <w:pPr>
        <w:spacing w:line="480" w:lineRule="auto"/>
        <w:rPr>
          <w:rFonts w:ascii="Arial" w:hAnsi="Arial" w:cs="Arial"/>
        </w:rPr>
      </w:pPr>
      <w:r w:rsidRPr="00E13DB2">
        <w:rPr>
          <w:rFonts w:ascii="Arial" w:hAnsi="Arial" w:cs="Arial"/>
        </w:rPr>
        <w:t>Dobson, S. (2015). Urban translations: Regeneration through the lens of actor</w:t>
      </w:r>
      <w:r w:rsidRPr="00E13DB2">
        <w:rPr>
          <w:rFonts w:ascii="Cambria Math" w:hAnsi="Cambria Math" w:cs="Cambria Math"/>
        </w:rPr>
        <w:t>‐</w:t>
      </w:r>
      <w:r w:rsidRPr="00E13DB2">
        <w:rPr>
          <w:rFonts w:ascii="Arial" w:hAnsi="Arial" w:cs="Arial"/>
        </w:rPr>
        <w:t xml:space="preserve">networking. Local Economy: </w:t>
      </w:r>
      <w:r w:rsidRPr="00E13DB2">
        <w:rPr>
          <w:rFonts w:ascii="Arial" w:hAnsi="Arial" w:cs="Arial"/>
          <w:i/>
          <w:iCs/>
        </w:rPr>
        <w:t>The Journal of the Local Economy Policy Unit, 30</w:t>
      </w:r>
      <w:r w:rsidRPr="00E13DB2">
        <w:rPr>
          <w:rFonts w:ascii="Arial" w:hAnsi="Arial" w:cs="Arial"/>
        </w:rPr>
        <w:t>(8), 944–960.</w:t>
      </w:r>
    </w:p>
    <w:p w14:paraId="1382C42B" w14:textId="77777777" w:rsidR="00E13DB2" w:rsidRPr="00E13DB2" w:rsidRDefault="00E13DB2" w:rsidP="00E13DB2">
      <w:pPr>
        <w:spacing w:line="480" w:lineRule="auto"/>
        <w:rPr>
          <w:rFonts w:ascii="Arial" w:hAnsi="Arial" w:cs="Arial"/>
        </w:rPr>
      </w:pPr>
      <w:r w:rsidRPr="00E13DB2">
        <w:rPr>
          <w:rFonts w:ascii="Arial" w:hAnsi="Arial" w:cs="Arial"/>
        </w:rPr>
        <w:t xml:space="preserve">Dixon, T. J. (2007). </w:t>
      </w:r>
      <w:r w:rsidRPr="00E13DB2">
        <w:rPr>
          <w:rFonts w:ascii="Arial" w:hAnsi="Arial" w:cs="Arial"/>
          <w:i/>
          <w:iCs/>
        </w:rPr>
        <w:t>Sustainable brownfield regeneration: Liveable places from problem spaces.</w:t>
      </w:r>
      <w:r w:rsidRPr="00E13DB2">
        <w:rPr>
          <w:rFonts w:ascii="Arial" w:hAnsi="Arial" w:cs="Arial"/>
        </w:rPr>
        <w:t xml:space="preserve"> Blackwell.</w:t>
      </w:r>
    </w:p>
    <w:p w14:paraId="6016CEEF" w14:textId="77777777" w:rsidR="00E13DB2" w:rsidRPr="00E13DB2" w:rsidRDefault="00E13DB2" w:rsidP="00E13DB2">
      <w:pPr>
        <w:spacing w:line="480" w:lineRule="auto"/>
        <w:rPr>
          <w:rFonts w:ascii="Arial" w:hAnsi="Arial" w:cs="Arial"/>
        </w:rPr>
      </w:pPr>
      <w:r w:rsidRPr="00E13DB2">
        <w:rPr>
          <w:rFonts w:ascii="Arial" w:hAnsi="Arial" w:cs="Arial"/>
        </w:rPr>
        <w:t xml:space="preserve">Heise, U. K. (2008). </w:t>
      </w:r>
      <w:r w:rsidRPr="00E13DB2">
        <w:rPr>
          <w:rFonts w:ascii="Arial" w:hAnsi="Arial" w:cs="Arial"/>
          <w:i/>
          <w:iCs/>
        </w:rPr>
        <w:t>Sense of place and sense of planet: The environmental imagination of the global</w:t>
      </w:r>
      <w:r w:rsidRPr="00E13DB2">
        <w:rPr>
          <w:rFonts w:ascii="Arial" w:hAnsi="Arial" w:cs="Arial"/>
        </w:rPr>
        <w:t xml:space="preserve"> [E-book]. Oxford University Press.</w:t>
      </w:r>
    </w:p>
    <w:p w14:paraId="660D9843" w14:textId="77777777" w:rsidR="00E13DB2" w:rsidRPr="00E13DB2" w:rsidRDefault="00E13DB2" w:rsidP="00E13DB2">
      <w:pPr>
        <w:spacing w:line="480" w:lineRule="auto"/>
        <w:rPr>
          <w:rFonts w:ascii="Arial" w:hAnsi="Arial" w:cs="Arial"/>
        </w:rPr>
      </w:pPr>
    </w:p>
    <w:p w14:paraId="329742B1" w14:textId="77777777" w:rsidR="00E13DB2" w:rsidRPr="00E13DB2" w:rsidRDefault="00E13DB2" w:rsidP="00E13DB2">
      <w:pPr>
        <w:spacing w:line="480" w:lineRule="auto"/>
        <w:rPr>
          <w:rFonts w:ascii="Arial" w:hAnsi="Arial" w:cs="Arial"/>
        </w:rPr>
      </w:pPr>
      <w:r w:rsidRPr="00E13DB2">
        <w:rPr>
          <w:rFonts w:ascii="Arial" w:hAnsi="Arial" w:cs="Arial"/>
        </w:rPr>
        <w:lastRenderedPageBreak/>
        <w:t xml:space="preserve">Hordern, J. (2013). Evaluation and implementation: Two regeneration programmes. </w:t>
      </w:r>
      <w:r w:rsidRPr="00E13DB2">
        <w:rPr>
          <w:rFonts w:ascii="Arial" w:hAnsi="Arial" w:cs="Arial"/>
          <w:i/>
          <w:iCs/>
        </w:rPr>
        <w:t>International Journal of Public Sector Management, 26</w:t>
      </w:r>
      <w:r w:rsidRPr="00E13DB2">
        <w:rPr>
          <w:rFonts w:ascii="Arial" w:hAnsi="Arial" w:cs="Arial"/>
        </w:rPr>
        <w:t>(4), 298–308.</w:t>
      </w:r>
    </w:p>
    <w:p w14:paraId="73FA3ECA" w14:textId="77777777" w:rsidR="00E13DB2" w:rsidRPr="00E13DB2" w:rsidRDefault="00E13DB2" w:rsidP="00E13DB2">
      <w:pPr>
        <w:spacing w:line="480" w:lineRule="auto"/>
        <w:rPr>
          <w:rFonts w:ascii="Arial" w:hAnsi="Arial" w:cs="Arial"/>
        </w:rPr>
      </w:pPr>
      <w:r w:rsidRPr="00E13DB2">
        <w:rPr>
          <w:rFonts w:ascii="Arial" w:hAnsi="Arial" w:cs="Arial"/>
        </w:rPr>
        <w:t xml:space="preserve">Jones, P., &amp; Evans, J. (2012). Rescue geography: Place making, affect and regeneration. </w:t>
      </w:r>
      <w:r w:rsidRPr="00E13DB2">
        <w:rPr>
          <w:rFonts w:ascii="Arial" w:hAnsi="Arial" w:cs="Arial"/>
          <w:i/>
          <w:iCs/>
        </w:rPr>
        <w:t>Urban Studies, 49(</w:t>
      </w:r>
      <w:r w:rsidRPr="00E13DB2">
        <w:rPr>
          <w:rFonts w:ascii="Arial" w:hAnsi="Arial" w:cs="Arial"/>
        </w:rPr>
        <w:t>11), 2315–2330.</w:t>
      </w:r>
    </w:p>
    <w:p w14:paraId="75BC1DDC" w14:textId="77777777" w:rsidR="00E13DB2" w:rsidRPr="00E13DB2" w:rsidRDefault="00E13DB2" w:rsidP="00E13DB2">
      <w:pPr>
        <w:spacing w:line="480" w:lineRule="auto"/>
        <w:rPr>
          <w:rFonts w:ascii="Arial" w:hAnsi="Arial" w:cs="Arial"/>
        </w:rPr>
      </w:pPr>
      <w:r w:rsidRPr="00E13DB2">
        <w:rPr>
          <w:rFonts w:ascii="Arial" w:hAnsi="Arial" w:cs="Arial"/>
        </w:rPr>
        <w:t xml:space="preserve">Mah, A. (2012). </w:t>
      </w:r>
      <w:r w:rsidRPr="00E13DB2">
        <w:rPr>
          <w:rFonts w:ascii="Arial" w:hAnsi="Arial" w:cs="Arial"/>
          <w:i/>
          <w:iCs/>
        </w:rPr>
        <w:t xml:space="preserve">Industrial ruination, community and place: Landscapes and legacies of urban decline. </w:t>
      </w:r>
      <w:r w:rsidRPr="00E13DB2">
        <w:rPr>
          <w:rFonts w:ascii="Arial" w:hAnsi="Arial" w:cs="Arial"/>
        </w:rPr>
        <w:t>University of Toronto Press.</w:t>
      </w:r>
    </w:p>
    <w:p w14:paraId="409CB25F" w14:textId="77777777" w:rsidR="00E13DB2" w:rsidRPr="00E13DB2" w:rsidRDefault="00E13DB2" w:rsidP="00E13DB2">
      <w:pPr>
        <w:spacing w:line="480" w:lineRule="auto"/>
        <w:rPr>
          <w:rFonts w:ascii="Arial" w:hAnsi="Arial" w:cs="Arial"/>
        </w:rPr>
      </w:pPr>
      <w:r w:rsidRPr="00E13DB2">
        <w:rPr>
          <w:rFonts w:ascii="Arial" w:hAnsi="Arial" w:cs="Arial"/>
        </w:rPr>
        <w:t xml:space="preserve">McGuinness, D., Greenhalgh, P., &amp; </w:t>
      </w:r>
      <w:proofErr w:type="spellStart"/>
      <w:r w:rsidRPr="00E13DB2">
        <w:rPr>
          <w:rFonts w:ascii="Arial" w:hAnsi="Arial" w:cs="Arial"/>
        </w:rPr>
        <w:t>Pugalis</w:t>
      </w:r>
      <w:proofErr w:type="spellEnd"/>
      <w:r w:rsidRPr="00E13DB2">
        <w:rPr>
          <w:rFonts w:ascii="Arial" w:hAnsi="Arial" w:cs="Arial"/>
        </w:rPr>
        <w:t xml:space="preserve">, L. (2015). Is the grass always greener? Making sense of convergence and divergence in regeneration policies in England and Scotland. </w:t>
      </w:r>
      <w:r w:rsidRPr="00E13DB2">
        <w:rPr>
          <w:rFonts w:ascii="Arial" w:hAnsi="Arial" w:cs="Arial"/>
          <w:i/>
          <w:iCs/>
        </w:rPr>
        <w:t>The Geographical Journal, 181</w:t>
      </w:r>
      <w:r w:rsidRPr="00E13DB2">
        <w:rPr>
          <w:rFonts w:ascii="Arial" w:hAnsi="Arial" w:cs="Arial"/>
        </w:rPr>
        <w:t>(1), 26–37.</w:t>
      </w:r>
    </w:p>
    <w:p w14:paraId="32F19F7F" w14:textId="77777777" w:rsidR="00E13DB2" w:rsidRPr="00E13DB2" w:rsidRDefault="00E13DB2" w:rsidP="00E13DB2">
      <w:pPr>
        <w:spacing w:line="480" w:lineRule="auto"/>
        <w:rPr>
          <w:rFonts w:ascii="Arial" w:hAnsi="Arial" w:cs="Arial"/>
        </w:rPr>
      </w:pPr>
      <w:r w:rsidRPr="00E13DB2">
        <w:rPr>
          <w:rFonts w:ascii="Arial" w:hAnsi="Arial" w:cs="Arial"/>
        </w:rPr>
        <w:t xml:space="preserve">O’Brien, D., &amp; Matthews, P. (Eds.). (2015). </w:t>
      </w:r>
      <w:r w:rsidRPr="00E13DB2">
        <w:rPr>
          <w:rFonts w:ascii="Arial" w:hAnsi="Arial" w:cs="Arial"/>
          <w:i/>
          <w:iCs/>
        </w:rPr>
        <w:t xml:space="preserve">After urban regeneration: Communities, policy and place </w:t>
      </w:r>
      <w:r w:rsidRPr="00E13DB2">
        <w:rPr>
          <w:rFonts w:ascii="Arial" w:hAnsi="Arial" w:cs="Arial"/>
        </w:rPr>
        <w:t>(Connected Communities). Policy Press.</w:t>
      </w:r>
    </w:p>
    <w:p w14:paraId="322C54AD" w14:textId="77777777" w:rsidR="00E13DB2" w:rsidRPr="00E13DB2" w:rsidRDefault="00E13DB2" w:rsidP="00E13DB2">
      <w:pPr>
        <w:spacing w:line="480" w:lineRule="auto"/>
        <w:rPr>
          <w:rFonts w:ascii="Arial" w:hAnsi="Arial" w:cs="Arial"/>
        </w:rPr>
      </w:pPr>
      <w:r w:rsidRPr="00E13DB2">
        <w:rPr>
          <w:rFonts w:ascii="Arial" w:hAnsi="Arial" w:cs="Arial"/>
        </w:rPr>
        <w:t xml:space="preserve">Pemberton, S. (2019). </w:t>
      </w:r>
      <w:r w:rsidRPr="00E13DB2">
        <w:rPr>
          <w:rFonts w:ascii="Arial" w:hAnsi="Arial" w:cs="Arial"/>
          <w:i/>
          <w:iCs/>
        </w:rPr>
        <w:t>Rural regeneration in the UK</w:t>
      </w:r>
      <w:r w:rsidRPr="00E13DB2">
        <w:rPr>
          <w:rFonts w:ascii="Arial" w:hAnsi="Arial" w:cs="Arial"/>
        </w:rPr>
        <w:t>. Routledge.</w:t>
      </w:r>
    </w:p>
    <w:p w14:paraId="27776C60" w14:textId="04E60E71" w:rsidR="00E13DB2" w:rsidRPr="00692CC6" w:rsidRDefault="00E13DB2" w:rsidP="00E13DB2">
      <w:pPr>
        <w:spacing w:line="480" w:lineRule="auto"/>
        <w:rPr>
          <w:rFonts w:ascii="Arial" w:hAnsi="Arial" w:cs="Arial"/>
        </w:rPr>
      </w:pPr>
      <w:r w:rsidRPr="00E13DB2">
        <w:rPr>
          <w:rFonts w:ascii="Arial" w:hAnsi="Arial" w:cs="Arial"/>
        </w:rPr>
        <w:t xml:space="preserve">Powe, N., Pringle, R., &amp; Hart, T. (2015). Matching the process to the challenge within small town regeneration. </w:t>
      </w:r>
      <w:r w:rsidRPr="00E13DB2">
        <w:rPr>
          <w:rFonts w:ascii="Arial" w:hAnsi="Arial" w:cs="Arial"/>
          <w:i/>
          <w:iCs/>
        </w:rPr>
        <w:t>Town Planning Review, 86</w:t>
      </w:r>
      <w:r w:rsidRPr="00E13DB2">
        <w:rPr>
          <w:rFonts w:ascii="Arial" w:hAnsi="Arial" w:cs="Arial"/>
        </w:rPr>
        <w:t>(2), 177–202.</w:t>
      </w:r>
    </w:p>
    <w:sectPr w:rsidR="00E13DB2" w:rsidRPr="00692CC6" w:rsidSect="003E03D3">
      <w:head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490B40" w14:textId="77777777" w:rsidR="00C96EDA" w:rsidRDefault="00C96EDA" w:rsidP="00E73D03">
      <w:pPr>
        <w:spacing w:after="0" w:line="240" w:lineRule="auto"/>
      </w:pPr>
      <w:r>
        <w:separator/>
      </w:r>
    </w:p>
  </w:endnote>
  <w:endnote w:type="continuationSeparator" w:id="0">
    <w:p w14:paraId="51060495" w14:textId="77777777" w:rsidR="00C96EDA" w:rsidRDefault="00C96EDA" w:rsidP="00E73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C49286" w14:textId="77777777" w:rsidR="00C96EDA" w:rsidRDefault="00C96EDA" w:rsidP="00E73D03">
      <w:pPr>
        <w:spacing w:after="0" w:line="240" w:lineRule="auto"/>
      </w:pPr>
      <w:r>
        <w:separator/>
      </w:r>
    </w:p>
  </w:footnote>
  <w:footnote w:type="continuationSeparator" w:id="0">
    <w:p w14:paraId="2DD026D9" w14:textId="77777777" w:rsidR="00C96EDA" w:rsidRDefault="00C96EDA" w:rsidP="00E73D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6536353"/>
      <w:docPartObj>
        <w:docPartGallery w:val="Page Numbers (Top of Page)"/>
        <w:docPartUnique/>
      </w:docPartObj>
    </w:sdtPr>
    <w:sdtEndPr>
      <w:rPr>
        <w:noProof/>
      </w:rPr>
    </w:sdtEndPr>
    <w:sdtContent>
      <w:p w14:paraId="5F2FEEAB" w14:textId="607F21BC" w:rsidR="00E73D03" w:rsidRDefault="00E73D03">
        <w:pPr>
          <w:pStyle w:val="Header"/>
        </w:pPr>
        <w:r>
          <w:fldChar w:fldCharType="begin"/>
        </w:r>
        <w:r>
          <w:instrText xml:space="preserve"> PAGE   \* MERGEFORMAT </w:instrText>
        </w:r>
        <w:r>
          <w:fldChar w:fldCharType="separate"/>
        </w:r>
        <w:r>
          <w:rPr>
            <w:noProof/>
          </w:rPr>
          <w:t>2</w:t>
        </w:r>
        <w:r>
          <w:rPr>
            <w:noProof/>
          </w:rPr>
          <w:fldChar w:fldCharType="end"/>
        </w:r>
      </w:p>
    </w:sdtContent>
  </w:sdt>
  <w:p w14:paraId="603AEA4A" w14:textId="77777777" w:rsidR="00E73D03" w:rsidRDefault="00E73D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CC6"/>
    <w:rsid w:val="003E03D3"/>
    <w:rsid w:val="00692CC6"/>
    <w:rsid w:val="00C96EDA"/>
    <w:rsid w:val="00E13DB2"/>
    <w:rsid w:val="00E73D03"/>
    <w:rsid w:val="00FF1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E84C2"/>
  <w15:chartTrackingRefBased/>
  <w15:docId w15:val="{0170C834-6227-446B-B7FB-9FC388E18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2C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2C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2C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2C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2C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2C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2C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2C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2C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C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2C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2C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2C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2C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2C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2C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2C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2CC6"/>
    <w:rPr>
      <w:rFonts w:eastAsiaTheme="majorEastAsia" w:cstheme="majorBidi"/>
      <w:color w:val="272727" w:themeColor="text1" w:themeTint="D8"/>
    </w:rPr>
  </w:style>
  <w:style w:type="paragraph" w:styleId="Title">
    <w:name w:val="Title"/>
    <w:basedOn w:val="Normal"/>
    <w:next w:val="Normal"/>
    <w:link w:val="TitleChar"/>
    <w:uiPriority w:val="10"/>
    <w:qFormat/>
    <w:rsid w:val="00692C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C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C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C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CC6"/>
    <w:pPr>
      <w:spacing w:before="160"/>
      <w:jc w:val="center"/>
    </w:pPr>
    <w:rPr>
      <w:i/>
      <w:iCs/>
      <w:color w:val="404040" w:themeColor="text1" w:themeTint="BF"/>
    </w:rPr>
  </w:style>
  <w:style w:type="character" w:customStyle="1" w:styleId="QuoteChar">
    <w:name w:val="Quote Char"/>
    <w:basedOn w:val="DefaultParagraphFont"/>
    <w:link w:val="Quote"/>
    <w:uiPriority w:val="29"/>
    <w:rsid w:val="00692CC6"/>
    <w:rPr>
      <w:i/>
      <w:iCs/>
      <w:color w:val="404040" w:themeColor="text1" w:themeTint="BF"/>
    </w:rPr>
  </w:style>
  <w:style w:type="paragraph" w:styleId="ListParagraph">
    <w:name w:val="List Paragraph"/>
    <w:basedOn w:val="Normal"/>
    <w:uiPriority w:val="34"/>
    <w:qFormat/>
    <w:rsid w:val="00692CC6"/>
    <w:pPr>
      <w:ind w:left="720"/>
      <w:contextualSpacing/>
    </w:pPr>
  </w:style>
  <w:style w:type="character" w:styleId="IntenseEmphasis">
    <w:name w:val="Intense Emphasis"/>
    <w:basedOn w:val="DefaultParagraphFont"/>
    <w:uiPriority w:val="21"/>
    <w:qFormat/>
    <w:rsid w:val="00692CC6"/>
    <w:rPr>
      <w:i/>
      <w:iCs/>
      <w:color w:val="0F4761" w:themeColor="accent1" w:themeShade="BF"/>
    </w:rPr>
  </w:style>
  <w:style w:type="paragraph" w:styleId="IntenseQuote">
    <w:name w:val="Intense Quote"/>
    <w:basedOn w:val="Normal"/>
    <w:next w:val="Normal"/>
    <w:link w:val="IntenseQuoteChar"/>
    <w:uiPriority w:val="30"/>
    <w:qFormat/>
    <w:rsid w:val="00692C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2CC6"/>
    <w:rPr>
      <w:i/>
      <w:iCs/>
      <w:color w:val="0F4761" w:themeColor="accent1" w:themeShade="BF"/>
    </w:rPr>
  </w:style>
  <w:style w:type="character" w:styleId="IntenseReference">
    <w:name w:val="Intense Reference"/>
    <w:basedOn w:val="DefaultParagraphFont"/>
    <w:uiPriority w:val="32"/>
    <w:qFormat/>
    <w:rsid w:val="00692CC6"/>
    <w:rPr>
      <w:b/>
      <w:bCs/>
      <w:smallCaps/>
      <w:color w:val="0F4761" w:themeColor="accent1" w:themeShade="BF"/>
      <w:spacing w:val="5"/>
    </w:rPr>
  </w:style>
  <w:style w:type="paragraph" w:styleId="Header">
    <w:name w:val="header"/>
    <w:basedOn w:val="Normal"/>
    <w:link w:val="HeaderChar"/>
    <w:uiPriority w:val="99"/>
    <w:unhideWhenUsed/>
    <w:rsid w:val="00E73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D03"/>
  </w:style>
  <w:style w:type="paragraph" w:styleId="Footer">
    <w:name w:val="footer"/>
    <w:basedOn w:val="Normal"/>
    <w:link w:val="FooterChar"/>
    <w:uiPriority w:val="99"/>
    <w:unhideWhenUsed/>
    <w:rsid w:val="00E73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D03"/>
  </w:style>
  <w:style w:type="paragraph" w:styleId="NoSpacing">
    <w:name w:val="No Spacing"/>
    <w:link w:val="NoSpacingChar"/>
    <w:uiPriority w:val="1"/>
    <w:qFormat/>
    <w:rsid w:val="003E03D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E03D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TotalTime>
  <Pages>13</Pages>
  <Words>2845</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Appraisal of swansea</dc:title>
  <dc:subject/>
  <dc:creator>Ilie Sbircea (2414596)</dc:creator>
  <cp:keywords/>
  <dc:description/>
  <cp:lastModifiedBy>Mirabela Voican (1907947)</cp:lastModifiedBy>
  <cp:revision>1</cp:revision>
  <dcterms:created xsi:type="dcterms:W3CDTF">2025-02-05T11:48:00Z</dcterms:created>
  <dcterms:modified xsi:type="dcterms:W3CDTF">2025-02-05T14:02:00Z</dcterms:modified>
</cp:coreProperties>
</file>