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AA989" w14:textId="51932DF4" w:rsidR="00DD7511" w:rsidRPr="00AD077C" w:rsidRDefault="00DD7511" w:rsidP="00AD077C">
      <w:pPr>
        <w:pStyle w:val="Header"/>
        <w:spacing w:line="360" w:lineRule="auto"/>
        <w:jc w:val="center"/>
        <w:rPr>
          <w:rFonts w:ascii="Arial" w:hAnsi="Arial" w:cs="Arial"/>
          <w:sz w:val="24"/>
          <w:szCs w:val="24"/>
          <w:u w:val="single"/>
        </w:rPr>
      </w:pPr>
      <w:r w:rsidRPr="00AD077C">
        <w:rPr>
          <w:rFonts w:ascii="Arial" w:hAnsi="Arial" w:cs="Arial"/>
          <w:sz w:val="24"/>
          <w:szCs w:val="24"/>
          <w:u w:val="single"/>
        </w:rPr>
        <w:t>Critically evaluate the factors that affect the formation of identity in early childhood and adolescence.</w:t>
      </w:r>
    </w:p>
    <w:p w14:paraId="69CC4F38" w14:textId="775374B2" w:rsidR="009930A5" w:rsidRPr="00AD077C" w:rsidRDefault="00DD7511" w:rsidP="00AD077C">
      <w:pPr>
        <w:spacing w:line="360" w:lineRule="auto"/>
        <w:rPr>
          <w:rFonts w:ascii="Arial" w:hAnsi="Arial" w:cs="Arial"/>
          <w:sz w:val="24"/>
          <w:szCs w:val="24"/>
        </w:rPr>
      </w:pPr>
      <w:r w:rsidRPr="00AD077C">
        <w:rPr>
          <w:rFonts w:ascii="Arial" w:hAnsi="Arial" w:cs="Arial"/>
          <w:sz w:val="24"/>
          <w:szCs w:val="24"/>
          <w:u w:val="single"/>
        </w:rPr>
        <w:t>M5XO2165</w:t>
      </w:r>
      <w:r w:rsidRPr="00AD077C">
        <w:rPr>
          <w:rFonts w:ascii="Arial" w:hAnsi="Arial" w:cs="Arial"/>
          <w:sz w:val="24"/>
          <w:szCs w:val="24"/>
        </w:rPr>
        <w:t xml:space="preserve">                                                                             </w:t>
      </w:r>
      <w:r w:rsidR="00AD077C" w:rsidRPr="00AD077C">
        <w:rPr>
          <w:rFonts w:ascii="Arial" w:hAnsi="Arial" w:cs="Arial"/>
          <w:sz w:val="24"/>
          <w:szCs w:val="24"/>
        </w:rPr>
        <w:t xml:space="preserve">               </w:t>
      </w:r>
      <w:r w:rsidR="00AD077C" w:rsidRPr="00AD077C">
        <w:rPr>
          <w:rFonts w:ascii="Arial" w:hAnsi="Arial" w:cs="Arial"/>
          <w:sz w:val="24"/>
          <w:szCs w:val="24"/>
          <w:u w:val="single"/>
        </w:rPr>
        <w:t>Sophie Hughes</w:t>
      </w:r>
      <w:r w:rsidR="00AD077C" w:rsidRPr="00AD077C">
        <w:rPr>
          <w:rFonts w:ascii="Arial" w:hAnsi="Arial" w:cs="Arial"/>
          <w:sz w:val="24"/>
          <w:szCs w:val="24"/>
        </w:rPr>
        <w:t xml:space="preserve">                              </w:t>
      </w:r>
      <w:r w:rsidRPr="00AD077C">
        <w:rPr>
          <w:rFonts w:ascii="Arial" w:hAnsi="Arial" w:cs="Arial"/>
          <w:sz w:val="24"/>
          <w:szCs w:val="24"/>
        </w:rPr>
        <w:t xml:space="preserve"> </w:t>
      </w:r>
      <w:r w:rsidR="00AD077C">
        <w:rPr>
          <w:rFonts w:ascii="Arial" w:hAnsi="Arial" w:cs="Arial"/>
          <w:sz w:val="24"/>
          <w:szCs w:val="24"/>
        </w:rPr>
        <w:t xml:space="preserve">                 </w:t>
      </w:r>
    </w:p>
    <w:p w14:paraId="2B0A5197" w14:textId="4C9087A8" w:rsidR="00AD077C" w:rsidRPr="00AD077C" w:rsidRDefault="00AD077C" w:rsidP="00AD077C">
      <w:pPr>
        <w:spacing w:line="360" w:lineRule="auto"/>
        <w:rPr>
          <w:rFonts w:ascii="Arial" w:hAnsi="Arial" w:cs="Arial"/>
          <w:color w:val="FF0000"/>
          <w:sz w:val="24"/>
          <w:szCs w:val="24"/>
        </w:rPr>
      </w:pPr>
      <w:r w:rsidRPr="00AD077C">
        <w:rPr>
          <w:rFonts w:ascii="Arial" w:hAnsi="Arial" w:cs="Arial"/>
          <w:sz w:val="24"/>
          <w:szCs w:val="24"/>
        </w:rPr>
        <w:t xml:space="preserve">Throughout this essay I will be discussing how identity is formed in childhood and adolescence. Some of the factors that impact identity include, gender, poverty, and religion. </w:t>
      </w:r>
    </w:p>
    <w:p w14:paraId="45E8D9D5" w14:textId="28CF618E"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William James notion of ‘self’ consists of two main features. The ‘I’ self which states that ‘I’ uphold different qualities to those around me. This notion also states that to become self - aware you must be in control of your own actions and thoughts. Moreover, to uphold the characteristics of the ‘me self’ model. You must recognise the traits and characteristics that we uphold. (Doherty and Hughes, 2009). </w:t>
      </w:r>
    </w:p>
    <w:p w14:paraId="523A6E6D" w14:textId="2E31A164" w:rsidR="00D7553E" w:rsidRPr="009D5291" w:rsidRDefault="00A276FB" w:rsidP="00AD077C">
      <w:pPr>
        <w:spacing w:line="360" w:lineRule="auto"/>
        <w:rPr>
          <w:rFonts w:ascii="Arial" w:hAnsi="Arial" w:cs="Arial"/>
          <w:sz w:val="24"/>
          <w:szCs w:val="24"/>
        </w:rPr>
      </w:pPr>
      <w:r>
        <w:rPr>
          <w:rFonts w:ascii="Arial" w:hAnsi="Arial" w:cs="Arial"/>
          <w:sz w:val="24"/>
          <w:szCs w:val="24"/>
        </w:rPr>
        <w:t xml:space="preserve">According to (Stryker, 1980) </w:t>
      </w:r>
      <w:r w:rsidRPr="00AD077C">
        <w:rPr>
          <w:rFonts w:ascii="Arial" w:hAnsi="Arial" w:cs="Arial"/>
          <w:sz w:val="24"/>
          <w:szCs w:val="24"/>
        </w:rPr>
        <w:t>“Identity has a set of meanings attached to roles, that individuals occupy</w:t>
      </w:r>
      <w:r>
        <w:rPr>
          <w:rFonts w:ascii="Arial" w:hAnsi="Arial" w:cs="Arial"/>
          <w:sz w:val="24"/>
          <w:szCs w:val="24"/>
        </w:rPr>
        <w:t>”</w:t>
      </w:r>
      <w:r w:rsidRPr="00AD077C">
        <w:rPr>
          <w:rFonts w:ascii="Arial" w:hAnsi="Arial" w:cs="Arial"/>
          <w:sz w:val="24"/>
          <w:szCs w:val="24"/>
        </w:rPr>
        <w:t>.</w:t>
      </w:r>
      <w:r>
        <w:rPr>
          <w:rFonts w:ascii="Arial" w:hAnsi="Arial" w:cs="Arial"/>
          <w:sz w:val="24"/>
          <w:szCs w:val="24"/>
        </w:rPr>
        <w:t xml:space="preserve"> Furthermore, </w:t>
      </w:r>
      <w:r w:rsidR="0076387B" w:rsidRPr="009D5291">
        <w:rPr>
          <w:rFonts w:ascii="Arial" w:hAnsi="Arial" w:cs="Arial"/>
          <w:sz w:val="24"/>
          <w:szCs w:val="24"/>
        </w:rPr>
        <w:t xml:space="preserve">Identity </w:t>
      </w:r>
      <w:r w:rsidR="009D5291" w:rsidRPr="009D5291">
        <w:rPr>
          <w:rFonts w:ascii="Arial" w:hAnsi="Arial" w:cs="Arial"/>
          <w:sz w:val="24"/>
          <w:szCs w:val="24"/>
        </w:rPr>
        <w:t>has a few meanings connected to roles individuals use in the social structure (Stryker, 1980)</w:t>
      </w:r>
      <w:r w:rsidR="00E24FE4">
        <w:rPr>
          <w:rFonts w:ascii="Arial" w:hAnsi="Arial" w:cs="Arial"/>
          <w:sz w:val="24"/>
          <w:szCs w:val="24"/>
        </w:rPr>
        <w:t xml:space="preserve"> for instance role identities</w:t>
      </w:r>
      <w:r w:rsidR="00745B1D">
        <w:rPr>
          <w:rFonts w:ascii="Arial" w:hAnsi="Arial" w:cs="Arial"/>
          <w:sz w:val="24"/>
          <w:szCs w:val="24"/>
        </w:rPr>
        <w:t xml:space="preserve">. Furthermore, these </w:t>
      </w:r>
      <w:r w:rsidR="00EE3E73">
        <w:rPr>
          <w:rFonts w:ascii="Arial" w:hAnsi="Arial" w:cs="Arial"/>
          <w:sz w:val="24"/>
          <w:szCs w:val="24"/>
        </w:rPr>
        <w:t xml:space="preserve">groups that </w:t>
      </w:r>
      <w:r w:rsidR="00861F92">
        <w:rPr>
          <w:rFonts w:ascii="Arial" w:hAnsi="Arial" w:cs="Arial"/>
          <w:sz w:val="24"/>
          <w:szCs w:val="24"/>
        </w:rPr>
        <w:t>individuals</w:t>
      </w:r>
      <w:r w:rsidR="00EE3E73">
        <w:rPr>
          <w:rFonts w:ascii="Arial" w:hAnsi="Arial" w:cs="Arial"/>
          <w:sz w:val="24"/>
          <w:szCs w:val="24"/>
        </w:rPr>
        <w:t xml:space="preserve"> identify</w:t>
      </w:r>
      <w:r w:rsidR="001902D5">
        <w:rPr>
          <w:rFonts w:ascii="Arial" w:hAnsi="Arial" w:cs="Arial"/>
          <w:sz w:val="24"/>
          <w:szCs w:val="24"/>
        </w:rPr>
        <w:t xml:space="preserve"> with and belong to </w:t>
      </w:r>
      <w:r w:rsidR="00FD6BCB">
        <w:rPr>
          <w:rFonts w:ascii="Arial" w:hAnsi="Arial" w:cs="Arial"/>
          <w:sz w:val="24"/>
          <w:szCs w:val="24"/>
        </w:rPr>
        <w:t xml:space="preserve">known as group identities uphold distinctive ways in which individuals see themselves, this is referred to as personal identities. (Burker &amp; Stets, 2009). </w:t>
      </w:r>
    </w:p>
    <w:p w14:paraId="1E6985BF" w14:textId="77777777" w:rsidR="00D7553E" w:rsidRPr="00AD077C" w:rsidRDefault="00D7553E" w:rsidP="00AD077C">
      <w:pPr>
        <w:spacing w:line="360" w:lineRule="auto"/>
        <w:rPr>
          <w:rFonts w:ascii="Arial" w:hAnsi="Arial" w:cs="Arial"/>
          <w:color w:val="FF0000"/>
          <w:sz w:val="24"/>
          <w:szCs w:val="24"/>
        </w:rPr>
      </w:pPr>
    </w:p>
    <w:p w14:paraId="1F27B96B" w14:textId="77777777"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Gender</w:t>
      </w:r>
    </w:p>
    <w:p w14:paraId="6C539653" w14:textId="674CD1DB"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Gender is a factor which correlates directly to how an individual perceives themselves. Young children associate a few factors with gender identity. Young children believe that the length of someone’s hair and the clothes an individual wears are the only contributing factors to assess an individual’s identity. However, as a child develops further awareness of the world around them, they develop further knowledge and understanding on this subject area. According to </w:t>
      </w:r>
      <w:r w:rsidR="007A6683">
        <w:rPr>
          <w:rFonts w:ascii="Arial" w:hAnsi="Arial" w:cs="Arial"/>
          <w:sz w:val="24"/>
          <w:szCs w:val="24"/>
        </w:rPr>
        <w:t>(</w:t>
      </w:r>
      <w:r w:rsidRPr="00AD077C">
        <w:rPr>
          <w:rFonts w:ascii="Arial" w:hAnsi="Arial" w:cs="Arial"/>
          <w:sz w:val="24"/>
          <w:szCs w:val="24"/>
        </w:rPr>
        <w:t>Kohlberg</w:t>
      </w:r>
      <w:r w:rsidR="007A6683">
        <w:rPr>
          <w:rFonts w:ascii="Arial" w:hAnsi="Arial" w:cs="Arial"/>
          <w:sz w:val="24"/>
          <w:szCs w:val="24"/>
        </w:rPr>
        <w:t xml:space="preserve">, </w:t>
      </w:r>
      <w:r w:rsidR="00DE74C8">
        <w:rPr>
          <w:rFonts w:ascii="Arial" w:hAnsi="Arial" w:cs="Arial"/>
          <w:sz w:val="24"/>
          <w:szCs w:val="24"/>
        </w:rPr>
        <w:t>1966</w:t>
      </w:r>
      <w:r w:rsidR="007A6683">
        <w:rPr>
          <w:rFonts w:ascii="Arial" w:hAnsi="Arial" w:cs="Arial"/>
          <w:sz w:val="24"/>
          <w:szCs w:val="24"/>
        </w:rPr>
        <w:t>, pg</w:t>
      </w:r>
      <w:r w:rsidR="00DE74C8">
        <w:rPr>
          <w:rFonts w:ascii="Arial" w:hAnsi="Arial" w:cs="Arial"/>
          <w:sz w:val="24"/>
          <w:szCs w:val="24"/>
        </w:rPr>
        <w:t xml:space="preserve"> 83</w:t>
      </w:r>
      <w:r w:rsidR="007A6683">
        <w:rPr>
          <w:rFonts w:ascii="Arial" w:hAnsi="Arial" w:cs="Arial"/>
          <w:sz w:val="24"/>
          <w:szCs w:val="24"/>
        </w:rPr>
        <w:t xml:space="preserve">) </w:t>
      </w:r>
      <w:r w:rsidRPr="00AD077C">
        <w:rPr>
          <w:rFonts w:ascii="Arial" w:hAnsi="Arial" w:cs="Arial"/>
          <w:sz w:val="24"/>
          <w:szCs w:val="24"/>
        </w:rPr>
        <w:t xml:space="preserve">“gender identity is when the child and other people recognise their identity”. Kohlberg states that gender stability is when children recognise that gender is stable over time. For instance, boys will grow up to become fathers and girls’ mothers.  </w:t>
      </w:r>
    </w:p>
    <w:p w14:paraId="5DBADAB9" w14:textId="57DC8DAD" w:rsidR="00AD077C" w:rsidRPr="00AD077C" w:rsidRDefault="00AD077C" w:rsidP="00AD077C">
      <w:pPr>
        <w:spacing w:line="360" w:lineRule="auto"/>
        <w:rPr>
          <w:rFonts w:ascii="Arial" w:hAnsi="Arial" w:cs="Arial"/>
          <w:color w:val="FF0000"/>
          <w:sz w:val="24"/>
          <w:szCs w:val="24"/>
        </w:rPr>
      </w:pPr>
      <w:r w:rsidRPr="00AD077C">
        <w:rPr>
          <w:rFonts w:ascii="Arial" w:hAnsi="Arial" w:cs="Arial"/>
          <w:sz w:val="24"/>
          <w:szCs w:val="24"/>
        </w:rPr>
        <w:t xml:space="preserve">Some children may not be content with the gender they were assigned at birth. They could present with this factor at any stage within their life. This is referred to as gender dysphoria, some people who experience gender dysphoria may decide to </w:t>
      </w:r>
      <w:r w:rsidRPr="00AD077C">
        <w:rPr>
          <w:rFonts w:ascii="Arial" w:hAnsi="Arial" w:cs="Arial"/>
          <w:sz w:val="24"/>
          <w:szCs w:val="24"/>
        </w:rPr>
        <w:lastRenderedPageBreak/>
        <w:t>transition. This involves presenting themselves as the gender they feel they are rather than the gender that they were born into</w:t>
      </w:r>
      <w:r w:rsidRPr="002A20FB">
        <w:rPr>
          <w:rFonts w:ascii="Arial" w:hAnsi="Arial" w:cs="Arial"/>
          <w:sz w:val="24"/>
          <w:szCs w:val="24"/>
        </w:rPr>
        <w:t>. (NSPCC</w:t>
      </w:r>
      <w:r w:rsidR="00B50965" w:rsidRPr="002A20FB">
        <w:rPr>
          <w:rFonts w:ascii="Arial" w:hAnsi="Arial" w:cs="Arial"/>
          <w:sz w:val="24"/>
          <w:szCs w:val="24"/>
        </w:rPr>
        <w:t>, 2021</w:t>
      </w:r>
      <w:r w:rsidRPr="002A20FB">
        <w:rPr>
          <w:rFonts w:ascii="Arial" w:hAnsi="Arial" w:cs="Arial"/>
          <w:sz w:val="24"/>
          <w:szCs w:val="24"/>
        </w:rPr>
        <w:t>)</w:t>
      </w:r>
      <w:r w:rsidR="00B50965" w:rsidRPr="002A20FB">
        <w:rPr>
          <w:rFonts w:ascii="Arial" w:hAnsi="Arial" w:cs="Arial"/>
          <w:sz w:val="24"/>
          <w:szCs w:val="24"/>
        </w:rPr>
        <w:t>.</w:t>
      </w:r>
    </w:p>
    <w:p w14:paraId="6465CCB0" w14:textId="3D9B247B"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Children often uphold stereotypical viewpoints of gender roles. Gender identity differs depending upon your geographical location. For instance, in America boys state that they are the stronger gender, and the girls are portrayed as inferior. This viewpoint is echoed in less economically developed countries such as Kenya, however gender stereotypes </w:t>
      </w:r>
      <w:r w:rsidR="007D0593">
        <w:rPr>
          <w:rFonts w:ascii="Arial" w:hAnsi="Arial" w:cs="Arial"/>
          <w:sz w:val="24"/>
          <w:szCs w:val="24"/>
        </w:rPr>
        <w:t xml:space="preserve">unfortunately </w:t>
      </w:r>
      <w:r w:rsidRPr="00AD077C">
        <w:rPr>
          <w:rFonts w:ascii="Arial" w:hAnsi="Arial" w:cs="Arial"/>
          <w:sz w:val="24"/>
          <w:szCs w:val="24"/>
        </w:rPr>
        <w:t xml:space="preserve">are present </w:t>
      </w:r>
      <w:r w:rsidR="007D0593">
        <w:rPr>
          <w:rFonts w:ascii="Arial" w:hAnsi="Arial" w:cs="Arial"/>
          <w:sz w:val="24"/>
          <w:szCs w:val="24"/>
        </w:rPr>
        <w:t xml:space="preserve">throughout </w:t>
      </w:r>
      <w:r w:rsidRPr="00AD077C">
        <w:rPr>
          <w:rFonts w:ascii="Arial" w:hAnsi="Arial" w:cs="Arial"/>
          <w:sz w:val="24"/>
          <w:szCs w:val="24"/>
        </w:rPr>
        <w:t xml:space="preserve">society. These gender stereotypes negatively impact both genders, as males are taught to be strong and independent and girls are taught to be pretty and kind. Both of these factors make children believe they have to fit their gender stereotypes; this can also progress into adulthood and negatively impact individuals. </w:t>
      </w:r>
      <w:r w:rsidR="007D0593">
        <w:rPr>
          <w:rFonts w:ascii="Arial" w:hAnsi="Arial" w:cs="Arial"/>
          <w:sz w:val="24"/>
          <w:szCs w:val="24"/>
        </w:rPr>
        <w:t>As they feel they have to have a job role that fits their gender. As a society we are becoming more progressive and giving people a range of jobs to do irrespective of their gender.</w:t>
      </w:r>
      <w:r w:rsidR="00AD50D0">
        <w:rPr>
          <w:rFonts w:ascii="Arial" w:hAnsi="Arial" w:cs="Arial"/>
          <w:sz w:val="24"/>
          <w:szCs w:val="24"/>
        </w:rPr>
        <w:t xml:space="preserve"> (National Geographic, 2016). </w:t>
      </w:r>
      <w:r w:rsidR="007D0593">
        <w:rPr>
          <w:rFonts w:ascii="Arial" w:hAnsi="Arial" w:cs="Arial"/>
          <w:sz w:val="24"/>
          <w:szCs w:val="24"/>
        </w:rPr>
        <w:t xml:space="preserve"> </w:t>
      </w:r>
    </w:p>
    <w:p w14:paraId="5892CE10" w14:textId="7D324082"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Moreover, an experiment was conducted by Dr. Money, this experiment shows how gender identity is formed. A set of male twins were assigned different genders shortly after birth due to medical incompetence. Dr Money conducted an experiment on both individuals. One of the twins was brought up as a female after a medical procedure was carried out incorrectly, the other as a boy. Throughout the twin’s lifetime it is evident that the child being brought up as female was aware, they were assigned the incorrect gender at birth. As they did not feel comfortable with their female peers, completing feminine roles. This conveying that children and adolescents are acutely aware of their gender and whether they are comfortable within their assigned gender.</w:t>
      </w:r>
      <w:r w:rsidR="003F0FDA">
        <w:rPr>
          <w:rFonts w:ascii="Arial" w:hAnsi="Arial" w:cs="Arial"/>
          <w:sz w:val="24"/>
          <w:szCs w:val="24"/>
        </w:rPr>
        <w:t xml:space="preserve"> (Horror Stories, 2016). </w:t>
      </w:r>
    </w:p>
    <w:p w14:paraId="433606F7" w14:textId="13F1432C"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Erikson </w:t>
      </w:r>
      <w:r w:rsidR="007D0593">
        <w:rPr>
          <w:rFonts w:ascii="Arial" w:hAnsi="Arial" w:cs="Arial"/>
          <w:sz w:val="24"/>
          <w:szCs w:val="24"/>
        </w:rPr>
        <w:t xml:space="preserve">believed there were </w:t>
      </w:r>
      <w:r w:rsidRPr="00AD077C">
        <w:rPr>
          <w:rFonts w:ascii="Arial" w:hAnsi="Arial" w:cs="Arial"/>
          <w:sz w:val="24"/>
          <w:szCs w:val="24"/>
        </w:rPr>
        <w:t>eight psychosocial stage</w:t>
      </w:r>
      <w:r w:rsidR="007D0593">
        <w:rPr>
          <w:rFonts w:ascii="Arial" w:hAnsi="Arial" w:cs="Arial"/>
          <w:sz w:val="24"/>
          <w:szCs w:val="24"/>
        </w:rPr>
        <w:t>s, these stages began with infancy up</w:t>
      </w:r>
      <w:r w:rsidR="009C671D">
        <w:rPr>
          <w:rFonts w:ascii="Arial" w:hAnsi="Arial" w:cs="Arial"/>
          <w:sz w:val="24"/>
          <w:szCs w:val="24"/>
        </w:rPr>
        <w:t>o</w:t>
      </w:r>
      <w:r w:rsidR="007D0593">
        <w:rPr>
          <w:rFonts w:ascii="Arial" w:hAnsi="Arial" w:cs="Arial"/>
          <w:sz w:val="24"/>
          <w:szCs w:val="24"/>
        </w:rPr>
        <w:t xml:space="preserve">n until </w:t>
      </w:r>
      <w:r w:rsidR="009C671D">
        <w:rPr>
          <w:rFonts w:ascii="Arial" w:hAnsi="Arial" w:cs="Arial"/>
          <w:sz w:val="24"/>
          <w:szCs w:val="24"/>
        </w:rPr>
        <w:t xml:space="preserve">late adulthood. </w:t>
      </w:r>
      <w:r w:rsidRPr="00AD077C">
        <w:rPr>
          <w:rFonts w:ascii="Arial" w:hAnsi="Arial" w:cs="Arial"/>
          <w:sz w:val="24"/>
          <w:szCs w:val="24"/>
        </w:rPr>
        <w:t>Within infancy, babies face trust versus mistrust infants experience hope during this period and subconsciously learn more about the world around them. In early childhood children experience autonomy versus shame</w:t>
      </w:r>
      <w:r w:rsidR="009C671D">
        <w:rPr>
          <w:rFonts w:ascii="Arial" w:hAnsi="Arial" w:cs="Arial"/>
          <w:sz w:val="24"/>
          <w:szCs w:val="24"/>
        </w:rPr>
        <w:t xml:space="preserve">, </w:t>
      </w:r>
      <w:r w:rsidRPr="00AD077C">
        <w:rPr>
          <w:rFonts w:ascii="Arial" w:hAnsi="Arial" w:cs="Arial"/>
          <w:sz w:val="24"/>
          <w:szCs w:val="24"/>
        </w:rPr>
        <w:t xml:space="preserve">in this period young children learn about themselves and they push boundaries with authoritarian figures to establish what they can do safely.  During the stage in which children attend pre - school they experience initiative versus guilt, this is when core memories are established. Erikson established that school aged children experience </w:t>
      </w:r>
      <w:r w:rsidRPr="00AD077C">
        <w:rPr>
          <w:rFonts w:ascii="Arial" w:hAnsi="Arial" w:cs="Arial"/>
          <w:sz w:val="24"/>
          <w:szCs w:val="24"/>
        </w:rPr>
        <w:lastRenderedPageBreak/>
        <w:t>industriousness versus inferiority during this stage children establish their interests and aim to please those around them. Authoritarian figures uphold a key part in a child’s moral judgement during this stage. Moreover, in the fifth stage identity cohesion versus role confusion is established. Within this stage individuals begin to understand where their purpose lies and how they can use their skills and talents positively. According to Erikson, within young adulthood intimacy versus isolation is present. Within adulthood generativity versus self - absorption is explored. During this period of adulthood, adults establish how to best guide the future generation if they feel they cannot achieve this they feel deflated. The eight</w:t>
      </w:r>
      <w:r w:rsidR="009C671D">
        <w:rPr>
          <w:rFonts w:ascii="Arial" w:hAnsi="Arial" w:cs="Arial"/>
          <w:sz w:val="24"/>
          <w:szCs w:val="24"/>
        </w:rPr>
        <w:t xml:space="preserve">h </w:t>
      </w:r>
      <w:r w:rsidRPr="00AD077C">
        <w:rPr>
          <w:rFonts w:ascii="Arial" w:hAnsi="Arial" w:cs="Arial"/>
          <w:sz w:val="24"/>
          <w:szCs w:val="24"/>
        </w:rPr>
        <w:t>stage is integrity versus despair, during this period individuals reflect upon their life. If they are content, they have feelings of integrity if they are not, they begin to despair.</w:t>
      </w:r>
      <w:r w:rsidR="00AD25CB">
        <w:rPr>
          <w:rFonts w:ascii="Arial" w:hAnsi="Arial" w:cs="Arial"/>
          <w:sz w:val="24"/>
          <w:szCs w:val="24"/>
        </w:rPr>
        <w:t xml:space="preserve"> (Knight. 2017</w:t>
      </w:r>
      <w:r w:rsidR="00C15C98">
        <w:rPr>
          <w:rFonts w:ascii="Arial" w:hAnsi="Arial" w:cs="Arial"/>
          <w:sz w:val="24"/>
          <w:szCs w:val="24"/>
        </w:rPr>
        <w:t xml:space="preserve">, pg 1,049). </w:t>
      </w:r>
    </w:p>
    <w:p w14:paraId="691DA2E0" w14:textId="77777777"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 xml:space="preserve">Poverty </w:t>
      </w:r>
    </w:p>
    <w:p w14:paraId="30FE5F4A" w14:textId="0CE975B5"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Children and adolescents who have been in the care system struggle with establishing their identity as they have been in a variety of home settings. Children are often not nurtured when they are within residential care for children. However, it is important that resilience, connection, agency, activity, and coherence are taught within this environment. These factors allow an individual to establish a sense of family after a foster parent or authoritarian figure being nurturing towards them. </w:t>
      </w:r>
      <w:r w:rsidR="00CD4E4D">
        <w:rPr>
          <w:rFonts w:ascii="Arial" w:hAnsi="Arial" w:cs="Arial"/>
          <w:sz w:val="24"/>
          <w:szCs w:val="24"/>
        </w:rPr>
        <w:t>(</w:t>
      </w:r>
      <w:r w:rsidR="00043E23">
        <w:rPr>
          <w:rFonts w:ascii="Arial" w:hAnsi="Arial" w:cs="Arial"/>
          <w:sz w:val="24"/>
          <w:szCs w:val="24"/>
        </w:rPr>
        <w:t>Schofield</w:t>
      </w:r>
      <w:r w:rsidR="00CD4E4D">
        <w:rPr>
          <w:rFonts w:ascii="Arial" w:hAnsi="Arial" w:cs="Arial"/>
          <w:sz w:val="24"/>
          <w:szCs w:val="24"/>
        </w:rPr>
        <w:t xml:space="preserve"> et al. </w:t>
      </w:r>
      <w:r w:rsidR="00634638">
        <w:rPr>
          <w:rFonts w:ascii="Arial" w:hAnsi="Arial" w:cs="Arial"/>
          <w:sz w:val="24"/>
          <w:szCs w:val="24"/>
        </w:rPr>
        <w:t xml:space="preserve">2017, pg 786). </w:t>
      </w:r>
      <w:r w:rsidRPr="00AD077C">
        <w:rPr>
          <w:rFonts w:ascii="Arial" w:hAnsi="Arial" w:cs="Arial"/>
          <w:sz w:val="24"/>
          <w:szCs w:val="24"/>
        </w:rPr>
        <w:t xml:space="preserve">Maslow’s (1970) theory of motivation indicates that there are five stages of needs that need to be met. The stages are in ascending order, all stages should be completed in the order of importance. When a child is within foster care their needs after often not met, which results in Maslow’s hierarchy of needs not being sufficiently met. One of the most important factors within Maslow’s hierarchy of needs is safety and security, this involves the safety and security of family members. Security needs must be met before other lesser important factors can be met within the hierarchy of needs. Therefore, by not receiving sufficient security within childhood or early adolescents an individual’s identity may be hindered. </w:t>
      </w:r>
      <w:r w:rsidR="000D62E3">
        <w:rPr>
          <w:rFonts w:ascii="Arial" w:hAnsi="Arial" w:cs="Arial"/>
          <w:sz w:val="24"/>
          <w:szCs w:val="24"/>
        </w:rPr>
        <w:t>(Mathes, 1981, pg 70).</w:t>
      </w:r>
      <w:r w:rsidR="000D62E3" w:rsidRPr="00AD077C">
        <w:rPr>
          <w:rFonts w:ascii="Arial" w:hAnsi="Arial" w:cs="Arial"/>
          <w:sz w:val="24"/>
          <w:szCs w:val="24"/>
        </w:rPr>
        <w:t xml:space="preserve"> </w:t>
      </w:r>
    </w:p>
    <w:p w14:paraId="21F006A5" w14:textId="7A2D5983"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Poverty is often a hinderance to individuals, a study was carried out on fifty-five children, children living in poverty were compared to those living within more affluent areas this study followed children in out of school recreational activities. </w:t>
      </w:r>
      <w:r w:rsidR="009C671D">
        <w:rPr>
          <w:rFonts w:ascii="Arial" w:hAnsi="Arial" w:cs="Arial"/>
          <w:sz w:val="24"/>
          <w:szCs w:val="24"/>
        </w:rPr>
        <w:t xml:space="preserve">The study </w:t>
      </w:r>
      <w:r w:rsidR="009C671D">
        <w:rPr>
          <w:rFonts w:ascii="Arial" w:hAnsi="Arial" w:cs="Arial"/>
          <w:sz w:val="24"/>
          <w:szCs w:val="24"/>
        </w:rPr>
        <w:lastRenderedPageBreak/>
        <w:t xml:space="preserve">focused on the national curriculum and if all children’s needs are being met. </w:t>
      </w:r>
      <w:r w:rsidRPr="00AD077C">
        <w:rPr>
          <w:rFonts w:ascii="Arial" w:hAnsi="Arial" w:cs="Arial"/>
          <w:sz w:val="24"/>
          <w:szCs w:val="24"/>
        </w:rPr>
        <w:t>The first National Curriculum for England, 1989 fails to deliver the breadth and balance so many children require. Extracurricular activities are offered within the local community, but often at a fee. Families who live in poverty will often not be able to send their child to these activities. Therefore, the activities that are put in place to aid children’s development</w:t>
      </w:r>
      <w:r w:rsidR="009C671D">
        <w:rPr>
          <w:rFonts w:ascii="Arial" w:hAnsi="Arial" w:cs="Arial"/>
          <w:sz w:val="24"/>
          <w:szCs w:val="24"/>
        </w:rPr>
        <w:t xml:space="preserve"> is not of benefit to underprivileged families as they are unable to use these resources.</w:t>
      </w:r>
      <w:r w:rsidRPr="00AD077C">
        <w:rPr>
          <w:rFonts w:ascii="Arial" w:hAnsi="Arial" w:cs="Arial"/>
          <w:sz w:val="24"/>
          <w:szCs w:val="24"/>
        </w:rPr>
        <w:t xml:space="preserve"> This has a profound impact on children’s identity and places more affluent families at a further advantage</w:t>
      </w:r>
      <w:r w:rsidR="009C671D">
        <w:rPr>
          <w:rFonts w:ascii="Arial" w:hAnsi="Arial" w:cs="Arial"/>
          <w:sz w:val="24"/>
          <w:szCs w:val="24"/>
        </w:rPr>
        <w:t>,</w:t>
      </w:r>
      <w:r w:rsidRPr="00AD077C">
        <w:rPr>
          <w:rFonts w:ascii="Arial" w:hAnsi="Arial" w:cs="Arial"/>
          <w:sz w:val="24"/>
          <w:szCs w:val="24"/>
        </w:rPr>
        <w:t xml:space="preserve"> further perpetuating the cycle of poverty and struggle. </w:t>
      </w:r>
      <w:bookmarkStart w:id="0" w:name="_Hlk61812365"/>
      <w:r w:rsidR="0030197D">
        <w:rPr>
          <w:rFonts w:ascii="Arial" w:hAnsi="Arial" w:cs="Arial"/>
          <w:sz w:val="24"/>
          <w:szCs w:val="24"/>
        </w:rPr>
        <w:t xml:space="preserve">(Mushcamp et al. </w:t>
      </w:r>
      <w:r w:rsidR="008452C5">
        <w:rPr>
          <w:rFonts w:ascii="Arial" w:hAnsi="Arial" w:cs="Arial"/>
          <w:sz w:val="24"/>
          <w:szCs w:val="24"/>
        </w:rPr>
        <w:t xml:space="preserve">2017, pg 306). </w:t>
      </w:r>
      <w:bookmarkEnd w:id="0"/>
    </w:p>
    <w:p w14:paraId="10E07D95" w14:textId="37D23CAA"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Vygotskys zone of proximal development is often used within the classroom. Learners establish what they can currently do with their teachers’ guidance and the teachers aid them to learn what a student can learn with help. Then they establish what is not possible at this moment. This technique allows students to prosper within their academic environment. However, children from more affluent backgrounds often attend extracurricular activities in which this technique is also used. Whereas children from impoverished backgrounds are not as able to do this. This negatively impacts on an individual’s identity and development. </w:t>
      </w:r>
      <w:bookmarkStart w:id="1" w:name="_Hlk61813377"/>
      <w:r w:rsidR="00430F14">
        <w:rPr>
          <w:rFonts w:ascii="Arial" w:hAnsi="Arial" w:cs="Arial"/>
          <w:sz w:val="24"/>
          <w:szCs w:val="24"/>
        </w:rPr>
        <w:t xml:space="preserve">(Shabaniet et al, 2010, pg 238). </w:t>
      </w:r>
      <w:bookmarkEnd w:id="1"/>
    </w:p>
    <w:p w14:paraId="7F69B417" w14:textId="667FD429"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Moreover, children who are brought up within underprivileged communities are at a higher risk of lower academic achievements. Studies have found that stigmatisation within childhood negatively impacts the child’s perception of the world, as this is often their first encounter with the wider world. Consequently, the child’s identity is negatively impacted as they feel inferior to their peers.  </w:t>
      </w:r>
      <w:bookmarkStart w:id="2" w:name="_Hlk61813852"/>
      <w:r w:rsidRPr="00AD077C">
        <w:rPr>
          <w:rFonts w:ascii="Arial" w:hAnsi="Arial" w:cs="Arial"/>
          <w:sz w:val="24"/>
          <w:szCs w:val="24"/>
        </w:rPr>
        <w:t xml:space="preserve">Branscombe et al recommends a type of protection in the form of a rejection identification model. This model summarises how stigmatisation processes in adults often leads to greater identification with society. In turn this facilities the negative impact of stigmatisation by providing a sense of identity and belonging. </w:t>
      </w:r>
      <w:r w:rsidR="00AA4FB6">
        <w:rPr>
          <w:rFonts w:ascii="Arial" w:hAnsi="Arial" w:cs="Arial"/>
          <w:sz w:val="24"/>
          <w:szCs w:val="24"/>
        </w:rPr>
        <w:t>(Bradshaw et al. 2016</w:t>
      </w:r>
      <w:r w:rsidR="006D2F42">
        <w:rPr>
          <w:rFonts w:ascii="Arial" w:hAnsi="Arial" w:cs="Arial"/>
          <w:sz w:val="24"/>
          <w:szCs w:val="24"/>
        </w:rPr>
        <w:t xml:space="preserve">, pg 154). </w:t>
      </w:r>
      <w:bookmarkEnd w:id="2"/>
    </w:p>
    <w:p w14:paraId="152EE433" w14:textId="5E278258"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Living in poverty spans across many factors of one’s life. Studies indicate the cause of health disparities are formed during childhood </w:t>
      </w:r>
      <w:r w:rsidR="008B52C6" w:rsidRPr="008B52C6">
        <w:rPr>
          <w:rFonts w:ascii="Arial" w:hAnsi="Arial" w:cs="Arial"/>
          <w:sz w:val="24"/>
          <w:szCs w:val="24"/>
        </w:rPr>
        <w:t xml:space="preserve">theorists such as </w:t>
      </w:r>
      <w:r w:rsidRPr="008B52C6">
        <w:rPr>
          <w:rFonts w:ascii="Arial" w:hAnsi="Arial" w:cs="Arial"/>
          <w:sz w:val="24"/>
          <w:szCs w:val="24"/>
        </w:rPr>
        <w:t xml:space="preserve"> Evans, Li and Whipple</w:t>
      </w:r>
      <w:r w:rsidR="008B52C6" w:rsidRPr="008B52C6">
        <w:rPr>
          <w:rFonts w:ascii="Arial" w:hAnsi="Arial" w:cs="Arial"/>
          <w:sz w:val="24"/>
          <w:szCs w:val="24"/>
        </w:rPr>
        <w:t xml:space="preserve"> explore this.</w:t>
      </w:r>
      <w:r w:rsidRPr="008B52C6">
        <w:rPr>
          <w:rFonts w:ascii="Arial" w:hAnsi="Arial" w:cs="Arial"/>
          <w:sz w:val="24"/>
          <w:szCs w:val="24"/>
        </w:rPr>
        <w:t xml:space="preserve"> </w:t>
      </w:r>
      <w:r w:rsidRPr="00AD077C">
        <w:rPr>
          <w:rFonts w:ascii="Arial" w:hAnsi="Arial" w:cs="Arial"/>
          <w:sz w:val="24"/>
          <w:szCs w:val="24"/>
        </w:rPr>
        <w:t xml:space="preserve">Children who are affected by poverty are at a profound risk of developing more health issues. For instance, children living in poverty often do not receive a balanced diet. This negatively impacts their development as children require nourishing foods to become healthy. Children and adolescents are negatively </w:t>
      </w:r>
      <w:r w:rsidRPr="00AD077C">
        <w:rPr>
          <w:rFonts w:ascii="Arial" w:hAnsi="Arial" w:cs="Arial"/>
          <w:sz w:val="24"/>
          <w:szCs w:val="24"/>
        </w:rPr>
        <w:lastRenderedPageBreak/>
        <w:t xml:space="preserve">impacted by this as they are not given the freedom to explore their own choices in every aspect of their life. Thus, hindering them from forming their own identity. </w:t>
      </w:r>
      <w:r w:rsidR="009B426C">
        <w:rPr>
          <w:rFonts w:ascii="Arial" w:hAnsi="Arial" w:cs="Arial"/>
          <w:sz w:val="24"/>
          <w:szCs w:val="24"/>
        </w:rPr>
        <w:t xml:space="preserve">(Evans and Kim, </w:t>
      </w:r>
      <w:r w:rsidR="007D7D56">
        <w:rPr>
          <w:rFonts w:ascii="Arial" w:hAnsi="Arial" w:cs="Arial"/>
          <w:sz w:val="24"/>
          <w:szCs w:val="24"/>
        </w:rPr>
        <w:t xml:space="preserve">2012, pg </w:t>
      </w:r>
      <w:r w:rsidR="00F83F5C">
        <w:rPr>
          <w:rFonts w:ascii="Arial" w:hAnsi="Arial" w:cs="Arial"/>
          <w:sz w:val="24"/>
          <w:szCs w:val="24"/>
        </w:rPr>
        <w:t xml:space="preserve">44). </w:t>
      </w:r>
    </w:p>
    <w:p w14:paraId="3C282643" w14:textId="77777777"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Religion</w:t>
      </w:r>
    </w:p>
    <w:p w14:paraId="6B50A284" w14:textId="7F962F88" w:rsidR="00AD077C" w:rsidRPr="00AD077C" w:rsidRDefault="00AD077C" w:rsidP="00AD077C">
      <w:pPr>
        <w:spacing w:line="360" w:lineRule="auto"/>
        <w:rPr>
          <w:rFonts w:ascii="Arial" w:hAnsi="Arial" w:cs="Arial"/>
          <w:color w:val="FF0000"/>
          <w:sz w:val="24"/>
          <w:szCs w:val="24"/>
        </w:rPr>
      </w:pPr>
      <w:r w:rsidRPr="00AD077C">
        <w:rPr>
          <w:rFonts w:ascii="Arial" w:hAnsi="Arial" w:cs="Arial"/>
          <w:sz w:val="24"/>
          <w:szCs w:val="24"/>
        </w:rPr>
        <w:t xml:space="preserve">Religion upholds a profound impact on an individual as they learn about the world around them and form their own identity. Firstly, religion allows individuals to uphold a sense of belonging to a community, often a religious family upholds the same importance to an individual as their biological family.  Belonging to a religious group will form an individual’s moral compass and will therefore shape their response to a variety of circumstances. Social identity theory (Tajfel &amp; Turner, 1979) provides great understanding to the relation of the self - concept and social groups to which an individual belongs. </w:t>
      </w:r>
      <w:r w:rsidR="00810431">
        <w:rPr>
          <w:rFonts w:ascii="Arial" w:hAnsi="Arial" w:cs="Arial"/>
          <w:sz w:val="24"/>
          <w:szCs w:val="24"/>
        </w:rPr>
        <w:t xml:space="preserve">(Ysseldyk et al, 2010, pg 61). </w:t>
      </w:r>
      <w:r w:rsidR="009C671D">
        <w:rPr>
          <w:rFonts w:ascii="Arial" w:hAnsi="Arial" w:cs="Arial"/>
          <w:sz w:val="24"/>
          <w:szCs w:val="24"/>
        </w:rPr>
        <w:t xml:space="preserve">Tajfel and Turner’s social identity theory describes that an </w:t>
      </w:r>
      <w:r w:rsidR="00183BF3">
        <w:rPr>
          <w:rFonts w:ascii="Arial" w:hAnsi="Arial" w:cs="Arial"/>
          <w:sz w:val="24"/>
          <w:szCs w:val="24"/>
        </w:rPr>
        <w:t xml:space="preserve">individual’s </w:t>
      </w:r>
      <w:r w:rsidR="009C671D">
        <w:rPr>
          <w:rFonts w:ascii="Arial" w:hAnsi="Arial" w:cs="Arial"/>
          <w:sz w:val="24"/>
          <w:szCs w:val="24"/>
        </w:rPr>
        <w:t>concept of self is established from the groups they belong to. A person does not just have a personal selfhood</w:t>
      </w:r>
      <w:r w:rsidR="00183BF3">
        <w:rPr>
          <w:rFonts w:ascii="Arial" w:hAnsi="Arial" w:cs="Arial"/>
          <w:sz w:val="24"/>
          <w:szCs w:val="24"/>
        </w:rPr>
        <w:t>, but an array of identities that are associated with different groups. For instance, a person may act and respond differently when they are in their home environment and when they are in a religious setting.</w:t>
      </w:r>
      <w:r w:rsidR="000736D5" w:rsidRPr="000736D5">
        <w:rPr>
          <w:rFonts w:ascii="Arial" w:hAnsi="Arial" w:cs="Arial"/>
          <w:sz w:val="24"/>
          <w:szCs w:val="24"/>
        </w:rPr>
        <w:t xml:space="preserve"> </w:t>
      </w:r>
      <w:r w:rsidR="000736D5">
        <w:rPr>
          <w:rFonts w:ascii="Arial" w:hAnsi="Arial" w:cs="Arial"/>
          <w:sz w:val="24"/>
          <w:szCs w:val="24"/>
        </w:rPr>
        <w:t>(Bradshaw et al. 2016, pg 15</w:t>
      </w:r>
      <w:r w:rsidR="000736D5">
        <w:rPr>
          <w:rFonts w:ascii="Arial" w:hAnsi="Arial" w:cs="Arial"/>
          <w:sz w:val="24"/>
          <w:szCs w:val="24"/>
        </w:rPr>
        <w:t>5</w:t>
      </w:r>
      <w:r w:rsidR="000736D5">
        <w:rPr>
          <w:rFonts w:ascii="Arial" w:hAnsi="Arial" w:cs="Arial"/>
          <w:sz w:val="24"/>
          <w:szCs w:val="24"/>
        </w:rPr>
        <w:t xml:space="preserve">). </w:t>
      </w:r>
      <w:r w:rsidRPr="00AD077C">
        <w:rPr>
          <w:rFonts w:ascii="Arial" w:hAnsi="Arial" w:cs="Arial"/>
          <w:sz w:val="24"/>
          <w:szCs w:val="24"/>
        </w:rPr>
        <w:t xml:space="preserve">Religious affiliation often serves as a profound function in shaping ones psychological and social processes. The following factors allow children and adolescents to have an outside influence and to further establish their position on Maslow’s hierarchy of needs. If the initial stages of the hierarchy of needs is met then belongingness and love needs can also be met, meaning that the child has formed friendships.  </w:t>
      </w:r>
      <w:r w:rsidR="002D0C16">
        <w:rPr>
          <w:rFonts w:ascii="Arial" w:hAnsi="Arial" w:cs="Arial"/>
          <w:sz w:val="24"/>
          <w:szCs w:val="24"/>
        </w:rPr>
        <w:t>(Mathes, 1981, pg 70).</w:t>
      </w:r>
    </w:p>
    <w:p w14:paraId="0F779B6A" w14:textId="2584C006"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Within religious teachings children and adolescents are taught right from wrong. For instance, through religious teachings. Stories within religious teachings allow children to develop their moral compass and establish their identity.</w:t>
      </w:r>
      <w:r w:rsidR="00041D89">
        <w:rPr>
          <w:rFonts w:ascii="Arial" w:hAnsi="Arial" w:cs="Arial"/>
          <w:sz w:val="24"/>
          <w:szCs w:val="24"/>
        </w:rPr>
        <w:t xml:space="preserve"> Often children and adolescents with religious beliefs uphold them with high importance. </w:t>
      </w:r>
      <w:r w:rsidRPr="00AD077C">
        <w:rPr>
          <w:rFonts w:ascii="Arial" w:hAnsi="Arial" w:cs="Arial"/>
          <w:sz w:val="24"/>
          <w:szCs w:val="24"/>
        </w:rPr>
        <w:t xml:space="preserve">One child when asked about her identity stated characteristics about herself and then stated that she is a Christian. This indicates that this child </w:t>
      </w:r>
      <w:r w:rsidR="00041D89">
        <w:rPr>
          <w:rFonts w:ascii="Arial" w:hAnsi="Arial" w:cs="Arial"/>
          <w:sz w:val="24"/>
          <w:szCs w:val="24"/>
        </w:rPr>
        <w:t>is strongly impacted by</w:t>
      </w:r>
      <w:r w:rsidRPr="00AD077C">
        <w:rPr>
          <w:rFonts w:ascii="Arial" w:hAnsi="Arial" w:cs="Arial"/>
          <w:sz w:val="24"/>
          <w:szCs w:val="24"/>
        </w:rPr>
        <w:t xml:space="preserve"> her believes </w:t>
      </w:r>
      <w:r w:rsidR="00041D89">
        <w:rPr>
          <w:rFonts w:ascii="Arial" w:hAnsi="Arial" w:cs="Arial"/>
          <w:sz w:val="24"/>
          <w:szCs w:val="24"/>
        </w:rPr>
        <w:t xml:space="preserve">and </w:t>
      </w:r>
      <w:r w:rsidRPr="00AD077C">
        <w:rPr>
          <w:rFonts w:ascii="Arial" w:hAnsi="Arial" w:cs="Arial"/>
          <w:sz w:val="24"/>
          <w:szCs w:val="24"/>
        </w:rPr>
        <w:t>her religi</w:t>
      </w:r>
      <w:r w:rsidR="00041D89">
        <w:rPr>
          <w:rFonts w:ascii="Arial" w:hAnsi="Arial" w:cs="Arial"/>
          <w:sz w:val="24"/>
          <w:szCs w:val="24"/>
        </w:rPr>
        <w:t>ous</w:t>
      </w:r>
      <w:r w:rsidRPr="00AD077C">
        <w:rPr>
          <w:rFonts w:ascii="Arial" w:hAnsi="Arial" w:cs="Arial"/>
          <w:sz w:val="24"/>
          <w:szCs w:val="24"/>
        </w:rPr>
        <w:t xml:space="preserve"> identity</w:t>
      </w:r>
      <w:r w:rsidR="00041D89">
        <w:rPr>
          <w:rFonts w:ascii="Arial" w:hAnsi="Arial" w:cs="Arial"/>
          <w:sz w:val="24"/>
          <w:szCs w:val="24"/>
        </w:rPr>
        <w:t>.</w:t>
      </w:r>
      <w:r w:rsidRPr="00AD077C">
        <w:rPr>
          <w:rFonts w:ascii="Arial" w:hAnsi="Arial" w:cs="Arial"/>
          <w:sz w:val="24"/>
          <w:szCs w:val="24"/>
        </w:rPr>
        <w:t xml:space="preserve"> </w:t>
      </w:r>
      <w:bookmarkStart w:id="3" w:name="_Hlk61864685"/>
      <w:r w:rsidRPr="00AD077C">
        <w:rPr>
          <w:rFonts w:ascii="Arial" w:hAnsi="Arial" w:cs="Arial"/>
          <w:sz w:val="24"/>
          <w:szCs w:val="24"/>
        </w:rPr>
        <w:t xml:space="preserve">The familiarity within a religious setting allows children and adolescents to feel content within at least one aspect of their life. Studies have proven that when children feel content and comfortable within at least one aspect they can develop in other aspects. Therefore, although everyone’s </w:t>
      </w:r>
      <w:r w:rsidRPr="00AD077C">
        <w:rPr>
          <w:rFonts w:ascii="Arial" w:hAnsi="Arial" w:cs="Arial"/>
          <w:sz w:val="24"/>
          <w:szCs w:val="24"/>
        </w:rPr>
        <w:lastRenderedPageBreak/>
        <w:t xml:space="preserve">religious beliefs differ the vast majority of people during times of hardship turn to a religious being to find comfort. If individuals are aware that there is always a greater being to </w:t>
      </w:r>
      <w:r w:rsidR="00041D89">
        <w:rPr>
          <w:rFonts w:ascii="Arial" w:hAnsi="Arial" w:cs="Arial"/>
          <w:sz w:val="24"/>
          <w:szCs w:val="24"/>
        </w:rPr>
        <w:t xml:space="preserve">take example from, </w:t>
      </w:r>
      <w:r w:rsidRPr="00AD077C">
        <w:rPr>
          <w:rFonts w:ascii="Arial" w:hAnsi="Arial" w:cs="Arial"/>
          <w:sz w:val="24"/>
          <w:szCs w:val="24"/>
        </w:rPr>
        <w:t xml:space="preserve">many people find great comfort in this and grow, </w:t>
      </w:r>
      <w:r w:rsidR="002D0C16" w:rsidRPr="00AD077C">
        <w:rPr>
          <w:rFonts w:ascii="Arial" w:hAnsi="Arial" w:cs="Arial"/>
          <w:sz w:val="24"/>
          <w:szCs w:val="24"/>
        </w:rPr>
        <w:t>develop,</w:t>
      </w:r>
      <w:r w:rsidRPr="00AD077C">
        <w:rPr>
          <w:rFonts w:ascii="Arial" w:hAnsi="Arial" w:cs="Arial"/>
          <w:sz w:val="24"/>
          <w:szCs w:val="24"/>
        </w:rPr>
        <w:t xml:space="preserve"> and find their sense of identity because of this.  </w:t>
      </w:r>
      <w:r w:rsidR="00B93302">
        <w:rPr>
          <w:rFonts w:ascii="Arial" w:hAnsi="Arial" w:cs="Arial"/>
          <w:sz w:val="24"/>
          <w:szCs w:val="24"/>
        </w:rPr>
        <w:t xml:space="preserve">(Davies, 2011, pg 3). </w:t>
      </w:r>
    </w:p>
    <w:bookmarkEnd w:id="3"/>
    <w:p w14:paraId="40326B85" w14:textId="30D55C0F" w:rsidR="00AD077C" w:rsidRPr="00AD077C" w:rsidRDefault="00AD077C" w:rsidP="00041D89">
      <w:pPr>
        <w:spacing w:line="360" w:lineRule="auto"/>
        <w:rPr>
          <w:rFonts w:ascii="Arial" w:hAnsi="Arial" w:cs="Arial"/>
          <w:sz w:val="24"/>
          <w:szCs w:val="24"/>
        </w:rPr>
      </w:pPr>
      <w:r w:rsidRPr="00AD077C">
        <w:rPr>
          <w:rFonts w:ascii="Arial" w:hAnsi="Arial" w:cs="Arial"/>
          <w:sz w:val="24"/>
          <w:szCs w:val="24"/>
        </w:rPr>
        <w:t>In conclusion, gender has a direct impact on how child and adolescent identity is formed as gender roles are so firmly engraved within society that children often feel they automatically are aware of their identity and role within life. Moreover, poverty upholds a negative impact on individuals establishing their identity as identity is difficult to form when you are not comfortable within your home environment. Furthermore, religion enables an individual to establish their identity because children and adolescents who belong to a religious group often feel at ease establishing their place within the world as a result of belonging to a secure background</w:t>
      </w:r>
      <w:r w:rsidR="00041D89">
        <w:rPr>
          <w:rFonts w:ascii="Arial" w:hAnsi="Arial" w:cs="Arial"/>
          <w:sz w:val="24"/>
          <w:szCs w:val="24"/>
        </w:rPr>
        <w:t>.</w:t>
      </w:r>
    </w:p>
    <w:p w14:paraId="13524D18" w14:textId="77777777" w:rsidR="00C15C98" w:rsidRDefault="00C15C98" w:rsidP="00E63BF8">
      <w:pPr>
        <w:jc w:val="center"/>
        <w:rPr>
          <w:rFonts w:ascii="Arial" w:hAnsi="Arial" w:cs="Arial"/>
          <w:sz w:val="24"/>
          <w:szCs w:val="24"/>
          <w:u w:val="single"/>
        </w:rPr>
      </w:pPr>
    </w:p>
    <w:p w14:paraId="3BB12CFE" w14:textId="77777777" w:rsidR="00C15C98" w:rsidRDefault="00C15C98" w:rsidP="00E63BF8">
      <w:pPr>
        <w:jc w:val="center"/>
        <w:rPr>
          <w:rFonts w:ascii="Arial" w:hAnsi="Arial" w:cs="Arial"/>
          <w:sz w:val="24"/>
          <w:szCs w:val="24"/>
          <w:u w:val="single"/>
        </w:rPr>
      </w:pPr>
    </w:p>
    <w:p w14:paraId="0B623285" w14:textId="77777777" w:rsidR="00C15C98" w:rsidRDefault="00C15C98" w:rsidP="00E63BF8">
      <w:pPr>
        <w:jc w:val="center"/>
        <w:rPr>
          <w:rFonts w:ascii="Arial" w:hAnsi="Arial" w:cs="Arial"/>
          <w:sz w:val="24"/>
          <w:szCs w:val="24"/>
          <w:u w:val="single"/>
        </w:rPr>
      </w:pPr>
    </w:p>
    <w:p w14:paraId="0C702B17" w14:textId="77777777" w:rsidR="00C15C98" w:rsidRDefault="00C15C98" w:rsidP="00E63BF8">
      <w:pPr>
        <w:jc w:val="center"/>
        <w:rPr>
          <w:rFonts w:ascii="Arial" w:hAnsi="Arial" w:cs="Arial"/>
          <w:sz w:val="24"/>
          <w:szCs w:val="24"/>
          <w:u w:val="single"/>
        </w:rPr>
      </w:pPr>
    </w:p>
    <w:p w14:paraId="01C2C9BD" w14:textId="77777777" w:rsidR="00C15C98" w:rsidRDefault="00C15C98" w:rsidP="00E63BF8">
      <w:pPr>
        <w:jc w:val="center"/>
        <w:rPr>
          <w:rFonts w:ascii="Arial" w:hAnsi="Arial" w:cs="Arial"/>
          <w:sz w:val="24"/>
          <w:szCs w:val="24"/>
          <w:u w:val="single"/>
        </w:rPr>
      </w:pPr>
    </w:p>
    <w:p w14:paraId="251C6325" w14:textId="77777777" w:rsidR="002D0C16" w:rsidRDefault="002D0C16" w:rsidP="00E63BF8">
      <w:pPr>
        <w:jc w:val="center"/>
        <w:rPr>
          <w:rFonts w:ascii="Arial" w:hAnsi="Arial" w:cs="Arial"/>
          <w:sz w:val="24"/>
          <w:szCs w:val="24"/>
          <w:u w:val="single"/>
        </w:rPr>
      </w:pPr>
    </w:p>
    <w:p w14:paraId="53EACC8D" w14:textId="77777777" w:rsidR="00D50A3A" w:rsidRDefault="00D50A3A" w:rsidP="00E63BF8">
      <w:pPr>
        <w:jc w:val="center"/>
        <w:rPr>
          <w:rFonts w:ascii="Arial" w:hAnsi="Arial" w:cs="Arial"/>
          <w:sz w:val="24"/>
          <w:szCs w:val="24"/>
          <w:u w:val="single"/>
        </w:rPr>
      </w:pPr>
    </w:p>
    <w:p w14:paraId="737CBD03" w14:textId="77777777" w:rsidR="00D50A3A" w:rsidRDefault="00D50A3A" w:rsidP="00E63BF8">
      <w:pPr>
        <w:jc w:val="center"/>
        <w:rPr>
          <w:rFonts w:ascii="Arial" w:hAnsi="Arial" w:cs="Arial"/>
          <w:sz w:val="24"/>
          <w:szCs w:val="24"/>
          <w:u w:val="single"/>
        </w:rPr>
      </w:pPr>
    </w:p>
    <w:p w14:paraId="366C30A6" w14:textId="77777777" w:rsidR="00D50A3A" w:rsidRDefault="00D50A3A" w:rsidP="00E63BF8">
      <w:pPr>
        <w:jc w:val="center"/>
        <w:rPr>
          <w:rFonts w:ascii="Arial" w:hAnsi="Arial" w:cs="Arial"/>
          <w:sz w:val="24"/>
          <w:szCs w:val="24"/>
          <w:u w:val="single"/>
        </w:rPr>
      </w:pPr>
    </w:p>
    <w:p w14:paraId="7954DB2C" w14:textId="77777777" w:rsidR="00D50A3A" w:rsidRDefault="00D50A3A" w:rsidP="00E63BF8">
      <w:pPr>
        <w:jc w:val="center"/>
        <w:rPr>
          <w:rFonts w:ascii="Arial" w:hAnsi="Arial" w:cs="Arial"/>
          <w:sz w:val="24"/>
          <w:szCs w:val="24"/>
          <w:u w:val="single"/>
        </w:rPr>
      </w:pPr>
    </w:p>
    <w:p w14:paraId="29CBDA45" w14:textId="77777777" w:rsidR="00D50A3A" w:rsidRPr="001B0767" w:rsidRDefault="00D50A3A" w:rsidP="001B0767">
      <w:pPr>
        <w:spacing w:line="360" w:lineRule="auto"/>
        <w:jc w:val="center"/>
        <w:rPr>
          <w:rFonts w:ascii="Arial" w:hAnsi="Arial" w:cs="Arial"/>
          <w:sz w:val="24"/>
          <w:szCs w:val="24"/>
          <w:u w:val="single"/>
        </w:rPr>
      </w:pPr>
    </w:p>
    <w:p w14:paraId="589728A7" w14:textId="77777777" w:rsidR="00D50A3A" w:rsidRPr="001B0767" w:rsidRDefault="00D50A3A" w:rsidP="001B0767">
      <w:pPr>
        <w:spacing w:line="360" w:lineRule="auto"/>
        <w:jc w:val="center"/>
        <w:rPr>
          <w:rFonts w:ascii="Arial" w:hAnsi="Arial" w:cs="Arial"/>
          <w:sz w:val="24"/>
          <w:szCs w:val="24"/>
          <w:u w:val="single"/>
        </w:rPr>
      </w:pPr>
    </w:p>
    <w:p w14:paraId="4CAAE048" w14:textId="0C815499" w:rsidR="00AD077C" w:rsidRPr="001B0767" w:rsidRDefault="00E63BF8" w:rsidP="001B0767">
      <w:pPr>
        <w:spacing w:line="360" w:lineRule="auto"/>
        <w:jc w:val="center"/>
        <w:rPr>
          <w:rFonts w:ascii="Arial" w:hAnsi="Arial" w:cs="Arial"/>
          <w:sz w:val="24"/>
          <w:szCs w:val="24"/>
          <w:u w:val="single"/>
        </w:rPr>
      </w:pPr>
      <w:r w:rsidRPr="001B0767">
        <w:rPr>
          <w:rFonts w:ascii="Arial" w:hAnsi="Arial" w:cs="Arial"/>
          <w:sz w:val="24"/>
          <w:szCs w:val="24"/>
          <w:u w:val="single"/>
        </w:rPr>
        <w:t>Reference List</w:t>
      </w:r>
    </w:p>
    <w:p w14:paraId="4B0B0B74" w14:textId="77777777" w:rsidR="00B228DA" w:rsidRPr="001B0767" w:rsidRDefault="00B228DA" w:rsidP="001B0767">
      <w:pPr>
        <w:spacing w:line="360" w:lineRule="auto"/>
        <w:rPr>
          <w:rFonts w:ascii="Arial" w:hAnsi="Arial" w:cs="Arial"/>
          <w:sz w:val="24"/>
          <w:szCs w:val="24"/>
        </w:rPr>
      </w:pPr>
      <w:r w:rsidRPr="001B0767">
        <w:rPr>
          <w:rFonts w:ascii="Arial" w:hAnsi="Arial" w:cs="Arial"/>
          <w:sz w:val="24"/>
          <w:szCs w:val="24"/>
        </w:rPr>
        <w:t xml:space="preserve">Burke, P.J. &amp; Stets, J. (2009) </w:t>
      </w:r>
      <w:r w:rsidRPr="001B0767">
        <w:rPr>
          <w:rFonts w:ascii="Arial" w:hAnsi="Arial" w:cs="Arial"/>
          <w:i/>
          <w:iCs/>
          <w:sz w:val="24"/>
          <w:szCs w:val="24"/>
        </w:rPr>
        <w:t>Identity Theory</w:t>
      </w:r>
      <w:r w:rsidRPr="001B0767">
        <w:rPr>
          <w:rFonts w:ascii="Arial" w:hAnsi="Arial" w:cs="Arial"/>
          <w:sz w:val="24"/>
          <w:szCs w:val="24"/>
        </w:rPr>
        <w:t xml:space="preserve">. New York: Oxford University Press. </w:t>
      </w:r>
    </w:p>
    <w:p w14:paraId="7B07903F" w14:textId="6C35C150" w:rsidR="000736D5"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Daragh Bradshaw, Sarah Jay, Namh McNamara, Clifford Stevenson and Orla T Muldoon. (2016) ‘Perceived discrimination amongst young people in socio-economically disadvantaged communities: Parental support and community identity </w:t>
      </w:r>
      <w:r w:rsidRPr="001B0767">
        <w:rPr>
          <w:rFonts w:ascii="Arial" w:hAnsi="Arial" w:cs="Arial"/>
          <w:sz w:val="24"/>
          <w:szCs w:val="24"/>
        </w:rPr>
        <w:lastRenderedPageBreak/>
        <w:t xml:space="preserve">buffer (some) negative impacts of stigma.’ </w:t>
      </w:r>
      <w:r w:rsidRPr="001B0767">
        <w:rPr>
          <w:rFonts w:ascii="Arial" w:hAnsi="Arial" w:cs="Arial"/>
          <w:i/>
          <w:iCs/>
          <w:sz w:val="24"/>
          <w:szCs w:val="24"/>
        </w:rPr>
        <w:t xml:space="preserve">The impact of community stigmatisation in childhood. </w:t>
      </w:r>
      <w:r w:rsidRPr="001B0767">
        <w:rPr>
          <w:rFonts w:ascii="Arial" w:hAnsi="Arial" w:cs="Arial"/>
          <w:sz w:val="24"/>
          <w:szCs w:val="24"/>
        </w:rPr>
        <w:t xml:space="preserve">Volume 34, Issue 2. Page 154: Range of article: 153 – 168. Available at: </w:t>
      </w:r>
      <w:hyperlink r:id="rId5" w:anchor="AN=115099414&amp;db=eue" w:history="1">
        <w:r w:rsidRPr="001B0767">
          <w:rPr>
            <w:rStyle w:val="Hyperlink"/>
            <w:rFonts w:ascii="Arial" w:hAnsi="Arial" w:cs="Arial"/>
            <w:sz w:val="24"/>
            <w:szCs w:val="24"/>
          </w:rPr>
          <w:t>Perceived discrimination amongst young people in socio-economically disadva...: EBSCOhost (uwtsd.ac.uk)</w:t>
        </w:r>
      </w:hyperlink>
      <w:r w:rsidRPr="001B0767">
        <w:rPr>
          <w:rFonts w:ascii="Arial" w:hAnsi="Arial" w:cs="Arial"/>
          <w:sz w:val="24"/>
          <w:szCs w:val="24"/>
        </w:rPr>
        <w:t xml:space="preserve">. Accessed: 15/01/2021. </w:t>
      </w:r>
    </w:p>
    <w:p w14:paraId="654600CA" w14:textId="2DE0615D" w:rsidR="000736D5" w:rsidRPr="001B0767" w:rsidRDefault="000736D5"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Daragh Bradshaw, Sarah Jay, Namh McNamara, Clifford Stevenson and Orla T Muldoon. (2016) ‘Perceived discrimination amongst young people in socio-economically disadvantaged communities: Parental support and community identity buffer (some) negative impacts of stigma.’ </w:t>
      </w:r>
      <w:r w:rsidRPr="001B0767">
        <w:rPr>
          <w:rFonts w:ascii="Arial" w:hAnsi="Arial" w:cs="Arial"/>
          <w:i/>
          <w:iCs/>
          <w:sz w:val="24"/>
          <w:szCs w:val="24"/>
        </w:rPr>
        <w:t xml:space="preserve">The impact of community stigmatisation in childhood. </w:t>
      </w:r>
      <w:r w:rsidRPr="001B0767">
        <w:rPr>
          <w:rFonts w:ascii="Arial" w:hAnsi="Arial" w:cs="Arial"/>
          <w:sz w:val="24"/>
          <w:szCs w:val="24"/>
        </w:rPr>
        <w:t>Volume 34, Issue 2. Page 15</w:t>
      </w:r>
      <w:r w:rsidR="004F1794" w:rsidRPr="001B0767">
        <w:rPr>
          <w:rFonts w:ascii="Arial" w:hAnsi="Arial" w:cs="Arial"/>
          <w:sz w:val="24"/>
          <w:szCs w:val="24"/>
        </w:rPr>
        <w:t>5</w:t>
      </w:r>
      <w:r w:rsidRPr="001B0767">
        <w:rPr>
          <w:rFonts w:ascii="Arial" w:hAnsi="Arial" w:cs="Arial"/>
          <w:sz w:val="24"/>
          <w:szCs w:val="24"/>
        </w:rPr>
        <w:t xml:space="preserve">: Range of article: 153 – 168. Available at: </w:t>
      </w:r>
      <w:hyperlink r:id="rId6" w:anchor="AN=115099414&amp;db=eue" w:history="1">
        <w:r w:rsidRPr="001B0767">
          <w:rPr>
            <w:rStyle w:val="Hyperlink"/>
            <w:rFonts w:ascii="Arial" w:hAnsi="Arial" w:cs="Arial"/>
            <w:sz w:val="24"/>
            <w:szCs w:val="24"/>
          </w:rPr>
          <w:t>Perceived discrimination amongst young people in socio-economically disadva...: EBSCOhost (uwtsd.ac.uk)</w:t>
        </w:r>
      </w:hyperlink>
      <w:r w:rsidRPr="001B0767">
        <w:rPr>
          <w:rFonts w:ascii="Arial" w:hAnsi="Arial" w:cs="Arial"/>
          <w:sz w:val="24"/>
          <w:szCs w:val="24"/>
        </w:rPr>
        <w:t xml:space="preserve">. Accessed: 15/01/2021. </w:t>
      </w:r>
    </w:p>
    <w:p w14:paraId="3B866C2A" w14:textId="0A0BA00C"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Doherty, J. &amp; Hughes, M. (2009) Child Development. Theory and practice 0-11. Pearson Longman. England.</w:t>
      </w:r>
    </w:p>
    <w:p w14:paraId="2EF05975" w14:textId="77777777" w:rsidR="00B228DA" w:rsidRPr="001B0767" w:rsidRDefault="00B228DA" w:rsidP="001B0767">
      <w:pPr>
        <w:tabs>
          <w:tab w:val="left" w:pos="3894"/>
        </w:tabs>
        <w:spacing w:line="360" w:lineRule="auto"/>
        <w:rPr>
          <w:rFonts w:ascii="Arial" w:hAnsi="Arial" w:cs="Arial"/>
          <w:i/>
          <w:iCs/>
          <w:sz w:val="24"/>
          <w:szCs w:val="24"/>
        </w:rPr>
      </w:pPr>
      <w:r w:rsidRPr="001B0767">
        <w:rPr>
          <w:rFonts w:ascii="Arial" w:hAnsi="Arial" w:cs="Arial"/>
          <w:sz w:val="24"/>
          <w:szCs w:val="24"/>
        </w:rPr>
        <w:t>Douglas J. Davies (2011)</w:t>
      </w:r>
      <w:r w:rsidRPr="001B0767">
        <w:rPr>
          <w:rFonts w:ascii="Arial" w:hAnsi="Arial" w:cs="Arial"/>
          <w:i/>
          <w:iCs/>
          <w:sz w:val="24"/>
          <w:szCs w:val="24"/>
        </w:rPr>
        <w:t xml:space="preserve"> Emotion, Identity and Religion. </w:t>
      </w:r>
      <w:r w:rsidRPr="001B0767">
        <w:rPr>
          <w:rFonts w:ascii="Arial" w:hAnsi="Arial" w:cs="Arial"/>
          <w:sz w:val="24"/>
          <w:szCs w:val="24"/>
        </w:rPr>
        <w:t>Oxford Scholarship Online</w:t>
      </w:r>
      <w:r w:rsidRPr="001B0767">
        <w:rPr>
          <w:rFonts w:ascii="Arial" w:hAnsi="Arial" w:cs="Arial"/>
          <w:i/>
          <w:iCs/>
          <w:sz w:val="24"/>
          <w:szCs w:val="24"/>
        </w:rPr>
        <w:t xml:space="preserve">. </w:t>
      </w:r>
    </w:p>
    <w:p w14:paraId="55A4B1F2"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Eugene W. Mathes (1981) ‘Journal of Humanistic Psychology’. </w:t>
      </w:r>
      <w:r w:rsidRPr="001B0767">
        <w:rPr>
          <w:rFonts w:ascii="Arial" w:hAnsi="Arial" w:cs="Arial"/>
          <w:i/>
          <w:iCs/>
          <w:sz w:val="24"/>
          <w:szCs w:val="24"/>
        </w:rPr>
        <w:t>Malsow’s Hierarchy of Needs as a Guide for Living.</w:t>
      </w:r>
      <w:r w:rsidRPr="001B0767">
        <w:rPr>
          <w:rFonts w:ascii="Arial" w:hAnsi="Arial" w:cs="Arial"/>
          <w:sz w:val="24"/>
          <w:szCs w:val="24"/>
        </w:rPr>
        <w:t xml:space="preserve"> Volume 21, Issue 4. Page 70, range of article: 69 -72. Available at: </w:t>
      </w:r>
      <w:hyperlink r:id="rId7" w:history="1">
        <w:r w:rsidRPr="001B0767">
          <w:rPr>
            <w:rStyle w:val="Hyperlink"/>
            <w:rFonts w:ascii="Arial" w:hAnsi="Arial" w:cs="Arial"/>
            <w:sz w:val="24"/>
            <w:szCs w:val="24"/>
          </w:rPr>
          <w:t>Maslow's Hierarchy of Needs as a Guide for Living - Eugene W. Mathes, 1981 (sagepub.com)</w:t>
        </w:r>
      </w:hyperlink>
      <w:r w:rsidRPr="001B0767">
        <w:rPr>
          <w:rFonts w:ascii="Arial" w:hAnsi="Arial" w:cs="Arial"/>
          <w:sz w:val="24"/>
          <w:szCs w:val="24"/>
        </w:rPr>
        <w:t xml:space="preserve"> Accessed: 15/01/2021. </w:t>
      </w:r>
    </w:p>
    <w:p w14:paraId="2A4B85F4"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Gary W Evans and Pilyoung Kim (2012) ‘Child Development Perspectives.’ </w:t>
      </w:r>
      <w:r w:rsidRPr="001B0767">
        <w:rPr>
          <w:rFonts w:ascii="Arial" w:hAnsi="Arial" w:cs="Arial"/>
          <w:i/>
          <w:iCs/>
          <w:sz w:val="24"/>
          <w:szCs w:val="24"/>
        </w:rPr>
        <w:t xml:space="preserve">Childhood poverty, chronic stress, self – regulation, and coping. </w:t>
      </w:r>
      <w:r w:rsidRPr="001B0767">
        <w:rPr>
          <w:rFonts w:ascii="Arial" w:hAnsi="Arial" w:cs="Arial"/>
          <w:sz w:val="24"/>
          <w:szCs w:val="24"/>
        </w:rPr>
        <w:t xml:space="preserve">Volume 7, Issue 1. Page 44: range of article: 43 - 48. Available at: </w:t>
      </w:r>
      <w:hyperlink r:id="rId8" w:anchor="AN=133654166&amp;db=eue" w:history="1">
        <w:r w:rsidRPr="001B0767">
          <w:rPr>
            <w:rStyle w:val="Hyperlink"/>
            <w:rFonts w:ascii="Arial" w:hAnsi="Arial" w:cs="Arial"/>
            <w:sz w:val="24"/>
            <w:szCs w:val="24"/>
          </w:rPr>
          <w:t>Future Directions in Research and Intervention with Youths in Poverty: EBSCOhost (uwtsd.ac.uk)</w:t>
        </w:r>
      </w:hyperlink>
      <w:r w:rsidRPr="001B0767">
        <w:rPr>
          <w:rFonts w:ascii="Arial" w:hAnsi="Arial" w:cs="Arial"/>
          <w:sz w:val="24"/>
          <w:szCs w:val="24"/>
        </w:rPr>
        <w:t xml:space="preserve"> Accessed: 15/01/2021. </w:t>
      </w:r>
    </w:p>
    <w:p w14:paraId="2E5EB0D7"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Gillian Schofield, Birgit Larsson and Emma Ward (2017). ‘Risk, resilience and identity construction in the life narratives of young people leaving residential care.’ </w:t>
      </w:r>
      <w:r w:rsidRPr="001B0767">
        <w:rPr>
          <w:rFonts w:ascii="Arial" w:hAnsi="Arial" w:cs="Arial"/>
          <w:i/>
          <w:iCs/>
          <w:sz w:val="24"/>
          <w:szCs w:val="24"/>
        </w:rPr>
        <w:t xml:space="preserve">Policy and research on residential care. </w:t>
      </w:r>
      <w:r w:rsidRPr="001B0767">
        <w:rPr>
          <w:rFonts w:ascii="Arial" w:hAnsi="Arial" w:cs="Arial"/>
          <w:sz w:val="24"/>
          <w:szCs w:val="24"/>
        </w:rPr>
        <w:t xml:space="preserve">Volume 22, Issue 2. Page 786, range of article: 782 – 791. Available at: </w:t>
      </w:r>
      <w:hyperlink r:id="rId9" w:history="1">
        <w:r w:rsidRPr="001B0767">
          <w:rPr>
            <w:rStyle w:val="Hyperlink"/>
            <w:rFonts w:ascii="Arial" w:hAnsi="Arial" w:cs="Arial"/>
            <w:sz w:val="24"/>
            <w:szCs w:val="24"/>
          </w:rPr>
          <w:t>https://web-a-ebscohost-com.ezproxy.uwtsd.ac.uk/ehost/detail/detail?vid=0&amp;sid=d273aace-1839-4926-a559-0b8fdad70325%40sessionmgr4007&amp;bdata=JnNpdGU9ZWhvc3QtbGl2ZQ%3d%3d#AN=122576856&amp;db=aph</w:t>
        </w:r>
      </w:hyperlink>
      <w:r w:rsidRPr="001B0767">
        <w:rPr>
          <w:rFonts w:ascii="Arial" w:hAnsi="Arial" w:cs="Arial"/>
          <w:sz w:val="24"/>
          <w:szCs w:val="24"/>
        </w:rPr>
        <w:t xml:space="preserve"> Accessed: 15/01/2021. </w:t>
      </w:r>
    </w:p>
    <w:p w14:paraId="01B301B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lastRenderedPageBreak/>
        <w:t xml:space="preserve">Horror Stories (2016) </w:t>
      </w:r>
      <w:r w:rsidRPr="001B0767">
        <w:rPr>
          <w:rFonts w:ascii="Arial" w:hAnsi="Arial" w:cs="Arial"/>
          <w:i/>
          <w:iCs/>
          <w:sz w:val="24"/>
          <w:szCs w:val="24"/>
        </w:rPr>
        <w:t xml:space="preserve">The Story of David Reimer: A Transgender Experiment </w:t>
      </w:r>
      <w:r w:rsidRPr="001B0767">
        <w:rPr>
          <w:rFonts w:ascii="Arial" w:hAnsi="Arial" w:cs="Arial"/>
          <w:sz w:val="24"/>
          <w:szCs w:val="24"/>
        </w:rPr>
        <w:t>[video]. Available at:</w:t>
      </w:r>
      <w:r w:rsidRPr="001B0767">
        <w:rPr>
          <w:rFonts w:ascii="Arial" w:hAnsi="Arial" w:cs="Arial"/>
          <w:i/>
          <w:iCs/>
          <w:sz w:val="24"/>
          <w:szCs w:val="24"/>
        </w:rPr>
        <w:t xml:space="preserve"> </w:t>
      </w:r>
      <w:hyperlink r:id="rId10" w:history="1">
        <w:r w:rsidRPr="001B0767">
          <w:rPr>
            <w:rStyle w:val="Hyperlink"/>
            <w:rFonts w:ascii="Arial" w:hAnsi="Arial" w:cs="Arial"/>
            <w:sz w:val="24"/>
            <w:szCs w:val="24"/>
          </w:rPr>
          <w:t>The Story of David Reimer: A Transgender Experiment - Bing video</w:t>
        </w:r>
      </w:hyperlink>
      <w:r w:rsidRPr="001B0767">
        <w:rPr>
          <w:rFonts w:ascii="Arial" w:hAnsi="Arial" w:cs="Arial"/>
          <w:sz w:val="24"/>
          <w:szCs w:val="24"/>
        </w:rPr>
        <w:t xml:space="preserve">. Accessed: 15/01/2021. </w:t>
      </w:r>
    </w:p>
    <w:p w14:paraId="4B55D2F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Karim Shabani, Mohamad Khatib and Saman Ebadi. (2010) ‘Vygotsky’s zone of proximal development: instructional implications and teachers’ professional development.’ </w:t>
      </w:r>
      <w:r w:rsidRPr="001B0767">
        <w:rPr>
          <w:rFonts w:ascii="Arial" w:hAnsi="Arial" w:cs="Arial"/>
          <w:i/>
          <w:iCs/>
          <w:sz w:val="24"/>
          <w:szCs w:val="24"/>
        </w:rPr>
        <w:t xml:space="preserve">Vygotsky on learning and development. </w:t>
      </w:r>
      <w:r w:rsidRPr="001B0767">
        <w:rPr>
          <w:rFonts w:ascii="Arial" w:hAnsi="Arial" w:cs="Arial"/>
          <w:sz w:val="24"/>
          <w:szCs w:val="24"/>
        </w:rPr>
        <w:t xml:space="preserve">Volume 3, Issue 4. Page 238: Range of article: page 237 – 248. Available at: </w:t>
      </w:r>
      <w:hyperlink r:id="rId11" w:history="1">
        <w:r w:rsidRPr="001B0767">
          <w:rPr>
            <w:rStyle w:val="Hyperlink"/>
            <w:rFonts w:ascii="Arial" w:hAnsi="Arial" w:cs="Arial"/>
            <w:sz w:val="24"/>
            <w:szCs w:val="24"/>
          </w:rPr>
          <w:t>https://eric.ed.gov/?id=EJ1081990</w:t>
        </w:r>
      </w:hyperlink>
      <w:r w:rsidRPr="001B0767">
        <w:rPr>
          <w:rFonts w:ascii="Arial" w:hAnsi="Arial" w:cs="Arial"/>
          <w:sz w:val="24"/>
          <w:szCs w:val="24"/>
        </w:rPr>
        <w:t xml:space="preserve"> Accessed: 15/01/2021. </w:t>
      </w:r>
    </w:p>
    <w:p w14:paraId="368B8037"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Kohlberg, L. (1966). A cognitive-developmental analysis of children’s sex-role concepts and attitudes. In E. E. Maccoby (Ed.), </w:t>
      </w:r>
      <w:r w:rsidRPr="001B0767">
        <w:rPr>
          <w:rFonts w:ascii="Arial" w:hAnsi="Arial" w:cs="Arial"/>
          <w:i/>
          <w:iCs/>
          <w:sz w:val="24"/>
          <w:szCs w:val="24"/>
        </w:rPr>
        <w:t>The development of sex differences</w:t>
      </w:r>
      <w:r w:rsidRPr="001B0767">
        <w:rPr>
          <w:rFonts w:ascii="Arial" w:hAnsi="Arial" w:cs="Arial"/>
          <w:sz w:val="24"/>
          <w:szCs w:val="24"/>
        </w:rPr>
        <w:t> (pp. 82–173). Stanford: Stanford University Press.</w:t>
      </w:r>
    </w:p>
    <w:p w14:paraId="20C27BB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Lawrence Kohlberg (2008) ‘The Development of Children’s Orientations Towards A Moral Order’ </w:t>
      </w:r>
      <w:r w:rsidRPr="001B0767">
        <w:rPr>
          <w:rFonts w:ascii="Arial" w:hAnsi="Arial" w:cs="Arial"/>
          <w:i/>
          <w:iCs/>
          <w:sz w:val="24"/>
          <w:szCs w:val="24"/>
        </w:rPr>
        <w:t>Sequence in the Development of Moral Thought</w:t>
      </w:r>
      <w:r w:rsidRPr="001B0767">
        <w:rPr>
          <w:rFonts w:ascii="Arial" w:hAnsi="Arial" w:cs="Arial"/>
          <w:sz w:val="24"/>
          <w:szCs w:val="24"/>
        </w:rPr>
        <w:t xml:space="preserve">. Volume 51 Issue 8 – 20. Available at: </w:t>
      </w:r>
      <w:hyperlink r:id="rId12" w:history="1">
        <w:r w:rsidRPr="001B0767">
          <w:rPr>
            <w:rStyle w:val="Hyperlink"/>
            <w:rFonts w:ascii="Arial" w:hAnsi="Arial" w:cs="Arial"/>
            <w:sz w:val="24"/>
            <w:szCs w:val="24"/>
          </w:rPr>
          <w:t>https://www.karger.com/Article/Abstract/112530</w:t>
        </w:r>
      </w:hyperlink>
      <w:r w:rsidRPr="001B0767">
        <w:rPr>
          <w:rFonts w:ascii="Arial" w:hAnsi="Arial" w:cs="Arial"/>
          <w:sz w:val="24"/>
          <w:szCs w:val="24"/>
        </w:rPr>
        <w:t xml:space="preserve"> Accessed: 14/01/2021. </w:t>
      </w:r>
    </w:p>
    <w:p w14:paraId="60113575"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National Geographic (2016) </w:t>
      </w:r>
      <w:r w:rsidRPr="001B0767">
        <w:rPr>
          <w:rFonts w:ascii="Arial" w:hAnsi="Arial" w:cs="Arial"/>
          <w:i/>
          <w:iCs/>
          <w:sz w:val="24"/>
          <w:szCs w:val="24"/>
        </w:rPr>
        <w:t>Hear Kids’ Honest Opinions on Being a Boy or Girl Around the World</w:t>
      </w:r>
      <w:r w:rsidRPr="001B0767">
        <w:rPr>
          <w:rFonts w:ascii="Arial" w:hAnsi="Arial" w:cs="Arial"/>
          <w:sz w:val="24"/>
          <w:szCs w:val="24"/>
        </w:rPr>
        <w:t xml:space="preserve"> [video]. Available at: </w:t>
      </w:r>
      <w:hyperlink r:id="rId13" w:history="1">
        <w:r w:rsidRPr="001B0767">
          <w:rPr>
            <w:rStyle w:val="Hyperlink"/>
            <w:rFonts w:ascii="Arial" w:hAnsi="Arial" w:cs="Arial"/>
            <w:sz w:val="24"/>
            <w:szCs w:val="24"/>
          </w:rPr>
          <w:t>https://www.youtube.com/watch?v=2B3ea7IGwLAhttps://www.youtube.com/watch?v=2B3ea7IGwLA</w:t>
        </w:r>
      </w:hyperlink>
      <w:r w:rsidRPr="001B0767">
        <w:rPr>
          <w:rFonts w:ascii="Arial" w:hAnsi="Arial" w:cs="Arial"/>
          <w:sz w:val="24"/>
          <w:szCs w:val="24"/>
        </w:rPr>
        <w:t xml:space="preserve">. Accessed: 14/01/2021. </w:t>
      </w:r>
    </w:p>
    <w:p w14:paraId="0F3CADC3"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NSPCC (2021) Gender identity. Available at: </w:t>
      </w:r>
      <w:hyperlink r:id="rId14" w:history="1">
        <w:r w:rsidRPr="001B0767">
          <w:rPr>
            <w:rStyle w:val="Hyperlink"/>
            <w:rFonts w:ascii="Arial" w:hAnsi="Arial" w:cs="Arial"/>
            <w:sz w:val="24"/>
            <w:szCs w:val="24"/>
          </w:rPr>
          <w:t>https://www.nspcc.org.uk/keeping-children-safe/sex-relationships/gender-identity/</w:t>
        </w:r>
      </w:hyperlink>
      <w:r w:rsidRPr="001B0767">
        <w:rPr>
          <w:rFonts w:ascii="Arial" w:hAnsi="Arial" w:cs="Arial"/>
          <w:sz w:val="24"/>
          <w:szCs w:val="24"/>
        </w:rPr>
        <w:t xml:space="preserve">. Accessed: 14/01/2021. </w:t>
      </w:r>
      <w:r w:rsidRPr="001B0767">
        <w:rPr>
          <w:rFonts w:ascii="Arial" w:hAnsi="Arial" w:cs="Arial"/>
          <w:sz w:val="24"/>
          <w:szCs w:val="24"/>
        </w:rPr>
        <w:br/>
      </w:r>
    </w:p>
    <w:p w14:paraId="25E2C6AB"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Renate Ysseldyk, Kimberley Matheson and Hymie Anisman. (2010) ‘Religiosity as Identity: Toward an understanding of religion from a social identity perspective.’ </w:t>
      </w:r>
      <w:r w:rsidRPr="001B0767">
        <w:rPr>
          <w:rFonts w:ascii="Arial" w:hAnsi="Arial" w:cs="Arial"/>
          <w:i/>
          <w:iCs/>
          <w:sz w:val="24"/>
          <w:szCs w:val="24"/>
        </w:rPr>
        <w:t>Social Identity Approach: A brief overview</w:t>
      </w:r>
      <w:r w:rsidRPr="001B0767">
        <w:rPr>
          <w:rFonts w:ascii="Arial" w:hAnsi="Arial" w:cs="Arial"/>
          <w:sz w:val="24"/>
          <w:szCs w:val="24"/>
        </w:rPr>
        <w:t xml:space="preserve">. Volume 14, Issue 1. Page 61: Range of article – 60 – 71. Available at: </w:t>
      </w:r>
      <w:hyperlink r:id="rId15" w:history="1">
        <w:r w:rsidRPr="001B0767">
          <w:rPr>
            <w:rStyle w:val="Hyperlink"/>
            <w:rFonts w:ascii="Arial" w:hAnsi="Arial" w:cs="Arial"/>
            <w:sz w:val="24"/>
            <w:szCs w:val="24"/>
          </w:rPr>
          <w:t>https://journals.sagepub.com/doi/pdf/10.1177/1088868309349693</w:t>
        </w:r>
      </w:hyperlink>
      <w:r w:rsidRPr="001B0767">
        <w:rPr>
          <w:rFonts w:ascii="Arial" w:hAnsi="Arial" w:cs="Arial"/>
          <w:sz w:val="24"/>
          <w:szCs w:val="24"/>
        </w:rPr>
        <w:t xml:space="preserve"> Accessed: 16/01/2021. </w:t>
      </w:r>
    </w:p>
    <w:p w14:paraId="07EC43C6" w14:textId="77777777" w:rsidR="00B228DA" w:rsidRPr="001B0767" w:rsidRDefault="00B228DA" w:rsidP="001B0767">
      <w:pPr>
        <w:spacing w:line="360" w:lineRule="auto"/>
        <w:rPr>
          <w:rFonts w:ascii="Arial" w:hAnsi="Arial" w:cs="Arial"/>
          <w:sz w:val="24"/>
          <w:szCs w:val="24"/>
        </w:rPr>
      </w:pPr>
      <w:r w:rsidRPr="001B0767">
        <w:rPr>
          <w:rFonts w:ascii="Arial" w:hAnsi="Arial" w:cs="Arial"/>
          <w:sz w:val="24"/>
          <w:szCs w:val="24"/>
        </w:rPr>
        <w:t xml:space="preserve">Stryker, S. (1980) </w:t>
      </w:r>
      <w:r w:rsidRPr="001B0767">
        <w:rPr>
          <w:rFonts w:ascii="Arial" w:hAnsi="Arial" w:cs="Arial"/>
          <w:i/>
          <w:iCs/>
          <w:sz w:val="24"/>
          <w:szCs w:val="24"/>
        </w:rPr>
        <w:t>Symbolic Interactionism: A Social Structural Version</w:t>
      </w:r>
      <w:r w:rsidRPr="001B0767">
        <w:rPr>
          <w:rFonts w:ascii="Arial" w:hAnsi="Arial" w:cs="Arial"/>
          <w:sz w:val="24"/>
          <w:szCs w:val="24"/>
        </w:rPr>
        <w:t xml:space="preserve">. Menlo Park: Benjamin Cummings. </w:t>
      </w:r>
    </w:p>
    <w:p w14:paraId="66E301D4"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lastRenderedPageBreak/>
        <w:t xml:space="preserve">Yolande Muschamp, Kate Bullock, Tess Ridge and Felicity Wikeley. (2013) ‘British Educational Research Association’. </w:t>
      </w:r>
      <w:r w:rsidRPr="001B0767">
        <w:rPr>
          <w:rFonts w:ascii="Arial" w:hAnsi="Arial" w:cs="Arial"/>
          <w:i/>
          <w:iCs/>
          <w:sz w:val="24"/>
          <w:szCs w:val="24"/>
        </w:rPr>
        <w:t xml:space="preserve">‘Nothing to do’: The impact of poverty on pupil’s learning identities within out – of – school activities. </w:t>
      </w:r>
      <w:r w:rsidRPr="001B0767">
        <w:rPr>
          <w:rFonts w:ascii="Arial" w:hAnsi="Arial" w:cs="Arial"/>
          <w:sz w:val="24"/>
          <w:szCs w:val="24"/>
        </w:rPr>
        <w:t xml:space="preserve">Volume 35, Issue 2. </w:t>
      </w:r>
      <w:r w:rsidRPr="001B0767">
        <w:rPr>
          <w:rFonts w:ascii="Arial" w:hAnsi="Arial" w:cs="Arial"/>
          <w:i/>
          <w:iCs/>
          <w:sz w:val="24"/>
          <w:szCs w:val="24"/>
        </w:rPr>
        <w:t xml:space="preserve"> </w:t>
      </w:r>
      <w:r w:rsidRPr="001B0767">
        <w:rPr>
          <w:rFonts w:ascii="Arial" w:hAnsi="Arial" w:cs="Arial"/>
          <w:sz w:val="24"/>
          <w:szCs w:val="24"/>
        </w:rPr>
        <w:t xml:space="preserve">Page 306: range of article: 305 – 321. Available at: </w:t>
      </w:r>
      <w:hyperlink r:id="rId16" w:history="1">
        <w:r w:rsidRPr="001B0767">
          <w:rPr>
            <w:rStyle w:val="Hyperlink"/>
            <w:rFonts w:ascii="Arial" w:hAnsi="Arial" w:cs="Arial"/>
            <w:sz w:val="24"/>
            <w:szCs w:val="24"/>
          </w:rPr>
          <w:t>Full article: ‘Nothing to do’: the impact of poverty on pupils' learning identities within out</w:t>
        </w:r>
        <w:r w:rsidRPr="001B0767">
          <w:rPr>
            <w:rStyle w:val="Hyperlink"/>
            <w:rFonts w:ascii="Cambria Math" w:hAnsi="Cambria Math" w:cs="Cambria Math"/>
            <w:sz w:val="24"/>
            <w:szCs w:val="24"/>
          </w:rPr>
          <w:t>‐</w:t>
        </w:r>
        <w:r w:rsidRPr="001B0767">
          <w:rPr>
            <w:rStyle w:val="Hyperlink"/>
            <w:rFonts w:ascii="Arial" w:hAnsi="Arial" w:cs="Arial"/>
            <w:sz w:val="24"/>
            <w:szCs w:val="24"/>
          </w:rPr>
          <w:t>of</w:t>
        </w:r>
        <w:r w:rsidRPr="001B0767">
          <w:rPr>
            <w:rStyle w:val="Hyperlink"/>
            <w:rFonts w:ascii="Cambria Math" w:hAnsi="Cambria Math" w:cs="Cambria Math"/>
            <w:sz w:val="24"/>
            <w:szCs w:val="24"/>
          </w:rPr>
          <w:t>‐</w:t>
        </w:r>
        <w:r w:rsidRPr="001B0767">
          <w:rPr>
            <w:rStyle w:val="Hyperlink"/>
            <w:rFonts w:ascii="Arial" w:hAnsi="Arial" w:cs="Arial"/>
            <w:sz w:val="24"/>
            <w:szCs w:val="24"/>
          </w:rPr>
          <w:t>school activities (tandfonline.com)</w:t>
        </w:r>
      </w:hyperlink>
      <w:r w:rsidRPr="001B0767">
        <w:rPr>
          <w:rFonts w:ascii="Arial" w:hAnsi="Arial" w:cs="Arial"/>
          <w:sz w:val="24"/>
          <w:szCs w:val="24"/>
        </w:rPr>
        <w:t xml:space="preserve"> Accessed: 16/01/2021. </w:t>
      </w:r>
    </w:p>
    <w:p w14:paraId="2DCA2178"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Zelda Gillian Knight (2017) ‘A proposed model of psychodynamic psychotherapy linked to Erik Erikson’s eight stages of psychosocial development.’ </w:t>
      </w:r>
      <w:r w:rsidRPr="001B0767">
        <w:rPr>
          <w:rFonts w:ascii="Arial" w:hAnsi="Arial" w:cs="Arial"/>
          <w:i/>
          <w:iCs/>
          <w:sz w:val="24"/>
          <w:szCs w:val="24"/>
        </w:rPr>
        <w:t>Erikson’s eight stages of psychosocial development: malignant and maladaptive tendencies</w:t>
      </w:r>
      <w:r w:rsidRPr="001B0767">
        <w:rPr>
          <w:rFonts w:ascii="Arial" w:hAnsi="Arial" w:cs="Arial"/>
          <w:sz w:val="24"/>
          <w:szCs w:val="24"/>
        </w:rPr>
        <w:t xml:space="preserve">. Volume 24, Issue 5. Page 1,049. Range of article: 1,047 – 1,058. Available at: </w:t>
      </w:r>
      <w:hyperlink r:id="rId17" w:history="1">
        <w:r w:rsidRPr="001B0767">
          <w:rPr>
            <w:rStyle w:val="Hyperlink"/>
            <w:rFonts w:ascii="Arial" w:hAnsi="Arial" w:cs="Arial"/>
            <w:sz w:val="24"/>
            <w:szCs w:val="24"/>
          </w:rPr>
          <w:t>A proposed model of psychodynamic psychotherapy linked to Erik Erikson's eight stages of psychosocial development - Knight - 2017 - Clinical Psychology &amp;amp; Psychotherapy - Wiley Online Library</w:t>
        </w:r>
      </w:hyperlink>
      <w:r w:rsidRPr="001B0767">
        <w:rPr>
          <w:rFonts w:ascii="Arial" w:hAnsi="Arial" w:cs="Arial"/>
          <w:sz w:val="24"/>
          <w:szCs w:val="24"/>
        </w:rPr>
        <w:t xml:space="preserve"> Accessed: 15/01/2021. </w:t>
      </w:r>
    </w:p>
    <w:p w14:paraId="24B08AEC" w14:textId="77777777" w:rsidR="006B01BC" w:rsidRPr="000B0AAF" w:rsidRDefault="006B01BC" w:rsidP="00402BA3">
      <w:pPr>
        <w:tabs>
          <w:tab w:val="left" w:pos="3894"/>
        </w:tabs>
        <w:rPr>
          <w:rFonts w:ascii="Arial" w:hAnsi="Arial" w:cs="Arial"/>
          <w:i/>
          <w:iCs/>
          <w:sz w:val="24"/>
          <w:szCs w:val="24"/>
        </w:rPr>
      </w:pPr>
    </w:p>
    <w:sectPr w:rsidR="006B01BC" w:rsidRPr="000B0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47512"/>
    <w:multiLevelType w:val="hybridMultilevel"/>
    <w:tmpl w:val="2BB87A22"/>
    <w:lvl w:ilvl="0" w:tplc="0AA6E6F4">
      <w:start w:val="1"/>
      <w:numFmt w:val="bullet"/>
      <w:lvlText w:val="•"/>
      <w:lvlJc w:val="left"/>
      <w:pPr>
        <w:tabs>
          <w:tab w:val="num" w:pos="720"/>
        </w:tabs>
        <w:ind w:left="720" w:hanging="360"/>
      </w:pPr>
      <w:rPr>
        <w:rFonts w:ascii="Arial" w:hAnsi="Arial" w:hint="default"/>
      </w:rPr>
    </w:lvl>
    <w:lvl w:ilvl="1" w:tplc="B396176C" w:tentative="1">
      <w:start w:val="1"/>
      <w:numFmt w:val="bullet"/>
      <w:lvlText w:val="•"/>
      <w:lvlJc w:val="left"/>
      <w:pPr>
        <w:tabs>
          <w:tab w:val="num" w:pos="1440"/>
        </w:tabs>
        <w:ind w:left="1440" w:hanging="360"/>
      </w:pPr>
      <w:rPr>
        <w:rFonts w:ascii="Arial" w:hAnsi="Arial" w:hint="default"/>
      </w:rPr>
    </w:lvl>
    <w:lvl w:ilvl="2" w:tplc="F9CA5148" w:tentative="1">
      <w:start w:val="1"/>
      <w:numFmt w:val="bullet"/>
      <w:lvlText w:val="•"/>
      <w:lvlJc w:val="left"/>
      <w:pPr>
        <w:tabs>
          <w:tab w:val="num" w:pos="2160"/>
        </w:tabs>
        <w:ind w:left="2160" w:hanging="360"/>
      </w:pPr>
      <w:rPr>
        <w:rFonts w:ascii="Arial" w:hAnsi="Arial" w:hint="default"/>
      </w:rPr>
    </w:lvl>
    <w:lvl w:ilvl="3" w:tplc="C0EE0BE0" w:tentative="1">
      <w:start w:val="1"/>
      <w:numFmt w:val="bullet"/>
      <w:lvlText w:val="•"/>
      <w:lvlJc w:val="left"/>
      <w:pPr>
        <w:tabs>
          <w:tab w:val="num" w:pos="2880"/>
        </w:tabs>
        <w:ind w:left="2880" w:hanging="360"/>
      </w:pPr>
      <w:rPr>
        <w:rFonts w:ascii="Arial" w:hAnsi="Arial" w:hint="default"/>
      </w:rPr>
    </w:lvl>
    <w:lvl w:ilvl="4" w:tplc="162E3948" w:tentative="1">
      <w:start w:val="1"/>
      <w:numFmt w:val="bullet"/>
      <w:lvlText w:val="•"/>
      <w:lvlJc w:val="left"/>
      <w:pPr>
        <w:tabs>
          <w:tab w:val="num" w:pos="3600"/>
        </w:tabs>
        <w:ind w:left="3600" w:hanging="360"/>
      </w:pPr>
      <w:rPr>
        <w:rFonts w:ascii="Arial" w:hAnsi="Arial" w:hint="default"/>
      </w:rPr>
    </w:lvl>
    <w:lvl w:ilvl="5" w:tplc="CA98D406" w:tentative="1">
      <w:start w:val="1"/>
      <w:numFmt w:val="bullet"/>
      <w:lvlText w:val="•"/>
      <w:lvlJc w:val="left"/>
      <w:pPr>
        <w:tabs>
          <w:tab w:val="num" w:pos="4320"/>
        </w:tabs>
        <w:ind w:left="4320" w:hanging="360"/>
      </w:pPr>
      <w:rPr>
        <w:rFonts w:ascii="Arial" w:hAnsi="Arial" w:hint="default"/>
      </w:rPr>
    </w:lvl>
    <w:lvl w:ilvl="6" w:tplc="706443AE" w:tentative="1">
      <w:start w:val="1"/>
      <w:numFmt w:val="bullet"/>
      <w:lvlText w:val="•"/>
      <w:lvlJc w:val="left"/>
      <w:pPr>
        <w:tabs>
          <w:tab w:val="num" w:pos="5040"/>
        </w:tabs>
        <w:ind w:left="5040" w:hanging="360"/>
      </w:pPr>
      <w:rPr>
        <w:rFonts w:ascii="Arial" w:hAnsi="Arial" w:hint="default"/>
      </w:rPr>
    </w:lvl>
    <w:lvl w:ilvl="7" w:tplc="CBF89754" w:tentative="1">
      <w:start w:val="1"/>
      <w:numFmt w:val="bullet"/>
      <w:lvlText w:val="•"/>
      <w:lvlJc w:val="left"/>
      <w:pPr>
        <w:tabs>
          <w:tab w:val="num" w:pos="5760"/>
        </w:tabs>
        <w:ind w:left="5760" w:hanging="360"/>
      </w:pPr>
      <w:rPr>
        <w:rFonts w:ascii="Arial" w:hAnsi="Arial" w:hint="default"/>
      </w:rPr>
    </w:lvl>
    <w:lvl w:ilvl="8" w:tplc="0B3C62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9F026C"/>
    <w:multiLevelType w:val="hybridMultilevel"/>
    <w:tmpl w:val="39389948"/>
    <w:lvl w:ilvl="0" w:tplc="EFB24868">
      <w:start w:val="1"/>
      <w:numFmt w:val="bullet"/>
      <w:lvlText w:val="•"/>
      <w:lvlJc w:val="left"/>
      <w:pPr>
        <w:tabs>
          <w:tab w:val="num" w:pos="720"/>
        </w:tabs>
        <w:ind w:left="720" w:hanging="360"/>
      </w:pPr>
      <w:rPr>
        <w:rFonts w:ascii="Arial" w:hAnsi="Arial" w:hint="default"/>
      </w:rPr>
    </w:lvl>
    <w:lvl w:ilvl="1" w:tplc="1F681E60" w:tentative="1">
      <w:start w:val="1"/>
      <w:numFmt w:val="bullet"/>
      <w:lvlText w:val="•"/>
      <w:lvlJc w:val="left"/>
      <w:pPr>
        <w:tabs>
          <w:tab w:val="num" w:pos="1440"/>
        </w:tabs>
        <w:ind w:left="1440" w:hanging="360"/>
      </w:pPr>
      <w:rPr>
        <w:rFonts w:ascii="Arial" w:hAnsi="Arial" w:hint="default"/>
      </w:rPr>
    </w:lvl>
    <w:lvl w:ilvl="2" w:tplc="B8147172" w:tentative="1">
      <w:start w:val="1"/>
      <w:numFmt w:val="bullet"/>
      <w:lvlText w:val="•"/>
      <w:lvlJc w:val="left"/>
      <w:pPr>
        <w:tabs>
          <w:tab w:val="num" w:pos="2160"/>
        </w:tabs>
        <w:ind w:left="2160" w:hanging="360"/>
      </w:pPr>
      <w:rPr>
        <w:rFonts w:ascii="Arial" w:hAnsi="Arial" w:hint="default"/>
      </w:rPr>
    </w:lvl>
    <w:lvl w:ilvl="3" w:tplc="96C82684" w:tentative="1">
      <w:start w:val="1"/>
      <w:numFmt w:val="bullet"/>
      <w:lvlText w:val="•"/>
      <w:lvlJc w:val="left"/>
      <w:pPr>
        <w:tabs>
          <w:tab w:val="num" w:pos="2880"/>
        </w:tabs>
        <w:ind w:left="2880" w:hanging="360"/>
      </w:pPr>
      <w:rPr>
        <w:rFonts w:ascii="Arial" w:hAnsi="Arial" w:hint="default"/>
      </w:rPr>
    </w:lvl>
    <w:lvl w:ilvl="4" w:tplc="DAB63616" w:tentative="1">
      <w:start w:val="1"/>
      <w:numFmt w:val="bullet"/>
      <w:lvlText w:val="•"/>
      <w:lvlJc w:val="left"/>
      <w:pPr>
        <w:tabs>
          <w:tab w:val="num" w:pos="3600"/>
        </w:tabs>
        <w:ind w:left="3600" w:hanging="360"/>
      </w:pPr>
      <w:rPr>
        <w:rFonts w:ascii="Arial" w:hAnsi="Arial" w:hint="default"/>
      </w:rPr>
    </w:lvl>
    <w:lvl w:ilvl="5" w:tplc="607871FA" w:tentative="1">
      <w:start w:val="1"/>
      <w:numFmt w:val="bullet"/>
      <w:lvlText w:val="•"/>
      <w:lvlJc w:val="left"/>
      <w:pPr>
        <w:tabs>
          <w:tab w:val="num" w:pos="4320"/>
        </w:tabs>
        <w:ind w:left="4320" w:hanging="360"/>
      </w:pPr>
      <w:rPr>
        <w:rFonts w:ascii="Arial" w:hAnsi="Arial" w:hint="default"/>
      </w:rPr>
    </w:lvl>
    <w:lvl w:ilvl="6" w:tplc="19788D70" w:tentative="1">
      <w:start w:val="1"/>
      <w:numFmt w:val="bullet"/>
      <w:lvlText w:val="•"/>
      <w:lvlJc w:val="left"/>
      <w:pPr>
        <w:tabs>
          <w:tab w:val="num" w:pos="5040"/>
        </w:tabs>
        <w:ind w:left="5040" w:hanging="360"/>
      </w:pPr>
      <w:rPr>
        <w:rFonts w:ascii="Arial" w:hAnsi="Arial" w:hint="default"/>
      </w:rPr>
    </w:lvl>
    <w:lvl w:ilvl="7" w:tplc="78E6766A" w:tentative="1">
      <w:start w:val="1"/>
      <w:numFmt w:val="bullet"/>
      <w:lvlText w:val="•"/>
      <w:lvlJc w:val="left"/>
      <w:pPr>
        <w:tabs>
          <w:tab w:val="num" w:pos="5760"/>
        </w:tabs>
        <w:ind w:left="5760" w:hanging="360"/>
      </w:pPr>
      <w:rPr>
        <w:rFonts w:ascii="Arial" w:hAnsi="Arial" w:hint="default"/>
      </w:rPr>
    </w:lvl>
    <w:lvl w:ilvl="8" w:tplc="226AB1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895738"/>
    <w:multiLevelType w:val="hybridMultilevel"/>
    <w:tmpl w:val="8D1CF904"/>
    <w:lvl w:ilvl="0" w:tplc="CBB8D804">
      <w:start w:val="1"/>
      <w:numFmt w:val="bullet"/>
      <w:lvlText w:val="•"/>
      <w:lvlJc w:val="left"/>
      <w:pPr>
        <w:tabs>
          <w:tab w:val="num" w:pos="720"/>
        </w:tabs>
        <w:ind w:left="720" w:hanging="360"/>
      </w:pPr>
      <w:rPr>
        <w:rFonts w:ascii="Arial" w:hAnsi="Arial" w:hint="default"/>
      </w:rPr>
    </w:lvl>
    <w:lvl w:ilvl="1" w:tplc="C3981542" w:tentative="1">
      <w:start w:val="1"/>
      <w:numFmt w:val="bullet"/>
      <w:lvlText w:val="•"/>
      <w:lvlJc w:val="left"/>
      <w:pPr>
        <w:tabs>
          <w:tab w:val="num" w:pos="1440"/>
        </w:tabs>
        <w:ind w:left="1440" w:hanging="360"/>
      </w:pPr>
      <w:rPr>
        <w:rFonts w:ascii="Arial" w:hAnsi="Arial" w:hint="default"/>
      </w:rPr>
    </w:lvl>
    <w:lvl w:ilvl="2" w:tplc="00143C16" w:tentative="1">
      <w:start w:val="1"/>
      <w:numFmt w:val="bullet"/>
      <w:lvlText w:val="•"/>
      <w:lvlJc w:val="left"/>
      <w:pPr>
        <w:tabs>
          <w:tab w:val="num" w:pos="2160"/>
        </w:tabs>
        <w:ind w:left="2160" w:hanging="360"/>
      </w:pPr>
      <w:rPr>
        <w:rFonts w:ascii="Arial" w:hAnsi="Arial" w:hint="default"/>
      </w:rPr>
    </w:lvl>
    <w:lvl w:ilvl="3" w:tplc="7BD08212" w:tentative="1">
      <w:start w:val="1"/>
      <w:numFmt w:val="bullet"/>
      <w:lvlText w:val="•"/>
      <w:lvlJc w:val="left"/>
      <w:pPr>
        <w:tabs>
          <w:tab w:val="num" w:pos="2880"/>
        </w:tabs>
        <w:ind w:left="2880" w:hanging="360"/>
      </w:pPr>
      <w:rPr>
        <w:rFonts w:ascii="Arial" w:hAnsi="Arial" w:hint="default"/>
      </w:rPr>
    </w:lvl>
    <w:lvl w:ilvl="4" w:tplc="930EF27A" w:tentative="1">
      <w:start w:val="1"/>
      <w:numFmt w:val="bullet"/>
      <w:lvlText w:val="•"/>
      <w:lvlJc w:val="left"/>
      <w:pPr>
        <w:tabs>
          <w:tab w:val="num" w:pos="3600"/>
        </w:tabs>
        <w:ind w:left="3600" w:hanging="360"/>
      </w:pPr>
      <w:rPr>
        <w:rFonts w:ascii="Arial" w:hAnsi="Arial" w:hint="default"/>
      </w:rPr>
    </w:lvl>
    <w:lvl w:ilvl="5" w:tplc="F15A8E8E" w:tentative="1">
      <w:start w:val="1"/>
      <w:numFmt w:val="bullet"/>
      <w:lvlText w:val="•"/>
      <w:lvlJc w:val="left"/>
      <w:pPr>
        <w:tabs>
          <w:tab w:val="num" w:pos="4320"/>
        </w:tabs>
        <w:ind w:left="4320" w:hanging="360"/>
      </w:pPr>
      <w:rPr>
        <w:rFonts w:ascii="Arial" w:hAnsi="Arial" w:hint="default"/>
      </w:rPr>
    </w:lvl>
    <w:lvl w:ilvl="6" w:tplc="5C522328" w:tentative="1">
      <w:start w:val="1"/>
      <w:numFmt w:val="bullet"/>
      <w:lvlText w:val="•"/>
      <w:lvlJc w:val="left"/>
      <w:pPr>
        <w:tabs>
          <w:tab w:val="num" w:pos="5040"/>
        </w:tabs>
        <w:ind w:left="5040" w:hanging="360"/>
      </w:pPr>
      <w:rPr>
        <w:rFonts w:ascii="Arial" w:hAnsi="Arial" w:hint="default"/>
      </w:rPr>
    </w:lvl>
    <w:lvl w:ilvl="7" w:tplc="2854628C" w:tentative="1">
      <w:start w:val="1"/>
      <w:numFmt w:val="bullet"/>
      <w:lvlText w:val="•"/>
      <w:lvlJc w:val="left"/>
      <w:pPr>
        <w:tabs>
          <w:tab w:val="num" w:pos="5760"/>
        </w:tabs>
        <w:ind w:left="5760" w:hanging="360"/>
      </w:pPr>
      <w:rPr>
        <w:rFonts w:ascii="Arial" w:hAnsi="Arial" w:hint="default"/>
      </w:rPr>
    </w:lvl>
    <w:lvl w:ilvl="8" w:tplc="07B614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4900163"/>
    <w:multiLevelType w:val="hybridMultilevel"/>
    <w:tmpl w:val="E67A5DFA"/>
    <w:lvl w:ilvl="0" w:tplc="C414BE7C">
      <w:start w:val="1"/>
      <w:numFmt w:val="bullet"/>
      <w:lvlText w:val="•"/>
      <w:lvlJc w:val="left"/>
      <w:pPr>
        <w:tabs>
          <w:tab w:val="num" w:pos="720"/>
        </w:tabs>
        <w:ind w:left="720" w:hanging="360"/>
      </w:pPr>
      <w:rPr>
        <w:rFonts w:ascii="Arial" w:hAnsi="Arial" w:hint="default"/>
      </w:rPr>
    </w:lvl>
    <w:lvl w:ilvl="1" w:tplc="4B321B6A" w:tentative="1">
      <w:start w:val="1"/>
      <w:numFmt w:val="bullet"/>
      <w:lvlText w:val="•"/>
      <w:lvlJc w:val="left"/>
      <w:pPr>
        <w:tabs>
          <w:tab w:val="num" w:pos="1440"/>
        </w:tabs>
        <w:ind w:left="1440" w:hanging="360"/>
      </w:pPr>
      <w:rPr>
        <w:rFonts w:ascii="Arial" w:hAnsi="Arial" w:hint="default"/>
      </w:rPr>
    </w:lvl>
    <w:lvl w:ilvl="2" w:tplc="1E24B0D4" w:tentative="1">
      <w:start w:val="1"/>
      <w:numFmt w:val="bullet"/>
      <w:lvlText w:val="•"/>
      <w:lvlJc w:val="left"/>
      <w:pPr>
        <w:tabs>
          <w:tab w:val="num" w:pos="2160"/>
        </w:tabs>
        <w:ind w:left="2160" w:hanging="360"/>
      </w:pPr>
      <w:rPr>
        <w:rFonts w:ascii="Arial" w:hAnsi="Arial" w:hint="default"/>
      </w:rPr>
    </w:lvl>
    <w:lvl w:ilvl="3" w:tplc="52329716" w:tentative="1">
      <w:start w:val="1"/>
      <w:numFmt w:val="bullet"/>
      <w:lvlText w:val="•"/>
      <w:lvlJc w:val="left"/>
      <w:pPr>
        <w:tabs>
          <w:tab w:val="num" w:pos="2880"/>
        </w:tabs>
        <w:ind w:left="2880" w:hanging="360"/>
      </w:pPr>
      <w:rPr>
        <w:rFonts w:ascii="Arial" w:hAnsi="Arial" w:hint="default"/>
      </w:rPr>
    </w:lvl>
    <w:lvl w:ilvl="4" w:tplc="BEB0135A" w:tentative="1">
      <w:start w:val="1"/>
      <w:numFmt w:val="bullet"/>
      <w:lvlText w:val="•"/>
      <w:lvlJc w:val="left"/>
      <w:pPr>
        <w:tabs>
          <w:tab w:val="num" w:pos="3600"/>
        </w:tabs>
        <w:ind w:left="3600" w:hanging="360"/>
      </w:pPr>
      <w:rPr>
        <w:rFonts w:ascii="Arial" w:hAnsi="Arial" w:hint="default"/>
      </w:rPr>
    </w:lvl>
    <w:lvl w:ilvl="5" w:tplc="C3A08586" w:tentative="1">
      <w:start w:val="1"/>
      <w:numFmt w:val="bullet"/>
      <w:lvlText w:val="•"/>
      <w:lvlJc w:val="left"/>
      <w:pPr>
        <w:tabs>
          <w:tab w:val="num" w:pos="4320"/>
        </w:tabs>
        <w:ind w:left="4320" w:hanging="360"/>
      </w:pPr>
      <w:rPr>
        <w:rFonts w:ascii="Arial" w:hAnsi="Arial" w:hint="default"/>
      </w:rPr>
    </w:lvl>
    <w:lvl w:ilvl="6" w:tplc="FEF45E90" w:tentative="1">
      <w:start w:val="1"/>
      <w:numFmt w:val="bullet"/>
      <w:lvlText w:val="•"/>
      <w:lvlJc w:val="left"/>
      <w:pPr>
        <w:tabs>
          <w:tab w:val="num" w:pos="5040"/>
        </w:tabs>
        <w:ind w:left="5040" w:hanging="360"/>
      </w:pPr>
      <w:rPr>
        <w:rFonts w:ascii="Arial" w:hAnsi="Arial" w:hint="default"/>
      </w:rPr>
    </w:lvl>
    <w:lvl w:ilvl="7" w:tplc="4F5CFF76" w:tentative="1">
      <w:start w:val="1"/>
      <w:numFmt w:val="bullet"/>
      <w:lvlText w:val="•"/>
      <w:lvlJc w:val="left"/>
      <w:pPr>
        <w:tabs>
          <w:tab w:val="num" w:pos="5760"/>
        </w:tabs>
        <w:ind w:left="5760" w:hanging="360"/>
      </w:pPr>
      <w:rPr>
        <w:rFonts w:ascii="Arial" w:hAnsi="Arial" w:hint="default"/>
      </w:rPr>
    </w:lvl>
    <w:lvl w:ilvl="8" w:tplc="16BC80F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11"/>
    <w:rsid w:val="00023542"/>
    <w:rsid w:val="00041D89"/>
    <w:rsid w:val="00043E23"/>
    <w:rsid w:val="000736D5"/>
    <w:rsid w:val="0008372A"/>
    <w:rsid w:val="000B0AAF"/>
    <w:rsid w:val="000B2E76"/>
    <w:rsid w:val="000C1B6C"/>
    <w:rsid w:val="000D62E3"/>
    <w:rsid w:val="000F765E"/>
    <w:rsid w:val="001002AC"/>
    <w:rsid w:val="00160360"/>
    <w:rsid w:val="00183BF3"/>
    <w:rsid w:val="001902D5"/>
    <w:rsid w:val="001B0767"/>
    <w:rsid w:val="001B2E04"/>
    <w:rsid w:val="001E4F63"/>
    <w:rsid w:val="00210929"/>
    <w:rsid w:val="00222738"/>
    <w:rsid w:val="00287692"/>
    <w:rsid w:val="002A20FB"/>
    <w:rsid w:val="002B03B7"/>
    <w:rsid w:val="002D0C16"/>
    <w:rsid w:val="002E1579"/>
    <w:rsid w:val="0030197D"/>
    <w:rsid w:val="00313B30"/>
    <w:rsid w:val="00336016"/>
    <w:rsid w:val="003A6FD0"/>
    <w:rsid w:val="003C4FCA"/>
    <w:rsid w:val="003F0FDA"/>
    <w:rsid w:val="00402BA3"/>
    <w:rsid w:val="00430F14"/>
    <w:rsid w:val="004640A3"/>
    <w:rsid w:val="0047398D"/>
    <w:rsid w:val="0047700D"/>
    <w:rsid w:val="00481C8D"/>
    <w:rsid w:val="004861B6"/>
    <w:rsid w:val="004D4110"/>
    <w:rsid w:val="004F1794"/>
    <w:rsid w:val="005A1C2B"/>
    <w:rsid w:val="005C26B2"/>
    <w:rsid w:val="005C3AC8"/>
    <w:rsid w:val="005F7DA6"/>
    <w:rsid w:val="00634638"/>
    <w:rsid w:val="00637957"/>
    <w:rsid w:val="00683DC4"/>
    <w:rsid w:val="00696498"/>
    <w:rsid w:val="006B01BC"/>
    <w:rsid w:val="006B28A1"/>
    <w:rsid w:val="006C4888"/>
    <w:rsid w:val="006C4BF1"/>
    <w:rsid w:val="006D2F42"/>
    <w:rsid w:val="006F5407"/>
    <w:rsid w:val="007214D6"/>
    <w:rsid w:val="00745B1D"/>
    <w:rsid w:val="0076387B"/>
    <w:rsid w:val="0078712A"/>
    <w:rsid w:val="007A6683"/>
    <w:rsid w:val="007B1548"/>
    <w:rsid w:val="007D0593"/>
    <w:rsid w:val="007D7D56"/>
    <w:rsid w:val="007E66A2"/>
    <w:rsid w:val="00810431"/>
    <w:rsid w:val="00824FF1"/>
    <w:rsid w:val="00836F4E"/>
    <w:rsid w:val="008452C5"/>
    <w:rsid w:val="00861F92"/>
    <w:rsid w:val="008917D1"/>
    <w:rsid w:val="008B52C6"/>
    <w:rsid w:val="008E6576"/>
    <w:rsid w:val="008F55DB"/>
    <w:rsid w:val="00952140"/>
    <w:rsid w:val="00952BE1"/>
    <w:rsid w:val="00962961"/>
    <w:rsid w:val="00971F3F"/>
    <w:rsid w:val="009930A5"/>
    <w:rsid w:val="009B426C"/>
    <w:rsid w:val="009C671D"/>
    <w:rsid w:val="009D5291"/>
    <w:rsid w:val="00A276FB"/>
    <w:rsid w:val="00A41156"/>
    <w:rsid w:val="00AA4FB6"/>
    <w:rsid w:val="00AA7F75"/>
    <w:rsid w:val="00AC1E00"/>
    <w:rsid w:val="00AD077C"/>
    <w:rsid w:val="00AD25CB"/>
    <w:rsid w:val="00AD50D0"/>
    <w:rsid w:val="00B228DA"/>
    <w:rsid w:val="00B376C1"/>
    <w:rsid w:val="00B50965"/>
    <w:rsid w:val="00B93302"/>
    <w:rsid w:val="00BD43FC"/>
    <w:rsid w:val="00C07A2F"/>
    <w:rsid w:val="00C15C98"/>
    <w:rsid w:val="00C72739"/>
    <w:rsid w:val="00C73628"/>
    <w:rsid w:val="00C977E7"/>
    <w:rsid w:val="00CA7CF0"/>
    <w:rsid w:val="00CD4E4D"/>
    <w:rsid w:val="00D50A3A"/>
    <w:rsid w:val="00D6101F"/>
    <w:rsid w:val="00D613D7"/>
    <w:rsid w:val="00D628F4"/>
    <w:rsid w:val="00D7553E"/>
    <w:rsid w:val="00DD7511"/>
    <w:rsid w:val="00DE74C8"/>
    <w:rsid w:val="00E04AB9"/>
    <w:rsid w:val="00E24FE4"/>
    <w:rsid w:val="00E61ABA"/>
    <w:rsid w:val="00E63BF8"/>
    <w:rsid w:val="00E928B7"/>
    <w:rsid w:val="00E94179"/>
    <w:rsid w:val="00EE3E73"/>
    <w:rsid w:val="00F83F5C"/>
    <w:rsid w:val="00F900F6"/>
    <w:rsid w:val="00FD6BCB"/>
    <w:rsid w:val="00FD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A4691"/>
  <w15:chartTrackingRefBased/>
  <w15:docId w15:val="{B2352C52-CCB8-4BF0-A260-11143C8BA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511"/>
  </w:style>
  <w:style w:type="character" w:styleId="Hyperlink">
    <w:name w:val="Hyperlink"/>
    <w:basedOn w:val="DefaultParagraphFont"/>
    <w:uiPriority w:val="99"/>
    <w:unhideWhenUsed/>
    <w:rsid w:val="00AD077C"/>
    <w:rPr>
      <w:color w:val="0563C1" w:themeColor="hyperlink"/>
      <w:u w:val="single"/>
    </w:rPr>
  </w:style>
  <w:style w:type="character" w:styleId="UnresolvedMention">
    <w:name w:val="Unresolved Mention"/>
    <w:basedOn w:val="DefaultParagraphFont"/>
    <w:uiPriority w:val="99"/>
    <w:semiHidden/>
    <w:unhideWhenUsed/>
    <w:rsid w:val="003C4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90965">
      <w:bodyDiv w:val="1"/>
      <w:marLeft w:val="0"/>
      <w:marRight w:val="0"/>
      <w:marTop w:val="0"/>
      <w:marBottom w:val="0"/>
      <w:divBdr>
        <w:top w:val="none" w:sz="0" w:space="0" w:color="auto"/>
        <w:left w:val="none" w:sz="0" w:space="0" w:color="auto"/>
        <w:bottom w:val="none" w:sz="0" w:space="0" w:color="auto"/>
        <w:right w:val="none" w:sz="0" w:space="0" w:color="auto"/>
      </w:divBdr>
      <w:divsChild>
        <w:div w:id="32847125">
          <w:marLeft w:val="360"/>
          <w:marRight w:val="0"/>
          <w:marTop w:val="200"/>
          <w:marBottom w:val="0"/>
          <w:divBdr>
            <w:top w:val="none" w:sz="0" w:space="0" w:color="auto"/>
            <w:left w:val="none" w:sz="0" w:space="0" w:color="auto"/>
            <w:bottom w:val="none" w:sz="0" w:space="0" w:color="auto"/>
            <w:right w:val="none" w:sz="0" w:space="0" w:color="auto"/>
          </w:divBdr>
        </w:div>
      </w:divsChild>
    </w:div>
    <w:div w:id="1479613464">
      <w:bodyDiv w:val="1"/>
      <w:marLeft w:val="0"/>
      <w:marRight w:val="0"/>
      <w:marTop w:val="0"/>
      <w:marBottom w:val="0"/>
      <w:divBdr>
        <w:top w:val="none" w:sz="0" w:space="0" w:color="auto"/>
        <w:left w:val="none" w:sz="0" w:space="0" w:color="auto"/>
        <w:bottom w:val="none" w:sz="0" w:space="0" w:color="auto"/>
        <w:right w:val="none" w:sz="0" w:space="0" w:color="auto"/>
      </w:divBdr>
      <w:divsChild>
        <w:div w:id="364451640">
          <w:marLeft w:val="360"/>
          <w:marRight w:val="0"/>
          <w:marTop w:val="200"/>
          <w:marBottom w:val="0"/>
          <w:divBdr>
            <w:top w:val="none" w:sz="0" w:space="0" w:color="auto"/>
            <w:left w:val="none" w:sz="0" w:space="0" w:color="auto"/>
            <w:bottom w:val="none" w:sz="0" w:space="0" w:color="auto"/>
            <w:right w:val="none" w:sz="0" w:space="0" w:color="auto"/>
          </w:divBdr>
        </w:div>
      </w:divsChild>
    </w:div>
    <w:div w:id="1769110896">
      <w:bodyDiv w:val="1"/>
      <w:marLeft w:val="0"/>
      <w:marRight w:val="0"/>
      <w:marTop w:val="0"/>
      <w:marBottom w:val="0"/>
      <w:divBdr>
        <w:top w:val="none" w:sz="0" w:space="0" w:color="auto"/>
        <w:left w:val="none" w:sz="0" w:space="0" w:color="auto"/>
        <w:bottom w:val="none" w:sz="0" w:space="0" w:color="auto"/>
        <w:right w:val="none" w:sz="0" w:space="0" w:color="auto"/>
      </w:divBdr>
      <w:divsChild>
        <w:div w:id="442847420">
          <w:marLeft w:val="360"/>
          <w:marRight w:val="0"/>
          <w:marTop w:val="200"/>
          <w:marBottom w:val="0"/>
          <w:divBdr>
            <w:top w:val="none" w:sz="0" w:space="0" w:color="auto"/>
            <w:left w:val="none" w:sz="0" w:space="0" w:color="auto"/>
            <w:bottom w:val="none" w:sz="0" w:space="0" w:color="auto"/>
            <w:right w:val="none" w:sz="0" w:space="0" w:color="auto"/>
          </w:divBdr>
        </w:div>
      </w:divsChild>
    </w:div>
    <w:div w:id="2021156356">
      <w:bodyDiv w:val="1"/>
      <w:marLeft w:val="0"/>
      <w:marRight w:val="0"/>
      <w:marTop w:val="0"/>
      <w:marBottom w:val="0"/>
      <w:divBdr>
        <w:top w:val="none" w:sz="0" w:space="0" w:color="auto"/>
        <w:left w:val="none" w:sz="0" w:space="0" w:color="auto"/>
        <w:bottom w:val="none" w:sz="0" w:space="0" w:color="auto"/>
        <w:right w:val="none" w:sz="0" w:space="0" w:color="auto"/>
      </w:divBdr>
      <w:divsChild>
        <w:div w:id="705487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1689a28e-7cc4-44d5-b598-8a78066ebb4e%40sessionmgr101&amp;bdata=JnNpdGU9ZWhvc3QtbGl2ZQ%3d%3d" TargetMode="External"/><Relationship Id="rId13" Type="http://schemas.openxmlformats.org/officeDocument/2006/relationships/hyperlink" Target="https://www.youtube.com/watch?v=2B3ea7IGwLAhttps://www.youtube.com/watch?v=2B3ea7IGwL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abs/10.1177/002216788102100406?journalCode=jhpa" TargetMode="External"/><Relationship Id="rId12" Type="http://schemas.openxmlformats.org/officeDocument/2006/relationships/hyperlink" Target="https://www.karger.com/Article/Abstract/112530" TargetMode="External"/><Relationship Id="rId17" Type="http://schemas.openxmlformats.org/officeDocument/2006/relationships/hyperlink" Target="https://onlinelibrary.wiley.com/doi/full/10.1002/cpp.2066?saml_referrer" TargetMode="External"/><Relationship Id="rId2" Type="http://schemas.openxmlformats.org/officeDocument/2006/relationships/styles" Target="styles.xml"/><Relationship Id="rId16" Type="http://schemas.openxmlformats.org/officeDocument/2006/relationships/hyperlink" Target="https://www.tandfonline.com/doi/full/10.1080/01411920802044362?scroll=top&amp;needAccess=true" TargetMode="External"/><Relationship Id="rId1" Type="http://schemas.openxmlformats.org/officeDocument/2006/relationships/numbering" Target="numbering.xml"/><Relationship Id="rId6" Type="http://schemas.openxmlformats.org/officeDocument/2006/relationships/hyperlink" Target="https://web-b-ebscohost-com.ezproxy.uwtsd.ac.uk/ehost/detail/detail?vid=0&amp;sid=b0b4dba7-ce02-450c-8be1-7a7cf627b19c%40pdc-v-sessmgr01&amp;bdata=JnNpdGU9ZWhvc3QtbGl2ZQ%3d%3d" TargetMode="External"/><Relationship Id="rId11" Type="http://schemas.openxmlformats.org/officeDocument/2006/relationships/hyperlink" Target="https://eric.ed.gov/?id=EJ1081990" TargetMode="External"/><Relationship Id="rId5" Type="http://schemas.openxmlformats.org/officeDocument/2006/relationships/hyperlink" Target="https://web-b-ebscohost-com.ezproxy.uwtsd.ac.uk/ehost/detail/detail?vid=0&amp;sid=b0b4dba7-ce02-450c-8be1-7a7cf627b19c%40pdc-v-sessmgr01&amp;bdata=JnNpdGU9ZWhvc3QtbGl2ZQ%3d%3d" TargetMode="External"/><Relationship Id="rId15" Type="http://schemas.openxmlformats.org/officeDocument/2006/relationships/hyperlink" Target="https://journals.sagepub.com/doi/pdf/10.1177/1088868309349693" TargetMode="External"/><Relationship Id="rId10" Type="http://schemas.openxmlformats.org/officeDocument/2006/relationships/hyperlink" Target="https://www.bing.com/videos/search?q=david+reimer+bbc&amp;&amp;view=detail&amp;mid=07C651F3D1F2582DF6D207C651F3D1F2582DF6D2&amp;&amp;FORM=VRDGAR&amp;ru=%2Fvideos%2Fsearch%3Fq%3Ddavid%2Breimer%2Bbbc%26FORM%3DHDRSC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a-ebscohost-com.ezproxy.uwtsd.ac.uk/ehost/detail/detail?vid=0&amp;sid=d273aace-1839-4926-a559-0b8fdad70325%40sessionmgr4007&amp;bdata=JnNpdGU9ZWhvc3QtbGl2ZQ%3d%3d#AN=122576856&amp;db=aph" TargetMode="External"/><Relationship Id="rId14" Type="http://schemas.openxmlformats.org/officeDocument/2006/relationships/hyperlink" Target="https://www.nspcc.org.uk/keeping-children-safe/sex-relationships/gender-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9</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Lily Hughes (1900883)</dc:creator>
  <cp:keywords/>
  <dc:description/>
  <cp:lastModifiedBy>Sophie Lily Hughes (1900883)</cp:lastModifiedBy>
  <cp:revision>32</cp:revision>
  <dcterms:created xsi:type="dcterms:W3CDTF">2021-01-18T16:46:00Z</dcterms:created>
  <dcterms:modified xsi:type="dcterms:W3CDTF">2021-01-18T20:24:00Z</dcterms:modified>
</cp:coreProperties>
</file>