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40527938"/>
        <w:docPartObj>
          <w:docPartGallery w:val="Cover Pages"/>
          <w:docPartUnique/>
        </w:docPartObj>
      </w:sdtPr>
      <w:sdtEndPr>
        <w:rPr>
          <w:b/>
          <w:bCs/>
          <w:sz w:val="28"/>
          <w:szCs w:val="28"/>
        </w:rPr>
      </w:sdtEndPr>
      <w:sdtContent>
        <w:p w14:paraId="10340DCC" w14:textId="77777777" w:rsidR="005674C3" w:rsidRDefault="005674C3" w:rsidP="005674C3"/>
        <w:p w14:paraId="3FCFCF52" w14:textId="7EA70219" w:rsidR="005674C3" w:rsidRDefault="005674C3" w:rsidP="005674C3">
          <w:r>
            <w:t>AI Acknowledgement</w:t>
          </w:r>
        </w:p>
        <w:p w14:paraId="234D48FE" w14:textId="77777777" w:rsidR="005674C3" w:rsidRDefault="005674C3" w:rsidP="005674C3"/>
        <w:p w14:paraId="06E88DD1" w14:textId="77777777" w:rsidR="005674C3" w:rsidRDefault="005674C3" w:rsidP="005674C3"/>
        <w:p w14:paraId="5C1CEFF1" w14:textId="66F60346" w:rsidR="005674C3" w:rsidRDefault="005674C3" w:rsidP="005674C3">
          <w:r>
            <w:t xml:space="preserve">I acknowledge the use of Grammarly (https://www.grammarly.com/) on </w:t>
          </w:r>
          <w:r>
            <w:t>8th</w:t>
          </w:r>
          <w:r>
            <w:t xml:space="preserve"> February </w:t>
          </w:r>
        </w:p>
        <w:p w14:paraId="5D2DD255" w14:textId="17843892" w:rsidR="005674C3" w:rsidRDefault="005674C3" w:rsidP="005674C3">
          <w:r>
            <w:t>202</w:t>
          </w:r>
          <w:r>
            <w:t xml:space="preserve">5 </w:t>
          </w:r>
          <w:r>
            <w:t xml:space="preserve">to check my work using the prompt(s):  </w:t>
          </w:r>
        </w:p>
        <w:p w14:paraId="41EAE24B" w14:textId="77777777" w:rsidR="005674C3" w:rsidRDefault="005674C3" w:rsidP="005674C3">
          <w:r>
            <w:t xml:space="preserve">1. Please check the following text for readability, grammar and syntax.  </w:t>
          </w:r>
        </w:p>
        <w:p w14:paraId="6AF821CC" w14:textId="782BCEF4" w:rsidR="005674C3" w:rsidRDefault="005674C3" w:rsidP="005674C3">
          <w:r>
            <w:t xml:space="preserve">I confirm that I have not presented any </w:t>
          </w:r>
          <w:r>
            <w:t>AI-generated</w:t>
          </w:r>
          <w:r>
            <w:t xml:space="preserve"> text as my own work. I confirm I </w:t>
          </w:r>
        </w:p>
        <w:p w14:paraId="4C35850C" w14:textId="43AF61D3" w:rsidR="005674C3" w:rsidRDefault="005674C3" w:rsidP="005674C3">
          <w:r>
            <w:t xml:space="preserve">have copies of my drafts, notes, and other resources I used before and after the use of </w:t>
          </w:r>
        </w:p>
        <w:p w14:paraId="7E83E676" w14:textId="3C3DF39A" w:rsidR="009759E1" w:rsidRPr="005674C3" w:rsidRDefault="005674C3" w:rsidP="005674C3">
          <w:r>
            <w:t xml:space="preserve">AI tools which I may be asked to provide in evidence. </w:t>
          </w:r>
          <w:r w:rsidR="009759E1">
            <w:rPr>
              <w:b/>
              <w:bCs/>
              <w:sz w:val="28"/>
              <w:szCs w:val="28"/>
            </w:rPr>
            <w:br w:type="page"/>
          </w:r>
        </w:p>
      </w:sdtContent>
    </w:sdt>
    <w:p w14:paraId="6C85FDF4" w14:textId="1CA845A1" w:rsidR="00B25003" w:rsidRPr="00206A1C" w:rsidRDefault="00B25003" w:rsidP="00B25003">
      <w:pPr>
        <w:spacing w:line="360" w:lineRule="auto"/>
        <w:jc w:val="both"/>
        <w:rPr>
          <w:b/>
          <w:bCs/>
          <w:sz w:val="28"/>
          <w:szCs w:val="28"/>
        </w:rPr>
      </w:pPr>
      <w:r w:rsidRPr="00206A1C">
        <w:rPr>
          <w:b/>
          <w:bCs/>
          <w:sz w:val="28"/>
          <w:szCs w:val="28"/>
        </w:rPr>
        <w:lastRenderedPageBreak/>
        <w:t xml:space="preserve">To what extent does therapeutic play support the emotional and social development of children from diverse backgrounds, and what are the implications for inclusive professional practice? </w:t>
      </w:r>
    </w:p>
    <w:p w14:paraId="3A351488" w14:textId="77777777" w:rsidR="00B25003" w:rsidRDefault="00B25003" w:rsidP="00B25003">
      <w:pPr>
        <w:spacing w:line="360" w:lineRule="auto"/>
        <w:jc w:val="both"/>
      </w:pPr>
      <w:r>
        <w:t xml:space="preserve">Introduction </w:t>
      </w:r>
    </w:p>
    <w:p w14:paraId="330DF490" w14:textId="3F0EC505" w:rsidR="00B25003" w:rsidRDefault="00B25003" w:rsidP="00B25003">
      <w:pPr>
        <w:spacing w:line="360" w:lineRule="auto"/>
        <w:jc w:val="both"/>
      </w:pPr>
      <w:r>
        <w:t xml:space="preserve">Therapeutic play is widely recognised as a developmentally appropriate approach for supporting children's emotional and social development, with demonstrated efficacy across educational, health, and community settings. However, its effectiveness is significantly influenced by practitioners' cultural competence and ethical reflection. This essay argues that the key to optimising </w:t>
      </w:r>
      <w:r w:rsidR="00206A1C">
        <w:t>the benefits of therapeutic play</w:t>
      </w:r>
      <w:r>
        <w:t xml:space="preserve"> lies in practitioners' ability to implement culturally responsive, evidence-informed practices. The central argument is that embracing cultural diversity and ethical practice enhances the therapeutic outcomes of play. The essay will be structured into three main sections. It will begin by examining the conceptual foundations of therapeutic play, followed by a review of the empirical evidence supporting its use. The final section will discuss practical implications, focusing on cultural responsiveness and practitioner responsibility as essential elements in maximising therapeutic outcomes. Recent research (Bratton et al., 2016; Fleer, 2018; Gonzalez-Mena, 2017; Howard &amp; McInnes, 2017; Landreth, 2017; Rogoff et al., 2016; Perry &amp; Winfrey, 2021; UNICEF, 2021) suggests that the effectiveness of therapeutic play is contingent upon culturally competent, ethically reflective, and evidence-informed practice. The discussion will evaluate the strengths and limitations of therapeutic play, highlight gaps in the literature, and propose strategies to promote genuine inclusion within diverse contemporary contexts (Gil &amp; Drewes, 2021). </w:t>
      </w:r>
    </w:p>
    <w:p w14:paraId="28C9F125" w14:textId="77777777" w:rsidR="00206A1C" w:rsidRDefault="00B25003" w:rsidP="00B25003">
      <w:pPr>
        <w:spacing w:line="360" w:lineRule="auto"/>
        <w:jc w:val="both"/>
      </w:pPr>
      <w:r w:rsidRPr="00206A1C">
        <w:t>Critical awareness of therapeutic play and working with diverse groups of chil</w:t>
      </w:r>
      <w:r w:rsidR="00206A1C">
        <w:t>dren</w:t>
      </w:r>
    </w:p>
    <w:p w14:paraId="13440EA9" w14:textId="1F0A537C" w:rsidR="00B25003" w:rsidRDefault="00B25003" w:rsidP="00B25003">
      <w:pPr>
        <w:spacing w:line="360" w:lineRule="auto"/>
        <w:jc w:val="both"/>
      </w:pPr>
      <w:r>
        <w:t xml:space="preserve">Therapeutic play is widely recognised as a developmentally appropriate approach to supporting children’s emotional and social needs; however, a critical academic perspective requires explicit recognition that play is not culturally neutral. Children’s play behaviours, symbolic representations, and modes of expression are profoundly influenced by cultural norms, familial values, linguistic background, disability, and socio-economic status </w:t>
      </w:r>
      <w:r w:rsidR="00206A1C" w:rsidRPr="00206A1C">
        <w:t>(Farver et al., 1995</w:t>
      </w:r>
      <w:r w:rsidR="00206A1C">
        <w:t>)</w:t>
      </w:r>
      <w:r>
        <w:t xml:space="preserve">. Therefore, prevailing assumptions about what </w:t>
      </w:r>
      <w:r>
        <w:lastRenderedPageBreak/>
        <w:t xml:space="preserve">constitutes “healthy” or “typical” play frequently reflect dominant cultural ideologies rather than universally applicable developmental principles. Such assumptions risk the inadvertent marginalisation of children whose play does not conform to Western or majority cultural expectations. A critical perspective stresses the risk of misjudging children’s play when practitioners lack cultural competence </w:t>
      </w:r>
      <w:r w:rsidR="00EE15CD" w:rsidRPr="00EE15CD">
        <w:t>(Soizic Le Courtois et al., 2024)</w:t>
      </w:r>
      <w:r>
        <w:t xml:space="preserve">. For example, behaviours such as limited verbal expression, avoidance of eye contact, or preference for solitary play may be culturally normative or associated with experiences such as trauma or migration, rather than indicative of emotional difficulty. Additionally, therapeutic play models developed in Western contexts frequently prioritise individual affective expression, which may conflict with cultural systems that emphasise collective identity or the suppression of emotion. Effective collaboration with diverse groups of children requires practitioners to move beyond deficit-based perspectives and adopt culturally responsive, self-reflective practices </w:t>
      </w:r>
      <w:r w:rsidR="00EE15CD" w:rsidRPr="00EE15CD">
        <w:t>(Hargraves, 2022</w:t>
      </w:r>
      <w:r>
        <w:t xml:space="preserve">). This approach involves ongoing self-awareness of personal biases, collaboration with families and communities as sources of knowledge, and adaptation of play materials and methods to reflect </w:t>
      </w:r>
      <w:proofErr w:type="gramStart"/>
      <w:r w:rsidR="005674C3">
        <w:t>children's</w:t>
      </w:r>
      <w:proofErr w:type="gramEnd"/>
      <w:r>
        <w:t xml:space="preserve"> lived experiences. For instance, a practitioner recounts adapting play materials by incorporating traditional symbols and artefacts from a child's culture, which not only enriched the play experience but also deepened their understanding of the child's background and needs. This narrative exemplifies the reflective stance needed to foster inclusion. In the absence of such critical awareness, therapeutic play may inadvertently reinforce exclusion rather than promote emotional and social inclusion (Gil &amp; Drewes, 2021). The evidence base for therapeutic play demonstrates positive outcomes in affective regulation, social competence, and anxiety reduction, particularly among children experiencing stress, trauma, or developmental challenges (Ray et al., 2022).</w:t>
      </w:r>
    </w:p>
    <w:p w14:paraId="1AD086CD" w14:textId="422D24FA" w:rsidR="00B25003" w:rsidRDefault="00B25003" w:rsidP="00B25003">
      <w:pPr>
        <w:spacing w:line="360" w:lineRule="auto"/>
        <w:jc w:val="both"/>
      </w:pPr>
      <w:r>
        <w:t xml:space="preserve">However, it is essential to recognise upfront that much of the current research relies on small sample sizes, qualitative data, or practitioner-reported outcomes, which limits generalizability (O'Connor, 2005). These methodological limitations can affect the reliability and applicability of the findings, as small sample sizes may not adequately represent the diverse populations that therapeutic play seeks to support. The lack of longitudinal data further complicates the ability to assess long-term benefits, particularly </w:t>
      </w:r>
      <w:r>
        <w:lastRenderedPageBreak/>
        <w:t xml:space="preserve">for children from marginalised or culturally diverse backgrounds, whose developmental trajectories might differ from those of majority groups. Recent research shows that parent-mediated play-based interventions can significantly improve social communication and language skills in preschool-age children with autism, as these approaches align with children’s communication styles and developmental abilities. Still, it is necessary </w:t>
      </w:r>
      <w:r w:rsidR="005674C3">
        <w:t>to assess this evidence given the reported limitations, critically</w:t>
      </w:r>
      <w:r>
        <w:t xml:space="preserve">. There is also considerable heterogeneity in </w:t>
      </w:r>
      <w:r w:rsidR="00EE15CD">
        <w:t>outcomes of play-based interventions, which complicates</w:t>
      </w:r>
      <w:r>
        <w:t xml:space="preserve"> efforts to determine their effectiveness outside controlled or clinical environments (</w:t>
      </w:r>
      <w:r w:rsidR="00EE15CD" w:rsidRPr="00EE15CD">
        <w:t>Carrington et al., 2023)</w:t>
      </w:r>
      <w:r>
        <w:t>. Additionally, without robust longitudinal research, practitioners and policymakers may overestimate the sustainability of therapeutic play outcomes, underscoring an urgent need for extended trials that track outcomes over time, particularly for children from diverse sociocultural backgrounds (Sofija et al., 202</w:t>
      </w:r>
      <w:r w:rsidR="00EE15CD">
        <w:t>4</w:t>
      </w:r>
      <w:r>
        <w:t xml:space="preserve">). </w:t>
      </w:r>
    </w:p>
    <w:p w14:paraId="116F0CED" w14:textId="3E5D5EE5" w:rsidR="00B25003" w:rsidRDefault="00B25003" w:rsidP="00B25003">
      <w:pPr>
        <w:spacing w:line="360" w:lineRule="auto"/>
        <w:jc w:val="both"/>
      </w:pPr>
      <w:r>
        <w:t xml:space="preserve">To address these issues, future research should focus on large-scale, longitudinal studies that encompass a diverse range of socio-cultural contexts. It is crucial to incorporate mixed-methods research, combining quantitative data with qualitative insights, to better understand the contextual factors that affect therapeutic play outcomes. Furthermore, specific populations, such as children living in multilingual communities or those with cross-cultural family dynamics, should be targeted to deepen understanding of </w:t>
      </w:r>
      <w:r w:rsidR="00EE15CD">
        <w:t>the impact of therapeutic play</w:t>
      </w:r>
      <w:r>
        <w:t xml:space="preserve"> across diverse groups. Well-designed research that prioritises cultural relevance, such as community-based participatory research, could make a profound contribution to the refinement and evidence-based development of therapeutic play practices. In practice, therapeutic play is frequently applied inconsistently due to differences in practitioner training, theoretical orientation, and ethical understanding (Cochran et al., 202</w:t>
      </w:r>
      <w:r w:rsidR="00EE15CD">
        <w:t>2</w:t>
      </w:r>
      <w:r>
        <w:t xml:space="preserve">). This inconsistency raises concerns regarding the professionalisation of therapeutic play, as poorly implemented interventions may inadvertently cause harm, including </w:t>
      </w:r>
      <w:r w:rsidR="00EE15CD">
        <w:t>re-traumatisation</w:t>
      </w:r>
      <w:r>
        <w:t xml:space="preserve"> or mislabelling of children’s behaviours </w:t>
      </w:r>
      <w:r w:rsidR="00EE15CD" w:rsidRPr="00EE15CD">
        <w:t>(Slade &amp; Holmes, 2019</w:t>
      </w:r>
      <w:r>
        <w:t>). A critical perspective recognises that therapeutic play is not inherently beneficial; its effectiveness relies on practitioner competence, ethical sensitivity, and contextual awareness (Ray et al., 2022).</w:t>
      </w:r>
    </w:p>
    <w:p w14:paraId="1CD1F53C" w14:textId="362F9654" w:rsidR="00B25003" w:rsidRDefault="00B25003" w:rsidP="00B25003">
      <w:pPr>
        <w:spacing w:line="360" w:lineRule="auto"/>
        <w:jc w:val="both"/>
      </w:pPr>
      <w:r>
        <w:lastRenderedPageBreak/>
        <w:t>Assuming responsibility for professional learning requires recognising that effective therapeutic play practice depends on ongoing professional development, reflective engagement, and systematic planning (Copple &amp; Bredekamp, 20</w:t>
      </w:r>
      <w:r w:rsidR="00DC0167">
        <w:t>19</w:t>
      </w:r>
      <w:r>
        <w:t xml:space="preserve">). Practitioners should actively pursue opportunities to deepen their understanding of child development, trauma-informed practice, and cultural responsiveness, rather than relying solely on initial training (Ray et al., 2022). For example, </w:t>
      </w:r>
      <w:r w:rsidR="00DC0167">
        <w:t>Speidel et al. (</w:t>
      </w:r>
      <w:r w:rsidR="00DC0167" w:rsidRPr="00DC0167">
        <w:t>2023)</w:t>
      </w:r>
      <w:r>
        <w:t xml:space="preserve"> demonstrated that </w:t>
      </w:r>
      <w:r w:rsidR="00DC0167">
        <w:t>increased CPD hours were</w:t>
      </w:r>
      <w:r>
        <w:t xml:space="preserve"> associated with </w:t>
      </w:r>
      <w:r w:rsidR="00DC0167">
        <w:t>improved</w:t>
      </w:r>
      <w:r>
        <w:t xml:space="preserve"> child emotional regulation outcomes. Such evidence underscores the significant impact of continued professional development on achieving positive, measurable results in children's development. Self-reflection (</w:t>
      </w:r>
      <w:r w:rsidR="00DC0167" w:rsidRPr="00DC0167">
        <w:t>The University of Edinburgh, 2024</w:t>
      </w:r>
      <w:r w:rsidR="00DC0167" w:rsidRPr="00DC0167">
        <w:t>)</w:t>
      </w:r>
      <w:r w:rsidR="00DC0167">
        <w:t xml:space="preserve"> is</w:t>
      </w:r>
      <w:r>
        <w:t xml:space="preserve"> a key component of this process. Critically reflecting on interactions with children enables practitioners to evaluate the impact of their own values, assumptions, and emotional acknowledgements on their practice. Reflective models, such as those proposed by Gibbs, support structured reflection and help practitioners identify strengths, knowledge gaps, and development opportunities. Personal planning and project management skills are essential, </w:t>
      </w:r>
      <w:r w:rsidR="00DC0167">
        <w:t>particularly for implementing</w:t>
      </w:r>
      <w:r>
        <w:t xml:space="preserve"> therapeutic play interventions. Systematic planning and reflection demonstrate professional accountability and an obligation to evidence-informed, inclusive practice. Ultimately, responsibility for learning is an active</w:t>
      </w:r>
      <w:r w:rsidR="00FC53C2">
        <w:t>, ongoing process, particularly across multiple cultural contexts, which enhances practitioners'</w:t>
      </w:r>
      <w:r>
        <w:t xml:space="preserve"> competence and the quality of support provided to children </w:t>
      </w:r>
      <w:r w:rsidR="00FC53C2" w:rsidRPr="00FC53C2">
        <w:t>(</w:t>
      </w:r>
      <w:proofErr w:type="spellStart"/>
      <w:r w:rsidR="00FC53C2" w:rsidRPr="00FC53C2">
        <w:t>Arruzza</w:t>
      </w:r>
      <w:proofErr w:type="spellEnd"/>
      <w:r w:rsidR="00FC53C2" w:rsidRPr="00FC53C2">
        <w:t xml:space="preserve"> &amp; Chau, 2021)</w:t>
      </w:r>
      <w:r w:rsidR="00FC53C2">
        <w:t xml:space="preserve">.  </w:t>
      </w:r>
      <w:r>
        <w:t>Demonstrating critical awareness of therapeutic play involves recognising both its strengths and limitations, particularly when working with children from diverse cultural backgrounds (</w:t>
      </w:r>
      <w:proofErr w:type="spellStart"/>
      <w:r w:rsidR="00FC53C2">
        <w:t>Arruzza</w:t>
      </w:r>
      <w:proofErr w:type="spellEnd"/>
      <w:r w:rsidR="00FC53C2">
        <w:t xml:space="preserve"> &amp; Chau, 2021</w:t>
      </w:r>
      <w:r>
        <w:t>). While the evidence base supports therapeutic play as a valuable developmental tool (Sofija et al., 202</w:t>
      </w:r>
      <w:r w:rsidR="00FC53C2">
        <w:t>4</w:t>
      </w:r>
      <w:r>
        <w:t>), critical engagement underscores the necessity of culturally responsive, ethically grounded, and well-supervised practice. Commitment to ongoing learning through reflection, planning, and skill development ensures that therapeutic play is delivered thoughtfully, inclusively, and effectively. This critical and reflective approach positions practitioners as specialists dedicated to equitable and responsive support for all children (Gil &amp; Drewes, 2021).</w:t>
      </w:r>
    </w:p>
    <w:p w14:paraId="56804AF1" w14:textId="77777777" w:rsidR="00FC53C2" w:rsidRDefault="00FC53C2" w:rsidP="00B25003">
      <w:pPr>
        <w:spacing w:line="360" w:lineRule="auto"/>
        <w:jc w:val="both"/>
      </w:pPr>
    </w:p>
    <w:p w14:paraId="1761A936" w14:textId="77777777" w:rsidR="00FC53C2" w:rsidRDefault="00FC53C2" w:rsidP="00B25003">
      <w:pPr>
        <w:spacing w:line="360" w:lineRule="auto"/>
        <w:jc w:val="both"/>
      </w:pPr>
    </w:p>
    <w:p w14:paraId="5ABAA274" w14:textId="18A535A4" w:rsidR="00FC53C2" w:rsidRDefault="00B25003" w:rsidP="00B25003">
      <w:pPr>
        <w:spacing w:line="360" w:lineRule="auto"/>
        <w:jc w:val="both"/>
      </w:pPr>
      <w:r w:rsidRPr="00FC53C2">
        <w:lastRenderedPageBreak/>
        <w:t>A Critical Evaluation of Therapeutic Play: Effectiveness, Diversity, and Open Practice</w:t>
      </w:r>
    </w:p>
    <w:p w14:paraId="39552CD0" w14:textId="5E4BA3A0" w:rsidR="00B25003" w:rsidRDefault="00B25003" w:rsidP="00B25003">
      <w:pPr>
        <w:spacing w:line="360" w:lineRule="auto"/>
        <w:jc w:val="both"/>
      </w:pPr>
      <w:r>
        <w:t>Therapeutic play is frequently promoted in education, health, and social care as an effective and integrative approach to supporting children’s emotional and social development. Drawing on developmental and psychotherapeutic theory, scholars assert that play enables children to process experiences, regulate emotions, and develop relational competence in developmentally appropriate ways (Cochran et al., 202</w:t>
      </w:r>
      <w:r w:rsidR="00FC53C2">
        <w:t>2</w:t>
      </w:r>
      <w:r>
        <w:t xml:space="preserve">). However, the effectiveness of therapeutic play is often overstated as a universally applicable intervention, with insufficient critical attention to cultural factors and power dynamics, as reflected in the literature. An in-depth analysis of key theoretical perspectives and empirical research (Ray et al., 2022) indicates that therapeutic play can support children’s development only when embedded in culturally responsive, ethically grounded, and reflexive practice. Practitioner responsibility, rather than the method itself, is therefore central to achieving meaningful and equitable outcomes (Ray et al., 2022). </w:t>
      </w:r>
    </w:p>
    <w:p w14:paraId="34F22040" w14:textId="77777777" w:rsidR="00D7035D" w:rsidRDefault="00B25003" w:rsidP="00B25003">
      <w:pPr>
        <w:spacing w:line="360" w:lineRule="auto"/>
        <w:jc w:val="both"/>
      </w:pPr>
      <w:r>
        <w:t xml:space="preserve">In practical terms, practitioners are encouraged to conduct self-assessments to identify personal biases and improve cultural competence; engage with children's families to incorporate culturally relevant knowledge into play settings; and modify play interventions to align with diverse cultural values, thereby promoting emotional safety and relational security. For instance, a practitioner working with a child from a community that values storytelling might integrate narrative-based play activities that resonate with the child's cultural background. By using familiar stories, characters, or themes drawn from the child's heritage, the practitioner can create a culturally affirming environment that promotes emotional security and engagement. Policies should emphasise training programs that foster cultural awareness and ethical reflexivity, ensuring that therapeutic play is not merely a procedural exercise but a carefully tailored, inclusive framework responsive to each child's needs. </w:t>
      </w:r>
    </w:p>
    <w:p w14:paraId="01A440B9" w14:textId="28443678" w:rsidR="00B25003" w:rsidRDefault="00B25003" w:rsidP="00B25003">
      <w:pPr>
        <w:spacing w:line="360" w:lineRule="auto"/>
        <w:jc w:val="both"/>
      </w:pPr>
      <w:r>
        <w:t>Practice Checklist for Culturally Responsive Therapeutic Play: Conduct a cultural self-assessment to understand personal biases and prepare for cultural competence; engage with children’s families and communities to incorporate culturally relevant knowledge into play practices</w:t>
      </w:r>
      <w:r w:rsidR="00D7035D">
        <w:t>. A</w:t>
      </w:r>
      <w:r>
        <w:t xml:space="preserve">dapt play materials and activities to reflect the </w:t>
      </w:r>
      <w:r w:rsidR="00D7035D">
        <w:t>children's cultural backgrounds and lived experiences, and establish therapeutic goals that align with cultural values, potentially</w:t>
      </w:r>
      <w:r>
        <w:t xml:space="preserve"> shifting the focus from individual milestones to communal or </w:t>
      </w:r>
      <w:r>
        <w:lastRenderedPageBreak/>
        <w:t>relational progress</w:t>
      </w:r>
      <w:r w:rsidR="00D7035D">
        <w:t>. E</w:t>
      </w:r>
      <w:r>
        <w:t xml:space="preserve">ngage in regular supervision and reflective practice to critically evaluate the effectiveness and cultural appropriateness of interventions, prioritise relational factors over techniques, ensuring that emotional safety and attachment are central to the play sessions, </w:t>
      </w:r>
      <w:r w:rsidR="00D7035D">
        <w:t xml:space="preserve">and </w:t>
      </w:r>
      <w:r>
        <w:t>continuously update knowledge through ongoing professional development and training specific to culturally responsive practices.</w:t>
      </w:r>
    </w:p>
    <w:p w14:paraId="0E8A75B1" w14:textId="77777777" w:rsidR="00B25003" w:rsidRDefault="00B25003" w:rsidP="00B25003">
      <w:pPr>
        <w:spacing w:line="360" w:lineRule="auto"/>
        <w:jc w:val="both"/>
      </w:pPr>
      <w:r>
        <w:t>Foster an environment of cultural humility and mutual learning, remaining open to modifications and feedback from the community and colleagues.</w:t>
      </w:r>
    </w:p>
    <w:p w14:paraId="57E720F6" w14:textId="28C54BCF" w:rsidR="00D7035D" w:rsidRDefault="00B25003" w:rsidP="00B25003">
      <w:pPr>
        <w:spacing w:line="360" w:lineRule="auto"/>
        <w:jc w:val="both"/>
      </w:pPr>
      <w:r w:rsidRPr="00FC53C2">
        <w:t>Theoretical Bases: Strengths and Blind Spots</w:t>
      </w:r>
      <w:r>
        <w:t xml:space="preserve"> </w:t>
      </w:r>
      <w:r w:rsidR="00D7035D">
        <w:t>-</w:t>
      </w:r>
      <w:r>
        <w:t>Therapeutic play is grounded in a range of theoretical frameworks, each with strengths and weaknesses in explaining children’s emotional and social development. The psychoanalytic tradition, exemplified by Winnicott’s (1971) concept of the ‘potential space’ and Axline’s (1969) non-directive play therapy</w:t>
      </w:r>
      <w:r w:rsidR="00FC53C2">
        <w:t xml:space="preserve"> </w:t>
      </w:r>
      <w:r w:rsidR="00FC53C2" w:rsidRPr="00FC53C2">
        <w:t>(</w:t>
      </w:r>
      <w:proofErr w:type="spellStart"/>
      <w:r w:rsidR="00FC53C2" w:rsidRPr="00FC53C2">
        <w:t>Koukourikos</w:t>
      </w:r>
      <w:proofErr w:type="spellEnd"/>
      <w:r w:rsidR="00FC53C2" w:rsidRPr="00FC53C2">
        <w:t xml:space="preserve"> et al., 2021)</w:t>
      </w:r>
      <w:r w:rsidR="00FC53C2">
        <w:t>,</w:t>
      </w:r>
      <w:r>
        <w:t xml:space="preserve"> positions play as a vehicle for emotional integration and healing. These approaches suggest that through play, children can process internal conflicts, anxieties, and relational difficulties symbolically, in a safe and developmentally attuned manner. Alongside these, humanistic perspectives, such as Carl Rogers’ person-centred theory, emphasise the significance of empathy, unconditional positive regard, and the child’s innate drive towards growth and self-actualisation. In therapeutic play, this translates into creating settings where children feel accepted and free to express themselves without fear of disapproval, thereby supporting emotional resilience and autonomy (Landreth, 2017). </w:t>
      </w:r>
    </w:p>
    <w:p w14:paraId="312D2CA1" w14:textId="79E0983B" w:rsidR="00D7035D" w:rsidRDefault="00B25003" w:rsidP="00B25003">
      <w:pPr>
        <w:spacing w:line="360" w:lineRule="auto"/>
        <w:jc w:val="both"/>
      </w:pPr>
      <w:r>
        <w:t xml:space="preserve">Developmental theories, particularly those rooted in Piagetian and attachment frameworks, further improve our understanding. Play is </w:t>
      </w:r>
      <w:r w:rsidR="00D7035D">
        <w:t>considered critical for cognitive, social, and emotional learning, with secure relationships providing</w:t>
      </w:r>
      <w:r>
        <w:t xml:space="preserve"> a foundation for investigation and risk-taking (Bowlby, 1988;</w:t>
      </w:r>
      <w:r w:rsidR="00411A2D">
        <w:t xml:space="preserve"> Samuel, 2024</w:t>
      </w:r>
      <w:r>
        <w:t xml:space="preserve">). In culturally diverse contexts, Bronfenbrenner’s ecological model </w:t>
      </w:r>
      <w:r w:rsidR="00D7035D">
        <w:t>posits that children’s development is shaped by multiple, interacting systems: family, community, culture, and broader social systems that influence</w:t>
      </w:r>
      <w:r>
        <w:t xml:space="preserve"> both the form and function of play. </w:t>
      </w:r>
    </w:p>
    <w:p w14:paraId="14A034A4" w14:textId="77777777" w:rsidR="00411A2D" w:rsidRDefault="00B25003" w:rsidP="00B25003">
      <w:pPr>
        <w:spacing w:line="360" w:lineRule="auto"/>
        <w:jc w:val="both"/>
      </w:pPr>
      <w:r>
        <w:t>However, these frameworks themselves are free from critique. Psychoanalytic and humanistic models originate from Western, individualistic assumptions about emotional expression, autonomy, and the self.</w:t>
      </w:r>
    </w:p>
    <w:p w14:paraId="03603313" w14:textId="5CF1C399" w:rsidR="00D7035D" w:rsidRDefault="00B25003" w:rsidP="00B25003">
      <w:pPr>
        <w:spacing w:line="360" w:lineRule="auto"/>
        <w:jc w:val="both"/>
      </w:pPr>
      <w:r>
        <w:lastRenderedPageBreak/>
        <w:t xml:space="preserve">Vygotsky’s (1978) sociocultural theory gives a corrective by showing how language, social interactions, and cultural tools shape play. </w:t>
      </w:r>
      <w:r w:rsidR="005674C3">
        <w:t>However,</w:t>
      </w:r>
      <w:r>
        <w:t xml:space="preserve"> even sociocultural theory is sometimes applied superficially, failing to fully address the diversity of cultural norms regarding child development and play</w:t>
      </w:r>
      <w:r w:rsidR="00411A2D">
        <w:t xml:space="preserve"> (London</w:t>
      </w:r>
      <w:r w:rsidR="00411A2D" w:rsidRPr="00411A2D">
        <w:t xml:space="preserve"> School of Childcare Studies, 2021)</w:t>
      </w:r>
      <w:r w:rsidR="00411A2D">
        <w:t>.</w:t>
      </w:r>
    </w:p>
    <w:p w14:paraId="23E8072F" w14:textId="77777777" w:rsidR="00411A2D" w:rsidRDefault="00B25003" w:rsidP="00B25003">
      <w:pPr>
        <w:spacing w:line="360" w:lineRule="auto"/>
        <w:jc w:val="both"/>
      </w:pPr>
      <w:r>
        <w:t xml:space="preserve">Recent research urges practitioners to question whose knowledge, values, and expectations underpin therapeutic play models (Ray et al., 2022; Gil &amp; Drewes, 2021). </w:t>
      </w:r>
    </w:p>
    <w:p w14:paraId="122D7A58" w14:textId="77777777" w:rsidR="00D350AB" w:rsidRDefault="00B25003" w:rsidP="00B25003">
      <w:pPr>
        <w:spacing w:line="360" w:lineRule="auto"/>
        <w:jc w:val="both"/>
      </w:pPr>
      <w:r>
        <w:t xml:space="preserve">For example, some cultures may prioritise group welfare, interdependence, or emotional self-control, which can clash with models that emphasise individual affective disclosure or autonomy. Without critical reflection on these conceptual blind spots, practitioners risk misinterpreting children’s behaviour, </w:t>
      </w:r>
      <w:proofErr w:type="spellStart"/>
      <w:r>
        <w:t>pathologising</w:t>
      </w:r>
      <w:proofErr w:type="spellEnd"/>
      <w:r>
        <w:t xml:space="preserve"> cultural differences, or inadvertently reinforcing dominant cultural norms (González-Mena, 2017; Gottlieb, 202</w:t>
      </w:r>
      <w:r w:rsidR="00411A2D">
        <w:t>1</w:t>
      </w:r>
      <w:r>
        <w:t>). It is therefore essential for practitioners to adopt a pluralistic, critically reflective approach</w:t>
      </w:r>
      <w:r w:rsidR="00D7035D">
        <w:t xml:space="preserve"> that integrates multiple theoretical perspectives and remains</w:t>
      </w:r>
      <w:r>
        <w:t xml:space="preserve"> receptive to alternative, culturally informed understandings of play and development. This approach ensures that therapeutic play is genuinely responsive to </w:t>
      </w:r>
      <w:proofErr w:type="gramStart"/>
      <w:r w:rsidR="00D7035D">
        <w:t>children's</w:t>
      </w:r>
      <w:proofErr w:type="gramEnd"/>
      <w:r>
        <w:t xml:space="preserve"> lived experiences, rather than imposing a singular worldview. The theoretical legitimacy of therapeutic play is </w:t>
      </w:r>
      <w:r w:rsidR="00D7035D">
        <w:t>most traced</w:t>
      </w:r>
      <w:r>
        <w:t xml:space="preserve"> to psychoanalytic and developmental frameworks. (Maroudas, 202</w:t>
      </w:r>
      <w:r w:rsidR="00411A2D">
        <w:t>5</w:t>
      </w:r>
      <w:r>
        <w:t xml:space="preserve">) Winnicott’s (1971) concept of play as a potential space positions play as central to emotional integration, allowing children to explore inner and outer realities safely. Similarly, Axline’s (1969) non-directive play therapy emphasises unconditional positive regard and the child’s innate capacity for self-healing, aligning therapeutic play with humanistic values of autonomy and self-expression. While these theories have strongly influenced practice, they also embed individualistic and Western assumptions about emotional expression and </w:t>
      </w:r>
      <w:r w:rsidR="00D350AB">
        <w:t>selfhood</w:t>
      </w:r>
      <w:r w:rsidR="00D350AB" w:rsidRPr="00D350AB">
        <w:t xml:space="preserve"> (</w:t>
      </w:r>
      <w:r w:rsidR="00D350AB" w:rsidRPr="00D350AB">
        <w:t xml:space="preserve">Jaber &amp; Ortal </w:t>
      </w:r>
      <w:proofErr w:type="spellStart"/>
      <w:r w:rsidR="00D350AB" w:rsidRPr="00D350AB">
        <w:t>Slobodin</w:t>
      </w:r>
      <w:proofErr w:type="spellEnd"/>
      <w:r w:rsidR="00D350AB" w:rsidRPr="00D350AB">
        <w:t>, 2024)</w:t>
      </w:r>
      <w:r w:rsidR="00D350AB">
        <w:t>.</w:t>
      </w:r>
      <w:r>
        <w:t xml:space="preserve"> Vygotsky’s (1978) sociocultural theory gives a partial corrective through situating play within social interaction and cultural mediation. From this perspective, play is not simply an internal therapeutic </w:t>
      </w:r>
      <w:r w:rsidR="00D7035D">
        <w:t>process,</w:t>
      </w:r>
      <w:r>
        <w:t xml:space="preserve"> but a culturally situated activity determined by language, norms, and relationships. However, even sociocultural theory is often selectively applied in practice, with insufficient interrogation of how dominant cultural values </w:t>
      </w:r>
      <w:r w:rsidR="00D7035D">
        <w:t>shape practitioners' definitions of</w:t>
      </w:r>
      <w:r>
        <w:t xml:space="preserve"> “therapeutic” or “healthy” play.</w:t>
      </w:r>
    </w:p>
    <w:p w14:paraId="20E0D3BF" w14:textId="2935DB5E" w:rsidR="00D350AB" w:rsidRDefault="00B25003" w:rsidP="00B25003">
      <w:pPr>
        <w:spacing w:line="360" w:lineRule="auto"/>
        <w:jc w:val="both"/>
      </w:pPr>
      <w:r>
        <w:lastRenderedPageBreak/>
        <w:t xml:space="preserve"> Critically, the continued dominance of Western developmental norms risks marginalising children whose cultural settings prioritise collective identity, emotional self-control, or interdependence.</w:t>
      </w:r>
    </w:p>
    <w:p w14:paraId="182883F7" w14:textId="6A4F1E9B" w:rsidR="00D350AB" w:rsidRDefault="00B25003" w:rsidP="00B25003">
      <w:pPr>
        <w:spacing w:line="360" w:lineRule="auto"/>
        <w:jc w:val="both"/>
      </w:pPr>
      <w:r>
        <w:t xml:space="preserve"> As Rogoff </w:t>
      </w:r>
      <w:r w:rsidR="00D350AB">
        <w:t>et al. (2016) argue</w:t>
      </w:r>
      <w:r>
        <w:t>, applying universal developmental expectations without contextual sensitivity can lead to misinterpretation and deficit labelling. Thus, while conceptual models provide a strong rationale for therapeutic play, they also require critical scrutiny regarding whose knowledge and values they privilege</w:t>
      </w:r>
      <w:r w:rsidR="005674C3">
        <w:t>—evaluating</w:t>
      </w:r>
      <w:r>
        <w:t xml:space="preserve"> the Evidence Base: Promise Versus Precision</w:t>
      </w:r>
      <w:r w:rsidR="00D350AB">
        <w:t>.</w:t>
      </w:r>
      <w:r>
        <w:t xml:space="preserve"> Empirical research generally supports therapeutic play as beneficial for children’s emotional self-regulation, anxiety reduction, and social skills (Bratton et al., 20</w:t>
      </w:r>
      <w:r w:rsidR="00D350AB">
        <w:t>16</w:t>
      </w:r>
      <w:r>
        <w:t>; Landreth, 201</w:t>
      </w:r>
      <w:r w:rsidR="00D350AB">
        <w:t>7</w:t>
      </w:r>
      <w:r>
        <w:t xml:space="preserve">). Meta-analyses indicate moderate to strong effect sizes, particularly for children experiencing emotional or behavioural </w:t>
      </w:r>
      <w:r w:rsidR="00D350AB">
        <w:t>difficulties (</w:t>
      </w:r>
      <w:r>
        <w:t>Chase, 2022)</w:t>
      </w:r>
      <w:r w:rsidR="00D350AB">
        <w:t xml:space="preserve">. </w:t>
      </w:r>
      <w:r>
        <w:t xml:space="preserve">However, a critical examination reveals notable methodological and conceptual </w:t>
      </w:r>
      <w:r w:rsidR="00D350AB">
        <w:t>limitations. Much</w:t>
      </w:r>
      <w:r>
        <w:t xml:space="preserve"> of the evidence is based on small-scale studies, short-term interventions, and practitioner-reported outcomes, raising concerns about objectivity and generalisability. For instance, Bratton et al. (2016) reported moderate effect sizes for play therapy, but their meta-analysis noted that many studies lacked long-term follow-up and relied on subjective ratings. These limitations restrict the ability to </w:t>
      </w:r>
      <w:r w:rsidR="005674C3">
        <w:t>conclude</w:t>
      </w:r>
      <w:r>
        <w:t xml:space="preserve"> long-term impact, particularly for children with complex needs or from minoritised backgrounds. Additionally, culturally and linguistically diverse children remain underrepresented in research samples, despite being frequently identified as beneficiaries of therapeutic play. Consequently, claims regarding inclusivity are often asserted rather than empirically substantiated, and the literature tends to generalise findings from Western, majority populations to all children </w:t>
      </w:r>
      <w:r w:rsidR="00D350AB">
        <w:t>(</w:t>
      </w:r>
      <w:r>
        <w:t xml:space="preserve">Sofija </w:t>
      </w:r>
      <w:r w:rsidR="00D350AB">
        <w:t xml:space="preserve">et al., </w:t>
      </w:r>
      <w:r>
        <w:t>202</w:t>
      </w:r>
      <w:r w:rsidR="00D350AB">
        <w:t>4). Recent</w:t>
      </w:r>
      <w:r>
        <w:t xml:space="preserve"> systematic reviews have begun to address this gap. Sofija et al. (202</w:t>
      </w:r>
      <w:r w:rsidR="00D350AB">
        <w:t>4</w:t>
      </w:r>
      <w:r>
        <w:t>) analysed creative and play-based interventions for culturally and linguistically diverse children across multiple countries, finding that while these interventions improved mental well-being and engagement, their effectiveness was highly context-dependent.</w:t>
      </w:r>
      <w:r w:rsidR="00D350AB">
        <w:t xml:space="preserve"> </w:t>
      </w:r>
      <w:proofErr w:type="spellStart"/>
      <w:r w:rsidR="00D350AB" w:rsidRPr="00D350AB">
        <w:t>Veraksa</w:t>
      </w:r>
      <w:proofErr w:type="spellEnd"/>
      <w:r w:rsidR="00D350AB" w:rsidRPr="00D350AB">
        <w:t xml:space="preserve"> et al.</w:t>
      </w:r>
      <w:r w:rsidR="00D350AB">
        <w:t xml:space="preserve"> (</w:t>
      </w:r>
      <w:r w:rsidR="00D350AB" w:rsidRPr="00D350AB">
        <w:t>2025</w:t>
      </w:r>
      <w:r w:rsidR="00D350AB" w:rsidRPr="00D350AB">
        <w:t>)</w:t>
      </w:r>
      <w:r w:rsidR="00D350AB">
        <w:t xml:space="preserve"> similarly</w:t>
      </w:r>
      <w:r>
        <w:t xml:space="preserve"> reported that non-therapeutic play interventions could improve emotional intelligence and reduce negative symptoms, but only when designed for children's cultural and developmental needs. </w:t>
      </w:r>
    </w:p>
    <w:p w14:paraId="777854EB" w14:textId="211E0813" w:rsidR="00D350AB" w:rsidRDefault="00B25003" w:rsidP="00B25003">
      <w:pPr>
        <w:spacing w:line="360" w:lineRule="auto"/>
        <w:jc w:val="both"/>
      </w:pPr>
      <w:r>
        <w:lastRenderedPageBreak/>
        <w:t xml:space="preserve">These data reinforce that therapeutic play should not be viewed as a universal solution, but rather as one component of a wider, context-sensitive approach to child development. </w:t>
      </w:r>
    </w:p>
    <w:p w14:paraId="547EB6F4" w14:textId="77777777" w:rsidR="006B5099" w:rsidRDefault="00B25003" w:rsidP="00B25003">
      <w:pPr>
        <w:spacing w:line="360" w:lineRule="auto"/>
        <w:jc w:val="both"/>
      </w:pPr>
      <w:r>
        <w:t xml:space="preserve">The literature often positions therapeutic play as the primary agent of change, while underemphasising the importance of relational factors such as attachment security, practitioner-child rapport, and environmental stability. Attachment theorists, including Bowlby (1988), and contemporary trauma-informed researchers (Perry &amp; Winfrey, 2021), argue that relational safety, rather than technique, is the critical mechanism underpinning emotional development. From this perspective, therapeutic play may be effective not only due to its symbolic properties but also because it facilitates attuned, responsive adult-child interactions. Howard and McInnes (2017) found that children's perception of an activity as 'play' was associated with greater mental well-being, but only within the context of supportive adult relationships. Interestingly, while specific play techniques demonstrate positive outcomes, research suggests that effect sizes are larger when relational factors are prioritised. For instance, studies quantifying the effect of strong adult-child rapport show enhancements in emotional regulation and behavioural adjustment that outweigh those attributed solely to play techniques. Such findings emphasise the need for training programs to focus more on fostering attachment and relational skills alongside play methods. This raises an important </w:t>
      </w:r>
      <w:r w:rsidR="00D350AB">
        <w:t>point: when therapeutic play is implemented without adequate training, supervision, or situational understanding, its purported benefits may not materialise and may even pose ethical risks, including traumatisation</w:t>
      </w:r>
      <w:r>
        <w:t>. Inconsistent application due to practitioner training or theoretical orientation can lead to poor outcomes (Cochran et al., 202</w:t>
      </w:r>
      <w:r w:rsidR="006B5099">
        <w:t>2</w:t>
      </w:r>
      <w:r>
        <w:t xml:space="preserve">). Consequently, therapeutic play should be understood as a context-dependent intervention, whose effectiveness is mediated by practitioner competence, cultural awareness, and the quality of adult-child relationships rather than guaranteed by the method itself. Finally, there is a notable lack of longitudinal research examining the sustained impact of therapeutic play, particularly among children experiencing multiple adversities or residing in non-Western contexts. </w:t>
      </w:r>
    </w:p>
    <w:p w14:paraId="7EF1B0A1" w14:textId="77777777" w:rsidR="006B5099" w:rsidRDefault="006B5099" w:rsidP="00B25003">
      <w:pPr>
        <w:spacing w:line="360" w:lineRule="auto"/>
        <w:jc w:val="both"/>
      </w:pPr>
    </w:p>
    <w:p w14:paraId="2F18DE0B" w14:textId="2A9FF130" w:rsidR="006B5099" w:rsidRDefault="00B25003" w:rsidP="00B25003">
      <w:pPr>
        <w:spacing w:line="360" w:lineRule="auto"/>
        <w:jc w:val="both"/>
      </w:pPr>
      <w:r>
        <w:lastRenderedPageBreak/>
        <w:t xml:space="preserve">Policymakers and practitioners should therefore interpret claims of effectiveness with caution and advocate for further research that includes diverse children and families, employs rigorous methodologies, and reports long-term outcomes relevant to the communities involved. To address these research gaps and </w:t>
      </w:r>
      <w:r w:rsidR="006B5099">
        <w:t>foster a comprehensive understanding of the long-term impacts of therapeutic play, policymakers might consider implementing targeted</w:t>
      </w:r>
      <w:r>
        <w:t xml:space="preserve"> incentives and structures. For instance, offering grants or funding opportunities targeted at longitudinal studies in diverse cultural settings could motivate researchers to explore these critical areas. Additionally, establishing partnerships between academic institutions and community </w:t>
      </w:r>
      <w:r w:rsidR="006B5099">
        <w:t>organisations</w:t>
      </w:r>
      <w:r>
        <w:t xml:space="preserve"> can facilitate culturally sensitive research initiatives. It may also be beneficial for policymakers to </w:t>
      </w:r>
      <w:r w:rsidR="006B5099">
        <w:t xml:space="preserve">develop frameworks that encourage cross-disciplinary collaboration, integrating insights from education, psychology, and social work to deepen understanding of </w:t>
      </w:r>
      <w:r w:rsidR="005674C3">
        <w:t>the role of therapeutic play</w:t>
      </w:r>
      <w:r w:rsidR="006B5099">
        <w:t xml:space="preserve"> across </w:t>
      </w:r>
      <w:r>
        <w:t>contexts. The application of therapeutic play within different contexts necessitates critical awareness of power relations and cultural positioning. (Gil &amp; Drewes, 2021) Scholars such as Fleer (20</w:t>
      </w:r>
      <w:r w:rsidR="006B5099">
        <w:t>21</w:t>
      </w:r>
      <w:r>
        <w:t>) and Gonzalez-Mena (201</w:t>
      </w:r>
      <w:r w:rsidR="006B5099">
        <w:t>7</w:t>
      </w:r>
      <w:r>
        <w:t>) caution that play practices are embedded within cultural stories about childhood, behaviour, and emotional display. When practitioners fail to interrogate their own positionality, therapeutic play risks becoming a mechanism for imposing dominant norms. (Ray et al., 2022) For example, interpretive systems that prioritise verbal emotional disclosure may disadvantage children from cultures where affective expression is primarily relational or non-verbal. Similarly, behaviours such as deference, silence, or observational participation may be misread as disengagement rather than culturally meaningful forms of interaction. In such cases, therapeutic play does not function as an inclusive practice but instead reinforces structural disparities through misinterpretation and misdiagnosis. Inclusive therapeutic play, therefore, requires a shift from viewing cultural competence as mere knowledge acquisition to embracing cultural humility as ongoing critical reflexivity (Gottlieb, 202</w:t>
      </w:r>
      <w:r w:rsidR="006B5099">
        <w:t>1</w:t>
      </w:r>
      <w:r>
        <w:t>). Practitioners must move beyond superficial adaptations, such as using multicultural toys or translated materials, and instead engage deeply with the cultural and social contexts of the children and families they support. This involves building genuine partnerships with families, actively listening to their perspectives, and recognising children’s cultural funds of knowledge as valuable assets rather than deficits (Gil &amp; Drewes, 2021).</w:t>
      </w:r>
    </w:p>
    <w:p w14:paraId="45BE04EC" w14:textId="77777777" w:rsidR="006B5099" w:rsidRDefault="00B25003" w:rsidP="00B25003">
      <w:pPr>
        <w:spacing w:line="360" w:lineRule="auto"/>
        <w:jc w:val="both"/>
      </w:pPr>
      <w:r>
        <w:lastRenderedPageBreak/>
        <w:t xml:space="preserve"> Culturally responsive practice also includes adapting therapeutic goals and expectations to reflect children’s true experiences rather than imposing normative developmental benchmarks or emotional expressions. For example, setting goals around verbal emotional disclosure may be inappropriate for children whose cultures value emotional moderation or communal well-being. Instead, practitioners can focus on culturally meaningful indicators of progress, such as increased participation in group activities, demonstration of regard within the family, or creative nonverbal expression. This approach not only promotes inclusion but also helps </w:t>
      </w:r>
      <w:r w:rsidR="006B5099">
        <w:t>mitigate the risk of misdiagnosis and exclusion arising from</w:t>
      </w:r>
      <w:r>
        <w:t xml:space="preserve"> cultural misunderstandings (Ray et al., 2022; González-Mena, 2017). Power relations must also be critically examined. Practitioners exercise considerable authority in defining what is considered "healthy" play or appropriate emotional expression. Ongoing self-reflection, supervision, and dialogue with colleagues from diverse backgrounds are key to identifying and challenging one's own biases. To further operationalise cultural humility, practitioners might benefit from a set of reflective questions to surface their own positional power. These prompts could include: 'Whose perspective am I </w:t>
      </w:r>
      <w:r w:rsidR="006B5099">
        <w:t>prioritising in my assessment of healthy play?' or 'In what ways might my cultural background influence my interpretation of a child’s behaviour</w:t>
      </w:r>
      <w:r>
        <w:t xml:space="preserve">?' By encouraging environments of humility and mutual learning, practitioners can help ensure that therapeutic play is a context for genuine empowerment and cultural safety, rather than a site for the uncritical reproduction of dominant norms. </w:t>
      </w:r>
    </w:p>
    <w:p w14:paraId="30E40D94" w14:textId="77777777" w:rsidR="006B5099" w:rsidRDefault="00B25003" w:rsidP="00B25003">
      <w:pPr>
        <w:spacing w:line="360" w:lineRule="auto"/>
        <w:jc w:val="both"/>
      </w:pPr>
      <w:r>
        <w:t>Practitioner Reflexivity and Professional Responsibility</w:t>
      </w:r>
      <w:r w:rsidR="006B5099">
        <w:t>.</w:t>
      </w:r>
      <w:r>
        <w:t xml:space="preserve"> </w:t>
      </w:r>
      <w:r w:rsidR="006B5099">
        <w:t>It</w:t>
      </w:r>
      <w:r>
        <w:t xml:space="preserve"> is essential to locate responsibility for ethical and effective practice with the practitioner. Schön’s (1983) concept of the reflective practitioner stresses the importance of critically examining one’s actions in complex, uncertain employment circumstances. Therapeutic play, particularly when used with diverse or vulnerable children, demands such reflexivity. Practitioners must critically evaluate their interpretations of play, question assumptions embedded within assessment frameworks, and acknowledge the limits of their competence. Structured reflection, supervision, and ongoing professional development are therefore central to responsible practice. Effective planning and project management further support ethical implementation by ensuring clarity of purpose, realistic goal-setting, and systematic evaluation of outcomes. </w:t>
      </w:r>
    </w:p>
    <w:p w14:paraId="636294EE" w14:textId="77777777" w:rsidR="006B5099" w:rsidRDefault="00B25003" w:rsidP="00B25003">
      <w:pPr>
        <w:spacing w:line="360" w:lineRule="auto"/>
        <w:jc w:val="both"/>
      </w:pPr>
      <w:r>
        <w:lastRenderedPageBreak/>
        <w:t xml:space="preserve">Importantly, taking responsibility for learning also entails recognising when therapeutic play is insufficient or inappropriate, and when referral to specialist services is required. This stance moves beyond technique-driven practice towards ethical professional judgement, aligning therapeutic play with wider principles of safeguarding and inclusion. (Ray et al., 2022) </w:t>
      </w:r>
    </w:p>
    <w:p w14:paraId="19EB75E2" w14:textId="791630FF" w:rsidR="006B5099" w:rsidRDefault="00B25003" w:rsidP="00B25003">
      <w:pPr>
        <w:spacing w:line="360" w:lineRule="auto"/>
        <w:jc w:val="both"/>
      </w:pPr>
      <w:r>
        <w:t>Conclusion</w:t>
      </w:r>
    </w:p>
    <w:p w14:paraId="711F1FE7" w14:textId="23EF5F96" w:rsidR="006B5099" w:rsidRDefault="00B25003" w:rsidP="00B25003">
      <w:pPr>
        <w:spacing w:line="360" w:lineRule="auto"/>
        <w:jc w:val="both"/>
      </w:pPr>
      <w:r>
        <w:t>This essay has demonstrated that therapeutic play, while theoretically compelling and empirically promising, should not be accepted uncritically as a universally effective or inherently inclusive intervention. Theoretical perspectives</w:t>
      </w:r>
      <w:r w:rsidR="006B5099">
        <w:t xml:space="preserve">, psychoanalytic, humanistic, developmental, and sociocultural, </w:t>
      </w:r>
      <w:r>
        <w:t xml:space="preserve">offer valuable insights but also risk imposing culturally specific values and expectations if applied without critical reflection. Empirical evidence indicates that therapeutic play can support emotional regulation, social skills, and well-being; however, these benefits are not automatic and are influenced by context, children’s cultural backgrounds, and the quality of practitioner-child relationships. Methodological limitations, the underrepresentation of minoritised groups, and the lack of longitudinal studies all caution against overgeneralisation. To advance the field, practitioners and policymakers must prioritise culturally responsive and ethically justified practice. This requires ongoing critical reflection, engagement with families and communities, and a commitment to professional development that acknowledges the diversity of </w:t>
      </w:r>
      <w:proofErr w:type="gramStart"/>
      <w:r>
        <w:t>children’s</w:t>
      </w:r>
      <w:proofErr w:type="gramEnd"/>
      <w:r>
        <w:t xml:space="preserve"> lived experiences. Power relations, practitioner biases, and institutional norms must be critically examined </w:t>
      </w:r>
      <w:r w:rsidR="005674C3">
        <w:t>to promote inclusion and equity genuinely</w:t>
      </w:r>
      <w:r>
        <w:t xml:space="preserve">. To make concrete progress toward these goals, it is recommended that practitioners participate in regular training sessions focused on cultural competency and ethical reflection, and that policymakers implement monitoring systems to evaluate the effectiveness and inclusivity of therapeutic play programs. Policymakers might establish these monitoring systems through partnerships with educational institutions and community </w:t>
      </w:r>
      <w:r w:rsidR="006B5099">
        <w:t>organisations</w:t>
      </w:r>
      <w:r>
        <w:t xml:space="preserve">, </w:t>
      </w:r>
      <w:r w:rsidR="006B5099">
        <w:t>thereby ensuring regular evaluations and adjustments informed by</w:t>
      </w:r>
      <w:r>
        <w:t xml:space="preserve"> feedback from diverse stakeholders. Additionally, creating collaborative platforms, such as online forums or regular workshops, for sharing best practices and feedback among professionals can foster a culture of continuous improvement and adaptation to diverse cultural contexts.</w:t>
      </w:r>
    </w:p>
    <w:p w14:paraId="7AD53840" w14:textId="471B0198" w:rsidR="00B25003" w:rsidRDefault="00B25003" w:rsidP="00B25003">
      <w:pPr>
        <w:spacing w:line="360" w:lineRule="auto"/>
        <w:jc w:val="both"/>
      </w:pPr>
      <w:r>
        <w:lastRenderedPageBreak/>
        <w:t xml:space="preserve"> Institutions could take the lead by </w:t>
      </w:r>
      <w:r w:rsidR="006B5099">
        <w:t>organising</w:t>
      </w:r>
      <w:r>
        <w:t xml:space="preserve"> exchange programs or conferences that bring together diverse practitioners to discuss challenges and innovations in therapeutic play across different communities. Future research should prioritise large-scale, longitudinal, and cross-cultural studies that centre the perspectives of children and families from diverse backgrounds. Additionally, the development of practice systems that foster cultural humility, critical reflexivity, and community partnership is urgently required. Embedding these principles into practice is essential for therapeutic play to fulfil its potential as a tool for meaningful emotional and social development for all children, regardless of background. In conclusion, therapeutic play should be regarded not as a universal solution but as a context-sensitive, evolving practice. Its effectiveness depends on </w:t>
      </w:r>
      <w:r w:rsidR="006B5099">
        <w:t>practitioners' critical engagement and ethical commitment, the inclusivity of research and policy, and the recognition and appreciation of cultural diversity across</w:t>
      </w:r>
      <w:r>
        <w:t xml:space="preserve"> all aspects of its application</w:t>
      </w:r>
      <w:r w:rsidR="006B5099">
        <w:t>.</w:t>
      </w:r>
    </w:p>
    <w:p w14:paraId="417E9227" w14:textId="77777777" w:rsidR="006B5099" w:rsidRDefault="006B5099" w:rsidP="00B25003">
      <w:pPr>
        <w:spacing w:line="360" w:lineRule="auto"/>
        <w:jc w:val="both"/>
      </w:pPr>
    </w:p>
    <w:p w14:paraId="00384F64" w14:textId="77777777" w:rsidR="006B5099" w:rsidRDefault="006B5099" w:rsidP="00B25003">
      <w:pPr>
        <w:spacing w:line="360" w:lineRule="auto"/>
        <w:jc w:val="both"/>
      </w:pPr>
    </w:p>
    <w:p w14:paraId="3E13DDA6" w14:textId="77777777" w:rsidR="006B5099" w:rsidRDefault="006B5099" w:rsidP="00B25003">
      <w:pPr>
        <w:spacing w:line="360" w:lineRule="auto"/>
        <w:jc w:val="both"/>
      </w:pPr>
    </w:p>
    <w:p w14:paraId="5DA546C5" w14:textId="77777777" w:rsidR="006B5099" w:rsidRDefault="006B5099" w:rsidP="00B25003">
      <w:pPr>
        <w:spacing w:line="360" w:lineRule="auto"/>
        <w:jc w:val="both"/>
      </w:pPr>
    </w:p>
    <w:p w14:paraId="0C263CC3" w14:textId="77777777" w:rsidR="006B5099" w:rsidRDefault="006B5099" w:rsidP="00B25003">
      <w:pPr>
        <w:spacing w:line="360" w:lineRule="auto"/>
        <w:jc w:val="both"/>
      </w:pPr>
    </w:p>
    <w:p w14:paraId="3CA0F698" w14:textId="77777777" w:rsidR="006B5099" w:rsidRDefault="006B5099" w:rsidP="00B25003">
      <w:pPr>
        <w:spacing w:line="360" w:lineRule="auto"/>
        <w:jc w:val="both"/>
      </w:pPr>
    </w:p>
    <w:p w14:paraId="3C9AA077" w14:textId="77777777" w:rsidR="006B5099" w:rsidRDefault="006B5099" w:rsidP="00B25003">
      <w:pPr>
        <w:spacing w:line="360" w:lineRule="auto"/>
        <w:jc w:val="both"/>
      </w:pPr>
    </w:p>
    <w:p w14:paraId="1EC28DB7" w14:textId="77777777" w:rsidR="006B5099" w:rsidRDefault="006B5099" w:rsidP="00B25003">
      <w:pPr>
        <w:spacing w:line="360" w:lineRule="auto"/>
        <w:jc w:val="both"/>
      </w:pPr>
    </w:p>
    <w:p w14:paraId="6D20D3AB" w14:textId="77777777" w:rsidR="006B5099" w:rsidRDefault="006B5099" w:rsidP="00B25003">
      <w:pPr>
        <w:spacing w:line="360" w:lineRule="auto"/>
        <w:jc w:val="both"/>
      </w:pPr>
    </w:p>
    <w:p w14:paraId="09296707" w14:textId="77777777" w:rsidR="006B5099" w:rsidRDefault="006B5099" w:rsidP="00B25003">
      <w:pPr>
        <w:spacing w:line="360" w:lineRule="auto"/>
        <w:jc w:val="both"/>
      </w:pPr>
    </w:p>
    <w:p w14:paraId="14589928" w14:textId="77777777" w:rsidR="006B5099" w:rsidRDefault="006B5099" w:rsidP="00B25003">
      <w:pPr>
        <w:spacing w:line="360" w:lineRule="auto"/>
        <w:jc w:val="both"/>
      </w:pPr>
    </w:p>
    <w:p w14:paraId="41D9FD1D" w14:textId="77777777" w:rsidR="006B5099" w:rsidRDefault="006B5099" w:rsidP="00B25003">
      <w:pPr>
        <w:spacing w:line="360" w:lineRule="auto"/>
        <w:jc w:val="both"/>
      </w:pPr>
    </w:p>
    <w:p w14:paraId="6377F1E6" w14:textId="77777777" w:rsidR="006B5099" w:rsidRDefault="006B5099" w:rsidP="00B25003">
      <w:pPr>
        <w:spacing w:line="360" w:lineRule="auto"/>
        <w:jc w:val="both"/>
      </w:pPr>
    </w:p>
    <w:p w14:paraId="2B9BB5E2" w14:textId="77777777" w:rsidR="006B5099" w:rsidRDefault="006B5099" w:rsidP="00B25003">
      <w:pPr>
        <w:spacing w:line="360" w:lineRule="auto"/>
        <w:jc w:val="both"/>
      </w:pPr>
    </w:p>
    <w:p w14:paraId="62E33AE2" w14:textId="77777777" w:rsidR="006B5099" w:rsidRPr="006B5099" w:rsidRDefault="006B5099" w:rsidP="005674C3">
      <w:pPr>
        <w:spacing w:after="0" w:line="480" w:lineRule="auto"/>
        <w:jc w:val="both"/>
        <w:outlineLvl w:val="0"/>
        <w:rPr>
          <w:rFonts w:ascii="Times New Roman" w:eastAsia="Times New Roman" w:hAnsi="Times New Roman" w:cs="Times New Roman"/>
          <w:b/>
          <w:bCs/>
          <w:kern w:val="36"/>
          <w:lang w:eastAsia="en-GB"/>
          <w14:ligatures w14:val="none"/>
        </w:rPr>
      </w:pPr>
      <w:r w:rsidRPr="006B5099">
        <w:rPr>
          <w:rFonts w:ascii="Times New Roman" w:eastAsia="Times New Roman" w:hAnsi="Times New Roman" w:cs="Times New Roman"/>
          <w:b/>
          <w:bCs/>
          <w:kern w:val="36"/>
          <w:lang w:eastAsia="en-GB"/>
          <w14:ligatures w14:val="none"/>
        </w:rPr>
        <w:t>References</w:t>
      </w:r>
    </w:p>
    <w:p w14:paraId="4256E211"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proofErr w:type="spellStart"/>
      <w:r w:rsidRPr="006B5099">
        <w:rPr>
          <w:rFonts w:ascii="Times New Roman" w:eastAsia="Times New Roman" w:hAnsi="Times New Roman" w:cs="Times New Roman"/>
          <w:kern w:val="0"/>
          <w:lang w:eastAsia="en-GB"/>
          <w14:ligatures w14:val="none"/>
        </w:rPr>
        <w:t>Arruzza</w:t>
      </w:r>
      <w:proofErr w:type="spellEnd"/>
      <w:r w:rsidRPr="006B5099">
        <w:rPr>
          <w:rFonts w:ascii="Times New Roman" w:eastAsia="Times New Roman" w:hAnsi="Times New Roman" w:cs="Times New Roman"/>
          <w:kern w:val="0"/>
          <w:lang w:eastAsia="en-GB"/>
          <w14:ligatures w14:val="none"/>
        </w:rPr>
        <w:t xml:space="preserve">, E., &amp; Chau, M. (2021). The effectiveness of cultural competence education in enhancing knowledge acquisition, performance, attitudes, and student satisfaction among undergraduate health science students: a scoping review. </w:t>
      </w:r>
      <w:r w:rsidRPr="006B5099">
        <w:rPr>
          <w:rFonts w:ascii="Times New Roman" w:eastAsia="Times New Roman" w:hAnsi="Times New Roman" w:cs="Times New Roman"/>
          <w:i/>
          <w:iCs/>
          <w:kern w:val="0"/>
          <w:lang w:eastAsia="en-GB"/>
          <w14:ligatures w14:val="none"/>
        </w:rPr>
        <w:t>Journal of Educational Evaluation for Health Professions</w:t>
      </w:r>
      <w:r w:rsidRPr="006B5099">
        <w:rPr>
          <w:rFonts w:ascii="Times New Roman" w:eastAsia="Times New Roman" w:hAnsi="Times New Roman" w:cs="Times New Roman"/>
          <w:kern w:val="0"/>
          <w:lang w:eastAsia="en-GB"/>
          <w14:ligatures w14:val="none"/>
        </w:rPr>
        <w:t xml:space="preserve">, </w:t>
      </w:r>
      <w:r w:rsidRPr="006B5099">
        <w:rPr>
          <w:rFonts w:ascii="Times New Roman" w:eastAsia="Times New Roman" w:hAnsi="Times New Roman" w:cs="Times New Roman"/>
          <w:i/>
          <w:iCs/>
          <w:kern w:val="0"/>
          <w:lang w:eastAsia="en-GB"/>
          <w14:ligatures w14:val="none"/>
        </w:rPr>
        <w:t>18</w:t>
      </w:r>
      <w:r w:rsidRPr="006B5099">
        <w:rPr>
          <w:rFonts w:ascii="Times New Roman" w:eastAsia="Times New Roman" w:hAnsi="Times New Roman" w:cs="Times New Roman"/>
          <w:kern w:val="0"/>
          <w:lang w:eastAsia="en-GB"/>
          <w14:ligatures w14:val="none"/>
        </w:rPr>
        <w:t>(3), 3. https://doi.org/10.3352/jeehp.2021.18.3</w:t>
      </w:r>
    </w:p>
    <w:p w14:paraId="1A2B8A95"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Carrington, L., Hale, L., Freeman, C., Smith, D., &amp; Perry, M. O. (2023). The effectiveness of play as an intervention using International Classification of Functioning outcome measures for children with disabilities – a systematic review and meta-synthesis. </w:t>
      </w:r>
      <w:r w:rsidRPr="006B5099">
        <w:rPr>
          <w:rFonts w:ascii="Times New Roman" w:eastAsia="Times New Roman" w:hAnsi="Times New Roman" w:cs="Times New Roman"/>
          <w:i/>
          <w:iCs/>
          <w:kern w:val="0"/>
          <w:lang w:eastAsia="en-GB"/>
          <w14:ligatures w14:val="none"/>
        </w:rPr>
        <w:t>Disability and Rehabilitation</w:t>
      </w:r>
      <w:r w:rsidRPr="006B5099">
        <w:rPr>
          <w:rFonts w:ascii="Times New Roman" w:eastAsia="Times New Roman" w:hAnsi="Times New Roman" w:cs="Times New Roman"/>
          <w:kern w:val="0"/>
          <w:lang w:eastAsia="en-GB"/>
          <w14:ligatures w14:val="none"/>
        </w:rPr>
        <w:t xml:space="preserve">, </w:t>
      </w:r>
      <w:r w:rsidRPr="006B5099">
        <w:rPr>
          <w:rFonts w:ascii="Times New Roman" w:eastAsia="Times New Roman" w:hAnsi="Times New Roman" w:cs="Times New Roman"/>
          <w:i/>
          <w:iCs/>
          <w:kern w:val="0"/>
          <w:lang w:eastAsia="en-GB"/>
          <w14:ligatures w14:val="none"/>
        </w:rPr>
        <w:t>46</w:t>
      </w:r>
      <w:r w:rsidRPr="006B5099">
        <w:rPr>
          <w:rFonts w:ascii="Times New Roman" w:eastAsia="Times New Roman" w:hAnsi="Times New Roman" w:cs="Times New Roman"/>
          <w:kern w:val="0"/>
          <w:lang w:eastAsia="en-GB"/>
          <w14:ligatures w14:val="none"/>
        </w:rPr>
        <w:t>(17), 1–22. https://doi.org/10.1080/09638288.2023.2259305</w:t>
      </w:r>
    </w:p>
    <w:p w14:paraId="137038E5" w14:textId="2B95AF4E"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Chase, L. (2022). Factors </w:t>
      </w:r>
      <w:r w:rsidR="005674C3">
        <w:rPr>
          <w:rFonts w:ascii="Times New Roman" w:eastAsia="Times New Roman" w:hAnsi="Times New Roman" w:cs="Times New Roman"/>
          <w:kern w:val="0"/>
          <w:lang w:eastAsia="en-GB"/>
          <w14:ligatures w14:val="none"/>
        </w:rPr>
        <w:t>influencing play therapists’ attitudes toward social justice advocacy</w:t>
      </w:r>
      <w:r w:rsidRPr="006B5099">
        <w:rPr>
          <w:rFonts w:ascii="Times New Roman" w:eastAsia="Times New Roman" w:hAnsi="Times New Roman" w:cs="Times New Roman"/>
          <w:kern w:val="0"/>
          <w:lang w:eastAsia="en-GB"/>
          <w14:ligatures w14:val="none"/>
        </w:rPr>
        <w:t xml:space="preserve">. </w:t>
      </w:r>
      <w:r w:rsidRPr="006B5099">
        <w:rPr>
          <w:rFonts w:ascii="Times New Roman" w:eastAsia="Times New Roman" w:hAnsi="Times New Roman" w:cs="Times New Roman"/>
          <w:i/>
          <w:iCs/>
          <w:kern w:val="0"/>
          <w:lang w:eastAsia="en-GB"/>
          <w14:ligatures w14:val="none"/>
        </w:rPr>
        <w:t>International Journal of Play Therapy</w:t>
      </w:r>
      <w:r w:rsidRPr="006B5099">
        <w:rPr>
          <w:rFonts w:ascii="Times New Roman" w:eastAsia="Times New Roman" w:hAnsi="Times New Roman" w:cs="Times New Roman"/>
          <w:kern w:val="0"/>
          <w:lang w:eastAsia="en-GB"/>
          <w14:ligatures w14:val="none"/>
        </w:rPr>
        <w:t>. https://doi.org/10.1037/pla0000184</w:t>
      </w:r>
    </w:p>
    <w:p w14:paraId="53435699" w14:textId="7CA03E42"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Cochran, N. H., Nordling, W. J., &amp; Cochran, J. L. (2022). </w:t>
      </w:r>
      <w:r w:rsidR="005674C3">
        <w:rPr>
          <w:rFonts w:ascii="Times New Roman" w:eastAsia="Times New Roman" w:hAnsi="Times New Roman" w:cs="Times New Roman"/>
          <w:i/>
          <w:iCs/>
          <w:kern w:val="0"/>
          <w:lang w:eastAsia="en-GB"/>
          <w14:ligatures w14:val="none"/>
        </w:rPr>
        <w:t>Child-Centred</w:t>
      </w:r>
      <w:r w:rsidRPr="006B5099">
        <w:rPr>
          <w:rFonts w:ascii="Times New Roman" w:eastAsia="Times New Roman" w:hAnsi="Times New Roman" w:cs="Times New Roman"/>
          <w:i/>
          <w:iCs/>
          <w:kern w:val="0"/>
          <w:lang w:eastAsia="en-GB"/>
          <w14:ligatures w14:val="none"/>
        </w:rPr>
        <w:t xml:space="preserve"> Play Therapy</w:t>
      </w:r>
      <w:r w:rsidRPr="006B5099">
        <w:rPr>
          <w:rFonts w:ascii="Times New Roman" w:eastAsia="Times New Roman" w:hAnsi="Times New Roman" w:cs="Times New Roman"/>
          <w:kern w:val="0"/>
          <w:lang w:eastAsia="en-GB"/>
          <w14:ligatures w14:val="none"/>
        </w:rPr>
        <w:t>. Routledge. https://doi.org/10.4324/9781003260431</w:t>
      </w:r>
    </w:p>
    <w:p w14:paraId="595E0844" w14:textId="585BDBBB"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D.C</w:t>
      </w:r>
      <w:r w:rsidR="005674C3">
        <w:rPr>
          <w:rFonts w:ascii="Times New Roman" w:eastAsia="Times New Roman" w:hAnsi="Times New Roman" w:cs="Times New Roman"/>
          <w:kern w:val="0"/>
          <w:lang w:eastAsia="en-GB"/>
          <w14:ligatures w14:val="none"/>
        </w:rPr>
        <w:t>., R., Y., O., &amp; J.Y.</w:t>
      </w:r>
      <w:r w:rsidRPr="006B5099">
        <w:rPr>
          <w:rFonts w:ascii="Times New Roman" w:eastAsia="Times New Roman" w:hAnsi="Times New Roman" w:cs="Times New Roman"/>
          <w:kern w:val="0"/>
          <w:lang w:eastAsia="en-GB"/>
          <w14:ligatures w14:val="none"/>
        </w:rPr>
        <w:t xml:space="preserve">, C. (2022). </w:t>
      </w:r>
      <w:r w:rsidRPr="006B5099">
        <w:rPr>
          <w:rFonts w:ascii="Times New Roman" w:eastAsia="Times New Roman" w:hAnsi="Times New Roman" w:cs="Times New Roman"/>
          <w:i/>
          <w:iCs/>
          <w:kern w:val="0"/>
          <w:lang w:eastAsia="en-GB"/>
          <w14:ligatures w14:val="none"/>
        </w:rPr>
        <w:t xml:space="preserve">Multicultural Play </w:t>
      </w:r>
      <w:proofErr w:type="spellStart"/>
      <w:r w:rsidRPr="006B5099">
        <w:rPr>
          <w:rFonts w:ascii="Times New Roman" w:eastAsia="Times New Roman" w:hAnsi="Times New Roman" w:cs="Times New Roman"/>
          <w:i/>
          <w:iCs/>
          <w:kern w:val="0"/>
          <w:lang w:eastAsia="en-GB"/>
          <w14:ligatures w14:val="none"/>
        </w:rPr>
        <w:t>Therapy.Making</w:t>
      </w:r>
      <w:proofErr w:type="spellEnd"/>
      <w:r w:rsidRPr="006B5099">
        <w:rPr>
          <w:rFonts w:ascii="Times New Roman" w:eastAsia="Times New Roman" w:hAnsi="Times New Roman" w:cs="Times New Roman"/>
          <w:i/>
          <w:iCs/>
          <w:kern w:val="0"/>
          <w:lang w:eastAsia="en-GB"/>
          <w14:ligatures w14:val="none"/>
        </w:rPr>
        <w:t xml:space="preserve"> the Most of Cultural Opportunities </w:t>
      </w:r>
      <w:proofErr w:type="gramStart"/>
      <w:r w:rsidRPr="006B5099">
        <w:rPr>
          <w:rFonts w:ascii="Times New Roman" w:eastAsia="Times New Roman" w:hAnsi="Times New Roman" w:cs="Times New Roman"/>
          <w:i/>
          <w:iCs/>
          <w:kern w:val="0"/>
          <w:lang w:eastAsia="en-GB"/>
          <w14:ligatures w14:val="none"/>
        </w:rPr>
        <w:t>With</w:t>
      </w:r>
      <w:proofErr w:type="gramEnd"/>
      <w:r w:rsidRPr="006B5099">
        <w:rPr>
          <w:rFonts w:ascii="Times New Roman" w:eastAsia="Times New Roman" w:hAnsi="Times New Roman" w:cs="Times New Roman"/>
          <w:i/>
          <w:iCs/>
          <w:kern w:val="0"/>
          <w:lang w:eastAsia="en-GB"/>
          <w14:ligatures w14:val="none"/>
        </w:rPr>
        <w:t xml:space="preserve"> Children</w:t>
      </w:r>
      <w:r w:rsidRPr="006B5099">
        <w:rPr>
          <w:rFonts w:ascii="Times New Roman" w:eastAsia="Times New Roman" w:hAnsi="Times New Roman" w:cs="Times New Roman"/>
          <w:kern w:val="0"/>
          <w:lang w:eastAsia="en-GB"/>
          <w14:ligatures w14:val="none"/>
        </w:rPr>
        <w:t xml:space="preserve"> (1st ed.). Routledge. 9781003190073</w:t>
      </w:r>
    </w:p>
    <w:p w14:paraId="07700CFF"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Danby, G., &amp; Hamilton, P. (2016). Addressing the “elephant in the room”. The role of the primary school practitioner in supporting children’s mental well-being. </w:t>
      </w:r>
      <w:r w:rsidRPr="006B5099">
        <w:rPr>
          <w:rFonts w:ascii="Times New Roman" w:eastAsia="Times New Roman" w:hAnsi="Times New Roman" w:cs="Times New Roman"/>
          <w:i/>
          <w:iCs/>
          <w:kern w:val="0"/>
          <w:lang w:eastAsia="en-GB"/>
          <w14:ligatures w14:val="none"/>
        </w:rPr>
        <w:t>Pastoral Care in Education</w:t>
      </w:r>
      <w:r w:rsidRPr="006B5099">
        <w:rPr>
          <w:rFonts w:ascii="Times New Roman" w:eastAsia="Times New Roman" w:hAnsi="Times New Roman" w:cs="Times New Roman"/>
          <w:kern w:val="0"/>
          <w:lang w:eastAsia="en-GB"/>
          <w14:ligatures w14:val="none"/>
        </w:rPr>
        <w:t xml:space="preserve">, </w:t>
      </w:r>
      <w:r w:rsidRPr="006B5099">
        <w:rPr>
          <w:rFonts w:ascii="Times New Roman" w:eastAsia="Times New Roman" w:hAnsi="Times New Roman" w:cs="Times New Roman"/>
          <w:i/>
          <w:iCs/>
          <w:kern w:val="0"/>
          <w:lang w:eastAsia="en-GB"/>
          <w14:ligatures w14:val="none"/>
        </w:rPr>
        <w:t>34</w:t>
      </w:r>
      <w:r w:rsidRPr="006B5099">
        <w:rPr>
          <w:rFonts w:ascii="Times New Roman" w:eastAsia="Times New Roman" w:hAnsi="Times New Roman" w:cs="Times New Roman"/>
          <w:kern w:val="0"/>
          <w:lang w:eastAsia="en-GB"/>
          <w14:ligatures w14:val="none"/>
        </w:rPr>
        <w:t>(2), 90–103. https://doi.org/10.1080/02643944.2016.1167110</w:t>
      </w:r>
    </w:p>
    <w:p w14:paraId="70AF4283"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Ernesta Sofija, Bernard, N. R., Bowler, S., Wiseman, N., &amp; Harris, N. (2024). </w:t>
      </w:r>
      <w:r w:rsidRPr="006B5099">
        <w:rPr>
          <w:rFonts w:ascii="Times New Roman" w:eastAsia="Times New Roman" w:hAnsi="Times New Roman" w:cs="Times New Roman"/>
          <w:i/>
          <w:iCs/>
          <w:kern w:val="0"/>
          <w:lang w:eastAsia="en-GB"/>
          <w14:ligatures w14:val="none"/>
        </w:rPr>
        <w:t>Creative and play-based interventions for culturally and linguistically diverse children: A systematic review</w:t>
      </w:r>
      <w:r w:rsidRPr="006B5099">
        <w:rPr>
          <w:rFonts w:ascii="Times New Roman" w:eastAsia="Times New Roman" w:hAnsi="Times New Roman" w:cs="Times New Roman"/>
          <w:kern w:val="0"/>
          <w:lang w:eastAsia="en-GB"/>
          <w14:ligatures w14:val="none"/>
        </w:rPr>
        <w:t xml:space="preserve">. </w:t>
      </w:r>
      <w:r w:rsidRPr="006B5099">
        <w:rPr>
          <w:rFonts w:ascii="Times New Roman" w:eastAsia="Times New Roman" w:hAnsi="Times New Roman" w:cs="Times New Roman"/>
          <w:i/>
          <w:iCs/>
          <w:kern w:val="0"/>
          <w:lang w:eastAsia="en-GB"/>
          <w14:ligatures w14:val="none"/>
        </w:rPr>
        <w:t>14</w:t>
      </w:r>
      <w:r w:rsidRPr="006B5099">
        <w:rPr>
          <w:rFonts w:ascii="Times New Roman" w:eastAsia="Times New Roman" w:hAnsi="Times New Roman" w:cs="Times New Roman"/>
          <w:kern w:val="0"/>
          <w:lang w:eastAsia="en-GB"/>
          <w14:ligatures w14:val="none"/>
        </w:rPr>
        <w:t>(1). https://doi.org/10.36251/josi337</w:t>
      </w:r>
    </w:p>
    <w:p w14:paraId="0E979E6B" w14:textId="6F791608"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lastRenderedPageBreak/>
        <w:t xml:space="preserve">Farver, J. A. M., Kim, Y. K., &amp; Lee, Y. (1995). Cultural Differences in Korean- and Anglo-American Preschoolers’ Social Interaction and Play </w:t>
      </w:r>
      <w:r w:rsidR="005674C3">
        <w:rPr>
          <w:rFonts w:ascii="Times New Roman" w:eastAsia="Times New Roman" w:hAnsi="Times New Roman" w:cs="Times New Roman"/>
          <w:kern w:val="0"/>
          <w:lang w:eastAsia="en-GB"/>
          <w14:ligatures w14:val="none"/>
        </w:rPr>
        <w:t>Behaviours</w:t>
      </w:r>
      <w:r w:rsidRPr="006B5099">
        <w:rPr>
          <w:rFonts w:ascii="Times New Roman" w:eastAsia="Times New Roman" w:hAnsi="Times New Roman" w:cs="Times New Roman"/>
          <w:kern w:val="0"/>
          <w:lang w:eastAsia="en-GB"/>
          <w14:ligatures w14:val="none"/>
        </w:rPr>
        <w:t xml:space="preserve">. </w:t>
      </w:r>
      <w:r w:rsidRPr="006B5099">
        <w:rPr>
          <w:rFonts w:ascii="Times New Roman" w:eastAsia="Times New Roman" w:hAnsi="Times New Roman" w:cs="Times New Roman"/>
          <w:i/>
          <w:iCs/>
          <w:kern w:val="0"/>
          <w:lang w:eastAsia="en-GB"/>
          <w14:ligatures w14:val="none"/>
        </w:rPr>
        <w:t>Child Development</w:t>
      </w:r>
      <w:r w:rsidRPr="006B5099">
        <w:rPr>
          <w:rFonts w:ascii="Times New Roman" w:eastAsia="Times New Roman" w:hAnsi="Times New Roman" w:cs="Times New Roman"/>
          <w:kern w:val="0"/>
          <w:lang w:eastAsia="en-GB"/>
          <w14:ligatures w14:val="none"/>
        </w:rPr>
        <w:t xml:space="preserve">, </w:t>
      </w:r>
      <w:r w:rsidRPr="006B5099">
        <w:rPr>
          <w:rFonts w:ascii="Times New Roman" w:eastAsia="Times New Roman" w:hAnsi="Times New Roman" w:cs="Times New Roman"/>
          <w:i/>
          <w:iCs/>
          <w:kern w:val="0"/>
          <w:lang w:eastAsia="en-GB"/>
          <w14:ligatures w14:val="none"/>
        </w:rPr>
        <w:t>66</w:t>
      </w:r>
      <w:r w:rsidRPr="006B5099">
        <w:rPr>
          <w:rFonts w:ascii="Times New Roman" w:eastAsia="Times New Roman" w:hAnsi="Times New Roman" w:cs="Times New Roman"/>
          <w:kern w:val="0"/>
          <w:lang w:eastAsia="en-GB"/>
          <w14:ligatures w14:val="none"/>
        </w:rPr>
        <w:t>(4), 1088–1099. https://doi.org/10.1111/j.1467-8624.1995.tb00924.x</w:t>
      </w:r>
    </w:p>
    <w:p w14:paraId="69A5280A"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Fleer, M. (2021). </w:t>
      </w:r>
      <w:r w:rsidRPr="006B5099">
        <w:rPr>
          <w:rFonts w:ascii="Times New Roman" w:eastAsia="Times New Roman" w:hAnsi="Times New Roman" w:cs="Times New Roman"/>
          <w:i/>
          <w:iCs/>
          <w:kern w:val="0"/>
          <w:lang w:eastAsia="en-GB"/>
          <w14:ligatures w14:val="none"/>
        </w:rPr>
        <w:t>Play in the Early Years</w:t>
      </w:r>
      <w:r w:rsidRPr="006B5099">
        <w:rPr>
          <w:rFonts w:ascii="Times New Roman" w:eastAsia="Times New Roman" w:hAnsi="Times New Roman" w:cs="Times New Roman"/>
          <w:kern w:val="0"/>
          <w:lang w:eastAsia="en-GB"/>
          <w14:ligatures w14:val="none"/>
        </w:rPr>
        <w:t xml:space="preserve"> (3rd ed.). Cambridge University Press.</w:t>
      </w:r>
    </w:p>
    <w:p w14:paraId="7FFDF82C"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Gil, E., &amp; Drewes, A. A. (2021). </w:t>
      </w:r>
      <w:r w:rsidRPr="006B5099">
        <w:rPr>
          <w:rFonts w:ascii="Times New Roman" w:eastAsia="Times New Roman" w:hAnsi="Times New Roman" w:cs="Times New Roman"/>
          <w:i/>
          <w:iCs/>
          <w:kern w:val="0"/>
          <w:lang w:eastAsia="en-GB"/>
          <w14:ligatures w14:val="none"/>
        </w:rPr>
        <w:t>Cultural issues in play therapy</w:t>
      </w:r>
      <w:r w:rsidRPr="006B5099">
        <w:rPr>
          <w:rFonts w:ascii="Times New Roman" w:eastAsia="Times New Roman" w:hAnsi="Times New Roman" w:cs="Times New Roman"/>
          <w:kern w:val="0"/>
          <w:lang w:eastAsia="en-GB"/>
          <w14:ligatures w14:val="none"/>
        </w:rPr>
        <w:t>. The Guilford Press.</w:t>
      </w:r>
    </w:p>
    <w:p w14:paraId="4D26A971" w14:textId="149D6751" w:rsidR="006B5099" w:rsidRPr="006B5099" w:rsidRDefault="005674C3" w:rsidP="005674C3">
      <w:pPr>
        <w:spacing w:after="0" w:line="480" w:lineRule="auto"/>
        <w:ind w:left="720" w:hanging="720"/>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González-</w:t>
      </w:r>
      <w:proofErr w:type="spellStart"/>
      <w:r>
        <w:rPr>
          <w:rFonts w:ascii="Times New Roman" w:eastAsia="Times New Roman" w:hAnsi="Times New Roman" w:cs="Times New Roman"/>
          <w:kern w:val="0"/>
          <w:lang w:eastAsia="en-GB"/>
          <w14:ligatures w14:val="none"/>
        </w:rPr>
        <w:t>Mená</w:t>
      </w:r>
      <w:proofErr w:type="spellEnd"/>
      <w:r w:rsidR="006B5099" w:rsidRPr="006B5099">
        <w:rPr>
          <w:rFonts w:ascii="Times New Roman" w:eastAsia="Times New Roman" w:hAnsi="Times New Roman" w:cs="Times New Roman"/>
          <w:kern w:val="0"/>
          <w:lang w:eastAsia="en-GB"/>
          <w14:ligatures w14:val="none"/>
        </w:rPr>
        <w:t xml:space="preserve">, J. (2017). </w:t>
      </w:r>
      <w:r w:rsidR="006B5099" w:rsidRPr="006B5099">
        <w:rPr>
          <w:rFonts w:ascii="Times New Roman" w:eastAsia="Times New Roman" w:hAnsi="Times New Roman" w:cs="Times New Roman"/>
          <w:i/>
          <w:iCs/>
          <w:kern w:val="0"/>
          <w:lang w:eastAsia="en-GB"/>
          <w14:ligatures w14:val="none"/>
        </w:rPr>
        <w:t xml:space="preserve">Diversity in Early Care and Education: </w:t>
      </w:r>
      <w:r>
        <w:rPr>
          <w:rFonts w:ascii="Times New Roman" w:eastAsia="Times New Roman" w:hAnsi="Times New Roman" w:cs="Times New Roman"/>
          <w:i/>
          <w:iCs/>
          <w:kern w:val="0"/>
          <w:lang w:eastAsia="en-GB"/>
          <w14:ligatures w14:val="none"/>
        </w:rPr>
        <w:t>Honouring</w:t>
      </w:r>
      <w:r w:rsidR="006B5099" w:rsidRPr="006B5099">
        <w:rPr>
          <w:rFonts w:ascii="Times New Roman" w:eastAsia="Times New Roman" w:hAnsi="Times New Roman" w:cs="Times New Roman"/>
          <w:i/>
          <w:iCs/>
          <w:kern w:val="0"/>
          <w:lang w:eastAsia="en-GB"/>
          <w14:ligatures w14:val="none"/>
        </w:rPr>
        <w:t xml:space="preserve"> Differences</w:t>
      </w:r>
      <w:r w:rsidR="006B5099" w:rsidRPr="006B5099">
        <w:rPr>
          <w:rFonts w:ascii="Times New Roman" w:eastAsia="Times New Roman" w:hAnsi="Times New Roman" w:cs="Times New Roman"/>
          <w:kern w:val="0"/>
          <w:lang w:eastAsia="en-GB"/>
          <w14:ligatures w14:val="none"/>
        </w:rPr>
        <w:t>. McGraw-Hill Education.</w:t>
      </w:r>
    </w:p>
    <w:p w14:paraId="5F3F3ED2"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Gottlieb, M. (2021). The case for a cultural humility framework in social work practice. </w:t>
      </w:r>
      <w:r w:rsidRPr="006B5099">
        <w:rPr>
          <w:rFonts w:ascii="Times New Roman" w:eastAsia="Times New Roman" w:hAnsi="Times New Roman" w:cs="Times New Roman"/>
          <w:i/>
          <w:iCs/>
          <w:kern w:val="0"/>
          <w:lang w:eastAsia="en-GB"/>
          <w14:ligatures w14:val="none"/>
        </w:rPr>
        <w:t>Journal of Ethnic &amp; Cultural Diversity in Social Work</w:t>
      </w:r>
      <w:r w:rsidRPr="006B5099">
        <w:rPr>
          <w:rFonts w:ascii="Times New Roman" w:eastAsia="Times New Roman" w:hAnsi="Times New Roman" w:cs="Times New Roman"/>
          <w:kern w:val="0"/>
          <w:lang w:eastAsia="en-GB"/>
          <w14:ligatures w14:val="none"/>
        </w:rPr>
        <w:t xml:space="preserve">, </w:t>
      </w:r>
      <w:r w:rsidRPr="006B5099">
        <w:rPr>
          <w:rFonts w:ascii="Times New Roman" w:eastAsia="Times New Roman" w:hAnsi="Times New Roman" w:cs="Times New Roman"/>
          <w:i/>
          <w:iCs/>
          <w:kern w:val="0"/>
          <w:lang w:eastAsia="en-GB"/>
          <w14:ligatures w14:val="none"/>
        </w:rPr>
        <w:t>30</w:t>
      </w:r>
      <w:r w:rsidRPr="006B5099">
        <w:rPr>
          <w:rFonts w:ascii="Times New Roman" w:eastAsia="Times New Roman" w:hAnsi="Times New Roman" w:cs="Times New Roman"/>
          <w:kern w:val="0"/>
          <w:lang w:eastAsia="en-GB"/>
          <w14:ligatures w14:val="none"/>
        </w:rPr>
        <w:t>(6), 463–481. https://doi.org/10.1080/15313204.2020.1753615</w:t>
      </w:r>
    </w:p>
    <w:p w14:paraId="1859F846"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Hargraves, V. (2022). </w:t>
      </w:r>
      <w:r w:rsidRPr="006B5099">
        <w:rPr>
          <w:rFonts w:ascii="Times New Roman" w:eastAsia="Times New Roman" w:hAnsi="Times New Roman" w:cs="Times New Roman"/>
          <w:i/>
          <w:iCs/>
          <w:kern w:val="0"/>
          <w:lang w:eastAsia="en-GB"/>
          <w14:ligatures w14:val="none"/>
        </w:rPr>
        <w:t xml:space="preserve">Culturally responsive pedagogy in </w:t>
      </w:r>
      <w:proofErr w:type="spellStart"/>
      <w:r w:rsidRPr="006B5099">
        <w:rPr>
          <w:rFonts w:ascii="Times New Roman" w:eastAsia="Times New Roman" w:hAnsi="Times New Roman" w:cs="Times New Roman"/>
          <w:i/>
          <w:iCs/>
          <w:kern w:val="0"/>
          <w:lang w:eastAsia="en-GB"/>
          <w14:ligatures w14:val="none"/>
        </w:rPr>
        <w:t>ece</w:t>
      </w:r>
      <w:proofErr w:type="spellEnd"/>
      <w:r w:rsidRPr="006B5099">
        <w:rPr>
          <w:rFonts w:ascii="Times New Roman" w:eastAsia="Times New Roman" w:hAnsi="Times New Roman" w:cs="Times New Roman"/>
          <w:kern w:val="0"/>
          <w:lang w:eastAsia="en-GB"/>
          <w14:ligatures w14:val="none"/>
        </w:rPr>
        <w:t>. The Education Hub. https://theeducationhub.org.nz/culturally-responsive-pedagogy-in-ece/</w:t>
      </w:r>
    </w:p>
    <w:p w14:paraId="4E96642E"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Howard, J., &amp; McInnes, K. (2017). The impact of children’s perception of an activity as play rather than not play on emotional well-being. </w:t>
      </w:r>
      <w:r w:rsidRPr="006B5099">
        <w:rPr>
          <w:rFonts w:ascii="Times New Roman" w:eastAsia="Times New Roman" w:hAnsi="Times New Roman" w:cs="Times New Roman"/>
          <w:i/>
          <w:iCs/>
          <w:kern w:val="0"/>
          <w:lang w:eastAsia="en-GB"/>
          <w14:ligatures w14:val="none"/>
        </w:rPr>
        <w:t>Child: Care, Health and Development</w:t>
      </w:r>
      <w:r w:rsidRPr="006B5099">
        <w:rPr>
          <w:rFonts w:ascii="Times New Roman" w:eastAsia="Times New Roman" w:hAnsi="Times New Roman" w:cs="Times New Roman"/>
          <w:kern w:val="0"/>
          <w:lang w:eastAsia="en-GB"/>
          <w14:ligatures w14:val="none"/>
        </w:rPr>
        <w:t xml:space="preserve">, </w:t>
      </w:r>
      <w:r w:rsidRPr="006B5099">
        <w:rPr>
          <w:rFonts w:ascii="Times New Roman" w:eastAsia="Times New Roman" w:hAnsi="Times New Roman" w:cs="Times New Roman"/>
          <w:i/>
          <w:iCs/>
          <w:kern w:val="0"/>
          <w:lang w:eastAsia="en-GB"/>
          <w14:ligatures w14:val="none"/>
        </w:rPr>
        <w:t>39</w:t>
      </w:r>
      <w:r w:rsidRPr="006B5099">
        <w:rPr>
          <w:rFonts w:ascii="Times New Roman" w:eastAsia="Times New Roman" w:hAnsi="Times New Roman" w:cs="Times New Roman"/>
          <w:kern w:val="0"/>
          <w:lang w:eastAsia="en-GB"/>
          <w14:ligatures w14:val="none"/>
        </w:rPr>
        <w:t>(5), 737–742. https://doi.org/10.1111/j.1365-2214.2012.01405.x</w:t>
      </w:r>
    </w:p>
    <w:p w14:paraId="7A8E0EE0"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Jaber, M., &amp; Ortal </w:t>
      </w:r>
      <w:proofErr w:type="spellStart"/>
      <w:r w:rsidRPr="006B5099">
        <w:rPr>
          <w:rFonts w:ascii="Times New Roman" w:eastAsia="Times New Roman" w:hAnsi="Times New Roman" w:cs="Times New Roman"/>
          <w:kern w:val="0"/>
          <w:lang w:eastAsia="en-GB"/>
          <w14:ligatures w14:val="none"/>
        </w:rPr>
        <w:t>Slobodin</w:t>
      </w:r>
      <w:proofErr w:type="spellEnd"/>
      <w:r w:rsidRPr="006B5099">
        <w:rPr>
          <w:rFonts w:ascii="Times New Roman" w:eastAsia="Times New Roman" w:hAnsi="Times New Roman" w:cs="Times New Roman"/>
          <w:kern w:val="0"/>
          <w:lang w:eastAsia="en-GB"/>
          <w14:ligatures w14:val="none"/>
        </w:rPr>
        <w:t xml:space="preserve">. (2024). Identity Development of Arab Drama Therapists: The Role of Ethnic Boundary Work. </w:t>
      </w:r>
      <w:r w:rsidRPr="006B5099">
        <w:rPr>
          <w:rFonts w:ascii="Times New Roman" w:eastAsia="Times New Roman" w:hAnsi="Times New Roman" w:cs="Times New Roman"/>
          <w:i/>
          <w:iCs/>
          <w:kern w:val="0"/>
          <w:lang w:eastAsia="en-GB"/>
          <w14:ligatures w14:val="none"/>
        </w:rPr>
        <w:t>The Arts in Psychotherapy</w:t>
      </w:r>
      <w:r w:rsidRPr="006B5099">
        <w:rPr>
          <w:rFonts w:ascii="Times New Roman" w:eastAsia="Times New Roman" w:hAnsi="Times New Roman" w:cs="Times New Roman"/>
          <w:kern w:val="0"/>
          <w:lang w:eastAsia="en-GB"/>
          <w14:ligatures w14:val="none"/>
        </w:rPr>
        <w:t>, 102225–102225. https://doi.org/10.1016/j.aip.2024.102225</w:t>
      </w:r>
    </w:p>
    <w:p w14:paraId="36DDA33B"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proofErr w:type="spellStart"/>
      <w:r w:rsidRPr="006B5099">
        <w:rPr>
          <w:rFonts w:ascii="Times New Roman" w:eastAsia="Times New Roman" w:hAnsi="Times New Roman" w:cs="Times New Roman"/>
          <w:kern w:val="0"/>
          <w:lang w:eastAsia="en-GB"/>
          <w14:ligatures w14:val="none"/>
        </w:rPr>
        <w:t>Koukourikos</w:t>
      </w:r>
      <w:proofErr w:type="spellEnd"/>
      <w:r w:rsidRPr="006B5099">
        <w:rPr>
          <w:rFonts w:ascii="Times New Roman" w:eastAsia="Times New Roman" w:hAnsi="Times New Roman" w:cs="Times New Roman"/>
          <w:kern w:val="0"/>
          <w:lang w:eastAsia="en-GB"/>
          <w14:ligatures w14:val="none"/>
        </w:rPr>
        <w:t xml:space="preserve">, K., </w:t>
      </w:r>
      <w:proofErr w:type="spellStart"/>
      <w:r w:rsidRPr="006B5099">
        <w:rPr>
          <w:rFonts w:ascii="Times New Roman" w:eastAsia="Times New Roman" w:hAnsi="Times New Roman" w:cs="Times New Roman"/>
          <w:kern w:val="0"/>
          <w:lang w:eastAsia="en-GB"/>
          <w14:ligatures w14:val="none"/>
        </w:rPr>
        <w:t>Tsaloglidou</w:t>
      </w:r>
      <w:proofErr w:type="spellEnd"/>
      <w:r w:rsidRPr="006B5099">
        <w:rPr>
          <w:rFonts w:ascii="Times New Roman" w:eastAsia="Times New Roman" w:hAnsi="Times New Roman" w:cs="Times New Roman"/>
          <w:kern w:val="0"/>
          <w:lang w:eastAsia="en-GB"/>
          <w14:ligatures w14:val="none"/>
        </w:rPr>
        <w:t xml:space="preserve">, A., </w:t>
      </w:r>
      <w:proofErr w:type="spellStart"/>
      <w:r w:rsidRPr="006B5099">
        <w:rPr>
          <w:rFonts w:ascii="Times New Roman" w:eastAsia="Times New Roman" w:hAnsi="Times New Roman" w:cs="Times New Roman"/>
          <w:kern w:val="0"/>
          <w:lang w:eastAsia="en-GB"/>
          <w14:ligatures w14:val="none"/>
        </w:rPr>
        <w:t>Tzeha</w:t>
      </w:r>
      <w:proofErr w:type="spellEnd"/>
      <w:r w:rsidRPr="006B5099">
        <w:rPr>
          <w:rFonts w:ascii="Times New Roman" w:eastAsia="Times New Roman" w:hAnsi="Times New Roman" w:cs="Times New Roman"/>
          <w:kern w:val="0"/>
          <w:lang w:eastAsia="en-GB"/>
          <w14:ligatures w14:val="none"/>
        </w:rPr>
        <w:t xml:space="preserve">, L., Iliadis, C., </w:t>
      </w:r>
      <w:proofErr w:type="spellStart"/>
      <w:r w:rsidRPr="006B5099">
        <w:rPr>
          <w:rFonts w:ascii="Times New Roman" w:eastAsia="Times New Roman" w:hAnsi="Times New Roman" w:cs="Times New Roman"/>
          <w:kern w:val="0"/>
          <w:lang w:eastAsia="en-GB"/>
          <w14:ligatures w14:val="none"/>
        </w:rPr>
        <w:t>Frantzana</w:t>
      </w:r>
      <w:proofErr w:type="spellEnd"/>
      <w:r w:rsidRPr="006B5099">
        <w:rPr>
          <w:rFonts w:ascii="Times New Roman" w:eastAsia="Times New Roman" w:hAnsi="Times New Roman" w:cs="Times New Roman"/>
          <w:kern w:val="0"/>
          <w:lang w:eastAsia="en-GB"/>
          <w14:ligatures w14:val="none"/>
        </w:rPr>
        <w:t xml:space="preserve">, A., </w:t>
      </w:r>
      <w:proofErr w:type="spellStart"/>
      <w:r w:rsidRPr="006B5099">
        <w:rPr>
          <w:rFonts w:ascii="Times New Roman" w:eastAsia="Times New Roman" w:hAnsi="Times New Roman" w:cs="Times New Roman"/>
          <w:kern w:val="0"/>
          <w:lang w:eastAsia="en-GB"/>
          <w14:ligatures w14:val="none"/>
        </w:rPr>
        <w:t>Katsimbeli</w:t>
      </w:r>
      <w:proofErr w:type="spellEnd"/>
      <w:r w:rsidRPr="006B5099">
        <w:rPr>
          <w:rFonts w:ascii="Times New Roman" w:eastAsia="Times New Roman" w:hAnsi="Times New Roman" w:cs="Times New Roman"/>
          <w:kern w:val="0"/>
          <w:lang w:eastAsia="en-GB"/>
          <w14:ligatures w14:val="none"/>
        </w:rPr>
        <w:t xml:space="preserve">, A., &amp; </w:t>
      </w:r>
      <w:proofErr w:type="spellStart"/>
      <w:r w:rsidRPr="006B5099">
        <w:rPr>
          <w:rFonts w:ascii="Times New Roman" w:eastAsia="Times New Roman" w:hAnsi="Times New Roman" w:cs="Times New Roman"/>
          <w:kern w:val="0"/>
          <w:lang w:eastAsia="en-GB"/>
          <w14:ligatures w14:val="none"/>
        </w:rPr>
        <w:t>Kourkouta</w:t>
      </w:r>
      <w:proofErr w:type="spellEnd"/>
      <w:r w:rsidRPr="006B5099">
        <w:rPr>
          <w:rFonts w:ascii="Times New Roman" w:eastAsia="Times New Roman" w:hAnsi="Times New Roman" w:cs="Times New Roman"/>
          <w:kern w:val="0"/>
          <w:lang w:eastAsia="en-GB"/>
          <w14:ligatures w14:val="none"/>
        </w:rPr>
        <w:t xml:space="preserve">, L. (2021). An Overview of Play Therapy. </w:t>
      </w:r>
      <w:r w:rsidRPr="006B5099">
        <w:rPr>
          <w:rFonts w:ascii="Times New Roman" w:eastAsia="Times New Roman" w:hAnsi="Times New Roman" w:cs="Times New Roman"/>
          <w:i/>
          <w:iCs/>
          <w:kern w:val="0"/>
          <w:lang w:eastAsia="en-GB"/>
          <w14:ligatures w14:val="none"/>
        </w:rPr>
        <w:t>Materia Socio Medica</w:t>
      </w:r>
      <w:r w:rsidRPr="006B5099">
        <w:rPr>
          <w:rFonts w:ascii="Times New Roman" w:eastAsia="Times New Roman" w:hAnsi="Times New Roman" w:cs="Times New Roman"/>
          <w:kern w:val="0"/>
          <w:lang w:eastAsia="en-GB"/>
          <w14:ligatures w14:val="none"/>
        </w:rPr>
        <w:t xml:space="preserve">, </w:t>
      </w:r>
      <w:r w:rsidRPr="006B5099">
        <w:rPr>
          <w:rFonts w:ascii="Times New Roman" w:eastAsia="Times New Roman" w:hAnsi="Times New Roman" w:cs="Times New Roman"/>
          <w:i/>
          <w:iCs/>
          <w:kern w:val="0"/>
          <w:lang w:eastAsia="en-GB"/>
          <w14:ligatures w14:val="none"/>
        </w:rPr>
        <w:t>33</w:t>
      </w:r>
      <w:r w:rsidRPr="006B5099">
        <w:rPr>
          <w:rFonts w:ascii="Times New Roman" w:eastAsia="Times New Roman" w:hAnsi="Times New Roman" w:cs="Times New Roman"/>
          <w:kern w:val="0"/>
          <w:lang w:eastAsia="en-GB"/>
          <w14:ligatures w14:val="none"/>
        </w:rPr>
        <w:t>(4), 293–297. https://doi.org/10.5455/msm.2021.33.293-297</w:t>
      </w:r>
    </w:p>
    <w:p w14:paraId="6FCBF203"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Landreth, G. L. (2017). </w:t>
      </w:r>
      <w:r w:rsidRPr="006B5099">
        <w:rPr>
          <w:rFonts w:ascii="Times New Roman" w:eastAsia="Times New Roman" w:hAnsi="Times New Roman" w:cs="Times New Roman"/>
          <w:i/>
          <w:iCs/>
          <w:kern w:val="0"/>
          <w:lang w:eastAsia="en-GB"/>
          <w14:ligatures w14:val="none"/>
        </w:rPr>
        <w:t>Play Therapy</w:t>
      </w:r>
      <w:r w:rsidRPr="006B5099">
        <w:rPr>
          <w:rFonts w:ascii="Times New Roman" w:eastAsia="Times New Roman" w:hAnsi="Times New Roman" w:cs="Times New Roman"/>
          <w:kern w:val="0"/>
          <w:lang w:eastAsia="en-GB"/>
          <w14:ligatures w14:val="none"/>
        </w:rPr>
        <w:t>. Routledge. https://doi.org/10.4324/9780203835159</w:t>
      </w:r>
    </w:p>
    <w:p w14:paraId="7E104649"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London School of Childcare Studies. (2021, August 20). </w:t>
      </w:r>
      <w:r w:rsidRPr="006B5099">
        <w:rPr>
          <w:rFonts w:ascii="Times New Roman" w:eastAsia="Times New Roman" w:hAnsi="Times New Roman" w:cs="Times New Roman"/>
          <w:i/>
          <w:iCs/>
          <w:kern w:val="0"/>
          <w:lang w:eastAsia="en-GB"/>
          <w14:ligatures w14:val="none"/>
        </w:rPr>
        <w:t>The Lev Vygotsky Education Approach - London School of Childcare Studies</w:t>
      </w:r>
      <w:r w:rsidRPr="006B5099">
        <w:rPr>
          <w:rFonts w:ascii="Times New Roman" w:eastAsia="Times New Roman" w:hAnsi="Times New Roman" w:cs="Times New Roman"/>
          <w:kern w:val="0"/>
          <w:lang w:eastAsia="en-GB"/>
          <w14:ligatures w14:val="none"/>
        </w:rPr>
        <w:t>. London School of Childcare Studies. https://childcarestudies.co.uk/blog/the-lev-vygotsky-education-approach/</w:t>
      </w:r>
    </w:p>
    <w:p w14:paraId="51655F9F"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lastRenderedPageBreak/>
        <w:t xml:space="preserve">Maroudas, C. (2025). </w:t>
      </w:r>
      <w:r w:rsidRPr="006B5099">
        <w:rPr>
          <w:rFonts w:ascii="Times New Roman" w:eastAsia="Times New Roman" w:hAnsi="Times New Roman" w:cs="Times New Roman"/>
          <w:i/>
          <w:iCs/>
          <w:kern w:val="0"/>
          <w:lang w:eastAsia="en-GB"/>
          <w14:ligatures w14:val="none"/>
        </w:rPr>
        <w:t>Child Psychotherapy and the Games Children Play</w:t>
      </w:r>
      <w:r w:rsidRPr="006B5099">
        <w:rPr>
          <w:rFonts w:ascii="Times New Roman" w:eastAsia="Times New Roman" w:hAnsi="Times New Roman" w:cs="Times New Roman"/>
          <w:kern w:val="0"/>
          <w:lang w:eastAsia="en-GB"/>
          <w14:ligatures w14:val="none"/>
        </w:rPr>
        <w:t>. https://doi.org/10.4324/9781003425229</w:t>
      </w:r>
    </w:p>
    <w:p w14:paraId="39122F67"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NAEYC. (2019). </w:t>
      </w:r>
      <w:r w:rsidRPr="006B5099">
        <w:rPr>
          <w:rFonts w:ascii="Times New Roman" w:eastAsia="Times New Roman" w:hAnsi="Times New Roman" w:cs="Times New Roman"/>
          <w:i/>
          <w:iCs/>
          <w:kern w:val="0"/>
          <w:lang w:eastAsia="en-GB"/>
          <w14:ligatures w14:val="none"/>
        </w:rPr>
        <w:t>Developmentally Appropriate Practice (DAP) Position Statement | NAEYC</w:t>
      </w:r>
      <w:r w:rsidRPr="006B5099">
        <w:rPr>
          <w:rFonts w:ascii="Times New Roman" w:eastAsia="Times New Roman" w:hAnsi="Times New Roman" w:cs="Times New Roman"/>
          <w:kern w:val="0"/>
          <w:lang w:eastAsia="en-GB"/>
          <w14:ligatures w14:val="none"/>
        </w:rPr>
        <w:t>. Naeyc.org. https://www.naeyc.org/resources/position-statements/dap</w:t>
      </w:r>
    </w:p>
    <w:p w14:paraId="09B157B1"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O’Connor, K. (2005). Addressing Diversity Issues in Play Therapy. </w:t>
      </w:r>
      <w:r w:rsidRPr="006B5099">
        <w:rPr>
          <w:rFonts w:ascii="Times New Roman" w:eastAsia="Times New Roman" w:hAnsi="Times New Roman" w:cs="Times New Roman"/>
          <w:i/>
          <w:iCs/>
          <w:kern w:val="0"/>
          <w:lang w:eastAsia="en-GB"/>
          <w14:ligatures w14:val="none"/>
        </w:rPr>
        <w:t>Professional Psychology: Research and Practice</w:t>
      </w:r>
      <w:r w:rsidRPr="006B5099">
        <w:rPr>
          <w:rFonts w:ascii="Times New Roman" w:eastAsia="Times New Roman" w:hAnsi="Times New Roman" w:cs="Times New Roman"/>
          <w:kern w:val="0"/>
          <w:lang w:eastAsia="en-GB"/>
          <w14:ligatures w14:val="none"/>
        </w:rPr>
        <w:t xml:space="preserve">, </w:t>
      </w:r>
      <w:r w:rsidRPr="006B5099">
        <w:rPr>
          <w:rFonts w:ascii="Times New Roman" w:eastAsia="Times New Roman" w:hAnsi="Times New Roman" w:cs="Times New Roman"/>
          <w:i/>
          <w:iCs/>
          <w:kern w:val="0"/>
          <w:lang w:eastAsia="en-GB"/>
          <w14:ligatures w14:val="none"/>
        </w:rPr>
        <w:t>36</w:t>
      </w:r>
      <w:r w:rsidRPr="006B5099">
        <w:rPr>
          <w:rFonts w:ascii="Times New Roman" w:eastAsia="Times New Roman" w:hAnsi="Times New Roman" w:cs="Times New Roman"/>
          <w:kern w:val="0"/>
          <w:lang w:eastAsia="en-GB"/>
          <w14:ligatures w14:val="none"/>
        </w:rPr>
        <w:t>(5), 566–573. https://doi.org/10.1037/0735-7028.36.5.566</w:t>
      </w:r>
    </w:p>
    <w:p w14:paraId="737DC989"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Perry, B. D., &amp; Winfrey, O. (2021). </w:t>
      </w:r>
      <w:r w:rsidRPr="006B5099">
        <w:rPr>
          <w:rFonts w:ascii="Times New Roman" w:eastAsia="Times New Roman" w:hAnsi="Times New Roman" w:cs="Times New Roman"/>
          <w:i/>
          <w:iCs/>
          <w:kern w:val="0"/>
          <w:lang w:eastAsia="en-GB"/>
          <w14:ligatures w14:val="none"/>
        </w:rPr>
        <w:t>What Happened to You?</w:t>
      </w:r>
      <w:r w:rsidRPr="006B5099">
        <w:rPr>
          <w:rFonts w:ascii="Times New Roman" w:eastAsia="Times New Roman" w:hAnsi="Times New Roman" w:cs="Times New Roman"/>
          <w:kern w:val="0"/>
          <w:lang w:eastAsia="en-GB"/>
          <w14:ligatures w14:val="none"/>
        </w:rPr>
        <w:t xml:space="preserve"> Flatiron Books.</w:t>
      </w:r>
    </w:p>
    <w:p w14:paraId="3BA97B5D"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Ray, D., Bratton, S., Rhine, T., &amp; Jones, L. (2016). The effectiveness of play therapy: Responding to the critics. </w:t>
      </w:r>
      <w:r w:rsidRPr="006B5099">
        <w:rPr>
          <w:rFonts w:ascii="Times New Roman" w:eastAsia="Times New Roman" w:hAnsi="Times New Roman" w:cs="Times New Roman"/>
          <w:i/>
          <w:iCs/>
          <w:kern w:val="0"/>
          <w:lang w:eastAsia="en-GB"/>
          <w14:ligatures w14:val="none"/>
        </w:rPr>
        <w:t>International Journal of Play Therapy</w:t>
      </w:r>
      <w:r w:rsidRPr="006B5099">
        <w:rPr>
          <w:rFonts w:ascii="Times New Roman" w:eastAsia="Times New Roman" w:hAnsi="Times New Roman" w:cs="Times New Roman"/>
          <w:kern w:val="0"/>
          <w:lang w:eastAsia="en-GB"/>
          <w14:ligatures w14:val="none"/>
        </w:rPr>
        <w:t xml:space="preserve">, </w:t>
      </w:r>
      <w:r w:rsidRPr="006B5099">
        <w:rPr>
          <w:rFonts w:ascii="Times New Roman" w:eastAsia="Times New Roman" w:hAnsi="Times New Roman" w:cs="Times New Roman"/>
          <w:i/>
          <w:iCs/>
          <w:kern w:val="0"/>
          <w:lang w:eastAsia="en-GB"/>
          <w14:ligatures w14:val="none"/>
        </w:rPr>
        <w:t>10</w:t>
      </w:r>
      <w:r w:rsidRPr="006B5099">
        <w:rPr>
          <w:rFonts w:ascii="Times New Roman" w:eastAsia="Times New Roman" w:hAnsi="Times New Roman" w:cs="Times New Roman"/>
          <w:kern w:val="0"/>
          <w:lang w:eastAsia="en-GB"/>
          <w14:ligatures w14:val="none"/>
        </w:rPr>
        <w:t>(1), 85–108. https://doi.org/10.1037/h0089444</w:t>
      </w:r>
    </w:p>
    <w:p w14:paraId="6FEE7C85" w14:textId="4EF5BAB6"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Rogoff, B., Callanan, M., Gutiérrez, K. D., &amp; Erickson, F. (2016). The </w:t>
      </w:r>
      <w:r w:rsidR="005674C3">
        <w:rPr>
          <w:rFonts w:ascii="Times New Roman" w:eastAsia="Times New Roman" w:hAnsi="Times New Roman" w:cs="Times New Roman"/>
          <w:kern w:val="0"/>
          <w:lang w:eastAsia="en-GB"/>
          <w14:ligatures w14:val="none"/>
        </w:rPr>
        <w:t>Organisation</w:t>
      </w:r>
      <w:r w:rsidRPr="006B5099">
        <w:rPr>
          <w:rFonts w:ascii="Times New Roman" w:eastAsia="Times New Roman" w:hAnsi="Times New Roman" w:cs="Times New Roman"/>
          <w:kern w:val="0"/>
          <w:lang w:eastAsia="en-GB"/>
          <w14:ligatures w14:val="none"/>
        </w:rPr>
        <w:t xml:space="preserve"> of Informal Learning. </w:t>
      </w:r>
      <w:r w:rsidRPr="006B5099">
        <w:rPr>
          <w:rFonts w:ascii="Times New Roman" w:eastAsia="Times New Roman" w:hAnsi="Times New Roman" w:cs="Times New Roman"/>
          <w:i/>
          <w:iCs/>
          <w:kern w:val="0"/>
          <w:lang w:eastAsia="en-GB"/>
          <w14:ligatures w14:val="none"/>
        </w:rPr>
        <w:t>Review of Research in Education</w:t>
      </w:r>
      <w:r w:rsidRPr="006B5099">
        <w:rPr>
          <w:rFonts w:ascii="Times New Roman" w:eastAsia="Times New Roman" w:hAnsi="Times New Roman" w:cs="Times New Roman"/>
          <w:kern w:val="0"/>
          <w:lang w:eastAsia="en-GB"/>
          <w14:ligatures w14:val="none"/>
        </w:rPr>
        <w:t xml:space="preserve">, </w:t>
      </w:r>
      <w:r w:rsidRPr="006B5099">
        <w:rPr>
          <w:rFonts w:ascii="Times New Roman" w:eastAsia="Times New Roman" w:hAnsi="Times New Roman" w:cs="Times New Roman"/>
          <w:i/>
          <w:iCs/>
          <w:kern w:val="0"/>
          <w:lang w:eastAsia="en-GB"/>
          <w14:ligatures w14:val="none"/>
        </w:rPr>
        <w:t>40</w:t>
      </w:r>
      <w:r w:rsidRPr="006B5099">
        <w:rPr>
          <w:rFonts w:ascii="Times New Roman" w:eastAsia="Times New Roman" w:hAnsi="Times New Roman" w:cs="Times New Roman"/>
          <w:kern w:val="0"/>
          <w:lang w:eastAsia="en-GB"/>
          <w14:ligatures w14:val="none"/>
        </w:rPr>
        <w:t>(1), 356–401. https://doi.org/10.3102/0091732x16680994</w:t>
      </w:r>
    </w:p>
    <w:p w14:paraId="2B2BDD13"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Samuel, E. (2024, November 28). </w:t>
      </w:r>
      <w:r w:rsidRPr="006B5099">
        <w:rPr>
          <w:rFonts w:ascii="Times New Roman" w:eastAsia="Times New Roman" w:hAnsi="Times New Roman" w:cs="Times New Roman"/>
          <w:i/>
          <w:iCs/>
          <w:kern w:val="0"/>
          <w:lang w:eastAsia="en-GB"/>
          <w14:ligatures w14:val="none"/>
        </w:rPr>
        <w:t>Attachment and social and emotional development - CFEC</w:t>
      </w:r>
      <w:r w:rsidRPr="006B5099">
        <w:rPr>
          <w:rFonts w:ascii="Times New Roman" w:eastAsia="Times New Roman" w:hAnsi="Times New Roman" w:cs="Times New Roman"/>
          <w:kern w:val="0"/>
          <w:lang w:eastAsia="en-GB"/>
          <w14:ligatures w14:val="none"/>
        </w:rPr>
        <w:t>. CFEC. https://centreforearlychildhood.org/news-insights/guest-essays/attachment-social-emotional-development/</w:t>
      </w:r>
    </w:p>
    <w:p w14:paraId="4CCCE4F6"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Slade, A., &amp; Holmes, J. (2019). Attachment and Psychotherapy. </w:t>
      </w:r>
      <w:r w:rsidRPr="006B5099">
        <w:rPr>
          <w:rFonts w:ascii="Times New Roman" w:eastAsia="Times New Roman" w:hAnsi="Times New Roman" w:cs="Times New Roman"/>
          <w:i/>
          <w:iCs/>
          <w:kern w:val="0"/>
          <w:lang w:eastAsia="en-GB"/>
          <w14:ligatures w14:val="none"/>
        </w:rPr>
        <w:t>Current Opinion in Psychology</w:t>
      </w:r>
      <w:r w:rsidRPr="006B5099">
        <w:rPr>
          <w:rFonts w:ascii="Times New Roman" w:eastAsia="Times New Roman" w:hAnsi="Times New Roman" w:cs="Times New Roman"/>
          <w:kern w:val="0"/>
          <w:lang w:eastAsia="en-GB"/>
          <w14:ligatures w14:val="none"/>
        </w:rPr>
        <w:t xml:space="preserve">, </w:t>
      </w:r>
      <w:r w:rsidRPr="006B5099">
        <w:rPr>
          <w:rFonts w:ascii="Times New Roman" w:eastAsia="Times New Roman" w:hAnsi="Times New Roman" w:cs="Times New Roman"/>
          <w:i/>
          <w:iCs/>
          <w:kern w:val="0"/>
          <w:lang w:eastAsia="en-GB"/>
          <w14:ligatures w14:val="none"/>
        </w:rPr>
        <w:t>25</w:t>
      </w:r>
      <w:r w:rsidRPr="006B5099">
        <w:rPr>
          <w:rFonts w:ascii="Times New Roman" w:eastAsia="Times New Roman" w:hAnsi="Times New Roman" w:cs="Times New Roman"/>
          <w:kern w:val="0"/>
          <w:lang w:eastAsia="en-GB"/>
          <w14:ligatures w14:val="none"/>
        </w:rPr>
        <w:t>(25), 152–156. https://doi.org/10.1016/j.copsyc.2018.06.008</w:t>
      </w:r>
    </w:p>
    <w:p w14:paraId="6B78A102"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Soizic Le Courtois, </w:t>
      </w:r>
      <w:proofErr w:type="spellStart"/>
      <w:r w:rsidRPr="006B5099">
        <w:rPr>
          <w:rFonts w:ascii="Times New Roman" w:eastAsia="Times New Roman" w:hAnsi="Times New Roman" w:cs="Times New Roman"/>
          <w:kern w:val="0"/>
          <w:lang w:eastAsia="en-GB"/>
          <w14:ligatures w14:val="none"/>
        </w:rPr>
        <w:t>Ezeugwu</w:t>
      </w:r>
      <w:proofErr w:type="spellEnd"/>
      <w:r w:rsidRPr="006B5099">
        <w:rPr>
          <w:rFonts w:ascii="Times New Roman" w:eastAsia="Times New Roman" w:hAnsi="Times New Roman" w:cs="Times New Roman"/>
          <w:kern w:val="0"/>
          <w:lang w:eastAsia="en-GB"/>
          <w14:ligatures w14:val="none"/>
        </w:rPr>
        <w:t xml:space="preserve">, C. R., Fajardo-Tovar, D. D., Nowack, S. K., Okullo, D. O., Bayley, S., Baker, S., &amp; Ramchandani, P. (2024). Learning through play in Global Majority countries: reflections from the PEDAL centre on understanding and adapting the concept in four different contexts. </w:t>
      </w:r>
      <w:r w:rsidRPr="006B5099">
        <w:rPr>
          <w:rFonts w:ascii="Times New Roman" w:eastAsia="Times New Roman" w:hAnsi="Times New Roman" w:cs="Times New Roman"/>
          <w:i/>
          <w:iCs/>
          <w:kern w:val="0"/>
          <w:lang w:eastAsia="en-GB"/>
          <w14:ligatures w14:val="none"/>
        </w:rPr>
        <w:t>International Journal of Play</w:t>
      </w:r>
      <w:r w:rsidRPr="006B5099">
        <w:rPr>
          <w:rFonts w:ascii="Times New Roman" w:eastAsia="Times New Roman" w:hAnsi="Times New Roman" w:cs="Times New Roman"/>
          <w:kern w:val="0"/>
          <w:lang w:eastAsia="en-GB"/>
          <w14:ligatures w14:val="none"/>
        </w:rPr>
        <w:t xml:space="preserve">, </w:t>
      </w:r>
      <w:r w:rsidRPr="006B5099">
        <w:rPr>
          <w:rFonts w:ascii="Times New Roman" w:eastAsia="Times New Roman" w:hAnsi="Times New Roman" w:cs="Times New Roman"/>
          <w:i/>
          <w:iCs/>
          <w:kern w:val="0"/>
          <w:lang w:eastAsia="en-GB"/>
          <w14:ligatures w14:val="none"/>
        </w:rPr>
        <w:t>13</w:t>
      </w:r>
      <w:r w:rsidRPr="006B5099">
        <w:rPr>
          <w:rFonts w:ascii="Times New Roman" w:eastAsia="Times New Roman" w:hAnsi="Times New Roman" w:cs="Times New Roman"/>
          <w:kern w:val="0"/>
          <w:lang w:eastAsia="en-GB"/>
          <w14:ligatures w14:val="none"/>
        </w:rPr>
        <w:t>(3), 1–26. https://doi.org/10.1080/21594937.2024.2388952</w:t>
      </w:r>
    </w:p>
    <w:p w14:paraId="0DC5BC4C" w14:textId="0BF7B7D8"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Speidel, R., Wong, </w:t>
      </w:r>
      <w:r w:rsidR="005674C3">
        <w:rPr>
          <w:rFonts w:ascii="Times New Roman" w:eastAsia="Times New Roman" w:hAnsi="Times New Roman" w:cs="Times New Roman"/>
          <w:kern w:val="0"/>
          <w:lang w:eastAsia="en-GB"/>
          <w14:ligatures w14:val="none"/>
        </w:rPr>
        <w:t>T.-M.</w:t>
      </w:r>
      <w:r w:rsidRPr="006B5099">
        <w:rPr>
          <w:rFonts w:ascii="Times New Roman" w:eastAsia="Times New Roman" w:hAnsi="Times New Roman" w:cs="Times New Roman"/>
          <w:kern w:val="0"/>
          <w:lang w:eastAsia="en-GB"/>
          <w14:ligatures w14:val="none"/>
        </w:rPr>
        <w:t>, Al-</w:t>
      </w:r>
      <w:proofErr w:type="spellStart"/>
      <w:r w:rsidRPr="006B5099">
        <w:rPr>
          <w:rFonts w:ascii="Times New Roman" w:eastAsia="Times New Roman" w:hAnsi="Times New Roman" w:cs="Times New Roman"/>
          <w:kern w:val="0"/>
          <w:lang w:eastAsia="en-GB"/>
          <w14:ligatures w14:val="none"/>
        </w:rPr>
        <w:t>Janaideh</w:t>
      </w:r>
      <w:proofErr w:type="spellEnd"/>
      <w:r w:rsidRPr="006B5099">
        <w:rPr>
          <w:rFonts w:ascii="Times New Roman" w:eastAsia="Times New Roman" w:hAnsi="Times New Roman" w:cs="Times New Roman"/>
          <w:kern w:val="0"/>
          <w:lang w:eastAsia="en-GB"/>
          <w14:ligatures w14:val="none"/>
        </w:rPr>
        <w:t xml:space="preserve">, R., Colasante, T., &amp; Malti, T. (2023). Nurturing child social-emotional development: evaluation of a pre-post and 2-month follow-up </w:t>
      </w:r>
      <w:r w:rsidRPr="006B5099">
        <w:rPr>
          <w:rFonts w:ascii="Times New Roman" w:eastAsia="Times New Roman" w:hAnsi="Times New Roman" w:cs="Times New Roman"/>
          <w:kern w:val="0"/>
          <w:lang w:eastAsia="en-GB"/>
          <w14:ligatures w14:val="none"/>
        </w:rPr>
        <w:lastRenderedPageBreak/>
        <w:t xml:space="preserve">uncontrolled pilot training for caregivers and educators. </w:t>
      </w:r>
      <w:r w:rsidRPr="006B5099">
        <w:rPr>
          <w:rFonts w:ascii="Times New Roman" w:eastAsia="Times New Roman" w:hAnsi="Times New Roman" w:cs="Times New Roman"/>
          <w:i/>
          <w:iCs/>
          <w:kern w:val="0"/>
          <w:lang w:eastAsia="en-GB"/>
          <w14:ligatures w14:val="none"/>
        </w:rPr>
        <w:t>Pilot and Feasibility Studies</w:t>
      </w:r>
      <w:r w:rsidRPr="006B5099">
        <w:rPr>
          <w:rFonts w:ascii="Times New Roman" w:eastAsia="Times New Roman" w:hAnsi="Times New Roman" w:cs="Times New Roman"/>
          <w:kern w:val="0"/>
          <w:lang w:eastAsia="en-GB"/>
          <w14:ligatures w14:val="none"/>
        </w:rPr>
        <w:t xml:space="preserve">, </w:t>
      </w:r>
      <w:r w:rsidRPr="006B5099">
        <w:rPr>
          <w:rFonts w:ascii="Times New Roman" w:eastAsia="Times New Roman" w:hAnsi="Times New Roman" w:cs="Times New Roman"/>
          <w:i/>
          <w:iCs/>
          <w:kern w:val="0"/>
          <w:lang w:eastAsia="en-GB"/>
          <w14:ligatures w14:val="none"/>
        </w:rPr>
        <w:t>9</w:t>
      </w:r>
      <w:r w:rsidRPr="006B5099">
        <w:rPr>
          <w:rFonts w:ascii="Times New Roman" w:eastAsia="Times New Roman" w:hAnsi="Times New Roman" w:cs="Times New Roman"/>
          <w:kern w:val="0"/>
          <w:lang w:eastAsia="en-GB"/>
          <w14:ligatures w14:val="none"/>
        </w:rPr>
        <w:t>(1). https://doi.org/10.1186/s40814-023-01357-4</w:t>
      </w:r>
    </w:p>
    <w:p w14:paraId="75D558BE"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The University of Edinburgh. (2024). </w:t>
      </w:r>
      <w:r w:rsidRPr="006B5099">
        <w:rPr>
          <w:rFonts w:ascii="Times New Roman" w:eastAsia="Times New Roman" w:hAnsi="Times New Roman" w:cs="Times New Roman"/>
          <w:i/>
          <w:iCs/>
          <w:kern w:val="0"/>
          <w:lang w:eastAsia="en-GB"/>
          <w14:ligatures w14:val="none"/>
        </w:rPr>
        <w:t>Gibbs’ Reflective Cycle</w:t>
      </w:r>
      <w:r w:rsidRPr="006B5099">
        <w:rPr>
          <w:rFonts w:ascii="Times New Roman" w:eastAsia="Times New Roman" w:hAnsi="Times New Roman" w:cs="Times New Roman"/>
          <w:kern w:val="0"/>
          <w:lang w:eastAsia="en-GB"/>
          <w14:ligatures w14:val="none"/>
        </w:rPr>
        <w:t>. The University of Edinburgh. https://reflection.ed.ac.uk/reflectors-toolkit/reflecting-on-experience/gibbs-reflective-cycle</w:t>
      </w:r>
    </w:p>
    <w:p w14:paraId="14BA6684"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r w:rsidRPr="006B5099">
        <w:rPr>
          <w:rFonts w:ascii="Times New Roman" w:eastAsia="Times New Roman" w:hAnsi="Times New Roman" w:cs="Times New Roman"/>
          <w:kern w:val="0"/>
          <w:lang w:eastAsia="en-GB"/>
          <w14:ligatures w14:val="none"/>
        </w:rPr>
        <w:t xml:space="preserve">UNICEF. (2021). </w:t>
      </w:r>
      <w:r w:rsidRPr="006B5099">
        <w:rPr>
          <w:rFonts w:ascii="Times New Roman" w:eastAsia="Times New Roman" w:hAnsi="Times New Roman" w:cs="Times New Roman"/>
          <w:i/>
          <w:iCs/>
          <w:kern w:val="0"/>
          <w:lang w:eastAsia="en-GB"/>
          <w14:ligatures w14:val="none"/>
        </w:rPr>
        <w:t>The State of the World’s Children 2021</w:t>
      </w:r>
      <w:r w:rsidRPr="006B5099">
        <w:rPr>
          <w:rFonts w:ascii="Times New Roman" w:eastAsia="Times New Roman" w:hAnsi="Times New Roman" w:cs="Times New Roman"/>
          <w:kern w:val="0"/>
          <w:lang w:eastAsia="en-GB"/>
          <w14:ligatures w14:val="none"/>
        </w:rPr>
        <w:t>. Www.unicef.org; UNICEF. https://www.unicef.org/reports/state-worlds-children-2021</w:t>
      </w:r>
    </w:p>
    <w:p w14:paraId="4DFB823C" w14:textId="77777777" w:rsidR="006B5099" w:rsidRPr="006B5099" w:rsidRDefault="006B5099" w:rsidP="005674C3">
      <w:pPr>
        <w:spacing w:after="0" w:line="480" w:lineRule="auto"/>
        <w:ind w:left="720" w:hanging="720"/>
        <w:jc w:val="both"/>
        <w:rPr>
          <w:rFonts w:ascii="Times New Roman" w:eastAsia="Times New Roman" w:hAnsi="Times New Roman" w:cs="Times New Roman"/>
          <w:kern w:val="0"/>
          <w:lang w:eastAsia="en-GB"/>
          <w14:ligatures w14:val="none"/>
        </w:rPr>
      </w:pPr>
      <w:proofErr w:type="spellStart"/>
      <w:r w:rsidRPr="006B5099">
        <w:rPr>
          <w:rFonts w:ascii="Times New Roman" w:eastAsia="Times New Roman" w:hAnsi="Times New Roman" w:cs="Times New Roman"/>
          <w:kern w:val="0"/>
          <w:lang w:eastAsia="en-GB"/>
          <w14:ligatures w14:val="none"/>
        </w:rPr>
        <w:t>Veraksa</w:t>
      </w:r>
      <w:proofErr w:type="spellEnd"/>
      <w:r w:rsidRPr="006B5099">
        <w:rPr>
          <w:rFonts w:ascii="Times New Roman" w:eastAsia="Times New Roman" w:hAnsi="Times New Roman" w:cs="Times New Roman"/>
          <w:kern w:val="0"/>
          <w:lang w:eastAsia="en-GB"/>
          <w14:ligatures w14:val="none"/>
        </w:rPr>
        <w:t xml:space="preserve">, A. N., Plotnikova, V. A., Sukhikh, V. L., Kornienko, D. S., &amp; </w:t>
      </w:r>
      <w:proofErr w:type="spellStart"/>
      <w:r w:rsidRPr="006B5099">
        <w:rPr>
          <w:rFonts w:ascii="Times New Roman" w:eastAsia="Times New Roman" w:hAnsi="Times New Roman" w:cs="Times New Roman"/>
          <w:kern w:val="0"/>
          <w:lang w:eastAsia="en-GB"/>
          <w14:ligatures w14:val="none"/>
        </w:rPr>
        <w:t>Rudnova</w:t>
      </w:r>
      <w:proofErr w:type="spellEnd"/>
      <w:r w:rsidRPr="006B5099">
        <w:rPr>
          <w:rFonts w:ascii="Times New Roman" w:eastAsia="Times New Roman" w:hAnsi="Times New Roman" w:cs="Times New Roman"/>
          <w:kern w:val="0"/>
          <w:lang w:eastAsia="en-GB"/>
          <w14:ligatures w14:val="none"/>
        </w:rPr>
        <w:t xml:space="preserve">, N. A. (2025). Non-therapeutic play to overcome negative emotional symptoms and improve emotional intelligence in children aged 3–7: a systematic review. </w:t>
      </w:r>
      <w:r w:rsidRPr="006B5099">
        <w:rPr>
          <w:rFonts w:ascii="Times New Roman" w:eastAsia="Times New Roman" w:hAnsi="Times New Roman" w:cs="Times New Roman"/>
          <w:i/>
          <w:iCs/>
          <w:kern w:val="0"/>
          <w:lang w:eastAsia="en-GB"/>
          <w14:ligatures w14:val="none"/>
        </w:rPr>
        <w:t>Frontiers in Psychology</w:t>
      </w:r>
      <w:r w:rsidRPr="006B5099">
        <w:rPr>
          <w:rFonts w:ascii="Times New Roman" w:eastAsia="Times New Roman" w:hAnsi="Times New Roman" w:cs="Times New Roman"/>
          <w:kern w:val="0"/>
          <w:lang w:eastAsia="en-GB"/>
          <w14:ligatures w14:val="none"/>
        </w:rPr>
        <w:t xml:space="preserve">, </w:t>
      </w:r>
      <w:r w:rsidRPr="006B5099">
        <w:rPr>
          <w:rFonts w:ascii="Times New Roman" w:eastAsia="Times New Roman" w:hAnsi="Times New Roman" w:cs="Times New Roman"/>
          <w:i/>
          <w:iCs/>
          <w:kern w:val="0"/>
          <w:lang w:eastAsia="en-GB"/>
          <w14:ligatures w14:val="none"/>
        </w:rPr>
        <w:t>16</w:t>
      </w:r>
      <w:r w:rsidRPr="006B5099">
        <w:rPr>
          <w:rFonts w:ascii="Times New Roman" w:eastAsia="Times New Roman" w:hAnsi="Times New Roman" w:cs="Times New Roman"/>
          <w:kern w:val="0"/>
          <w:lang w:eastAsia="en-GB"/>
          <w14:ligatures w14:val="none"/>
        </w:rPr>
        <w:t>. https://doi.org/10.3389/fpsyg.2025.1475387</w:t>
      </w:r>
    </w:p>
    <w:p w14:paraId="7BA9FDF7" w14:textId="77777777" w:rsidR="006B5099" w:rsidRPr="00B25003" w:rsidRDefault="006B5099" w:rsidP="00B25003">
      <w:pPr>
        <w:spacing w:line="360" w:lineRule="auto"/>
        <w:jc w:val="both"/>
      </w:pPr>
    </w:p>
    <w:sectPr w:rsidR="006B5099" w:rsidRPr="00B25003" w:rsidSect="009759E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003"/>
    <w:rsid w:val="00206A1C"/>
    <w:rsid w:val="003A0DC4"/>
    <w:rsid w:val="00411A2D"/>
    <w:rsid w:val="005674C3"/>
    <w:rsid w:val="006B5099"/>
    <w:rsid w:val="008529CD"/>
    <w:rsid w:val="009759E1"/>
    <w:rsid w:val="00B25003"/>
    <w:rsid w:val="00D350AB"/>
    <w:rsid w:val="00D7035D"/>
    <w:rsid w:val="00DC0167"/>
    <w:rsid w:val="00EE09EC"/>
    <w:rsid w:val="00EE15CD"/>
    <w:rsid w:val="00FC5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C4221"/>
  <w15:chartTrackingRefBased/>
  <w15:docId w15:val="{DE310FD2-FDD8-4987-A668-B1BD7D538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50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50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50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50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50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50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50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50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50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0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0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0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0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0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0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0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0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003"/>
    <w:rPr>
      <w:rFonts w:eastAsiaTheme="majorEastAsia" w:cstheme="majorBidi"/>
      <w:color w:val="272727" w:themeColor="text1" w:themeTint="D8"/>
    </w:rPr>
  </w:style>
  <w:style w:type="paragraph" w:styleId="Title">
    <w:name w:val="Title"/>
    <w:basedOn w:val="Normal"/>
    <w:next w:val="Normal"/>
    <w:link w:val="TitleChar"/>
    <w:uiPriority w:val="10"/>
    <w:qFormat/>
    <w:rsid w:val="00B250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0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0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50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003"/>
    <w:pPr>
      <w:spacing w:before="160"/>
      <w:jc w:val="center"/>
    </w:pPr>
    <w:rPr>
      <w:i/>
      <w:iCs/>
      <w:color w:val="404040" w:themeColor="text1" w:themeTint="BF"/>
    </w:rPr>
  </w:style>
  <w:style w:type="character" w:customStyle="1" w:styleId="QuoteChar">
    <w:name w:val="Quote Char"/>
    <w:basedOn w:val="DefaultParagraphFont"/>
    <w:link w:val="Quote"/>
    <w:uiPriority w:val="29"/>
    <w:rsid w:val="00B25003"/>
    <w:rPr>
      <w:i/>
      <w:iCs/>
      <w:color w:val="404040" w:themeColor="text1" w:themeTint="BF"/>
    </w:rPr>
  </w:style>
  <w:style w:type="paragraph" w:styleId="ListParagraph">
    <w:name w:val="List Paragraph"/>
    <w:basedOn w:val="Normal"/>
    <w:uiPriority w:val="34"/>
    <w:qFormat/>
    <w:rsid w:val="00B25003"/>
    <w:pPr>
      <w:ind w:left="720"/>
      <w:contextualSpacing/>
    </w:pPr>
  </w:style>
  <w:style w:type="character" w:styleId="IntenseEmphasis">
    <w:name w:val="Intense Emphasis"/>
    <w:basedOn w:val="DefaultParagraphFont"/>
    <w:uiPriority w:val="21"/>
    <w:qFormat/>
    <w:rsid w:val="00B25003"/>
    <w:rPr>
      <w:i/>
      <w:iCs/>
      <w:color w:val="0F4761" w:themeColor="accent1" w:themeShade="BF"/>
    </w:rPr>
  </w:style>
  <w:style w:type="paragraph" w:styleId="IntenseQuote">
    <w:name w:val="Intense Quote"/>
    <w:basedOn w:val="Normal"/>
    <w:next w:val="Normal"/>
    <w:link w:val="IntenseQuoteChar"/>
    <w:uiPriority w:val="30"/>
    <w:qFormat/>
    <w:rsid w:val="00B250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5003"/>
    <w:rPr>
      <w:i/>
      <w:iCs/>
      <w:color w:val="0F4761" w:themeColor="accent1" w:themeShade="BF"/>
    </w:rPr>
  </w:style>
  <w:style w:type="character" w:styleId="IntenseReference">
    <w:name w:val="Intense Reference"/>
    <w:basedOn w:val="DefaultParagraphFont"/>
    <w:uiPriority w:val="32"/>
    <w:qFormat/>
    <w:rsid w:val="00B25003"/>
    <w:rPr>
      <w:b/>
      <w:bCs/>
      <w:smallCaps/>
      <w:color w:val="0F4761" w:themeColor="accent1" w:themeShade="BF"/>
      <w:spacing w:val="5"/>
    </w:rPr>
  </w:style>
  <w:style w:type="paragraph" w:styleId="NoSpacing">
    <w:name w:val="No Spacing"/>
    <w:link w:val="NoSpacingChar"/>
    <w:uiPriority w:val="1"/>
    <w:qFormat/>
    <w:rsid w:val="009759E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9759E1"/>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105</TotalTime>
  <Pages>18</Pages>
  <Words>5631</Words>
  <Characters>32099</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Edina Oruci</dc:creator>
  <cp:keywords/>
  <dc:description/>
  <cp:lastModifiedBy>Edina Oruci</cp:lastModifiedBy>
  <cp:revision>3</cp:revision>
  <dcterms:created xsi:type="dcterms:W3CDTF">2026-02-07T20:16:00Z</dcterms:created>
  <dcterms:modified xsi:type="dcterms:W3CDTF">2026-02-08T19:08:00Z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a4e38d63-64b0-49a4-9432-92c65330d0e9</vt:lpwstr>
  </property>
</Properties>
</file>