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70E2E" w:rsidRDefault="00670E2E">
      <w:pPr>
        <w:rPr>
          <w:b/>
        </w:rPr>
      </w:pPr>
      <w:r w:rsidRPr="00670E2E">
        <w:rPr>
          <w:b/>
        </w:rPr>
        <w:t>David Cunningham</w:t>
      </w:r>
      <w:r>
        <w:rPr>
          <w:b/>
        </w:rPr>
        <w:t xml:space="preserve"> 1501145 – Assignment 1 AHHI6013</w:t>
      </w:r>
    </w:p>
    <w:p w:rsidR="00670E2E" w:rsidRDefault="00670E2E" w:rsidP="00670E2E">
      <w:pPr>
        <w:rPr>
          <w:b/>
        </w:rPr>
      </w:pPr>
    </w:p>
    <w:p w:rsidR="00670E2E" w:rsidRDefault="00670E2E" w:rsidP="00670E2E">
      <w:pPr>
        <w:rPr>
          <w:b/>
        </w:rPr>
      </w:pPr>
      <w:r w:rsidRPr="00670E2E">
        <w:rPr>
          <w:b/>
          <w:bCs/>
        </w:rPr>
        <w:t>In 1984, Margaret Thatcher warned of the threat posed to British society by what she called “</w:t>
      </w:r>
      <w:r w:rsidRPr="00670E2E">
        <w:rPr>
          <w:b/>
        </w:rPr>
        <w:t xml:space="preserve">the enemy within.” Which individuals or social groups do you think Thatcher had in mind, and in what ways did state authorities seek to redress their supposed threat? </w:t>
      </w:r>
    </w:p>
    <w:p w:rsidR="00670E2E" w:rsidRDefault="00670E2E" w:rsidP="00670E2E">
      <w:pPr>
        <w:rPr>
          <w:b/>
        </w:rPr>
      </w:pPr>
    </w:p>
    <w:p w:rsidR="00AF4DDA" w:rsidRDefault="00D92DAA" w:rsidP="00670E2E">
      <w:pPr>
        <w:spacing w:line="480" w:lineRule="auto"/>
      </w:pPr>
      <w:r>
        <w:t xml:space="preserve">The major industrial action that occurred in 1984-1985 was the largest disruption Britain had seen since the general strike of 1926. The attempts made by the National Union of Miners (NUM) to freeze the British coal industry, through strike action, saw violent confrontations and social strife throughout the year between striking miners and various British police forces. Milne argues that the 1984 strike had ‘no real parallel, in size, duration and impact, </w:t>
      </w:r>
      <w:r w:rsidRPr="00D92DAA">
        <w:t>anywhere in the world</w:t>
      </w:r>
      <w:r>
        <w:t>’</w:t>
      </w:r>
      <w:r>
        <w:rPr>
          <w:rStyle w:val="FootnoteReference"/>
        </w:rPr>
        <w:footnoteReference w:id="1"/>
      </w:r>
      <w:r w:rsidR="008715CF">
        <w:t xml:space="preserve">. The description made by Thatcher in a closed talk in 1984, of the ‘enemy within’ can be interpreted in </w:t>
      </w:r>
      <w:proofErr w:type="gramStart"/>
      <w:r w:rsidR="008715CF">
        <w:t>many different ways</w:t>
      </w:r>
      <w:proofErr w:type="gramEnd"/>
      <w:r w:rsidR="008715CF">
        <w:rPr>
          <w:rStyle w:val="FootnoteReference"/>
        </w:rPr>
        <w:footnoteReference w:id="2"/>
      </w:r>
      <w:r w:rsidR="008715CF">
        <w:t xml:space="preserve">. It wasn’t precisely clear just exactly which group or individual she was referring to. The </w:t>
      </w:r>
      <w:r w:rsidR="00AF4DDA">
        <w:t>most common assessment is that Thatcher was talking about Arthur Scargill, and this is perhaps the most likely answer, but she may also have been alluding to the NUM entire, the striking miners them</w:t>
      </w:r>
      <w:r w:rsidR="00AA7D8D">
        <w:t>selves, or perhaps even the opposition Labour movement and party</w:t>
      </w:r>
      <w:r w:rsidR="00AF4DDA">
        <w:t>. These possibilities will be discussed throughout this essay as well as the methods Thatcher and her Conservative government used to crush the 1984 miners’ strike.</w:t>
      </w:r>
    </w:p>
    <w:p w:rsidR="00AF4DDA" w:rsidRDefault="00AF4DDA" w:rsidP="00670E2E">
      <w:pPr>
        <w:spacing w:line="480" w:lineRule="auto"/>
      </w:pPr>
    </w:p>
    <w:p w:rsidR="007A5287" w:rsidRDefault="00AF4DDA" w:rsidP="00670E2E">
      <w:pPr>
        <w:spacing w:line="480" w:lineRule="auto"/>
      </w:pPr>
      <w:r>
        <w:t>Arthur Scargill is the most likely candidate for Thatcher’s description of the ‘enemy within’</w:t>
      </w:r>
      <w:r w:rsidR="00F676C7">
        <w:t>. With previous experience of strike action, such as his leadership of the unofficial 1969 strike which began in Yorkshire</w:t>
      </w:r>
      <w:r w:rsidR="00F676C7">
        <w:rPr>
          <w:rStyle w:val="FootnoteReference"/>
        </w:rPr>
        <w:footnoteReference w:id="3"/>
      </w:r>
      <w:r w:rsidR="00F676C7">
        <w:t>, and many years down the pits of Wooley Colliery, Barnsley</w:t>
      </w:r>
      <w:r w:rsidR="00F676C7">
        <w:rPr>
          <w:rStyle w:val="FootnoteReference"/>
        </w:rPr>
        <w:footnoteReference w:id="4"/>
      </w:r>
      <w:r w:rsidR="00F676C7">
        <w:t>, Scargill rose as the leading figure during the 1984 strike</w:t>
      </w:r>
      <w:r w:rsidR="00D564DA">
        <w:t xml:space="preserve"> as leader of the NUM</w:t>
      </w:r>
      <w:r w:rsidR="00F676C7">
        <w:t xml:space="preserve">. </w:t>
      </w:r>
      <w:r w:rsidR="00D564DA">
        <w:t>Scargill was fervently against the action of the Conservative government against the coal industry,</w:t>
      </w:r>
      <w:r w:rsidR="00AA7D8D">
        <w:t xml:space="preserve"> this is evident as</w:t>
      </w:r>
      <w:r w:rsidR="00D564DA">
        <w:t xml:space="preserve"> in 1983 he </w:t>
      </w:r>
      <w:r w:rsidR="003B71EB">
        <w:t>stated,</w:t>
      </w:r>
      <w:r w:rsidR="00D564DA">
        <w:t xml:space="preserve"> ‘</w:t>
      </w:r>
      <w:r w:rsidR="00D564DA" w:rsidRPr="00D564DA">
        <w:t xml:space="preserve">The policies </w:t>
      </w:r>
      <w:r w:rsidR="00D564DA" w:rsidRPr="00D564DA">
        <w:lastRenderedPageBreak/>
        <w:t xml:space="preserve">of this </w:t>
      </w:r>
      <w:r w:rsidR="00D564DA">
        <w:t xml:space="preserve">government are clear, </w:t>
      </w:r>
      <w:r w:rsidR="00D564DA" w:rsidRPr="00D564DA">
        <w:t>to destroy the coal industry and the NUM</w:t>
      </w:r>
      <w:r w:rsidR="00D564DA">
        <w:t>’</w:t>
      </w:r>
      <w:r w:rsidR="00D564DA">
        <w:rPr>
          <w:rStyle w:val="FootnoteReference"/>
        </w:rPr>
        <w:footnoteReference w:id="5"/>
      </w:r>
      <w:r w:rsidR="00D564DA">
        <w:t>.</w:t>
      </w:r>
      <w:r w:rsidR="003B71EB">
        <w:t xml:space="preserve"> Scargill’s opposition to Thatcher is hardly surprising due to his Socialist leanings and trade union militancy, everything Thatcher despised. </w:t>
      </w:r>
      <w:r w:rsidR="00F676C7">
        <w:t>The dominating personalities of both Scargill and Thatcher led to a</w:t>
      </w:r>
      <w:r w:rsidR="003B71EB">
        <w:t xml:space="preserve"> vocal</w:t>
      </w:r>
      <w:r w:rsidR="00F676C7">
        <w:t xml:space="preserve"> battle of convictions and </w:t>
      </w:r>
      <w:r w:rsidR="003B71EB">
        <w:t xml:space="preserve">confrontations between the two, however, the footings for Scargill’s arguments were flawed and </w:t>
      </w:r>
      <w:r w:rsidR="00F676C7">
        <w:t>Thatcher had prepared well for these such confrontations</w:t>
      </w:r>
      <w:r w:rsidR="00D564DA">
        <w:rPr>
          <w:rStyle w:val="FootnoteReference"/>
        </w:rPr>
        <w:footnoteReference w:id="6"/>
      </w:r>
      <w:r w:rsidR="00D564DA">
        <w:t>.</w:t>
      </w:r>
      <w:r w:rsidR="0026245C">
        <w:t xml:space="preserve"> The state of the British coal industry was seen by Thatcher as uneconomic and inefficient so plans were made to close the pits working at the greatest losses. Planning well in advance, Th</w:t>
      </w:r>
      <w:r w:rsidR="00CB1B0D">
        <w:t>atcher stockpiled coal reserves, which would buy time during strike action and ultimately pressure strikers to return to work</w:t>
      </w:r>
      <w:r w:rsidR="00CB1B0D">
        <w:rPr>
          <w:rStyle w:val="FootnoteReference"/>
        </w:rPr>
        <w:footnoteReference w:id="7"/>
      </w:r>
      <w:r w:rsidR="00CB1B0D">
        <w:t>. She also appointed tough individuals to high level planning committees, alongside the appointment of Ian Macgregor as leader of the National Coal Board (NCB) in 1983</w:t>
      </w:r>
      <w:r w:rsidR="00CB1B0D">
        <w:rPr>
          <w:rStyle w:val="FootnoteReference"/>
        </w:rPr>
        <w:footnoteReference w:id="8"/>
      </w:r>
      <w:r w:rsidR="00CB1B0D">
        <w:t>. Macgregor had already proved his effectiveness in turning around failed industries by his tackling of the issues in the British Steel Corporation, turning the company into near profit</w:t>
      </w:r>
      <w:r w:rsidR="00CB1B0D">
        <w:rPr>
          <w:rStyle w:val="FootnoteReference"/>
        </w:rPr>
        <w:footnoteReference w:id="9"/>
      </w:r>
      <w:r w:rsidR="00CB1B0D">
        <w:t xml:space="preserve">. He also became a catalyst for disagreements with Scargill. Thatcher’s tackling of Scargill was greatly helped by the fact that the entire basis for the strike was </w:t>
      </w:r>
      <w:r w:rsidR="001C0D6D">
        <w:t>flawed. Scargill had called for the strike without the confirmation of a strike ballot. This meant that the 1984 strike was not a legal action and split support from many unions and the British public. Many miners continued to work, so Scargill sent flying pickets to the offending collieries to prevent work from continuing</w:t>
      </w:r>
      <w:r w:rsidR="001C0D6D">
        <w:rPr>
          <w:rStyle w:val="FootnoteReference"/>
        </w:rPr>
        <w:footnoteReference w:id="10"/>
      </w:r>
      <w:r w:rsidR="001C0D6D">
        <w:t>. In September of 1984, court judge Lord Justice Nicholls, ruled that the strike was in fact illegal and that any attempt made to prevent miners from working was against the constitution</w:t>
      </w:r>
      <w:r w:rsidR="00541FED">
        <w:rPr>
          <w:rStyle w:val="FootnoteReference"/>
        </w:rPr>
        <w:footnoteReference w:id="11"/>
      </w:r>
      <w:r w:rsidR="001C0D6D">
        <w:t>.</w:t>
      </w:r>
      <w:r w:rsidR="001B3B40">
        <w:t xml:space="preserve"> Scargill’s refusal to condemn violence against strike-breakers was picked up by the national media, notably by Robert Maxwell, the owner of the Daily Mirror, which helped to turn </w:t>
      </w:r>
      <w:r w:rsidR="001B3B40">
        <w:lastRenderedPageBreak/>
        <w:t>public opinion away from the strike</w:t>
      </w:r>
      <w:r w:rsidR="001B3B40">
        <w:rPr>
          <w:rStyle w:val="FootnoteReference"/>
        </w:rPr>
        <w:footnoteReference w:id="12"/>
      </w:r>
      <w:r w:rsidR="001B3B40">
        <w:t>.</w:t>
      </w:r>
      <w:r w:rsidR="001C0D6D">
        <w:t xml:space="preserve"> </w:t>
      </w:r>
      <w:r w:rsidR="00E54CB4">
        <w:t xml:space="preserve">This was a key victory for Thatcher as it meant that Scargill’s actions </w:t>
      </w:r>
      <w:proofErr w:type="gramStart"/>
      <w:r w:rsidR="00E54CB4">
        <w:t>were seen as</w:t>
      </w:r>
      <w:proofErr w:type="gramEnd"/>
      <w:r w:rsidR="00E54CB4">
        <w:t xml:space="preserve"> illegal by the general public, dissention began to appear within the striking miners, and support for the leadership of the NUM was in decline.</w:t>
      </w:r>
    </w:p>
    <w:p w:rsidR="007A5287" w:rsidRDefault="007A5287" w:rsidP="00670E2E">
      <w:pPr>
        <w:spacing w:line="480" w:lineRule="auto"/>
      </w:pPr>
    </w:p>
    <w:p w:rsidR="00AF4DDA" w:rsidRDefault="007A5287" w:rsidP="00670E2E">
      <w:pPr>
        <w:spacing w:line="480" w:lineRule="auto"/>
      </w:pPr>
      <w:r>
        <w:t>However, Thatcher could have been refe</w:t>
      </w:r>
      <w:r w:rsidR="00AA7D8D">
        <w:t>rring to the NUM in its entirety</w:t>
      </w:r>
      <w:r>
        <w:t xml:space="preserve">, rather than just Scargill as an individual. The efforts made to break down the NUM shows that Thatcher </w:t>
      </w:r>
      <w:r w:rsidR="00D7606C">
        <w:t xml:space="preserve">directly tackled this entity and that opposition to the NUM was something that Thatcher strongly believed in. The labelling of the NUM as the ‘enemy within’ could </w:t>
      </w:r>
      <w:proofErr w:type="gramStart"/>
      <w:r w:rsidR="00D7606C">
        <w:t>be seen as</w:t>
      </w:r>
      <w:proofErr w:type="gramEnd"/>
      <w:r w:rsidR="00D7606C">
        <w:t xml:space="preserve"> Thatcher attempting to legitimise her attempts to break the strike through a subversive assault on the NUM.</w:t>
      </w:r>
      <w:r w:rsidR="002942E8">
        <w:t xml:space="preserve"> Rumours surfaced that the NUM was receiving funds to continue the faltering strike from the Soviet Union, and also the Libyan government. The latter was proved to be a falsehood, described as ‘wholly without substance and a classic smear campaign’ by Milne</w:t>
      </w:r>
      <w:r w:rsidR="00D14744">
        <w:rPr>
          <w:rStyle w:val="FootnoteReference"/>
        </w:rPr>
        <w:footnoteReference w:id="13"/>
      </w:r>
      <w:r w:rsidR="00D14744">
        <w:t>. However, official records released by the Soviet Union’s trade federation show that some £1.5 million were given to the NUM during 1984</w:t>
      </w:r>
      <w:r w:rsidR="00D14744">
        <w:rPr>
          <w:rStyle w:val="FootnoteReference"/>
        </w:rPr>
        <w:footnoteReference w:id="14"/>
      </w:r>
      <w:r w:rsidR="00D14744">
        <w:t>. The rumours of such dealings gave Thatcher cause to order MI5 to infiltrate the NUM and begin a surveillance operation. It was found that the Vice-President of the NUM, Mick McGahey, was keen to accept monetary help from the Soviet Union and did so on many occasions</w:t>
      </w:r>
      <w:r w:rsidR="00D14744">
        <w:rPr>
          <w:rStyle w:val="FootnoteReference"/>
        </w:rPr>
        <w:footnoteReference w:id="15"/>
      </w:r>
      <w:r w:rsidR="00D14744">
        <w:t>. This evidence was collected through the method of phone tapping, used by MI5 operatives and revealed by the Director General of MI5, Dame Stella Rimington, in</w:t>
      </w:r>
      <w:r w:rsidR="00AA7D8D">
        <w:t xml:space="preserve"> her</w:t>
      </w:r>
      <w:r w:rsidR="00D14744">
        <w:t xml:space="preserve"> 2001</w:t>
      </w:r>
      <w:r w:rsidR="00AA7D8D">
        <w:t xml:space="preserve"> biography</w:t>
      </w:r>
      <w:r w:rsidR="00D34049">
        <w:rPr>
          <w:rStyle w:val="FootnoteReference"/>
        </w:rPr>
        <w:footnoteReference w:id="16"/>
      </w:r>
      <w:r w:rsidR="00D34049">
        <w:t>. The evidence collected allowed Thatcher to tackle the NUM by exposing fears that the Soviet Union was involved. At such a tense period of Cold War foreign policy and anti-communist anxieties, these findings played the NUM righ</w:t>
      </w:r>
      <w:r w:rsidR="00AA7D8D">
        <w:t>t into Thatcher’s hands. This was</w:t>
      </w:r>
      <w:r w:rsidR="00D34049">
        <w:t xml:space="preserve"> proved by the actions of Polish miners’ union ‘Solidarity’, who opposed the NUM’s methods and caused many Polish miners in Britain to either oppose the strike or cross the picket line </w:t>
      </w:r>
      <w:r w:rsidR="00D34049">
        <w:lastRenderedPageBreak/>
        <w:t>and resume work</w:t>
      </w:r>
      <w:r w:rsidR="00D34049">
        <w:rPr>
          <w:rStyle w:val="FootnoteReference"/>
        </w:rPr>
        <w:footnoteReference w:id="17"/>
      </w:r>
      <w:r w:rsidR="00D34049">
        <w:t xml:space="preserve">. This was precisely what Thatcher wanted, a breakdown of unity within the unions and a change of support for the strike by the public, through the tarring of the NUM’s </w:t>
      </w:r>
      <w:r w:rsidR="00991F5C">
        <w:t xml:space="preserve">reputation. </w:t>
      </w:r>
    </w:p>
    <w:p w:rsidR="00AA7D8D" w:rsidRDefault="00AA7D8D" w:rsidP="00670E2E">
      <w:pPr>
        <w:spacing w:line="480" w:lineRule="auto"/>
      </w:pPr>
    </w:p>
    <w:p w:rsidR="00A40D0F" w:rsidRDefault="00AA7D8D" w:rsidP="00670E2E">
      <w:pPr>
        <w:spacing w:line="480" w:lineRule="auto"/>
      </w:pPr>
      <w:r>
        <w:t>The actions of the miners</w:t>
      </w:r>
      <w:r w:rsidR="000C33B2">
        <w:t>,</w:t>
      </w:r>
      <w:r>
        <w:t xml:space="preserve"> who chose not to continue work</w:t>
      </w:r>
      <w:r w:rsidR="000C33B2">
        <w:t>,</w:t>
      </w:r>
      <w:r>
        <w:t xml:space="preserve"> could have given cause for Thatcher to label them as the </w:t>
      </w:r>
      <w:r w:rsidR="000C33B2">
        <w:t>‘</w:t>
      </w:r>
      <w:r>
        <w:t>enemy within</w:t>
      </w:r>
      <w:r w:rsidR="000C33B2">
        <w:t>’</w:t>
      </w:r>
      <w:r>
        <w:t>.</w:t>
      </w:r>
      <w:r w:rsidR="000C33B2">
        <w:t xml:space="preserve"> Scargill’s organisation of flying pickets across the country to prevent men who didn’t support the strike from going to work, caused great concern. The strike was nationally supported by </w:t>
      </w:r>
      <w:proofErr w:type="gramStart"/>
      <w:r w:rsidR="000C33B2">
        <w:t>the majority of</w:t>
      </w:r>
      <w:proofErr w:type="gramEnd"/>
      <w:r w:rsidR="000C33B2">
        <w:t xml:space="preserve"> Britain’s coal producing areas, however, North Wales, the Midlands, and parts of Nottinghamshire were less enthusiastic about the declaration of strike action, especially without a ballot</w:t>
      </w:r>
      <w:r w:rsidR="000C33B2">
        <w:rPr>
          <w:rStyle w:val="FootnoteReference"/>
        </w:rPr>
        <w:footnoteReference w:id="18"/>
      </w:r>
      <w:r w:rsidR="000C33B2">
        <w:t>. Many continued to work so groups of men were transported up and down the country by bus to prevent these ‘strike breakers’ from going to work</w:t>
      </w:r>
      <w:r w:rsidR="000C33B2">
        <w:rPr>
          <w:rStyle w:val="FootnoteReference"/>
        </w:rPr>
        <w:footnoteReference w:id="19"/>
      </w:r>
      <w:r w:rsidR="000C33B2">
        <w:t xml:space="preserve">. Thatcher had planned well for such events and had ensured that the country’s police forces were </w:t>
      </w:r>
      <w:r w:rsidR="00DC3008">
        <w:t>prepared. This was achieved by the organisation of mobile police units that could essentially follow the highly mobile flying picketers around the country to stymie their influence. The 43 police forces of the country effectively linked together to assist each other with strike related disturbances anywhere in Britain</w:t>
      </w:r>
      <w:r w:rsidR="00DC3008">
        <w:rPr>
          <w:rStyle w:val="FootnoteReference"/>
        </w:rPr>
        <w:footnoteReference w:id="20"/>
      </w:r>
      <w:r w:rsidR="00B80D47">
        <w:t>. This process became very efficient as picketing strikers were met with a much more militaristic police force than had been previously seen. Thatcher even considered a declaration of national emergency, which would have seen military drivers brought in to ensure coal stocks were delivered to processing plants, however, this action was never needed, but shows the lengths that Thatcher was willing to go to ensure the nation’s coal supply remained operational</w:t>
      </w:r>
      <w:r w:rsidR="00B80D47">
        <w:rPr>
          <w:rStyle w:val="FootnoteReference"/>
        </w:rPr>
        <w:footnoteReference w:id="21"/>
      </w:r>
      <w:r w:rsidR="00B80D47">
        <w:t xml:space="preserve">. The </w:t>
      </w:r>
      <w:r w:rsidR="00B80D47">
        <w:lastRenderedPageBreak/>
        <w:t>mobilisation of the police in such a manner, and the heavy-handed approaches used by both sides, culminated violently at the Orgreave coking plant in South Yorkshire. Nicknamed the ‘Battle of Orgreave</w:t>
      </w:r>
      <w:r w:rsidR="008845C3">
        <w:t>’ the confrontation quickly became ‘one of the most violent clashes in British industrial action’</w:t>
      </w:r>
      <w:r w:rsidR="008845C3">
        <w:rPr>
          <w:rStyle w:val="FootnoteReference"/>
        </w:rPr>
        <w:footnoteReference w:id="22"/>
      </w:r>
      <w:r w:rsidR="008845C3">
        <w:t>.</w:t>
      </w:r>
      <w:r w:rsidR="00852940">
        <w:t xml:space="preserve"> Around 3,000 police were deployed at the Orgreave plant equipped with full riot gear, and a retinue of dogs and mounted police in support</w:t>
      </w:r>
      <w:r w:rsidR="00BD40DF">
        <w:rPr>
          <w:rStyle w:val="FootnoteReference"/>
        </w:rPr>
        <w:footnoteReference w:id="23"/>
      </w:r>
      <w:r w:rsidR="00BD40DF">
        <w:t>. It is argued by East that the force assembled was not to maintain the peace, but rather to defeat the picketing miners to prevent them from continuing to assemble large pickets</w:t>
      </w:r>
      <w:r w:rsidR="00BD40DF">
        <w:rPr>
          <w:rStyle w:val="FootnoteReference"/>
        </w:rPr>
        <w:footnoteReference w:id="24"/>
      </w:r>
      <w:r w:rsidR="00BD40DF">
        <w:t xml:space="preserve">. The events that ensued at Orgreave are subject to much debate on who was to blame for the violent clashes, however, it is </w:t>
      </w:r>
      <w:r w:rsidR="009F2AD9">
        <w:t xml:space="preserve">widely </w:t>
      </w:r>
      <w:r w:rsidR="00BD40DF">
        <w:t xml:space="preserve">believed that the </w:t>
      </w:r>
      <w:r w:rsidR="00723ED4">
        <w:t>heavy-handed</w:t>
      </w:r>
      <w:r w:rsidR="00BD40DF">
        <w:t xml:space="preserve"> approach used by the police, notably beating unarmed miners</w:t>
      </w:r>
      <w:r w:rsidR="009F2AD9">
        <w:t xml:space="preserve"> and cavalry charges, did little to help control </w:t>
      </w:r>
      <w:r w:rsidR="00BD40DF">
        <w:t>the escalating violence.</w:t>
      </w:r>
      <w:r w:rsidR="009F2AD9">
        <w:t xml:space="preserve"> The poor actions by police are solidified by the number</w:t>
      </w:r>
      <w:r w:rsidR="00723ED4">
        <w:t xml:space="preserve"> of</w:t>
      </w:r>
      <w:r w:rsidR="009F2AD9">
        <w:t xml:space="preserve"> riot charges held against detained men in court that failed to see convictions after evidence against them was deemed unreliable</w:t>
      </w:r>
      <w:r w:rsidR="009F2AD9">
        <w:rPr>
          <w:rStyle w:val="FootnoteReference"/>
        </w:rPr>
        <w:footnoteReference w:id="25"/>
      </w:r>
      <w:r w:rsidR="009F2AD9">
        <w:t>. The fact that police had the ability to assemble such forces against the miners, through the amalgamation of police forces, notably the Metropolitan police, showed that Thatcher was defiant in resisting the increasingly active</w:t>
      </w:r>
      <w:r w:rsidR="00723ED4">
        <w:t xml:space="preserve"> and successful</w:t>
      </w:r>
      <w:r w:rsidR="009F2AD9">
        <w:t xml:space="preserve"> flying pi</w:t>
      </w:r>
      <w:r w:rsidR="00723ED4">
        <w:t>ckets. The belief, by Thatcher, that the picketers were the ‘enemy within’ could explain why such a forceful approach was used against them to make of them an example to show the British people that the Conservative government was not to be manipulated by strike action. Although Thatcher could have seen the picketers as the ‘enemy within’, it is however, more likely that she was referring to Scargill. Without the organisational skills of Scargill, the flying picketers would not have been such a success in putting pressure on Thatcher</w:t>
      </w:r>
      <w:r w:rsidR="00A40D0F">
        <w:t>, the coal industry,</w:t>
      </w:r>
      <w:r w:rsidR="00723ED4">
        <w:t xml:space="preserve"> and the police forces.</w:t>
      </w:r>
      <w:r w:rsidR="00A40D0F">
        <w:t xml:space="preserve"> </w:t>
      </w:r>
    </w:p>
    <w:p w:rsidR="00AA7D8D" w:rsidRDefault="00AA7D8D" w:rsidP="00670E2E">
      <w:pPr>
        <w:spacing w:line="480" w:lineRule="auto"/>
      </w:pPr>
    </w:p>
    <w:p w:rsidR="00B022B7" w:rsidRDefault="0055569B" w:rsidP="00670E2E">
      <w:pPr>
        <w:spacing w:line="480" w:lineRule="auto"/>
        <w:rPr>
          <w:rFonts w:ascii="Verdana" w:hAnsi="Verdana"/>
          <w:color w:val="171717"/>
          <w:sz w:val="18"/>
          <w:szCs w:val="18"/>
          <w:shd w:val="clear" w:color="auto" w:fill="FFFFFF"/>
        </w:rPr>
      </w:pPr>
      <w:r>
        <w:lastRenderedPageBreak/>
        <w:t>There is a possibility that Thatcher was referring to the Labour movement and party as the ‘enemy within’. The IRA bombing of the Brighton Conservative Party conference in October 1984 saw many of Thatcher’s notes and draft speeches destroyed</w:t>
      </w:r>
      <w:r>
        <w:rPr>
          <w:rStyle w:val="FootnoteReference"/>
        </w:rPr>
        <w:footnoteReference w:id="26"/>
      </w:r>
      <w:r>
        <w:t>. However, one draft was recovered from the wreckage and became known as ‘the speech that never was’</w:t>
      </w:r>
      <w:r>
        <w:rPr>
          <w:rStyle w:val="FootnoteReference"/>
        </w:rPr>
        <w:footnoteReference w:id="27"/>
      </w:r>
      <w:r w:rsidR="00373A20">
        <w:t>. The contents of this document suggest that Thatcher was preparing a speech which insinuated that the Labour Party contained forces that would destroy the country through ‘</w:t>
      </w:r>
      <w:r w:rsidR="00373A20">
        <w:rPr>
          <w:rFonts w:ascii="Verdana" w:hAnsi="Verdana"/>
          <w:color w:val="171717"/>
          <w:sz w:val="18"/>
          <w:szCs w:val="18"/>
          <w:shd w:val="clear" w:color="auto" w:fill="FFFFFF"/>
        </w:rPr>
        <w:t>an extension of the calculated chaos planned for the mining industry by a handful of trained Marxists and their fellow travellers</w:t>
      </w:r>
      <w:r w:rsidR="00373A20">
        <w:rPr>
          <w:rFonts w:ascii="Verdana" w:hAnsi="Verdana"/>
          <w:color w:val="171717"/>
          <w:sz w:val="18"/>
          <w:szCs w:val="18"/>
          <w:shd w:val="clear" w:color="auto" w:fill="FFFFFF"/>
        </w:rPr>
        <w:t>’</w:t>
      </w:r>
      <w:r w:rsidR="00373A20">
        <w:rPr>
          <w:rStyle w:val="FootnoteReference"/>
          <w:rFonts w:ascii="Verdana" w:hAnsi="Verdana"/>
          <w:color w:val="171717"/>
          <w:sz w:val="18"/>
          <w:szCs w:val="18"/>
          <w:shd w:val="clear" w:color="auto" w:fill="FFFFFF"/>
        </w:rPr>
        <w:footnoteReference w:id="28"/>
      </w:r>
      <w:r w:rsidR="00373A20">
        <w:rPr>
          <w:rFonts w:ascii="Verdana" w:hAnsi="Verdana"/>
          <w:color w:val="171717"/>
          <w:sz w:val="18"/>
          <w:szCs w:val="18"/>
          <w:shd w:val="clear" w:color="auto" w:fill="FFFFFF"/>
        </w:rPr>
        <w:t xml:space="preserve">.  The notes also suggest that she would have spoken of links between the </w:t>
      </w:r>
      <w:r w:rsidR="00B022B7">
        <w:rPr>
          <w:rFonts w:ascii="Verdana" w:hAnsi="Verdana"/>
          <w:color w:val="171717"/>
          <w:sz w:val="18"/>
          <w:szCs w:val="18"/>
          <w:shd w:val="clear" w:color="auto" w:fill="FFFFFF"/>
        </w:rPr>
        <w:t xml:space="preserve">‘militant’ </w:t>
      </w:r>
      <w:r w:rsidR="00373A20">
        <w:rPr>
          <w:rFonts w:ascii="Verdana" w:hAnsi="Verdana"/>
          <w:color w:val="171717"/>
          <w:sz w:val="18"/>
          <w:szCs w:val="18"/>
          <w:shd w:val="clear" w:color="auto" w:fill="FFFFFF"/>
        </w:rPr>
        <w:t xml:space="preserve">striking miners and </w:t>
      </w:r>
      <w:r w:rsidR="00B022B7">
        <w:rPr>
          <w:rFonts w:ascii="Verdana" w:hAnsi="Verdana"/>
          <w:color w:val="171717"/>
          <w:sz w:val="18"/>
          <w:szCs w:val="18"/>
          <w:shd w:val="clear" w:color="auto" w:fill="FFFFFF"/>
        </w:rPr>
        <w:t>the actions of General Galtieri in the Falklands War of 1982</w:t>
      </w:r>
      <w:r w:rsidR="00B022B7">
        <w:rPr>
          <w:rStyle w:val="FootnoteReference"/>
          <w:rFonts w:ascii="Verdana" w:hAnsi="Verdana"/>
          <w:color w:val="171717"/>
          <w:sz w:val="18"/>
          <w:szCs w:val="18"/>
          <w:shd w:val="clear" w:color="auto" w:fill="FFFFFF"/>
        </w:rPr>
        <w:footnoteReference w:id="29"/>
      </w:r>
      <w:r w:rsidR="00B022B7">
        <w:rPr>
          <w:rFonts w:ascii="Verdana" w:hAnsi="Verdana"/>
          <w:color w:val="171717"/>
          <w:sz w:val="18"/>
          <w:szCs w:val="18"/>
          <w:shd w:val="clear" w:color="auto" w:fill="FFFFFF"/>
        </w:rPr>
        <w:t>. Collins, a historian from the Thatcher archive with access to these documents, tells that this speech, if presented in 1984, would have completely eclipsed Thatcher’s ‘enemy within’ private speech</w:t>
      </w:r>
      <w:r w:rsidR="00B022B7">
        <w:rPr>
          <w:rStyle w:val="FootnoteReference"/>
          <w:rFonts w:ascii="Verdana" w:hAnsi="Verdana"/>
          <w:color w:val="171717"/>
          <w:sz w:val="18"/>
          <w:szCs w:val="18"/>
          <w:shd w:val="clear" w:color="auto" w:fill="FFFFFF"/>
        </w:rPr>
        <w:footnoteReference w:id="30"/>
      </w:r>
      <w:r w:rsidR="00B022B7">
        <w:rPr>
          <w:rFonts w:ascii="Verdana" w:hAnsi="Verdana"/>
          <w:color w:val="171717"/>
          <w:sz w:val="18"/>
          <w:szCs w:val="18"/>
          <w:shd w:val="clear" w:color="auto" w:fill="FFFFFF"/>
        </w:rPr>
        <w:t xml:space="preserve">. The survival of this document shows that Thatcher may have thought of the Labour party as the ‘enemy within’ rather than the more obvious miners of the 1984 strike. The fact that she hints at her belief in Labour’s involvement shows that the identity of this enemy is not so clear cut as we may expect. </w:t>
      </w:r>
    </w:p>
    <w:p w:rsidR="00B022B7" w:rsidRDefault="00B022B7" w:rsidP="00670E2E">
      <w:pPr>
        <w:spacing w:line="480" w:lineRule="auto"/>
        <w:rPr>
          <w:rFonts w:ascii="Verdana" w:hAnsi="Verdana"/>
          <w:color w:val="171717"/>
          <w:sz w:val="18"/>
          <w:szCs w:val="18"/>
          <w:shd w:val="clear" w:color="auto" w:fill="FFFFFF"/>
        </w:rPr>
      </w:pPr>
    </w:p>
    <w:p w:rsidR="0055569B" w:rsidRDefault="00B022B7" w:rsidP="00670E2E">
      <w:pPr>
        <w:spacing w:line="480" w:lineRule="auto"/>
      </w:pPr>
      <w:r>
        <w:rPr>
          <w:rFonts w:ascii="Verdana" w:hAnsi="Verdana"/>
          <w:color w:val="171717"/>
          <w:sz w:val="18"/>
          <w:szCs w:val="18"/>
          <w:shd w:val="clear" w:color="auto" w:fill="FFFFFF"/>
        </w:rPr>
        <w:t>In conclusion, the individual or group that Thatcher directed her ‘enemy within’ speech remains unclear. However, her responses to the rising threat of the 1984 miners’ strike shows that she remained vigilant in opposing those who sought</w:t>
      </w:r>
      <w:r w:rsidR="003B7D80">
        <w:rPr>
          <w:rFonts w:ascii="Verdana" w:hAnsi="Verdana"/>
          <w:color w:val="171717"/>
          <w:sz w:val="18"/>
          <w:szCs w:val="18"/>
          <w:shd w:val="clear" w:color="auto" w:fill="FFFFFF"/>
        </w:rPr>
        <w:t xml:space="preserve"> to disrupt Britain and the work of the Conservative government. The obvious and perhaps most likely individual to earn Thatcher’s attention, was Arthur Scargill.</w:t>
      </w:r>
      <w:r w:rsidR="00AC635F">
        <w:rPr>
          <w:rFonts w:ascii="Verdana" w:hAnsi="Verdana"/>
          <w:color w:val="171717"/>
          <w:sz w:val="18"/>
          <w:szCs w:val="18"/>
          <w:shd w:val="clear" w:color="auto" w:fill="FFFFFF"/>
        </w:rPr>
        <w:t xml:space="preserve"> Scargill stood for everything Thatcher opposed, in relation to the strike, and the fact that he had a platform to spread his views, as leader of the NUM, meant that Thatcher may have seen him as the ‘enemy within’. Her response to Scargill certainly solidifies this argument and she was most certainly victorious in the battle of personality and convictions. The NUM could also have been the target of Thatcher’s speech as the surveillance operation and evidence of Soviet </w:t>
      </w:r>
      <w:r w:rsidR="00AC635F">
        <w:rPr>
          <w:rFonts w:ascii="Verdana" w:hAnsi="Verdana"/>
          <w:color w:val="171717"/>
          <w:sz w:val="18"/>
          <w:szCs w:val="18"/>
          <w:shd w:val="clear" w:color="auto" w:fill="FFFFFF"/>
        </w:rPr>
        <w:lastRenderedPageBreak/>
        <w:t xml:space="preserve">Union subterfuge suggests. </w:t>
      </w:r>
      <w:r w:rsidR="002A44A0">
        <w:rPr>
          <w:rFonts w:ascii="Verdana" w:hAnsi="Verdana"/>
          <w:color w:val="171717"/>
          <w:sz w:val="18"/>
          <w:szCs w:val="18"/>
          <w:shd w:val="clear" w:color="auto" w:fill="FFFFFF"/>
        </w:rPr>
        <w:t>Also,</w:t>
      </w:r>
      <w:r w:rsidR="00AC635F">
        <w:rPr>
          <w:rFonts w:ascii="Verdana" w:hAnsi="Verdana"/>
          <w:color w:val="171717"/>
          <w:sz w:val="18"/>
          <w:szCs w:val="18"/>
          <w:shd w:val="clear" w:color="auto" w:fill="FFFFFF"/>
        </w:rPr>
        <w:t xml:space="preserve"> the employment of Macgregor, as NCB leader, saw that pressure was put on the NUM to secure overall control over the deepening strike. The picketing miners perhaps gave the most cause to be labelled as the ‘enemy within’ due to the violence and disruption that was brought about by their presence. As ruled by the courts, the strike was an illegal one so the use of force to prevent men from continuing work broke the</w:t>
      </w:r>
      <w:r w:rsidR="002A44A0">
        <w:rPr>
          <w:rFonts w:ascii="Verdana" w:hAnsi="Verdana"/>
          <w:color w:val="171717"/>
          <w:sz w:val="18"/>
          <w:szCs w:val="18"/>
          <w:shd w:val="clear" w:color="auto" w:fill="FFFFFF"/>
        </w:rPr>
        <w:t xml:space="preserve"> nations constitution. Thatcher may have directed her speech towards these groups to make clear that their actions were against the betterment of the nation. The overarching link between all these points is Arthur Scargill. Without him, the NUM would have been leaderless and the organisation of the flying pickets would not have been so strong and caused so much disruption. The less obvious possibility of the title ‘enemy within’ is the Labour party entire. The draft of Thatcher’s proposed speech recovered from the </w:t>
      </w:r>
      <w:r w:rsidR="002A44A0">
        <w:rPr>
          <w:rFonts w:ascii="Verdana" w:hAnsi="Verdana"/>
          <w:color w:val="171717"/>
          <w:sz w:val="18"/>
          <w:szCs w:val="18"/>
          <w:shd w:val="clear" w:color="auto" w:fill="FFFFFF"/>
        </w:rPr>
        <w:t xml:space="preserve">Grand </w:t>
      </w:r>
      <w:r w:rsidR="002A44A0">
        <w:rPr>
          <w:rFonts w:ascii="Verdana" w:hAnsi="Verdana"/>
          <w:color w:val="171717"/>
          <w:sz w:val="18"/>
          <w:szCs w:val="18"/>
          <w:shd w:val="clear" w:color="auto" w:fill="FFFFFF"/>
        </w:rPr>
        <w:t xml:space="preserve">Brighton Hotel suggests that she believed the Labour party responsible for brewing the troubles associated with the strike disruption. The comparison between the miners and Galtieri shows just how fervently she disliked the actions of the strike. Whomever she believed to be the ‘enemy within’ Thatcher ruthlessly organised the redress of such groups and individuals which ultimately saw the strike defeated by 1985.  </w:t>
      </w:r>
      <w:r w:rsidR="00AC635F">
        <w:rPr>
          <w:rFonts w:ascii="Verdana" w:hAnsi="Verdana"/>
          <w:color w:val="171717"/>
          <w:sz w:val="18"/>
          <w:szCs w:val="18"/>
          <w:shd w:val="clear" w:color="auto" w:fill="FFFFFF"/>
        </w:rPr>
        <w:t xml:space="preserve">    </w:t>
      </w:r>
      <w:r w:rsidR="003B7D80">
        <w:rPr>
          <w:rFonts w:ascii="Verdana" w:hAnsi="Verdana"/>
          <w:color w:val="171717"/>
          <w:sz w:val="18"/>
          <w:szCs w:val="18"/>
          <w:shd w:val="clear" w:color="auto" w:fill="FFFFFF"/>
        </w:rPr>
        <w:t xml:space="preserve"> </w:t>
      </w:r>
      <w:r>
        <w:rPr>
          <w:rFonts w:ascii="Verdana" w:hAnsi="Verdana"/>
          <w:color w:val="171717"/>
          <w:sz w:val="18"/>
          <w:szCs w:val="18"/>
          <w:shd w:val="clear" w:color="auto" w:fill="FFFFFF"/>
        </w:rPr>
        <w:t xml:space="preserve">   </w:t>
      </w:r>
    </w:p>
    <w:p w:rsidR="00AF4DDA" w:rsidRDefault="00AF4DDA" w:rsidP="00670E2E">
      <w:pPr>
        <w:spacing w:line="480" w:lineRule="auto"/>
      </w:pPr>
    </w:p>
    <w:p w:rsidR="00670E2E" w:rsidRDefault="00AF4DDA" w:rsidP="00670E2E">
      <w:pPr>
        <w:spacing w:line="480" w:lineRule="auto"/>
      </w:pPr>
      <w:r>
        <w:t xml:space="preserve"> </w:t>
      </w:r>
    </w:p>
    <w:p w:rsidR="008715CF" w:rsidRDefault="008715CF" w:rsidP="00670E2E">
      <w:pPr>
        <w:spacing w:line="480" w:lineRule="auto"/>
      </w:pPr>
    </w:p>
    <w:p w:rsidR="008715CF" w:rsidRDefault="008715CF" w:rsidP="00670E2E">
      <w:pPr>
        <w:spacing w:line="480" w:lineRule="auto"/>
      </w:pPr>
    </w:p>
    <w:p w:rsidR="008715CF" w:rsidRDefault="008715CF" w:rsidP="00670E2E">
      <w:pPr>
        <w:spacing w:line="480" w:lineRule="auto"/>
      </w:pPr>
    </w:p>
    <w:p w:rsidR="008715CF" w:rsidRDefault="008715CF" w:rsidP="00670E2E">
      <w:pPr>
        <w:spacing w:line="480" w:lineRule="auto"/>
      </w:pPr>
    </w:p>
    <w:p w:rsidR="00DE4C09" w:rsidRDefault="00DE4C09" w:rsidP="00670E2E">
      <w:pPr>
        <w:spacing w:line="480" w:lineRule="auto"/>
        <w:rPr>
          <w:b/>
        </w:rPr>
      </w:pPr>
    </w:p>
    <w:p w:rsidR="00DE4C09" w:rsidRDefault="00DE4C09" w:rsidP="00670E2E">
      <w:pPr>
        <w:spacing w:line="480" w:lineRule="auto"/>
        <w:rPr>
          <w:b/>
        </w:rPr>
      </w:pPr>
    </w:p>
    <w:p w:rsidR="00DE4C09" w:rsidRDefault="00DE4C09" w:rsidP="00670E2E">
      <w:pPr>
        <w:spacing w:line="480" w:lineRule="auto"/>
        <w:rPr>
          <w:b/>
        </w:rPr>
      </w:pPr>
    </w:p>
    <w:p w:rsidR="00DE4C09" w:rsidRDefault="00DE4C09" w:rsidP="00670E2E">
      <w:pPr>
        <w:spacing w:line="480" w:lineRule="auto"/>
        <w:rPr>
          <w:b/>
        </w:rPr>
      </w:pPr>
    </w:p>
    <w:p w:rsidR="008715CF" w:rsidRDefault="008715CF" w:rsidP="00670E2E">
      <w:pPr>
        <w:spacing w:line="480" w:lineRule="auto"/>
        <w:rPr>
          <w:b/>
        </w:rPr>
      </w:pPr>
      <w:r>
        <w:rPr>
          <w:b/>
        </w:rPr>
        <w:lastRenderedPageBreak/>
        <w:t xml:space="preserve">Bibliography- </w:t>
      </w:r>
    </w:p>
    <w:p w:rsidR="0009595E" w:rsidRPr="0009595E" w:rsidRDefault="0009595E" w:rsidP="0009595E">
      <w:pPr>
        <w:pStyle w:val="ListParagraph"/>
        <w:numPr>
          <w:ilvl w:val="0"/>
          <w:numId w:val="2"/>
        </w:numPr>
        <w:spacing w:line="240" w:lineRule="auto"/>
        <w:rPr>
          <w:bCs/>
        </w:rPr>
      </w:pPr>
      <w:r>
        <w:t xml:space="preserve">Adeney, M. and Lloyd, J. </w:t>
      </w:r>
      <w:r w:rsidRPr="0009595E">
        <w:rPr>
          <w:bCs/>
          <w:i/>
        </w:rPr>
        <w:t xml:space="preserve">The Miners' Strike, 1984-85: Loss without Limit, </w:t>
      </w:r>
      <w:r w:rsidRPr="0009595E">
        <w:rPr>
          <w:bCs/>
        </w:rPr>
        <w:t>(London: Routledge, 1988)</w:t>
      </w:r>
    </w:p>
    <w:p w:rsidR="0009595E" w:rsidRDefault="0009595E" w:rsidP="0009595E">
      <w:pPr>
        <w:pStyle w:val="ListParagraph"/>
        <w:numPr>
          <w:ilvl w:val="0"/>
          <w:numId w:val="2"/>
        </w:numPr>
        <w:spacing w:line="240" w:lineRule="auto"/>
      </w:pPr>
      <w:r>
        <w:t xml:space="preserve">Amos, D. </w:t>
      </w:r>
      <w:r w:rsidRPr="0009595E">
        <w:rPr>
          <w:i/>
        </w:rPr>
        <w:t xml:space="preserve">The Nottinghamshire miners, the Union of Democratic Mineworkers and the 1984–85 miners’ strike: scabs or scapegoats? </w:t>
      </w:r>
      <w:r>
        <w:t>(Nottingham University, 2012)</w:t>
      </w:r>
    </w:p>
    <w:p w:rsidR="0009595E" w:rsidRDefault="0009595E" w:rsidP="0009595E">
      <w:pPr>
        <w:pStyle w:val="ListParagraph"/>
        <w:numPr>
          <w:ilvl w:val="0"/>
          <w:numId w:val="2"/>
        </w:numPr>
        <w:spacing w:line="240" w:lineRule="auto"/>
      </w:pPr>
      <w:r>
        <w:t xml:space="preserve">BBC On This Day, </w:t>
      </w:r>
      <w:r w:rsidRPr="0009595E">
        <w:rPr>
          <w:i/>
        </w:rPr>
        <w:t xml:space="preserve">1983: Macgregor named as Coal Boss, </w:t>
      </w:r>
      <w:r>
        <w:t xml:space="preserve">[online] Available. </w:t>
      </w:r>
      <w:hyperlink r:id="rId8" w:history="1">
        <w:r w:rsidRPr="0088248C">
          <w:rPr>
            <w:rStyle w:val="Hyperlink"/>
          </w:rPr>
          <w:t>http://news.bbc.co.uk/onthisday/hi/dates/stories/march/28/newsid_2531000/2531033.stm</w:t>
        </w:r>
      </w:hyperlink>
      <w:r>
        <w:t xml:space="preserve"> (Accessed, 9</w:t>
      </w:r>
      <w:r w:rsidRPr="0009595E">
        <w:rPr>
          <w:vertAlign w:val="superscript"/>
        </w:rPr>
        <w:t>th</w:t>
      </w:r>
      <w:r>
        <w:t xml:space="preserve"> December 2017)</w:t>
      </w:r>
    </w:p>
    <w:p w:rsidR="0009595E" w:rsidRPr="0009595E" w:rsidRDefault="0009595E" w:rsidP="0009595E">
      <w:pPr>
        <w:pStyle w:val="ListParagraph"/>
        <w:numPr>
          <w:ilvl w:val="0"/>
          <w:numId w:val="2"/>
        </w:numPr>
        <w:spacing w:line="240" w:lineRule="auto"/>
        <w:rPr>
          <w:bCs/>
        </w:rPr>
      </w:pPr>
      <w:r>
        <w:t xml:space="preserve">BBC On This Day, </w:t>
      </w:r>
      <w:r w:rsidRPr="0009595E">
        <w:rPr>
          <w:bCs/>
          <w:i/>
        </w:rPr>
        <w:t>1984: Pit dispute 'illegal' says judge,</w:t>
      </w:r>
      <w:r w:rsidRPr="0009595E">
        <w:rPr>
          <w:bCs/>
          <w:i/>
          <w:sz w:val="24"/>
        </w:rPr>
        <w:t xml:space="preserve"> </w:t>
      </w:r>
      <w:r w:rsidRPr="0009595E">
        <w:rPr>
          <w:bCs/>
        </w:rPr>
        <w:t xml:space="preserve">[online] Available. </w:t>
      </w:r>
      <w:hyperlink r:id="rId9" w:history="1">
        <w:r w:rsidRPr="0088248C">
          <w:rPr>
            <w:rStyle w:val="Hyperlink"/>
          </w:rPr>
          <w:t>http://news.bbc.co.uk/onthisday/hi/dates/stories/september/28/newsid_2540000/2540813.stm</w:t>
        </w:r>
      </w:hyperlink>
      <w:r w:rsidRPr="0009595E">
        <w:rPr>
          <w:bCs/>
        </w:rPr>
        <w:t xml:space="preserve"> (Accessed, 12</w:t>
      </w:r>
      <w:r w:rsidRPr="0009595E">
        <w:rPr>
          <w:bCs/>
          <w:vertAlign w:val="superscript"/>
        </w:rPr>
        <w:t>th</w:t>
      </w:r>
      <w:r w:rsidRPr="0009595E">
        <w:rPr>
          <w:bCs/>
        </w:rPr>
        <w:t xml:space="preserve"> December 2017)</w:t>
      </w:r>
    </w:p>
    <w:p w:rsidR="0009595E" w:rsidRDefault="0009595E" w:rsidP="0009595E">
      <w:pPr>
        <w:pStyle w:val="ListParagraph"/>
        <w:numPr>
          <w:ilvl w:val="0"/>
          <w:numId w:val="2"/>
        </w:numPr>
        <w:spacing w:line="240" w:lineRule="auto"/>
      </w:pPr>
      <w:r>
        <w:t xml:space="preserve">Campbell, J. </w:t>
      </w:r>
      <w:r w:rsidRPr="0009595E">
        <w:rPr>
          <w:i/>
        </w:rPr>
        <w:t xml:space="preserve">Margaret Thatcher: The Iron Lady. </w:t>
      </w:r>
      <w:r>
        <w:t>(Vintage, 2008)</w:t>
      </w:r>
    </w:p>
    <w:p w:rsidR="0009595E" w:rsidRDefault="0009595E" w:rsidP="0009595E">
      <w:pPr>
        <w:pStyle w:val="ListParagraph"/>
        <w:numPr>
          <w:ilvl w:val="0"/>
          <w:numId w:val="2"/>
        </w:numPr>
        <w:spacing w:line="240" w:lineRule="auto"/>
      </w:pPr>
      <w:r>
        <w:t xml:space="preserve">Christopher, A. </w:t>
      </w:r>
      <w:r w:rsidRPr="0009595E">
        <w:rPr>
          <w:i/>
        </w:rPr>
        <w:t xml:space="preserve">The Defence of the Realm: The Authorised History of MI5, </w:t>
      </w:r>
      <w:r>
        <w:t>(Penguin, 2010)</w:t>
      </w:r>
    </w:p>
    <w:p w:rsidR="0009595E" w:rsidRDefault="0009595E" w:rsidP="0009595E">
      <w:pPr>
        <w:pStyle w:val="ListParagraph"/>
        <w:numPr>
          <w:ilvl w:val="0"/>
          <w:numId w:val="2"/>
        </w:numPr>
        <w:spacing w:line="240" w:lineRule="auto"/>
      </w:pPr>
      <w:r>
        <w:t xml:space="preserve">Conn, D. The Guardian, </w:t>
      </w:r>
      <w:r w:rsidRPr="0009595E">
        <w:rPr>
          <w:i/>
        </w:rPr>
        <w:t xml:space="preserve">Tell us the truth about the battle of Orgreave. </w:t>
      </w:r>
      <w:r>
        <w:t xml:space="preserve">[online] Available. </w:t>
      </w:r>
      <w:hyperlink r:id="rId10" w:history="1">
        <w:r w:rsidRPr="00082A40">
          <w:rPr>
            <w:rStyle w:val="Hyperlink"/>
          </w:rPr>
          <w:t>https://www.theguardian.com/commentisfree/2014/nov/14/battle-orgreave-policing-1984-85-miners-strike-britain-ipcc</w:t>
        </w:r>
      </w:hyperlink>
      <w:r>
        <w:t xml:space="preserve"> (Accessed 14th December 2017)</w:t>
      </w:r>
    </w:p>
    <w:p w:rsidR="0009595E" w:rsidRPr="0009595E" w:rsidRDefault="0009595E" w:rsidP="0009595E">
      <w:pPr>
        <w:pStyle w:val="ListParagraph"/>
        <w:numPr>
          <w:ilvl w:val="0"/>
          <w:numId w:val="2"/>
        </w:numPr>
        <w:spacing w:line="240" w:lineRule="auto"/>
        <w:rPr>
          <w:iCs/>
        </w:rPr>
      </w:pPr>
      <w:r>
        <w:t xml:space="preserve">Douglas, D. J. </w:t>
      </w:r>
      <w:r w:rsidRPr="0009595E">
        <w:rPr>
          <w:i/>
          <w:iCs/>
        </w:rPr>
        <w:t xml:space="preserve">Pit Sense versus the State: A History of Militant Miners in the Doncaster Area, </w:t>
      </w:r>
      <w:r w:rsidRPr="0009595E">
        <w:rPr>
          <w:iCs/>
        </w:rPr>
        <w:t>(London: Phoenix Press, 1990)</w:t>
      </w:r>
    </w:p>
    <w:p w:rsidR="0009595E" w:rsidRDefault="0009595E" w:rsidP="0009595E">
      <w:pPr>
        <w:pStyle w:val="ListParagraph"/>
        <w:numPr>
          <w:ilvl w:val="0"/>
          <w:numId w:val="2"/>
        </w:numPr>
        <w:spacing w:line="240" w:lineRule="auto"/>
      </w:pPr>
      <w:r>
        <w:t xml:space="preserve">East, R. </w:t>
      </w:r>
      <w:r w:rsidRPr="0009595E">
        <w:rPr>
          <w:i/>
        </w:rPr>
        <w:t xml:space="preserve">et al. </w:t>
      </w:r>
      <w:r>
        <w:t xml:space="preserve">‘The death of mass picketing’. </w:t>
      </w:r>
      <w:r w:rsidRPr="0009595E">
        <w:rPr>
          <w:i/>
        </w:rPr>
        <w:t xml:space="preserve">The Journal of Law and Society, </w:t>
      </w:r>
      <w:r>
        <w:t>12: (1985)</w:t>
      </w:r>
    </w:p>
    <w:p w:rsidR="0009595E" w:rsidRDefault="0009595E" w:rsidP="0009595E">
      <w:pPr>
        <w:pStyle w:val="ListParagraph"/>
        <w:numPr>
          <w:ilvl w:val="0"/>
          <w:numId w:val="2"/>
        </w:numPr>
        <w:spacing w:line="240" w:lineRule="auto"/>
      </w:pPr>
      <w:r>
        <w:t xml:space="preserve">Hughes, K. </w:t>
      </w:r>
      <w:r w:rsidRPr="0009595E">
        <w:rPr>
          <w:i/>
        </w:rPr>
        <w:t xml:space="preserve">Terror Attack Brighton: Blowing Up the Iron Lady. </w:t>
      </w:r>
      <w:r>
        <w:t xml:space="preserve">(Barnsley: Pen and Sword, 2014) </w:t>
      </w:r>
    </w:p>
    <w:p w:rsidR="0009595E" w:rsidRDefault="0009595E" w:rsidP="0009595E">
      <w:pPr>
        <w:pStyle w:val="ListParagraph"/>
        <w:numPr>
          <w:ilvl w:val="0"/>
          <w:numId w:val="2"/>
        </w:numPr>
        <w:spacing w:line="240" w:lineRule="auto"/>
      </w:pPr>
      <w:r>
        <w:t xml:space="preserve">Mcllroy, J. </w:t>
      </w:r>
      <w:r w:rsidRPr="0009595E">
        <w:rPr>
          <w:i/>
        </w:rPr>
        <w:t xml:space="preserve">Police and Pickets: The law against the miners, </w:t>
      </w:r>
      <w:r>
        <w:t xml:space="preserve">in ed. H. Beynon, </w:t>
      </w:r>
      <w:r w:rsidRPr="0009595E">
        <w:rPr>
          <w:i/>
        </w:rPr>
        <w:t xml:space="preserve">Digging Deeper: Issues in the Miners’ Strike. </w:t>
      </w:r>
      <w:r>
        <w:t xml:space="preserve">[online] Available.  </w:t>
      </w:r>
      <w:hyperlink r:id="rId11" w:history="1">
        <w:r w:rsidRPr="00082A40">
          <w:rPr>
            <w:rStyle w:val="Hyperlink"/>
          </w:rPr>
          <w:t>http://journals.sagepub.com/doi/abs/10.1177/0309816815603718</w:t>
        </w:r>
      </w:hyperlink>
      <w:r>
        <w:t xml:space="preserve"> (Accessed 13th December 2017)</w:t>
      </w:r>
    </w:p>
    <w:p w:rsidR="008715CF" w:rsidRDefault="0009595E" w:rsidP="0009595E">
      <w:pPr>
        <w:pStyle w:val="ListParagraph"/>
        <w:numPr>
          <w:ilvl w:val="0"/>
          <w:numId w:val="2"/>
        </w:numPr>
        <w:spacing w:line="240" w:lineRule="auto"/>
      </w:pPr>
      <w:r>
        <w:t xml:space="preserve">Milne, </w:t>
      </w:r>
      <w:r w:rsidR="008715CF">
        <w:t xml:space="preserve">S. </w:t>
      </w:r>
      <w:r w:rsidR="008715CF" w:rsidRPr="0009595E">
        <w:rPr>
          <w:i/>
        </w:rPr>
        <w:t xml:space="preserve">The Enemy Within: The Secret War against the Miners, </w:t>
      </w:r>
      <w:r w:rsidR="008715CF">
        <w:t>(London and New York: Verso, 2004)</w:t>
      </w:r>
    </w:p>
    <w:p w:rsidR="008715CF" w:rsidRDefault="0009595E" w:rsidP="0009595E">
      <w:pPr>
        <w:pStyle w:val="ListParagraph"/>
        <w:numPr>
          <w:ilvl w:val="0"/>
          <w:numId w:val="2"/>
        </w:numPr>
        <w:spacing w:line="240" w:lineRule="auto"/>
      </w:pPr>
      <w:r>
        <w:t>Moore,</w:t>
      </w:r>
      <w:r>
        <w:t xml:space="preserve"> </w:t>
      </w:r>
      <w:r w:rsidR="008715CF">
        <w:t xml:space="preserve">C. </w:t>
      </w:r>
      <w:r w:rsidR="008715CF" w:rsidRPr="0009595E">
        <w:rPr>
          <w:i/>
        </w:rPr>
        <w:t xml:space="preserve">Margaret Thatcher: At Her Zenith, in London, Washington, and Moscow. </w:t>
      </w:r>
      <w:r w:rsidR="008715CF">
        <w:t>(Knopf Doubleday Publishing Group, 2016)</w:t>
      </w:r>
    </w:p>
    <w:p w:rsidR="0009595E" w:rsidRDefault="0009595E" w:rsidP="0009595E">
      <w:pPr>
        <w:pStyle w:val="ListParagraph"/>
        <w:numPr>
          <w:ilvl w:val="0"/>
          <w:numId w:val="2"/>
        </w:numPr>
        <w:spacing w:line="240" w:lineRule="auto"/>
      </w:pPr>
      <w:r>
        <w:t xml:space="preserve">Norton Taylor, R. The Guardian, </w:t>
      </w:r>
      <w:r w:rsidRPr="0009595E">
        <w:rPr>
          <w:i/>
        </w:rPr>
        <w:t xml:space="preserve">Former MI5 Chief Blasts Secrets Act, </w:t>
      </w:r>
      <w:r>
        <w:t xml:space="preserve">[online] Available. </w:t>
      </w:r>
      <w:hyperlink r:id="rId12" w:history="1">
        <w:r w:rsidRPr="0088248C">
          <w:rPr>
            <w:rStyle w:val="Hyperlink"/>
          </w:rPr>
          <w:t>https://www.theguardian.com/uk/2001/sep/08/books.freedomofinformation</w:t>
        </w:r>
      </w:hyperlink>
      <w:r>
        <w:t xml:space="preserve"> (Accessed 12th December 2017)</w:t>
      </w:r>
    </w:p>
    <w:p w:rsidR="0009595E" w:rsidRDefault="0009595E" w:rsidP="0009595E">
      <w:pPr>
        <w:pStyle w:val="ListParagraph"/>
        <w:numPr>
          <w:ilvl w:val="0"/>
          <w:numId w:val="2"/>
        </w:numPr>
        <w:spacing w:line="240" w:lineRule="auto"/>
      </w:pPr>
      <w:r>
        <w:t xml:space="preserve">Philips, J. </w:t>
      </w:r>
      <w:r w:rsidRPr="0009595E">
        <w:rPr>
          <w:i/>
        </w:rPr>
        <w:t xml:space="preserve">Containing, Isolating, and Defeating the Miners: The UK Cabinet Ministerial Group on Coal and the Three Phases of the 1984–85 Strike. </w:t>
      </w:r>
      <w:r>
        <w:t>(2014)</w:t>
      </w:r>
    </w:p>
    <w:p w:rsidR="0009595E" w:rsidRDefault="0009595E" w:rsidP="0009595E">
      <w:pPr>
        <w:pStyle w:val="ListParagraph"/>
        <w:numPr>
          <w:ilvl w:val="0"/>
          <w:numId w:val="2"/>
        </w:numPr>
        <w:spacing w:line="240" w:lineRule="auto"/>
      </w:pPr>
      <w:r>
        <w:t xml:space="preserve">Philpott, C. Yorkshire Magazine, </w:t>
      </w:r>
      <w:r w:rsidRPr="0009595E">
        <w:rPr>
          <w:i/>
        </w:rPr>
        <w:t xml:space="preserve">The Battle of Orgreave, </w:t>
      </w:r>
      <w:r>
        <w:t xml:space="preserve">[online] Available. </w:t>
      </w:r>
      <w:hyperlink r:id="rId13" w:history="1">
        <w:r w:rsidRPr="00082A40">
          <w:rPr>
            <w:rStyle w:val="Hyperlink"/>
          </w:rPr>
          <w:t>http://www.on-magazine.co.uk/yorkshire/yorkshire-history/the-battle-of-orgreave/</w:t>
        </w:r>
      </w:hyperlink>
      <w:r>
        <w:t xml:space="preserve"> (Accessed 13</w:t>
      </w:r>
      <w:r w:rsidRPr="0009595E">
        <w:rPr>
          <w:vertAlign w:val="superscript"/>
        </w:rPr>
        <w:t>th</w:t>
      </w:r>
      <w:r>
        <w:t xml:space="preserve"> December 2017)</w:t>
      </w:r>
    </w:p>
    <w:p w:rsidR="00F676C7" w:rsidRDefault="0009595E" w:rsidP="0009595E">
      <w:pPr>
        <w:pStyle w:val="ListParagraph"/>
        <w:numPr>
          <w:ilvl w:val="0"/>
          <w:numId w:val="2"/>
        </w:numPr>
        <w:spacing w:line="240" w:lineRule="auto"/>
      </w:pPr>
      <w:r>
        <w:t xml:space="preserve">Routledge, </w:t>
      </w:r>
      <w:r w:rsidR="00F676C7">
        <w:t xml:space="preserve">P. </w:t>
      </w:r>
      <w:r w:rsidR="00F676C7" w:rsidRPr="0009595E">
        <w:rPr>
          <w:i/>
        </w:rPr>
        <w:t xml:space="preserve">Scargill: The Unauthorised Bibliography. </w:t>
      </w:r>
      <w:r w:rsidR="00F676C7">
        <w:t>(London: Harper Collins, 1994)</w:t>
      </w:r>
    </w:p>
    <w:p w:rsidR="0009595E" w:rsidRDefault="0009595E" w:rsidP="0009595E">
      <w:pPr>
        <w:pStyle w:val="ListParagraph"/>
        <w:numPr>
          <w:ilvl w:val="0"/>
          <w:numId w:val="2"/>
        </w:numPr>
        <w:spacing w:line="240" w:lineRule="auto"/>
      </w:pPr>
      <w:r>
        <w:t>Scraton, P. ‘</w:t>
      </w:r>
      <w:r w:rsidRPr="00BD40DF">
        <w:t>The State v the People</w:t>
      </w:r>
      <w:r>
        <w:t>’</w:t>
      </w:r>
      <w:r w:rsidRPr="0009595E">
        <w:rPr>
          <w:i/>
        </w:rPr>
        <w:t xml:space="preserve">. The Journal of Law and Society, </w:t>
      </w:r>
      <w:r>
        <w:t xml:space="preserve">12: (1985) </w:t>
      </w:r>
    </w:p>
    <w:p w:rsidR="0009595E" w:rsidRDefault="0009595E" w:rsidP="0009595E">
      <w:pPr>
        <w:pStyle w:val="ListParagraph"/>
        <w:numPr>
          <w:ilvl w:val="0"/>
          <w:numId w:val="2"/>
        </w:numPr>
        <w:spacing w:line="240" w:lineRule="auto"/>
      </w:pPr>
      <w:r>
        <w:t xml:space="preserve">Travis, A. The Guardian, </w:t>
      </w:r>
      <w:r w:rsidRPr="0009595E">
        <w:rPr>
          <w:i/>
        </w:rPr>
        <w:t xml:space="preserve">Thatcher had secret plan to use army at height of miners’ strike, </w:t>
      </w:r>
      <w:r>
        <w:t xml:space="preserve">[online] Available. </w:t>
      </w:r>
      <w:hyperlink r:id="rId14" w:history="1">
        <w:r w:rsidRPr="00082A40">
          <w:rPr>
            <w:rStyle w:val="Hyperlink"/>
          </w:rPr>
          <w:t>https://www.theguardian.com/politics/2014/jan/03/margaret-thatcher-secret-plan-army-miners-strike</w:t>
        </w:r>
      </w:hyperlink>
      <w:r>
        <w:t xml:space="preserve"> (Accessed 13th December 2017)</w:t>
      </w:r>
    </w:p>
    <w:p w:rsidR="0009595E" w:rsidRPr="0009595E" w:rsidRDefault="0009595E" w:rsidP="0009595E">
      <w:pPr>
        <w:pStyle w:val="ListParagraph"/>
        <w:numPr>
          <w:ilvl w:val="0"/>
          <w:numId w:val="2"/>
        </w:numPr>
        <w:spacing w:line="240" w:lineRule="auto"/>
        <w:rPr>
          <w:b/>
        </w:rPr>
      </w:pPr>
      <w:r>
        <w:t xml:space="preserve">University of Cambridge Research, </w:t>
      </w:r>
      <w:proofErr w:type="gramStart"/>
      <w:r w:rsidRPr="0009595E">
        <w:rPr>
          <w:i/>
        </w:rPr>
        <w:t>The</w:t>
      </w:r>
      <w:proofErr w:type="gramEnd"/>
      <w:r w:rsidRPr="0009595E">
        <w:rPr>
          <w:i/>
        </w:rPr>
        <w:t xml:space="preserve"> speech that never was: </w:t>
      </w:r>
      <w:r w:rsidRPr="0009595E">
        <w:rPr>
          <w:i/>
          <w:sz w:val="20"/>
          <w:szCs w:val="20"/>
        </w:rPr>
        <w:t>Thatcher papers for 1984 open to the public</w:t>
      </w:r>
      <w:r w:rsidRPr="0009595E">
        <w:rPr>
          <w:i/>
        </w:rPr>
        <w:t xml:space="preserve">, </w:t>
      </w:r>
      <w:r>
        <w:t xml:space="preserve">[online] Available. </w:t>
      </w:r>
      <w:hyperlink r:id="rId15" w:history="1">
        <w:r w:rsidRPr="009A0144">
          <w:rPr>
            <w:rStyle w:val="Hyperlink"/>
          </w:rPr>
          <w:t>http://www.cam.ac.uk/research/news/the-speech-that-never-was-thatcher-papers-for-1984-open-to-the-public</w:t>
        </w:r>
      </w:hyperlink>
      <w:r>
        <w:t xml:space="preserve"> (Accessed 14th December 2017)</w:t>
      </w:r>
    </w:p>
    <w:p w:rsidR="000C33B2" w:rsidRDefault="0009595E" w:rsidP="0009595E">
      <w:pPr>
        <w:pStyle w:val="ListParagraph"/>
        <w:numPr>
          <w:ilvl w:val="0"/>
          <w:numId w:val="2"/>
        </w:numPr>
        <w:spacing w:line="240" w:lineRule="auto"/>
      </w:pPr>
      <w:r>
        <w:t>Winterton</w:t>
      </w:r>
      <w:r>
        <w:t>,</w:t>
      </w:r>
      <w:r>
        <w:t xml:space="preserve"> </w:t>
      </w:r>
      <w:r w:rsidR="000C33B2">
        <w:t xml:space="preserve">J. and </w:t>
      </w:r>
      <w:r>
        <w:t xml:space="preserve">Winterton, </w:t>
      </w:r>
      <w:r w:rsidR="000C33B2">
        <w:t xml:space="preserve">R. </w:t>
      </w:r>
      <w:r w:rsidR="000C33B2" w:rsidRPr="0009595E">
        <w:rPr>
          <w:i/>
        </w:rPr>
        <w:t xml:space="preserve">Coal, Crisis, and Conflict: The 1984-85 Miners’ Strike in Yorkshire, </w:t>
      </w:r>
      <w:r w:rsidR="000C33B2">
        <w:t>(Manchester: Manchester University Press, 1989)</w:t>
      </w:r>
      <w:r w:rsidR="000C33B2">
        <w:t xml:space="preserve"> </w:t>
      </w:r>
      <w:bookmarkStart w:id="7" w:name="_GoBack"/>
      <w:bookmarkEnd w:id="7"/>
    </w:p>
    <w:p w:rsidR="00670E2E" w:rsidRPr="00670E2E" w:rsidRDefault="00670E2E">
      <w:pPr>
        <w:rPr>
          <w:b/>
        </w:rPr>
      </w:pPr>
    </w:p>
    <w:sectPr w:rsidR="00670E2E" w:rsidRPr="00670E2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E79CF" w:rsidRDefault="004E79CF" w:rsidP="00D92DAA">
      <w:pPr>
        <w:spacing w:after="0" w:line="240" w:lineRule="auto"/>
      </w:pPr>
      <w:r>
        <w:separator/>
      </w:r>
    </w:p>
  </w:endnote>
  <w:endnote w:type="continuationSeparator" w:id="0">
    <w:p w:rsidR="004E79CF" w:rsidRDefault="004E79CF" w:rsidP="00D92D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E79CF" w:rsidRDefault="004E79CF" w:rsidP="00D92DAA">
      <w:pPr>
        <w:spacing w:after="0" w:line="240" w:lineRule="auto"/>
      </w:pPr>
      <w:r>
        <w:separator/>
      </w:r>
    </w:p>
  </w:footnote>
  <w:footnote w:type="continuationSeparator" w:id="0">
    <w:p w:rsidR="004E79CF" w:rsidRDefault="004E79CF" w:rsidP="00D92DAA">
      <w:pPr>
        <w:spacing w:after="0" w:line="240" w:lineRule="auto"/>
      </w:pPr>
      <w:r>
        <w:continuationSeparator/>
      </w:r>
    </w:p>
  </w:footnote>
  <w:footnote w:id="1">
    <w:p w:rsidR="00D92DAA" w:rsidRPr="00D92DAA" w:rsidRDefault="00D92DAA">
      <w:pPr>
        <w:pStyle w:val="FootnoteText"/>
      </w:pPr>
      <w:r>
        <w:rPr>
          <w:rStyle w:val="FootnoteReference"/>
        </w:rPr>
        <w:footnoteRef/>
      </w:r>
      <w:r>
        <w:t xml:space="preserve"> </w:t>
      </w:r>
      <w:bookmarkStart w:id="0" w:name="_Hlk501033254"/>
      <w:r>
        <w:t xml:space="preserve">S. Milne, </w:t>
      </w:r>
      <w:r>
        <w:rPr>
          <w:i/>
        </w:rPr>
        <w:t xml:space="preserve">The Enemy Within: The Secret War against the Miners, </w:t>
      </w:r>
      <w:r>
        <w:t>(London and New York: Verso, 2004)</w:t>
      </w:r>
      <w:bookmarkEnd w:id="0"/>
      <w:r>
        <w:t xml:space="preserve"> pg. </w:t>
      </w:r>
      <w:r w:rsidR="008715CF">
        <w:t>9</w:t>
      </w:r>
    </w:p>
  </w:footnote>
  <w:footnote w:id="2">
    <w:p w:rsidR="008715CF" w:rsidRPr="008715CF" w:rsidRDefault="008715CF">
      <w:pPr>
        <w:pStyle w:val="FootnoteText"/>
      </w:pPr>
      <w:r>
        <w:rPr>
          <w:rStyle w:val="FootnoteReference"/>
        </w:rPr>
        <w:footnoteRef/>
      </w:r>
      <w:r>
        <w:t xml:space="preserve"> </w:t>
      </w:r>
      <w:bookmarkStart w:id="1" w:name="_Hlk501026558"/>
      <w:r>
        <w:t xml:space="preserve">C. Moore, </w:t>
      </w:r>
      <w:r>
        <w:rPr>
          <w:i/>
        </w:rPr>
        <w:t xml:space="preserve">Margaret Thatcher: At Her Zenith, in London, Washington, and Moscow. </w:t>
      </w:r>
      <w:r>
        <w:t xml:space="preserve">(Knopf Doubleday Publishing Group, 2016) pg. </w:t>
      </w:r>
      <w:bookmarkEnd w:id="1"/>
      <w:r>
        <w:t>163-164</w:t>
      </w:r>
    </w:p>
  </w:footnote>
  <w:footnote w:id="3">
    <w:p w:rsidR="00F676C7" w:rsidRPr="00F676C7" w:rsidRDefault="00F676C7">
      <w:pPr>
        <w:pStyle w:val="FootnoteText"/>
      </w:pPr>
      <w:r>
        <w:rPr>
          <w:rStyle w:val="FootnoteReference"/>
        </w:rPr>
        <w:footnoteRef/>
      </w:r>
      <w:r>
        <w:t xml:space="preserve"> P. Routledge, </w:t>
      </w:r>
      <w:r>
        <w:rPr>
          <w:i/>
        </w:rPr>
        <w:t xml:space="preserve">Scargill: The Unauthorised Bibliography. </w:t>
      </w:r>
      <w:r>
        <w:t>(London: Harper Collins, 1994) pg. 58</w:t>
      </w:r>
    </w:p>
  </w:footnote>
  <w:footnote w:id="4">
    <w:p w:rsidR="00F676C7" w:rsidRPr="00F676C7" w:rsidRDefault="00F676C7">
      <w:pPr>
        <w:pStyle w:val="FootnoteText"/>
      </w:pPr>
      <w:r>
        <w:rPr>
          <w:rStyle w:val="FootnoteReference"/>
        </w:rPr>
        <w:footnoteRef/>
      </w:r>
      <w:r>
        <w:t xml:space="preserve"> </w:t>
      </w:r>
      <w:r>
        <w:rPr>
          <w:i/>
        </w:rPr>
        <w:t xml:space="preserve">Ibid., </w:t>
      </w:r>
      <w:r>
        <w:t>pg. 31-32</w:t>
      </w:r>
    </w:p>
  </w:footnote>
  <w:footnote w:id="5">
    <w:p w:rsidR="00D564DA" w:rsidRPr="00D564DA" w:rsidRDefault="00D564DA">
      <w:pPr>
        <w:pStyle w:val="FootnoteText"/>
      </w:pPr>
      <w:r>
        <w:rPr>
          <w:rStyle w:val="FootnoteReference"/>
        </w:rPr>
        <w:footnoteRef/>
      </w:r>
      <w:r>
        <w:t xml:space="preserve"> </w:t>
      </w:r>
      <w:r w:rsidR="00541FED">
        <w:t>BBC On This Day</w:t>
      </w:r>
      <w:r>
        <w:t xml:space="preserve">, </w:t>
      </w:r>
      <w:r>
        <w:rPr>
          <w:i/>
        </w:rPr>
        <w:t xml:space="preserve">1983: Macgregor named as Coal Boss, </w:t>
      </w:r>
      <w:r>
        <w:t xml:space="preserve">[online] Available. </w:t>
      </w:r>
      <w:hyperlink r:id="rId1" w:history="1">
        <w:r w:rsidRPr="0088248C">
          <w:rPr>
            <w:rStyle w:val="Hyperlink"/>
          </w:rPr>
          <w:t>http://news.bbc.co.uk/onthisday/hi/dates/stories/march/28/newsid_2531000/2531033.stm</w:t>
        </w:r>
      </w:hyperlink>
      <w:r>
        <w:t xml:space="preserve"> </w:t>
      </w:r>
    </w:p>
  </w:footnote>
  <w:footnote w:id="6">
    <w:p w:rsidR="00D564DA" w:rsidRPr="00D564DA" w:rsidRDefault="00D564DA">
      <w:pPr>
        <w:pStyle w:val="FootnoteText"/>
      </w:pPr>
      <w:r>
        <w:rPr>
          <w:rStyle w:val="FootnoteReference"/>
        </w:rPr>
        <w:footnoteRef/>
      </w:r>
      <w:r>
        <w:t xml:space="preserve"> J. Campbell, </w:t>
      </w:r>
      <w:r>
        <w:rPr>
          <w:i/>
        </w:rPr>
        <w:t xml:space="preserve">Margaret Thatcher: The Iron Lady. </w:t>
      </w:r>
      <w:r>
        <w:t>(Vintage, 2008) pg. 355</w:t>
      </w:r>
    </w:p>
  </w:footnote>
  <w:footnote w:id="7">
    <w:p w:rsidR="00CB1B0D" w:rsidRDefault="00CB1B0D">
      <w:pPr>
        <w:pStyle w:val="FootnoteText"/>
      </w:pPr>
      <w:r>
        <w:rPr>
          <w:rStyle w:val="FootnoteReference"/>
        </w:rPr>
        <w:footnoteRef/>
      </w:r>
      <w:r>
        <w:t xml:space="preserve"> C. Moore, </w:t>
      </w:r>
      <w:r>
        <w:rPr>
          <w:i/>
        </w:rPr>
        <w:t xml:space="preserve">Margaret Thatcher: At Her Zenith, in London, Washington, and Moscow. </w:t>
      </w:r>
      <w:r>
        <w:t>(Knopf Doubleday Publishing Group, 2016) pg. 211</w:t>
      </w:r>
    </w:p>
  </w:footnote>
  <w:footnote w:id="8">
    <w:p w:rsidR="00CB1B0D" w:rsidRPr="00CB1B0D" w:rsidRDefault="00CB1B0D">
      <w:pPr>
        <w:pStyle w:val="FootnoteText"/>
      </w:pPr>
      <w:r>
        <w:rPr>
          <w:rStyle w:val="FootnoteReference"/>
        </w:rPr>
        <w:footnoteRef/>
      </w:r>
      <w:r>
        <w:t xml:space="preserve"> J. Philips, </w:t>
      </w:r>
      <w:r w:rsidRPr="00CB1B0D">
        <w:rPr>
          <w:i/>
        </w:rPr>
        <w:t>Containing, Isolating, and Defeating the Miners: The UK Cabinet Ministerial Group on Coal and the Three Phases of the 1984–85 Strike</w:t>
      </w:r>
      <w:r>
        <w:rPr>
          <w:i/>
        </w:rPr>
        <w:t xml:space="preserve">. </w:t>
      </w:r>
      <w:r>
        <w:t>(2014) pg. 117-119</w:t>
      </w:r>
    </w:p>
  </w:footnote>
  <w:footnote w:id="9">
    <w:p w:rsidR="00CB1B0D" w:rsidRDefault="00CB1B0D">
      <w:pPr>
        <w:pStyle w:val="FootnoteText"/>
      </w:pPr>
      <w:r>
        <w:rPr>
          <w:rStyle w:val="FootnoteReference"/>
        </w:rPr>
        <w:footnoteRef/>
      </w:r>
      <w:r>
        <w:t xml:space="preserve"> J. Campbell, </w:t>
      </w:r>
      <w:r>
        <w:rPr>
          <w:i/>
        </w:rPr>
        <w:t xml:space="preserve">Margaret Thatcher: The Iron Lady. </w:t>
      </w:r>
      <w:r>
        <w:t>(Vintage, 2008) pg. 99-100</w:t>
      </w:r>
    </w:p>
  </w:footnote>
  <w:footnote w:id="10">
    <w:p w:rsidR="001C0D6D" w:rsidRPr="001C0D6D" w:rsidRDefault="001C0D6D">
      <w:pPr>
        <w:pStyle w:val="FootnoteText"/>
      </w:pPr>
      <w:r>
        <w:rPr>
          <w:rStyle w:val="FootnoteReference"/>
        </w:rPr>
        <w:footnoteRef/>
      </w:r>
      <w:r>
        <w:t xml:space="preserve"> </w:t>
      </w:r>
      <w:bookmarkStart w:id="2" w:name="_Hlk501027572"/>
      <w:r>
        <w:t xml:space="preserve">D. Amos, </w:t>
      </w:r>
      <w:r w:rsidRPr="001C0D6D">
        <w:rPr>
          <w:i/>
        </w:rPr>
        <w:t>The Nottinghamshire miners, the Union of Democratic Mineworkers and the 1984–85 miners’ strike: scabs or scapegoats?</w:t>
      </w:r>
      <w:r>
        <w:rPr>
          <w:i/>
        </w:rPr>
        <w:t xml:space="preserve"> </w:t>
      </w:r>
      <w:r>
        <w:t>(Nottingham University, 2012)</w:t>
      </w:r>
      <w:bookmarkEnd w:id="2"/>
    </w:p>
  </w:footnote>
  <w:footnote w:id="11">
    <w:p w:rsidR="00541FED" w:rsidRPr="00541FED" w:rsidRDefault="00541FED">
      <w:pPr>
        <w:pStyle w:val="FootnoteText"/>
      </w:pPr>
      <w:r>
        <w:rPr>
          <w:rStyle w:val="FootnoteReference"/>
        </w:rPr>
        <w:footnoteRef/>
      </w:r>
      <w:r>
        <w:t xml:space="preserve"> </w:t>
      </w:r>
      <w:bookmarkStart w:id="3" w:name="_Hlk501027853"/>
      <w:r>
        <w:t xml:space="preserve">BBC On This Day, </w:t>
      </w:r>
      <w:r w:rsidRPr="00541FED">
        <w:rPr>
          <w:bCs/>
          <w:i/>
        </w:rPr>
        <w:t>1984: Pit dispute 'illegal' says judge,</w:t>
      </w:r>
      <w:r>
        <w:rPr>
          <w:bCs/>
          <w:i/>
        </w:rPr>
        <w:t xml:space="preserve"> </w:t>
      </w:r>
      <w:r>
        <w:rPr>
          <w:bCs/>
        </w:rPr>
        <w:t xml:space="preserve">[online] Available. </w:t>
      </w:r>
      <w:hyperlink r:id="rId2" w:history="1">
        <w:r w:rsidRPr="0088248C">
          <w:rPr>
            <w:rStyle w:val="Hyperlink"/>
          </w:rPr>
          <w:t>http://news.bbc.co.uk/onthisday/hi/dates/stories/september/28/newsid_2540000/2540813.stm</w:t>
        </w:r>
      </w:hyperlink>
      <w:r>
        <w:rPr>
          <w:bCs/>
        </w:rPr>
        <w:t xml:space="preserve"> </w:t>
      </w:r>
      <w:bookmarkEnd w:id="3"/>
    </w:p>
  </w:footnote>
  <w:footnote w:id="12">
    <w:p w:rsidR="001B3B40" w:rsidRPr="00D14744" w:rsidRDefault="001B3B40" w:rsidP="002942E8">
      <w:pPr>
        <w:pStyle w:val="FootnoteText"/>
        <w:rPr>
          <w:bCs/>
        </w:rPr>
      </w:pPr>
      <w:r>
        <w:rPr>
          <w:rStyle w:val="FootnoteReference"/>
        </w:rPr>
        <w:footnoteRef/>
      </w:r>
      <w:r>
        <w:t xml:space="preserve"> </w:t>
      </w:r>
      <w:bookmarkStart w:id="4" w:name="_Hlk501033373"/>
      <w:r>
        <w:t xml:space="preserve">M. Adeney and J. Lloyd, </w:t>
      </w:r>
      <w:r w:rsidRPr="001B3B40">
        <w:rPr>
          <w:bCs/>
          <w:i/>
        </w:rPr>
        <w:t>The Miners' Strike, 1984-85: Loss without Limit</w:t>
      </w:r>
      <w:r>
        <w:rPr>
          <w:bCs/>
          <w:i/>
        </w:rPr>
        <w:t xml:space="preserve">, </w:t>
      </w:r>
      <w:r>
        <w:rPr>
          <w:bCs/>
        </w:rPr>
        <w:t>(London: Routledge, 1988) pg. 197</w:t>
      </w:r>
      <w:bookmarkEnd w:id="4"/>
    </w:p>
  </w:footnote>
  <w:footnote w:id="13">
    <w:p w:rsidR="00D14744" w:rsidRDefault="00D14744">
      <w:pPr>
        <w:pStyle w:val="FootnoteText"/>
      </w:pPr>
      <w:r>
        <w:rPr>
          <w:rStyle w:val="FootnoteReference"/>
        </w:rPr>
        <w:footnoteRef/>
      </w:r>
      <w:r>
        <w:t xml:space="preserve"> S. Milne, </w:t>
      </w:r>
      <w:r>
        <w:rPr>
          <w:i/>
        </w:rPr>
        <w:t xml:space="preserve">The Enemy Within: The Secret War against the Miners, </w:t>
      </w:r>
      <w:r>
        <w:t>(London and New York: Verso, 2004) pg. 284</w:t>
      </w:r>
    </w:p>
  </w:footnote>
  <w:footnote w:id="14">
    <w:p w:rsidR="00D14744" w:rsidRDefault="00D14744">
      <w:pPr>
        <w:pStyle w:val="FootnoteText"/>
      </w:pPr>
      <w:r>
        <w:rPr>
          <w:rStyle w:val="FootnoteReference"/>
        </w:rPr>
        <w:footnoteRef/>
      </w:r>
      <w:r>
        <w:t xml:space="preserve"> M. Adeney and J. Lloyd, </w:t>
      </w:r>
      <w:r w:rsidRPr="001B3B40">
        <w:rPr>
          <w:bCs/>
          <w:i/>
        </w:rPr>
        <w:t>The Miners' Strike, 1984-85: Loss without Limit</w:t>
      </w:r>
      <w:r>
        <w:rPr>
          <w:bCs/>
          <w:i/>
        </w:rPr>
        <w:t xml:space="preserve">, </w:t>
      </w:r>
      <w:r>
        <w:rPr>
          <w:bCs/>
        </w:rPr>
        <w:t>(London: Routledge, 1988) pg. 228</w:t>
      </w:r>
    </w:p>
  </w:footnote>
  <w:footnote w:id="15">
    <w:p w:rsidR="00D14744" w:rsidRPr="00D14744" w:rsidRDefault="00D14744">
      <w:pPr>
        <w:pStyle w:val="FootnoteText"/>
      </w:pPr>
      <w:r>
        <w:rPr>
          <w:rStyle w:val="FootnoteReference"/>
        </w:rPr>
        <w:footnoteRef/>
      </w:r>
      <w:r>
        <w:t xml:space="preserve"> A. Christopher, </w:t>
      </w:r>
      <w:r>
        <w:rPr>
          <w:i/>
        </w:rPr>
        <w:t xml:space="preserve">The Defence of the Realm: The Authorised History of MI5, </w:t>
      </w:r>
      <w:r>
        <w:t>(Penguin, 2010) pg. 679</w:t>
      </w:r>
    </w:p>
  </w:footnote>
  <w:footnote w:id="16">
    <w:p w:rsidR="00D34049" w:rsidRPr="00D34049" w:rsidRDefault="00D34049">
      <w:pPr>
        <w:pStyle w:val="FootnoteText"/>
      </w:pPr>
      <w:r>
        <w:rPr>
          <w:rStyle w:val="FootnoteReference"/>
        </w:rPr>
        <w:footnoteRef/>
      </w:r>
      <w:r>
        <w:t xml:space="preserve"> R. Norton Taylor, The Guardian, </w:t>
      </w:r>
      <w:r>
        <w:rPr>
          <w:i/>
        </w:rPr>
        <w:t xml:space="preserve">Former MI5 Chief Blasts Secrets Act, </w:t>
      </w:r>
      <w:r>
        <w:t xml:space="preserve">[online] Available. </w:t>
      </w:r>
      <w:hyperlink r:id="rId3" w:history="1">
        <w:r w:rsidRPr="0088248C">
          <w:rPr>
            <w:rStyle w:val="Hyperlink"/>
          </w:rPr>
          <w:t>https://www.theguardian.com/uk/2001/sep/08/books.freedomofinformation</w:t>
        </w:r>
      </w:hyperlink>
      <w:r>
        <w:t xml:space="preserve"> </w:t>
      </w:r>
    </w:p>
  </w:footnote>
  <w:footnote w:id="17">
    <w:p w:rsidR="00D34049" w:rsidRPr="00D34049" w:rsidRDefault="00D34049">
      <w:pPr>
        <w:pStyle w:val="FootnoteText"/>
      </w:pPr>
      <w:r>
        <w:rPr>
          <w:rStyle w:val="FootnoteReference"/>
        </w:rPr>
        <w:footnoteRef/>
      </w:r>
      <w:r>
        <w:t xml:space="preserve"> D. J. Douglas, </w:t>
      </w:r>
      <w:r>
        <w:rPr>
          <w:i/>
          <w:iCs/>
        </w:rPr>
        <w:t>Pit Sense versus the State: A History of Militant Miners in the Doncaster A</w:t>
      </w:r>
      <w:r w:rsidRPr="00D34049">
        <w:rPr>
          <w:i/>
          <w:iCs/>
        </w:rPr>
        <w:t>rea</w:t>
      </w:r>
      <w:r>
        <w:rPr>
          <w:i/>
          <w:iCs/>
        </w:rPr>
        <w:t xml:space="preserve">, </w:t>
      </w:r>
      <w:r>
        <w:rPr>
          <w:iCs/>
        </w:rPr>
        <w:t>(London: Phoenix Press, 1990) pg. 96</w:t>
      </w:r>
    </w:p>
  </w:footnote>
  <w:footnote w:id="18">
    <w:p w:rsidR="000C33B2" w:rsidRDefault="000C33B2">
      <w:pPr>
        <w:pStyle w:val="FootnoteText"/>
      </w:pPr>
      <w:r>
        <w:rPr>
          <w:rStyle w:val="FootnoteReference"/>
        </w:rPr>
        <w:footnoteRef/>
      </w:r>
      <w:r>
        <w:t xml:space="preserve"> </w:t>
      </w:r>
      <w:r>
        <w:t xml:space="preserve">M. Adeney and J. Lloyd, </w:t>
      </w:r>
      <w:r w:rsidRPr="001B3B40">
        <w:rPr>
          <w:bCs/>
          <w:i/>
        </w:rPr>
        <w:t>The Miners' Strike, 1984-85: Loss without Limit</w:t>
      </w:r>
      <w:r>
        <w:rPr>
          <w:bCs/>
          <w:i/>
        </w:rPr>
        <w:t xml:space="preserve">, </w:t>
      </w:r>
      <w:r>
        <w:rPr>
          <w:bCs/>
        </w:rPr>
        <w:t>(London: Routledge, 1988) pg</w:t>
      </w:r>
      <w:r>
        <w:rPr>
          <w:bCs/>
        </w:rPr>
        <w:t>. 266</w:t>
      </w:r>
    </w:p>
  </w:footnote>
  <w:footnote w:id="19">
    <w:p w:rsidR="000C33B2" w:rsidRPr="000C33B2" w:rsidRDefault="000C33B2">
      <w:pPr>
        <w:pStyle w:val="FootnoteText"/>
      </w:pPr>
      <w:r>
        <w:rPr>
          <w:rStyle w:val="FootnoteReference"/>
        </w:rPr>
        <w:footnoteRef/>
      </w:r>
      <w:r>
        <w:t xml:space="preserve"> </w:t>
      </w:r>
      <w:bookmarkStart w:id="5" w:name="_Hlk501111096"/>
      <w:r>
        <w:t xml:space="preserve">J. Winterton and R. Winterton, </w:t>
      </w:r>
      <w:r>
        <w:rPr>
          <w:i/>
        </w:rPr>
        <w:t xml:space="preserve">Coal, Crisis, and Conflict: The 1984-85 Miners’ Strike in Yorkshire, </w:t>
      </w:r>
      <w:r>
        <w:t xml:space="preserve">(Manchester: Manchester University Press, 1989) </w:t>
      </w:r>
      <w:bookmarkEnd w:id="5"/>
      <w:r>
        <w:t>pg. 81-82</w:t>
      </w:r>
    </w:p>
  </w:footnote>
  <w:footnote w:id="20">
    <w:p w:rsidR="00DC3008" w:rsidRPr="00DC3008" w:rsidRDefault="00DC3008">
      <w:pPr>
        <w:pStyle w:val="FootnoteText"/>
        <w:rPr>
          <w:i/>
        </w:rPr>
      </w:pPr>
      <w:r>
        <w:rPr>
          <w:rStyle w:val="FootnoteReference"/>
        </w:rPr>
        <w:footnoteRef/>
      </w:r>
      <w:r>
        <w:t xml:space="preserve"> J. Mcllroy, </w:t>
      </w:r>
      <w:r>
        <w:rPr>
          <w:i/>
        </w:rPr>
        <w:t xml:space="preserve">Police and Pickets: The law against the miners, </w:t>
      </w:r>
      <w:r>
        <w:t xml:space="preserve">in ed. H. Beynon, </w:t>
      </w:r>
      <w:r>
        <w:rPr>
          <w:i/>
        </w:rPr>
        <w:t xml:space="preserve">Digging Deeper: Issues in the Miners’ Strike. </w:t>
      </w:r>
      <w:r>
        <w:t xml:space="preserve">[online] Available.  </w:t>
      </w:r>
      <w:hyperlink r:id="rId4" w:history="1">
        <w:r w:rsidRPr="00082A40">
          <w:rPr>
            <w:rStyle w:val="Hyperlink"/>
          </w:rPr>
          <w:t>http://journals.sagepub.com/doi/abs/10.1177/0309816815603718</w:t>
        </w:r>
      </w:hyperlink>
      <w:r>
        <w:t xml:space="preserve"> </w:t>
      </w:r>
    </w:p>
  </w:footnote>
  <w:footnote w:id="21">
    <w:p w:rsidR="00B80D47" w:rsidRPr="00B80D47" w:rsidRDefault="00B80D47">
      <w:pPr>
        <w:pStyle w:val="FootnoteText"/>
      </w:pPr>
      <w:r>
        <w:rPr>
          <w:rStyle w:val="FootnoteReference"/>
        </w:rPr>
        <w:footnoteRef/>
      </w:r>
      <w:r>
        <w:t xml:space="preserve"> A. Travis, The Guardian, </w:t>
      </w:r>
      <w:r>
        <w:rPr>
          <w:i/>
        </w:rPr>
        <w:t xml:space="preserve">Thatcher had secret plan to use army at height of miners’ strike, </w:t>
      </w:r>
      <w:r>
        <w:t xml:space="preserve">[online] Available. </w:t>
      </w:r>
      <w:hyperlink r:id="rId5" w:history="1">
        <w:r w:rsidRPr="00082A40">
          <w:rPr>
            <w:rStyle w:val="Hyperlink"/>
          </w:rPr>
          <w:t>https://www.theguardian.com/politics/2014/jan/03/margaret-thatcher-secret-plan-army-miners-strike</w:t>
        </w:r>
      </w:hyperlink>
      <w:r>
        <w:t xml:space="preserve"> </w:t>
      </w:r>
    </w:p>
  </w:footnote>
  <w:footnote w:id="22">
    <w:p w:rsidR="008845C3" w:rsidRPr="008845C3" w:rsidRDefault="008845C3">
      <w:pPr>
        <w:pStyle w:val="FootnoteText"/>
      </w:pPr>
      <w:r>
        <w:rPr>
          <w:rStyle w:val="FootnoteReference"/>
        </w:rPr>
        <w:footnoteRef/>
      </w:r>
      <w:r>
        <w:t xml:space="preserve"> C. Philpott, Yorkshire Magazine, </w:t>
      </w:r>
      <w:r>
        <w:rPr>
          <w:i/>
        </w:rPr>
        <w:t xml:space="preserve">The Battle of Orgreave, </w:t>
      </w:r>
      <w:r>
        <w:t xml:space="preserve">[online] Available. </w:t>
      </w:r>
      <w:hyperlink r:id="rId6" w:history="1">
        <w:r w:rsidRPr="00082A40">
          <w:rPr>
            <w:rStyle w:val="Hyperlink"/>
          </w:rPr>
          <w:t>http://www.on-magazine.co.uk/yorkshire/yorkshire-history/the-battle-of-orgreave/</w:t>
        </w:r>
      </w:hyperlink>
      <w:r>
        <w:t xml:space="preserve"> </w:t>
      </w:r>
    </w:p>
  </w:footnote>
  <w:footnote w:id="23">
    <w:p w:rsidR="00BD40DF" w:rsidRPr="00BD40DF" w:rsidRDefault="00BD40DF">
      <w:pPr>
        <w:pStyle w:val="FootnoteText"/>
      </w:pPr>
      <w:r>
        <w:rPr>
          <w:rStyle w:val="FootnoteReference"/>
        </w:rPr>
        <w:footnoteRef/>
      </w:r>
      <w:r>
        <w:t xml:space="preserve"> P. Scraton, ‘</w:t>
      </w:r>
      <w:r w:rsidRPr="00BD40DF">
        <w:t>The State v the People</w:t>
      </w:r>
      <w:r>
        <w:t>’</w:t>
      </w:r>
      <w:r>
        <w:rPr>
          <w:i/>
        </w:rPr>
        <w:t xml:space="preserve">. The Journal of Law and Society, </w:t>
      </w:r>
      <w:r>
        <w:t>12: (1985) pg. 251</w:t>
      </w:r>
      <w:r>
        <w:rPr>
          <w:i/>
        </w:rPr>
        <w:t xml:space="preserve"> </w:t>
      </w:r>
    </w:p>
  </w:footnote>
  <w:footnote w:id="24">
    <w:p w:rsidR="00BD40DF" w:rsidRPr="00BD40DF" w:rsidRDefault="00BD40DF">
      <w:pPr>
        <w:pStyle w:val="FootnoteText"/>
      </w:pPr>
      <w:r>
        <w:rPr>
          <w:rStyle w:val="FootnoteReference"/>
        </w:rPr>
        <w:footnoteRef/>
      </w:r>
      <w:r>
        <w:t xml:space="preserve"> R. East </w:t>
      </w:r>
      <w:r>
        <w:rPr>
          <w:i/>
        </w:rPr>
        <w:t xml:space="preserve">et al. </w:t>
      </w:r>
      <w:r>
        <w:t xml:space="preserve">‘The death of mass picketing’. </w:t>
      </w:r>
      <w:r>
        <w:rPr>
          <w:i/>
        </w:rPr>
        <w:t xml:space="preserve">The Journal of Law and Society, </w:t>
      </w:r>
      <w:r>
        <w:t>12: (1985) pg. 306</w:t>
      </w:r>
    </w:p>
  </w:footnote>
  <w:footnote w:id="25">
    <w:p w:rsidR="009F2AD9" w:rsidRPr="009F2AD9" w:rsidRDefault="009F2AD9">
      <w:pPr>
        <w:pStyle w:val="FootnoteText"/>
      </w:pPr>
      <w:r>
        <w:rPr>
          <w:rStyle w:val="FootnoteReference"/>
        </w:rPr>
        <w:footnoteRef/>
      </w:r>
      <w:r>
        <w:t xml:space="preserve"> D. Conn, The Guardian, </w:t>
      </w:r>
      <w:r>
        <w:rPr>
          <w:i/>
        </w:rPr>
        <w:t xml:space="preserve">Tell us the truth about the battle of Orgreave. </w:t>
      </w:r>
      <w:r>
        <w:t xml:space="preserve">[online] Available. </w:t>
      </w:r>
      <w:hyperlink r:id="rId7" w:history="1">
        <w:r w:rsidRPr="00082A40">
          <w:rPr>
            <w:rStyle w:val="Hyperlink"/>
          </w:rPr>
          <w:t>https://www.theguardian.com/commentisfree/2014/nov/14/battle-orgreave-policing-1984-85-miners-strike-britain-ipcc</w:t>
        </w:r>
      </w:hyperlink>
      <w:r>
        <w:t xml:space="preserve"> </w:t>
      </w:r>
    </w:p>
  </w:footnote>
  <w:footnote w:id="26">
    <w:p w:rsidR="0055569B" w:rsidRPr="0055569B" w:rsidRDefault="0055569B">
      <w:pPr>
        <w:pStyle w:val="FootnoteText"/>
      </w:pPr>
      <w:r>
        <w:rPr>
          <w:rStyle w:val="FootnoteReference"/>
        </w:rPr>
        <w:footnoteRef/>
      </w:r>
      <w:r>
        <w:t xml:space="preserve"> </w:t>
      </w:r>
      <w:bookmarkStart w:id="6" w:name="_Hlk501116746"/>
      <w:r>
        <w:t xml:space="preserve">K. Hughes, </w:t>
      </w:r>
      <w:r>
        <w:rPr>
          <w:i/>
        </w:rPr>
        <w:t xml:space="preserve">Terror Attack Brighton: Blowing Up the Iron Lady. </w:t>
      </w:r>
      <w:r>
        <w:t xml:space="preserve">(Barnsley: Pen and Sword, 2014) </w:t>
      </w:r>
      <w:bookmarkEnd w:id="6"/>
      <w:r>
        <w:t>pg. 13</w:t>
      </w:r>
    </w:p>
  </w:footnote>
  <w:footnote w:id="27">
    <w:p w:rsidR="0055569B" w:rsidRPr="0055569B" w:rsidRDefault="0055569B" w:rsidP="0055569B">
      <w:pPr>
        <w:pStyle w:val="FootnoteText"/>
      </w:pPr>
      <w:r>
        <w:rPr>
          <w:rStyle w:val="FootnoteReference"/>
        </w:rPr>
        <w:footnoteRef/>
      </w:r>
      <w:r>
        <w:t xml:space="preserve"> University of Cambridge</w:t>
      </w:r>
      <w:r w:rsidR="00373A20">
        <w:t xml:space="preserve"> Research</w:t>
      </w:r>
      <w:r>
        <w:t xml:space="preserve">, </w:t>
      </w:r>
      <w:proofErr w:type="gramStart"/>
      <w:r>
        <w:rPr>
          <w:i/>
        </w:rPr>
        <w:t>The</w:t>
      </w:r>
      <w:proofErr w:type="gramEnd"/>
      <w:r>
        <w:rPr>
          <w:i/>
        </w:rPr>
        <w:t xml:space="preserve"> speech that never was: </w:t>
      </w:r>
      <w:r w:rsidRPr="0055569B">
        <w:rPr>
          <w:i/>
        </w:rPr>
        <w:t>Thatcher papers for 1984 open to the public</w:t>
      </w:r>
      <w:r>
        <w:rPr>
          <w:i/>
        </w:rPr>
        <w:t xml:space="preserve">, </w:t>
      </w:r>
      <w:r w:rsidR="00373A20">
        <w:t xml:space="preserve">[online] Available. </w:t>
      </w:r>
      <w:hyperlink r:id="rId8" w:history="1">
        <w:r w:rsidR="00373A20" w:rsidRPr="009A0144">
          <w:rPr>
            <w:rStyle w:val="Hyperlink"/>
          </w:rPr>
          <w:t>http://www.cam.ac.uk/research/news/the-speech-that-never-was-thatcher-papers-for-1984-open-to-the-public</w:t>
        </w:r>
      </w:hyperlink>
      <w:r w:rsidR="00373A20">
        <w:t xml:space="preserve"> </w:t>
      </w:r>
    </w:p>
    <w:p w:rsidR="0055569B" w:rsidRPr="0055569B" w:rsidRDefault="0055569B">
      <w:pPr>
        <w:pStyle w:val="FootnoteText"/>
        <w:rPr>
          <w:i/>
        </w:rPr>
      </w:pPr>
    </w:p>
  </w:footnote>
  <w:footnote w:id="28">
    <w:p w:rsidR="00373A20" w:rsidRPr="00373A20" w:rsidRDefault="00373A20">
      <w:pPr>
        <w:pStyle w:val="FootnoteText"/>
        <w:rPr>
          <w:i/>
        </w:rPr>
      </w:pPr>
      <w:r>
        <w:rPr>
          <w:rStyle w:val="FootnoteReference"/>
        </w:rPr>
        <w:footnoteRef/>
      </w:r>
      <w:r>
        <w:t xml:space="preserve"> </w:t>
      </w:r>
      <w:r>
        <w:rPr>
          <w:i/>
        </w:rPr>
        <w:t xml:space="preserve">Ibid. </w:t>
      </w:r>
    </w:p>
  </w:footnote>
  <w:footnote w:id="29">
    <w:p w:rsidR="00B022B7" w:rsidRPr="00B022B7" w:rsidRDefault="00B022B7">
      <w:pPr>
        <w:pStyle w:val="FootnoteText"/>
        <w:rPr>
          <w:i/>
        </w:rPr>
      </w:pPr>
      <w:r>
        <w:rPr>
          <w:rStyle w:val="FootnoteReference"/>
        </w:rPr>
        <w:footnoteRef/>
      </w:r>
      <w:r>
        <w:t xml:space="preserve"> </w:t>
      </w:r>
      <w:r>
        <w:rPr>
          <w:i/>
        </w:rPr>
        <w:t>Ibid.</w:t>
      </w:r>
    </w:p>
  </w:footnote>
  <w:footnote w:id="30">
    <w:p w:rsidR="00B022B7" w:rsidRPr="00B022B7" w:rsidRDefault="00B022B7">
      <w:pPr>
        <w:pStyle w:val="FootnoteText"/>
        <w:rPr>
          <w:i/>
        </w:rPr>
      </w:pPr>
      <w:r>
        <w:rPr>
          <w:rStyle w:val="FootnoteReference"/>
        </w:rPr>
        <w:footnoteRef/>
      </w:r>
      <w:r>
        <w:t xml:space="preserve"> </w:t>
      </w:r>
      <w:r>
        <w:rPr>
          <w:i/>
        </w:rPr>
        <w:t>Ibid.</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443FD8"/>
    <w:multiLevelType w:val="hybridMultilevel"/>
    <w:tmpl w:val="FD8690E8"/>
    <w:lvl w:ilvl="0" w:tplc="3FFE689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0F72DBE"/>
    <w:multiLevelType w:val="multilevel"/>
    <w:tmpl w:val="3736809E"/>
    <w:lvl w:ilvl="0">
      <w:start w:val="1"/>
      <w:numFmt w:val="decimal"/>
      <w:lvlText w:val="%1."/>
      <w:lvlJc w:val="left"/>
      <w:pPr>
        <w:ind w:left="360" w:hanging="360"/>
      </w:pPr>
      <w:rPr>
        <w:rFonts w:eastAsia="Times New Roman"/>
      </w:rPr>
    </w:lvl>
    <w:lvl w:ilvl="1">
      <w:start w:val="1"/>
      <w:numFmt w:val="lowerLetter"/>
      <w:lvlText w:val="%2."/>
      <w:lvlJc w:val="left"/>
      <w:pPr>
        <w:ind w:left="502" w:hanging="360"/>
      </w:pPr>
    </w:lvl>
    <w:lvl w:ilvl="2">
      <w:start w:val="1"/>
      <w:numFmt w:val="lowerRoman"/>
      <w:lvlText w:val="%3."/>
      <w:lvlJc w:val="right"/>
      <w:pPr>
        <w:ind w:left="1942" w:hanging="180"/>
      </w:pPr>
    </w:lvl>
    <w:lvl w:ilvl="3">
      <w:start w:val="1"/>
      <w:numFmt w:val="decimal"/>
      <w:lvlText w:val="%4."/>
      <w:lvlJc w:val="left"/>
      <w:pPr>
        <w:ind w:left="2662" w:hanging="360"/>
      </w:pPr>
    </w:lvl>
    <w:lvl w:ilvl="4">
      <w:start w:val="1"/>
      <w:numFmt w:val="lowerLetter"/>
      <w:lvlText w:val="%5."/>
      <w:lvlJc w:val="left"/>
      <w:pPr>
        <w:ind w:left="3382" w:hanging="360"/>
      </w:pPr>
    </w:lvl>
    <w:lvl w:ilvl="5">
      <w:start w:val="1"/>
      <w:numFmt w:val="lowerRoman"/>
      <w:lvlText w:val="%6."/>
      <w:lvlJc w:val="right"/>
      <w:pPr>
        <w:ind w:left="4102" w:hanging="180"/>
      </w:pPr>
    </w:lvl>
    <w:lvl w:ilvl="6">
      <w:start w:val="1"/>
      <w:numFmt w:val="decimal"/>
      <w:lvlText w:val="%7."/>
      <w:lvlJc w:val="left"/>
      <w:pPr>
        <w:ind w:left="4822" w:hanging="360"/>
      </w:pPr>
    </w:lvl>
    <w:lvl w:ilvl="7">
      <w:start w:val="1"/>
      <w:numFmt w:val="lowerLetter"/>
      <w:lvlText w:val="%8."/>
      <w:lvlJc w:val="left"/>
      <w:pPr>
        <w:ind w:left="5542" w:hanging="360"/>
      </w:pPr>
    </w:lvl>
    <w:lvl w:ilvl="8">
      <w:start w:val="1"/>
      <w:numFmt w:val="lowerRoman"/>
      <w:lvlText w:val="%9."/>
      <w:lvlJc w:val="right"/>
      <w:pPr>
        <w:ind w:left="6262" w:hanging="180"/>
      </w:p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70E2E"/>
    <w:rsid w:val="0009595E"/>
    <w:rsid w:val="000C33B2"/>
    <w:rsid w:val="001763A0"/>
    <w:rsid w:val="001B3B40"/>
    <w:rsid w:val="001C0D6D"/>
    <w:rsid w:val="0026245C"/>
    <w:rsid w:val="002942E8"/>
    <w:rsid w:val="002A44A0"/>
    <w:rsid w:val="002C4F83"/>
    <w:rsid w:val="002D0079"/>
    <w:rsid w:val="00373A20"/>
    <w:rsid w:val="003B71EB"/>
    <w:rsid w:val="003B7D80"/>
    <w:rsid w:val="00424817"/>
    <w:rsid w:val="0049180E"/>
    <w:rsid w:val="004E79CF"/>
    <w:rsid w:val="00541FED"/>
    <w:rsid w:val="0055569B"/>
    <w:rsid w:val="00660750"/>
    <w:rsid w:val="00670E2E"/>
    <w:rsid w:val="006F0D4F"/>
    <w:rsid w:val="00723ED4"/>
    <w:rsid w:val="007A5287"/>
    <w:rsid w:val="007B3830"/>
    <w:rsid w:val="007C31D1"/>
    <w:rsid w:val="007C746A"/>
    <w:rsid w:val="00852940"/>
    <w:rsid w:val="008715CF"/>
    <w:rsid w:val="00875DD0"/>
    <w:rsid w:val="008845C3"/>
    <w:rsid w:val="00991F5C"/>
    <w:rsid w:val="009F2AD9"/>
    <w:rsid w:val="00A0236F"/>
    <w:rsid w:val="00A40D0F"/>
    <w:rsid w:val="00AA7D8D"/>
    <w:rsid w:val="00AC635F"/>
    <w:rsid w:val="00AF4DDA"/>
    <w:rsid w:val="00B022B7"/>
    <w:rsid w:val="00B15780"/>
    <w:rsid w:val="00B80D47"/>
    <w:rsid w:val="00BD40DF"/>
    <w:rsid w:val="00CB1B0D"/>
    <w:rsid w:val="00CE1930"/>
    <w:rsid w:val="00D14744"/>
    <w:rsid w:val="00D34049"/>
    <w:rsid w:val="00D564DA"/>
    <w:rsid w:val="00D7606C"/>
    <w:rsid w:val="00D92DAA"/>
    <w:rsid w:val="00DC3008"/>
    <w:rsid w:val="00DE4C09"/>
    <w:rsid w:val="00E50A85"/>
    <w:rsid w:val="00E54CB4"/>
    <w:rsid w:val="00E9001C"/>
    <w:rsid w:val="00F676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06A3FA"/>
  <w15:chartTrackingRefBased/>
  <w15:docId w15:val="{A9176F81-BE81-475D-BF0F-D2F970807A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3B4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D92DA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92DAA"/>
    <w:rPr>
      <w:sz w:val="20"/>
      <w:szCs w:val="20"/>
    </w:rPr>
  </w:style>
  <w:style w:type="character" w:styleId="FootnoteReference">
    <w:name w:val="footnote reference"/>
    <w:basedOn w:val="DefaultParagraphFont"/>
    <w:uiPriority w:val="99"/>
    <w:semiHidden/>
    <w:unhideWhenUsed/>
    <w:rsid w:val="00D92DAA"/>
    <w:rPr>
      <w:vertAlign w:val="superscript"/>
    </w:rPr>
  </w:style>
  <w:style w:type="character" w:styleId="Hyperlink">
    <w:name w:val="Hyperlink"/>
    <w:basedOn w:val="DefaultParagraphFont"/>
    <w:uiPriority w:val="99"/>
    <w:unhideWhenUsed/>
    <w:rsid w:val="00D564DA"/>
    <w:rPr>
      <w:color w:val="0563C1" w:themeColor="hyperlink"/>
      <w:u w:val="single"/>
    </w:rPr>
  </w:style>
  <w:style w:type="character" w:styleId="UnresolvedMention">
    <w:name w:val="Unresolved Mention"/>
    <w:basedOn w:val="DefaultParagraphFont"/>
    <w:uiPriority w:val="99"/>
    <w:semiHidden/>
    <w:unhideWhenUsed/>
    <w:rsid w:val="00D564DA"/>
    <w:rPr>
      <w:color w:val="808080"/>
      <w:shd w:val="clear" w:color="auto" w:fill="E6E6E6"/>
    </w:rPr>
  </w:style>
  <w:style w:type="character" w:customStyle="1" w:styleId="Heading1Char">
    <w:name w:val="Heading 1 Char"/>
    <w:basedOn w:val="DefaultParagraphFont"/>
    <w:link w:val="Heading1"/>
    <w:uiPriority w:val="9"/>
    <w:rsid w:val="001B3B40"/>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09595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95257421">
      <w:bodyDiv w:val="1"/>
      <w:marLeft w:val="0"/>
      <w:marRight w:val="0"/>
      <w:marTop w:val="0"/>
      <w:marBottom w:val="0"/>
      <w:divBdr>
        <w:top w:val="none" w:sz="0" w:space="0" w:color="auto"/>
        <w:left w:val="none" w:sz="0" w:space="0" w:color="auto"/>
        <w:bottom w:val="none" w:sz="0" w:space="0" w:color="auto"/>
        <w:right w:val="none" w:sz="0" w:space="0" w:color="auto"/>
      </w:divBdr>
    </w:div>
    <w:div w:id="1379164952">
      <w:bodyDiv w:val="1"/>
      <w:marLeft w:val="0"/>
      <w:marRight w:val="0"/>
      <w:marTop w:val="0"/>
      <w:marBottom w:val="0"/>
      <w:divBdr>
        <w:top w:val="none" w:sz="0" w:space="0" w:color="auto"/>
        <w:left w:val="none" w:sz="0" w:space="0" w:color="auto"/>
        <w:bottom w:val="none" w:sz="0" w:space="0" w:color="auto"/>
        <w:right w:val="none" w:sz="0" w:space="0" w:color="auto"/>
      </w:divBdr>
    </w:div>
    <w:div w:id="13990164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news.bbc.co.uk/onthisday/hi/dates/stories/march/28/newsid_2531000/2531033.stm" TargetMode="External"/><Relationship Id="rId13" Type="http://schemas.openxmlformats.org/officeDocument/2006/relationships/hyperlink" Target="http://www.on-magazine.co.uk/yorkshire/yorkshire-history/the-battle-of-orgreav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heguardian.com/uk/2001/sep/08/books.freedomofinformation"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journals.sagepub.com/doi/abs/10.1177/0309816815603718" TargetMode="External"/><Relationship Id="rId5" Type="http://schemas.openxmlformats.org/officeDocument/2006/relationships/webSettings" Target="webSettings.xml"/><Relationship Id="rId15" Type="http://schemas.openxmlformats.org/officeDocument/2006/relationships/hyperlink" Target="http://www.cam.ac.uk/research/news/the-speech-that-never-was-thatcher-papers-for-1984-open-to-the-public" TargetMode="External"/><Relationship Id="rId10" Type="http://schemas.openxmlformats.org/officeDocument/2006/relationships/hyperlink" Target="https://www.theguardian.com/commentisfree/2014/nov/14/battle-orgreave-policing-1984-85-miners-strike-britain-ipcc" TargetMode="External"/><Relationship Id="rId4" Type="http://schemas.openxmlformats.org/officeDocument/2006/relationships/settings" Target="settings.xml"/><Relationship Id="rId9" Type="http://schemas.openxmlformats.org/officeDocument/2006/relationships/hyperlink" Target="http://news.bbc.co.uk/onthisday/hi/dates/stories/september/28/newsid_2540000/2540813.stm" TargetMode="External"/><Relationship Id="rId14" Type="http://schemas.openxmlformats.org/officeDocument/2006/relationships/hyperlink" Target="https://www.theguardian.com/politics/2014/jan/03/margaret-thatcher-secret-plan-army-miners-strike"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www.cam.ac.uk/research/news/the-speech-that-never-was-thatcher-papers-for-1984-open-to-the-public" TargetMode="External"/><Relationship Id="rId3" Type="http://schemas.openxmlformats.org/officeDocument/2006/relationships/hyperlink" Target="https://www.theguardian.com/uk/2001/sep/08/books.freedomofinformation" TargetMode="External"/><Relationship Id="rId7" Type="http://schemas.openxmlformats.org/officeDocument/2006/relationships/hyperlink" Target="https://www.theguardian.com/commentisfree/2014/nov/14/battle-orgreave-policing-1984-85-miners-strike-britain-ipcc" TargetMode="External"/><Relationship Id="rId2" Type="http://schemas.openxmlformats.org/officeDocument/2006/relationships/hyperlink" Target="http://news.bbc.co.uk/onthisday/hi/dates/stories/september/28/newsid_2540000/2540813.stm" TargetMode="External"/><Relationship Id="rId1" Type="http://schemas.openxmlformats.org/officeDocument/2006/relationships/hyperlink" Target="http://news.bbc.co.uk/onthisday/hi/dates/stories/march/28/newsid_2531000/2531033.stm" TargetMode="External"/><Relationship Id="rId6" Type="http://schemas.openxmlformats.org/officeDocument/2006/relationships/hyperlink" Target="http://www.on-magazine.co.uk/yorkshire/yorkshire-history/the-battle-of-orgreave/" TargetMode="External"/><Relationship Id="rId5" Type="http://schemas.openxmlformats.org/officeDocument/2006/relationships/hyperlink" Target="https://www.theguardian.com/politics/2014/jan/03/margaret-thatcher-secret-plan-army-miners-strike" TargetMode="External"/><Relationship Id="rId4" Type="http://schemas.openxmlformats.org/officeDocument/2006/relationships/hyperlink" Target="http://journals.sagepub.com/doi/abs/10.1177/03098168156037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A8CC11-BDF9-4601-9A15-75122E9906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2573</Words>
  <Characters>14671</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Cunningham</dc:creator>
  <cp:keywords/>
  <dc:description/>
  <cp:lastModifiedBy>David Cunningham</cp:lastModifiedBy>
  <cp:revision>2</cp:revision>
  <dcterms:created xsi:type="dcterms:W3CDTF">2017-12-15T16:47:00Z</dcterms:created>
  <dcterms:modified xsi:type="dcterms:W3CDTF">2017-12-15T16:47:00Z</dcterms:modified>
</cp:coreProperties>
</file>