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C50E3" w14:textId="64FC10AE" w:rsidR="00394BBF" w:rsidRDefault="00394BBF" w:rsidP="00394BBF">
      <w:pPr>
        <w:jc w:val="left"/>
        <w:rPr>
          <w:sz w:val="36"/>
          <w:szCs w:val="32"/>
        </w:rPr>
      </w:pPr>
      <w:r>
        <w:rPr>
          <w:noProof/>
          <w:sz w:val="36"/>
          <w:szCs w:val="32"/>
        </w:rPr>
        <w:drawing>
          <wp:inline distT="0" distB="0" distL="0" distR="0" wp14:anchorId="03712983" wp14:editId="168AC6DF">
            <wp:extent cx="3810000" cy="2540000"/>
            <wp:effectExtent l="0" t="0" r="0" b="0"/>
            <wp:docPr id="934236224"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236224" name="Picture 1" descr="A logo with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6BA88922" w14:textId="77777777" w:rsidR="00394BBF" w:rsidRDefault="00394BBF" w:rsidP="001268AB">
      <w:pPr>
        <w:jc w:val="center"/>
        <w:rPr>
          <w:sz w:val="36"/>
          <w:szCs w:val="32"/>
        </w:rPr>
      </w:pPr>
    </w:p>
    <w:p w14:paraId="4D237FAA" w14:textId="0433F37E" w:rsidR="001268AB" w:rsidRPr="001268AB" w:rsidRDefault="001268AB" w:rsidP="001268AB">
      <w:pPr>
        <w:jc w:val="center"/>
        <w:rPr>
          <w:sz w:val="36"/>
          <w:szCs w:val="32"/>
        </w:rPr>
      </w:pPr>
      <w:r w:rsidRPr="001268AB">
        <w:rPr>
          <w:sz w:val="36"/>
          <w:szCs w:val="32"/>
        </w:rPr>
        <w:t xml:space="preserve">Reflective Report based on “Green Spaces for </w:t>
      </w:r>
      <w:r w:rsidR="00394BBF" w:rsidRPr="001268AB">
        <w:rPr>
          <w:sz w:val="36"/>
          <w:szCs w:val="32"/>
        </w:rPr>
        <w:t xml:space="preserve">All” </w:t>
      </w:r>
      <w:r w:rsidR="00394BBF">
        <w:rPr>
          <w:sz w:val="36"/>
          <w:szCs w:val="32"/>
        </w:rPr>
        <w:t>report</w:t>
      </w:r>
      <w:r w:rsidRPr="001268AB">
        <w:rPr>
          <w:sz w:val="36"/>
          <w:szCs w:val="32"/>
        </w:rPr>
        <w:t xml:space="preserve"> Project in London, UK</w:t>
      </w:r>
    </w:p>
    <w:p w14:paraId="65E575FF" w14:textId="77777777" w:rsidR="001268AB" w:rsidRPr="00394BBF" w:rsidRDefault="001268AB" w:rsidP="001268AB">
      <w:pPr>
        <w:jc w:val="center"/>
        <w:rPr>
          <w:sz w:val="36"/>
          <w:szCs w:val="36"/>
        </w:rPr>
      </w:pPr>
      <w:r w:rsidRPr="00394BBF">
        <w:rPr>
          <w:sz w:val="36"/>
          <w:szCs w:val="36"/>
        </w:rPr>
        <w:t>Module Code: LCBB4002</w:t>
      </w:r>
    </w:p>
    <w:p w14:paraId="6A0892F7" w14:textId="77777777" w:rsidR="001268AB" w:rsidRDefault="001268AB" w:rsidP="00394BBF">
      <w:pPr>
        <w:jc w:val="left"/>
        <w:rPr>
          <w:sz w:val="36"/>
          <w:szCs w:val="32"/>
        </w:rPr>
      </w:pPr>
    </w:p>
    <w:p w14:paraId="3650C2FE" w14:textId="77777777" w:rsidR="00394BBF" w:rsidRPr="001268AB" w:rsidRDefault="00394BBF" w:rsidP="00394BBF">
      <w:pPr>
        <w:jc w:val="left"/>
        <w:rPr>
          <w:sz w:val="36"/>
          <w:szCs w:val="32"/>
        </w:rPr>
      </w:pPr>
    </w:p>
    <w:p w14:paraId="65FAF5A7" w14:textId="77777777" w:rsidR="001268AB" w:rsidRPr="00394BBF" w:rsidRDefault="001268AB" w:rsidP="00394BBF">
      <w:pPr>
        <w:jc w:val="left"/>
        <w:rPr>
          <w:rFonts w:cs="Times New Roman"/>
          <w:sz w:val="32"/>
          <w:szCs w:val="32"/>
        </w:rPr>
      </w:pPr>
      <w:r w:rsidRPr="00394BBF">
        <w:rPr>
          <w:sz w:val="32"/>
          <w:szCs w:val="32"/>
        </w:rPr>
        <w:t xml:space="preserve">Student Name: </w:t>
      </w:r>
      <w:r w:rsidRPr="00394BBF">
        <w:rPr>
          <w:rFonts w:cs="Times New Roman"/>
          <w:sz w:val="32"/>
          <w:szCs w:val="32"/>
        </w:rPr>
        <w:t>Viktoria Velichkova Ivanova</w:t>
      </w:r>
    </w:p>
    <w:p w14:paraId="67AF0565" w14:textId="34450402" w:rsidR="001268AB" w:rsidRPr="00394BBF" w:rsidRDefault="001268AB" w:rsidP="00394BBF">
      <w:pPr>
        <w:jc w:val="left"/>
        <w:rPr>
          <w:sz w:val="32"/>
          <w:szCs w:val="32"/>
        </w:rPr>
      </w:pPr>
      <w:r w:rsidRPr="00394BBF">
        <w:rPr>
          <w:sz w:val="32"/>
          <w:szCs w:val="32"/>
        </w:rPr>
        <w:t>Student Id:</w:t>
      </w:r>
      <w:r w:rsidR="00394BBF" w:rsidRPr="00394BBF">
        <w:rPr>
          <w:sz w:val="32"/>
          <w:szCs w:val="32"/>
        </w:rPr>
        <w:t>2219320</w:t>
      </w:r>
    </w:p>
    <w:p w14:paraId="703DD9C0" w14:textId="5FB7BC53" w:rsidR="00394BBF" w:rsidRPr="00394BBF" w:rsidRDefault="00394BBF" w:rsidP="00394BBF">
      <w:pPr>
        <w:jc w:val="left"/>
        <w:rPr>
          <w:sz w:val="32"/>
          <w:szCs w:val="32"/>
        </w:rPr>
      </w:pPr>
      <w:r w:rsidRPr="00394BBF">
        <w:rPr>
          <w:sz w:val="32"/>
          <w:szCs w:val="32"/>
        </w:rPr>
        <w:t>Lecturer:</w:t>
      </w:r>
      <w:r>
        <w:rPr>
          <w:sz w:val="32"/>
          <w:szCs w:val="32"/>
        </w:rPr>
        <w:t xml:space="preserve"> Dr Mushfigur Rahman</w:t>
      </w:r>
    </w:p>
    <w:p w14:paraId="75F05FF5" w14:textId="4FDF9681" w:rsidR="00394BBF" w:rsidRPr="00394BBF" w:rsidRDefault="00394BBF" w:rsidP="00394BBF">
      <w:pPr>
        <w:rPr>
          <w:rFonts w:cs="Times New Roman"/>
          <w:sz w:val="32"/>
          <w:szCs w:val="32"/>
        </w:rPr>
      </w:pPr>
      <w:r w:rsidRPr="00394BBF">
        <w:rPr>
          <w:sz w:val="32"/>
          <w:szCs w:val="32"/>
        </w:rPr>
        <w:t>Module name:</w:t>
      </w:r>
      <w:r>
        <w:rPr>
          <w:sz w:val="32"/>
          <w:szCs w:val="32"/>
        </w:rPr>
        <w:t xml:space="preserve"> </w:t>
      </w:r>
      <w:r>
        <w:rPr>
          <w:rFonts w:cs="Times New Roman"/>
          <w:sz w:val="32"/>
          <w:szCs w:val="32"/>
        </w:rPr>
        <w:t>Community Engagement</w:t>
      </w:r>
    </w:p>
    <w:p w14:paraId="21E2D725" w14:textId="219E3184" w:rsidR="00394BBF" w:rsidRPr="00394BBF" w:rsidRDefault="00394BBF" w:rsidP="00394BBF">
      <w:pPr>
        <w:jc w:val="left"/>
        <w:rPr>
          <w:rFonts w:ascii="Segoe UI" w:hAnsi="Segoe UI" w:cs="Segoe UI"/>
          <w:color w:val="373A3C"/>
          <w:shd w:val="clear" w:color="auto" w:fill="F9F9F9"/>
        </w:rPr>
      </w:pPr>
    </w:p>
    <w:p w14:paraId="2E6C8509" w14:textId="77777777" w:rsidR="00C54860" w:rsidRDefault="00C54860" w:rsidP="00394BBF">
      <w:pPr>
        <w:rPr>
          <w:rFonts w:cs="Times New Roman"/>
        </w:rPr>
      </w:pPr>
    </w:p>
    <w:p w14:paraId="14387C9E" w14:textId="77777777" w:rsidR="00FA2572" w:rsidRDefault="00FA2572" w:rsidP="00C54860">
      <w:pPr>
        <w:rPr>
          <w:rFonts w:cs="Times New Roman"/>
        </w:rPr>
      </w:pPr>
    </w:p>
    <w:p w14:paraId="561184C6" w14:textId="77777777" w:rsidR="00FA2572" w:rsidRDefault="00FA2572" w:rsidP="00C54860">
      <w:pPr>
        <w:rPr>
          <w:rFonts w:cs="Times New Roman"/>
        </w:rPr>
      </w:pPr>
    </w:p>
    <w:sdt>
      <w:sdtPr>
        <w:rPr>
          <w:rFonts w:ascii="Times New Roman" w:eastAsiaTheme="minorHAnsi" w:hAnsi="Times New Roman" w:cstheme="minorBidi"/>
          <w:b w:val="0"/>
          <w:bCs w:val="0"/>
          <w:color w:val="auto"/>
          <w:sz w:val="24"/>
          <w:szCs w:val="22"/>
          <w:lang w:eastAsia="en-US"/>
        </w:rPr>
        <w:id w:val="-350421900"/>
        <w:docPartObj>
          <w:docPartGallery w:val="Table of Contents"/>
          <w:docPartUnique/>
        </w:docPartObj>
      </w:sdtPr>
      <w:sdtEndPr>
        <w:rPr>
          <w:noProof/>
        </w:rPr>
      </w:sdtEndPr>
      <w:sdtContent>
        <w:p w14:paraId="791F95CA" w14:textId="77777777" w:rsidR="002B42BF" w:rsidRDefault="002B42BF">
          <w:pPr>
            <w:pStyle w:val="TOCHeading"/>
          </w:pPr>
          <w:r>
            <w:t>Contents</w:t>
          </w:r>
        </w:p>
        <w:p w14:paraId="4BC25BDF" w14:textId="77777777" w:rsidR="002B42BF" w:rsidRDefault="002B42BF">
          <w:pPr>
            <w:pStyle w:val="TOC1"/>
            <w:tabs>
              <w:tab w:val="right" w:leader="dot" w:pos="9350"/>
            </w:tabs>
            <w:rPr>
              <w:noProof/>
            </w:rPr>
          </w:pPr>
          <w:r>
            <w:fldChar w:fldCharType="begin"/>
          </w:r>
          <w:r>
            <w:instrText xml:space="preserve"> TOC \o "1-3" \h \z \u </w:instrText>
          </w:r>
          <w:r>
            <w:fldChar w:fldCharType="separate"/>
          </w:r>
          <w:hyperlink w:anchor="_Toc144057507" w:history="1">
            <w:r w:rsidRPr="00850311">
              <w:rPr>
                <w:rStyle w:val="Hyperlink"/>
                <w:rFonts w:cs="Times New Roman"/>
                <w:noProof/>
              </w:rPr>
              <w:t>Introduction</w:t>
            </w:r>
            <w:r>
              <w:rPr>
                <w:noProof/>
                <w:webHidden/>
              </w:rPr>
              <w:tab/>
            </w:r>
            <w:r>
              <w:rPr>
                <w:noProof/>
                <w:webHidden/>
              </w:rPr>
              <w:fldChar w:fldCharType="begin"/>
            </w:r>
            <w:r>
              <w:rPr>
                <w:noProof/>
                <w:webHidden/>
              </w:rPr>
              <w:instrText xml:space="preserve"> PAGEREF _Toc144057507 \h </w:instrText>
            </w:r>
            <w:r>
              <w:rPr>
                <w:noProof/>
                <w:webHidden/>
              </w:rPr>
            </w:r>
            <w:r>
              <w:rPr>
                <w:noProof/>
                <w:webHidden/>
              </w:rPr>
              <w:fldChar w:fldCharType="separate"/>
            </w:r>
            <w:r>
              <w:rPr>
                <w:noProof/>
                <w:webHidden/>
              </w:rPr>
              <w:t>3</w:t>
            </w:r>
            <w:r>
              <w:rPr>
                <w:noProof/>
                <w:webHidden/>
              </w:rPr>
              <w:fldChar w:fldCharType="end"/>
            </w:r>
          </w:hyperlink>
        </w:p>
        <w:p w14:paraId="7A4B4CA8" w14:textId="77777777" w:rsidR="002B42BF" w:rsidRDefault="00000000">
          <w:pPr>
            <w:pStyle w:val="TOC1"/>
            <w:tabs>
              <w:tab w:val="right" w:leader="dot" w:pos="9350"/>
            </w:tabs>
            <w:rPr>
              <w:noProof/>
            </w:rPr>
          </w:pPr>
          <w:hyperlink w:anchor="_Toc144057508" w:history="1">
            <w:r w:rsidR="002B42BF" w:rsidRPr="00850311">
              <w:rPr>
                <w:rStyle w:val="Hyperlink"/>
                <w:noProof/>
              </w:rPr>
              <w:t>Main body</w:t>
            </w:r>
            <w:r w:rsidR="002B42BF">
              <w:rPr>
                <w:noProof/>
                <w:webHidden/>
              </w:rPr>
              <w:tab/>
            </w:r>
            <w:r w:rsidR="002B42BF">
              <w:rPr>
                <w:noProof/>
                <w:webHidden/>
              </w:rPr>
              <w:fldChar w:fldCharType="begin"/>
            </w:r>
            <w:r w:rsidR="002B42BF">
              <w:rPr>
                <w:noProof/>
                <w:webHidden/>
              </w:rPr>
              <w:instrText xml:space="preserve"> PAGEREF _Toc144057508 \h </w:instrText>
            </w:r>
            <w:r w:rsidR="002B42BF">
              <w:rPr>
                <w:noProof/>
                <w:webHidden/>
              </w:rPr>
            </w:r>
            <w:r w:rsidR="002B42BF">
              <w:rPr>
                <w:noProof/>
                <w:webHidden/>
              </w:rPr>
              <w:fldChar w:fldCharType="separate"/>
            </w:r>
            <w:r w:rsidR="002B42BF">
              <w:rPr>
                <w:noProof/>
                <w:webHidden/>
              </w:rPr>
              <w:t>4</w:t>
            </w:r>
            <w:r w:rsidR="002B42BF">
              <w:rPr>
                <w:noProof/>
                <w:webHidden/>
              </w:rPr>
              <w:fldChar w:fldCharType="end"/>
            </w:r>
          </w:hyperlink>
        </w:p>
        <w:p w14:paraId="35C8B049" w14:textId="77777777" w:rsidR="002B42BF" w:rsidRDefault="00000000">
          <w:pPr>
            <w:pStyle w:val="TOC2"/>
            <w:tabs>
              <w:tab w:val="right" w:leader="dot" w:pos="9350"/>
            </w:tabs>
            <w:rPr>
              <w:noProof/>
            </w:rPr>
          </w:pPr>
          <w:hyperlink w:anchor="_Toc144057509" w:history="1">
            <w:r w:rsidR="002B42BF" w:rsidRPr="00850311">
              <w:rPr>
                <w:rStyle w:val="Hyperlink"/>
                <w:noProof/>
              </w:rPr>
              <w:t>Aim and Objectives Analysis</w:t>
            </w:r>
            <w:r w:rsidR="002B42BF">
              <w:rPr>
                <w:noProof/>
                <w:webHidden/>
              </w:rPr>
              <w:tab/>
            </w:r>
            <w:r w:rsidR="002B42BF">
              <w:rPr>
                <w:noProof/>
                <w:webHidden/>
              </w:rPr>
              <w:fldChar w:fldCharType="begin"/>
            </w:r>
            <w:r w:rsidR="002B42BF">
              <w:rPr>
                <w:noProof/>
                <w:webHidden/>
              </w:rPr>
              <w:instrText xml:space="preserve"> PAGEREF _Toc144057509 \h </w:instrText>
            </w:r>
            <w:r w:rsidR="002B42BF">
              <w:rPr>
                <w:noProof/>
                <w:webHidden/>
              </w:rPr>
            </w:r>
            <w:r w:rsidR="002B42BF">
              <w:rPr>
                <w:noProof/>
                <w:webHidden/>
              </w:rPr>
              <w:fldChar w:fldCharType="separate"/>
            </w:r>
            <w:r w:rsidR="002B42BF">
              <w:rPr>
                <w:noProof/>
                <w:webHidden/>
              </w:rPr>
              <w:t>4</w:t>
            </w:r>
            <w:r w:rsidR="002B42BF">
              <w:rPr>
                <w:noProof/>
                <w:webHidden/>
              </w:rPr>
              <w:fldChar w:fldCharType="end"/>
            </w:r>
          </w:hyperlink>
        </w:p>
        <w:p w14:paraId="6F1F9F88" w14:textId="77777777" w:rsidR="002B42BF" w:rsidRDefault="00000000">
          <w:pPr>
            <w:pStyle w:val="TOC2"/>
            <w:tabs>
              <w:tab w:val="right" w:leader="dot" w:pos="9350"/>
            </w:tabs>
            <w:rPr>
              <w:noProof/>
            </w:rPr>
          </w:pPr>
          <w:hyperlink w:anchor="_Toc144057510" w:history="1">
            <w:r w:rsidR="002B42BF" w:rsidRPr="00850311">
              <w:rPr>
                <w:rStyle w:val="Hyperlink"/>
                <w:noProof/>
              </w:rPr>
              <w:t>Analyze the best practices of community engagement</w:t>
            </w:r>
            <w:r w:rsidR="002B42BF">
              <w:rPr>
                <w:noProof/>
                <w:webHidden/>
              </w:rPr>
              <w:tab/>
            </w:r>
            <w:r w:rsidR="002B42BF">
              <w:rPr>
                <w:noProof/>
                <w:webHidden/>
              </w:rPr>
              <w:fldChar w:fldCharType="begin"/>
            </w:r>
            <w:r w:rsidR="002B42BF">
              <w:rPr>
                <w:noProof/>
                <w:webHidden/>
              </w:rPr>
              <w:instrText xml:space="preserve"> PAGEREF _Toc144057510 \h </w:instrText>
            </w:r>
            <w:r w:rsidR="002B42BF">
              <w:rPr>
                <w:noProof/>
                <w:webHidden/>
              </w:rPr>
            </w:r>
            <w:r w:rsidR="002B42BF">
              <w:rPr>
                <w:noProof/>
                <w:webHidden/>
              </w:rPr>
              <w:fldChar w:fldCharType="separate"/>
            </w:r>
            <w:r w:rsidR="002B42BF">
              <w:rPr>
                <w:noProof/>
                <w:webHidden/>
              </w:rPr>
              <w:t>5</w:t>
            </w:r>
            <w:r w:rsidR="002B42BF">
              <w:rPr>
                <w:noProof/>
                <w:webHidden/>
              </w:rPr>
              <w:fldChar w:fldCharType="end"/>
            </w:r>
          </w:hyperlink>
        </w:p>
        <w:p w14:paraId="2B381B65" w14:textId="77777777" w:rsidR="002B42BF" w:rsidRDefault="00000000">
          <w:pPr>
            <w:pStyle w:val="TOC2"/>
            <w:tabs>
              <w:tab w:val="right" w:leader="dot" w:pos="9350"/>
            </w:tabs>
            <w:rPr>
              <w:noProof/>
            </w:rPr>
          </w:pPr>
          <w:hyperlink w:anchor="_Toc144057511" w:history="1">
            <w:r w:rsidR="002B42BF" w:rsidRPr="00850311">
              <w:rPr>
                <w:rStyle w:val="Hyperlink"/>
                <w:noProof/>
              </w:rPr>
              <w:t>Cognitive and Intellectual skills for solving problem</w:t>
            </w:r>
            <w:r w:rsidR="002B42BF">
              <w:rPr>
                <w:noProof/>
                <w:webHidden/>
              </w:rPr>
              <w:tab/>
            </w:r>
            <w:r w:rsidR="002B42BF">
              <w:rPr>
                <w:noProof/>
                <w:webHidden/>
              </w:rPr>
              <w:fldChar w:fldCharType="begin"/>
            </w:r>
            <w:r w:rsidR="002B42BF">
              <w:rPr>
                <w:noProof/>
                <w:webHidden/>
              </w:rPr>
              <w:instrText xml:space="preserve"> PAGEREF _Toc144057511 \h </w:instrText>
            </w:r>
            <w:r w:rsidR="002B42BF">
              <w:rPr>
                <w:noProof/>
                <w:webHidden/>
              </w:rPr>
            </w:r>
            <w:r w:rsidR="002B42BF">
              <w:rPr>
                <w:noProof/>
                <w:webHidden/>
              </w:rPr>
              <w:fldChar w:fldCharType="separate"/>
            </w:r>
            <w:r w:rsidR="002B42BF">
              <w:rPr>
                <w:noProof/>
                <w:webHidden/>
              </w:rPr>
              <w:t>6</w:t>
            </w:r>
            <w:r w:rsidR="002B42BF">
              <w:rPr>
                <w:noProof/>
                <w:webHidden/>
              </w:rPr>
              <w:fldChar w:fldCharType="end"/>
            </w:r>
          </w:hyperlink>
        </w:p>
        <w:p w14:paraId="227FB641" w14:textId="77777777" w:rsidR="002B42BF" w:rsidRDefault="00000000">
          <w:pPr>
            <w:pStyle w:val="TOC2"/>
            <w:tabs>
              <w:tab w:val="right" w:leader="dot" w:pos="9350"/>
            </w:tabs>
            <w:rPr>
              <w:noProof/>
            </w:rPr>
          </w:pPr>
          <w:hyperlink w:anchor="_Toc144057512" w:history="1">
            <w:r w:rsidR="002B42BF" w:rsidRPr="00850311">
              <w:rPr>
                <w:rStyle w:val="Hyperlink"/>
                <w:noProof/>
              </w:rPr>
              <w:t>Evaluation of adopting community engagement and green project pros and cons based on some research</w:t>
            </w:r>
            <w:r w:rsidR="002B42BF">
              <w:rPr>
                <w:noProof/>
                <w:webHidden/>
              </w:rPr>
              <w:tab/>
            </w:r>
            <w:r w:rsidR="002B42BF">
              <w:rPr>
                <w:noProof/>
                <w:webHidden/>
              </w:rPr>
              <w:fldChar w:fldCharType="begin"/>
            </w:r>
            <w:r w:rsidR="002B42BF">
              <w:rPr>
                <w:noProof/>
                <w:webHidden/>
              </w:rPr>
              <w:instrText xml:space="preserve"> PAGEREF _Toc144057512 \h </w:instrText>
            </w:r>
            <w:r w:rsidR="002B42BF">
              <w:rPr>
                <w:noProof/>
                <w:webHidden/>
              </w:rPr>
            </w:r>
            <w:r w:rsidR="002B42BF">
              <w:rPr>
                <w:noProof/>
                <w:webHidden/>
              </w:rPr>
              <w:fldChar w:fldCharType="separate"/>
            </w:r>
            <w:r w:rsidR="002B42BF">
              <w:rPr>
                <w:noProof/>
                <w:webHidden/>
              </w:rPr>
              <w:t>7</w:t>
            </w:r>
            <w:r w:rsidR="002B42BF">
              <w:rPr>
                <w:noProof/>
                <w:webHidden/>
              </w:rPr>
              <w:fldChar w:fldCharType="end"/>
            </w:r>
          </w:hyperlink>
        </w:p>
        <w:p w14:paraId="187F96CF" w14:textId="77777777" w:rsidR="002B42BF" w:rsidRDefault="00000000">
          <w:pPr>
            <w:pStyle w:val="TOC1"/>
            <w:tabs>
              <w:tab w:val="right" w:leader="dot" w:pos="9350"/>
            </w:tabs>
            <w:rPr>
              <w:noProof/>
            </w:rPr>
          </w:pPr>
          <w:hyperlink w:anchor="_Toc144057513" w:history="1">
            <w:r w:rsidR="002B42BF" w:rsidRPr="00850311">
              <w:rPr>
                <w:rStyle w:val="Hyperlink"/>
                <w:noProof/>
              </w:rPr>
              <w:t>Conclusion</w:t>
            </w:r>
            <w:r w:rsidR="002B42BF">
              <w:rPr>
                <w:noProof/>
                <w:webHidden/>
              </w:rPr>
              <w:tab/>
            </w:r>
            <w:r w:rsidR="002B42BF">
              <w:rPr>
                <w:noProof/>
                <w:webHidden/>
              </w:rPr>
              <w:fldChar w:fldCharType="begin"/>
            </w:r>
            <w:r w:rsidR="002B42BF">
              <w:rPr>
                <w:noProof/>
                <w:webHidden/>
              </w:rPr>
              <w:instrText xml:space="preserve"> PAGEREF _Toc144057513 \h </w:instrText>
            </w:r>
            <w:r w:rsidR="002B42BF">
              <w:rPr>
                <w:noProof/>
                <w:webHidden/>
              </w:rPr>
            </w:r>
            <w:r w:rsidR="002B42BF">
              <w:rPr>
                <w:noProof/>
                <w:webHidden/>
              </w:rPr>
              <w:fldChar w:fldCharType="separate"/>
            </w:r>
            <w:r w:rsidR="002B42BF">
              <w:rPr>
                <w:noProof/>
                <w:webHidden/>
              </w:rPr>
              <w:t>8</w:t>
            </w:r>
            <w:r w:rsidR="002B42BF">
              <w:rPr>
                <w:noProof/>
                <w:webHidden/>
              </w:rPr>
              <w:fldChar w:fldCharType="end"/>
            </w:r>
          </w:hyperlink>
        </w:p>
        <w:p w14:paraId="71C949B4" w14:textId="77777777" w:rsidR="002B42BF" w:rsidRDefault="00000000">
          <w:pPr>
            <w:pStyle w:val="TOC1"/>
            <w:tabs>
              <w:tab w:val="right" w:leader="dot" w:pos="9350"/>
            </w:tabs>
            <w:rPr>
              <w:noProof/>
            </w:rPr>
          </w:pPr>
          <w:hyperlink w:anchor="_Toc144057514" w:history="1">
            <w:r w:rsidR="002B42BF" w:rsidRPr="00850311">
              <w:rPr>
                <w:rStyle w:val="Hyperlink"/>
                <w:noProof/>
              </w:rPr>
              <w:t>References</w:t>
            </w:r>
            <w:r w:rsidR="002B42BF">
              <w:rPr>
                <w:noProof/>
                <w:webHidden/>
              </w:rPr>
              <w:tab/>
            </w:r>
            <w:r w:rsidR="002B42BF">
              <w:rPr>
                <w:noProof/>
                <w:webHidden/>
              </w:rPr>
              <w:fldChar w:fldCharType="begin"/>
            </w:r>
            <w:r w:rsidR="002B42BF">
              <w:rPr>
                <w:noProof/>
                <w:webHidden/>
              </w:rPr>
              <w:instrText xml:space="preserve"> PAGEREF _Toc144057514 \h </w:instrText>
            </w:r>
            <w:r w:rsidR="002B42BF">
              <w:rPr>
                <w:noProof/>
                <w:webHidden/>
              </w:rPr>
            </w:r>
            <w:r w:rsidR="002B42BF">
              <w:rPr>
                <w:noProof/>
                <w:webHidden/>
              </w:rPr>
              <w:fldChar w:fldCharType="separate"/>
            </w:r>
            <w:r w:rsidR="002B42BF">
              <w:rPr>
                <w:noProof/>
                <w:webHidden/>
              </w:rPr>
              <w:t>9</w:t>
            </w:r>
            <w:r w:rsidR="002B42BF">
              <w:rPr>
                <w:noProof/>
                <w:webHidden/>
              </w:rPr>
              <w:fldChar w:fldCharType="end"/>
            </w:r>
          </w:hyperlink>
        </w:p>
        <w:p w14:paraId="04F1FB20" w14:textId="535560E4" w:rsidR="00FA2572" w:rsidRPr="00394BBF" w:rsidRDefault="002B42BF" w:rsidP="00C54860">
          <w:r>
            <w:rPr>
              <w:b/>
              <w:bCs/>
              <w:noProof/>
            </w:rPr>
            <w:fldChar w:fldCharType="end"/>
          </w:r>
        </w:p>
      </w:sdtContent>
    </w:sdt>
    <w:p w14:paraId="316E8882" w14:textId="77777777" w:rsidR="00394BBF" w:rsidRDefault="00394BBF" w:rsidP="00C54860">
      <w:pPr>
        <w:pStyle w:val="Heading1"/>
        <w:rPr>
          <w:rFonts w:ascii="Times New Roman" w:hAnsi="Times New Roman" w:cs="Times New Roman"/>
        </w:rPr>
      </w:pPr>
      <w:bookmarkStart w:id="0" w:name="_Toc144057507"/>
    </w:p>
    <w:p w14:paraId="361D26A9" w14:textId="77777777" w:rsidR="00394BBF" w:rsidRDefault="00394BBF" w:rsidP="00394BBF"/>
    <w:p w14:paraId="7D2E8E80" w14:textId="77777777" w:rsidR="00394BBF" w:rsidRPr="00394BBF" w:rsidRDefault="00394BBF" w:rsidP="00394BBF"/>
    <w:p w14:paraId="23161870" w14:textId="77777777" w:rsidR="00394BBF" w:rsidRDefault="00394BBF" w:rsidP="00C54860">
      <w:pPr>
        <w:pStyle w:val="Heading1"/>
        <w:rPr>
          <w:rFonts w:ascii="Times New Roman" w:hAnsi="Times New Roman" w:cs="Times New Roman"/>
        </w:rPr>
      </w:pPr>
    </w:p>
    <w:p w14:paraId="10471143" w14:textId="77777777" w:rsidR="00394BBF" w:rsidRDefault="00394BBF" w:rsidP="00C54860">
      <w:pPr>
        <w:pStyle w:val="Heading1"/>
        <w:rPr>
          <w:rFonts w:ascii="Times New Roman" w:hAnsi="Times New Roman" w:cs="Times New Roman"/>
        </w:rPr>
      </w:pPr>
    </w:p>
    <w:p w14:paraId="418E1D52" w14:textId="77777777" w:rsidR="00394BBF" w:rsidRDefault="00394BBF" w:rsidP="00C54860">
      <w:pPr>
        <w:pStyle w:val="Heading1"/>
        <w:rPr>
          <w:rFonts w:ascii="Times New Roman" w:hAnsi="Times New Roman" w:cs="Times New Roman"/>
        </w:rPr>
      </w:pPr>
    </w:p>
    <w:p w14:paraId="523BB6CB" w14:textId="116DEF9D" w:rsidR="00C54860" w:rsidRDefault="00C54860" w:rsidP="00C54860">
      <w:pPr>
        <w:pStyle w:val="Heading1"/>
        <w:rPr>
          <w:rFonts w:ascii="Times New Roman" w:hAnsi="Times New Roman" w:cs="Times New Roman"/>
        </w:rPr>
      </w:pPr>
      <w:r w:rsidRPr="00C54860">
        <w:rPr>
          <w:rFonts w:ascii="Times New Roman" w:hAnsi="Times New Roman" w:cs="Times New Roman"/>
        </w:rPr>
        <w:t>Introduction</w:t>
      </w:r>
      <w:bookmarkEnd w:id="0"/>
    </w:p>
    <w:p w14:paraId="57E05E1D" w14:textId="77777777" w:rsidR="00C54860" w:rsidRDefault="00FA01F8" w:rsidP="00C54860">
      <w:r w:rsidRPr="00FA01F8">
        <w:t>The "Green Spaces for All" effort in London is a forward-thinking, neighborhood-focused initiative with the goal of converting the urban landscape into lively, approachable, and sustainable green areas that benefit both locals and tourists. This program demonstrates the city's dedication to improving the quality of life while tackling issues including socioeconomic injustice, ur</w:t>
      </w:r>
      <w:r w:rsidR="00DB228E">
        <w:t xml:space="preserve">banization, and climate change. </w:t>
      </w:r>
      <w:r w:rsidRPr="00FA01F8">
        <w:t>The program encourages the incorporation of sustainable design principles to lessen the effects of climate change. The "Green Spaces for All" concept has local communities at its core.</w:t>
      </w:r>
      <w:r>
        <w:t xml:space="preserve"> </w:t>
      </w:r>
      <w:r w:rsidRPr="00FA01F8">
        <w:t>By giving them easier access to natural places, this program aims to assist people in economically underdeveloped areas in improving their health, happiness, and social ties</w:t>
      </w:r>
      <w:r w:rsidR="007A3D41">
        <w:t xml:space="preserve"> (</w:t>
      </w:r>
      <w:r w:rsidR="007A3D41" w:rsidRPr="00800784">
        <w:t>Van den Berg</w:t>
      </w:r>
      <w:r w:rsidR="007A3D41">
        <w:t xml:space="preserve"> </w:t>
      </w:r>
      <w:r w:rsidR="009B6070">
        <w:t xml:space="preserve">and </w:t>
      </w:r>
      <w:r w:rsidR="007A3D41">
        <w:t xml:space="preserve">et </w:t>
      </w:r>
      <w:r w:rsidR="009B6070">
        <w:t>al</w:t>
      </w:r>
      <w:r w:rsidR="007A3D41" w:rsidRPr="00800784">
        <w:t>, 2015</w:t>
      </w:r>
      <w:r w:rsidR="007A3D41">
        <w:t>)</w:t>
      </w:r>
      <w:r w:rsidRPr="00FA01F8">
        <w:t>. To make sure that local residents' opinions and goals were at the center of the construction and revival of the open spaces, the project used inclusive techniques like participatory design workshops, open community debates, and active volunteer participation. I consider my past experiences and how they relate to what I'm doing right now as I reflect. The act of reflecting involves gathering information from the past, classifying it into useful categories, and then taking appropriate action.</w:t>
      </w:r>
      <w:r w:rsidR="004049DF">
        <w:t xml:space="preserve"> </w:t>
      </w:r>
    </w:p>
    <w:p w14:paraId="55876C9B" w14:textId="77777777" w:rsidR="00B70F5E" w:rsidRDefault="00B70F5E" w:rsidP="00B70F5E">
      <w:pPr>
        <w:pStyle w:val="Heading1"/>
      </w:pPr>
      <w:bookmarkStart w:id="1" w:name="_Toc143379804"/>
      <w:bookmarkStart w:id="2" w:name="_Toc144057508"/>
      <w:r>
        <w:t>Main body</w:t>
      </w:r>
      <w:bookmarkEnd w:id="1"/>
      <w:bookmarkEnd w:id="2"/>
    </w:p>
    <w:p w14:paraId="475E49A1" w14:textId="77777777" w:rsidR="004049DF" w:rsidRDefault="00B70F5E" w:rsidP="00C54860">
      <w:r w:rsidRPr="00B70F5E">
        <w:t xml:space="preserve">I'm not aware of any such project or program called "Green Spaces </w:t>
      </w:r>
      <w:r w:rsidR="00C663D3">
        <w:t xml:space="preserve">for All" in the UK. The UK, </w:t>
      </w:r>
      <w:r w:rsidRPr="00B70F5E">
        <w:t xml:space="preserve">places a lot of emphasis on parks, green spaces, and environmental efforts to encourage sustainability and wellbeing. To improve green spaces across the nation, a number of organizations and current projects are in operation. Public parks and gardens have a long history in many British cities, including London. These areas offer chances for recreation, promote biodiversity, and improve the general standard of living for locals. In order to safeguard and conserve natural habitats, wildlife, and ecosystems, the UK has designated a large number of </w:t>
      </w:r>
      <w:r w:rsidRPr="00B70F5E">
        <w:lastRenderedPageBreak/>
        <w:t>conservation areas.</w:t>
      </w:r>
      <w:r w:rsidR="00C663D3">
        <w:t xml:space="preserve"> </w:t>
      </w:r>
      <w:r w:rsidR="00C663D3" w:rsidRPr="00C663D3">
        <w:t>By creating new green areas and renovating old ones, the project aimed to improve community wellbeing, promote physical and mental health, and increase social solidarity</w:t>
      </w:r>
      <w:r w:rsidR="009B6070">
        <w:t xml:space="preserve"> (</w:t>
      </w:r>
      <w:r w:rsidR="009B6070">
        <w:rPr>
          <w:rFonts w:cs="Times New Roman"/>
          <w:color w:val="222222"/>
          <w:szCs w:val="20"/>
          <w:shd w:val="clear" w:color="auto" w:fill="FFFFFF"/>
        </w:rPr>
        <w:t>Barbosa and et al</w:t>
      </w:r>
      <w:r w:rsidR="009B6070" w:rsidRPr="009B6070">
        <w:rPr>
          <w:rFonts w:cs="Times New Roman"/>
          <w:color w:val="222222"/>
          <w:szCs w:val="20"/>
          <w:shd w:val="clear" w:color="auto" w:fill="FFFFFF"/>
        </w:rPr>
        <w:t>, 2007</w:t>
      </w:r>
      <w:r w:rsidR="009B6070">
        <w:t>)</w:t>
      </w:r>
      <w:r w:rsidR="00C663D3" w:rsidRPr="00C663D3">
        <w:t>. Residents, local businesses, schools, and community organizations were among the stakeholders that were specifically addressed. The project may have positive effects on the environment, such as better air quality, a rise in biodiversity, and more chances for leisure and relaxation.</w:t>
      </w:r>
    </w:p>
    <w:p w14:paraId="073B7EBB" w14:textId="77777777" w:rsidR="000E4386" w:rsidRPr="00971F46" w:rsidRDefault="000E4386" w:rsidP="00971F46">
      <w:pPr>
        <w:pStyle w:val="Heading2"/>
      </w:pPr>
      <w:bookmarkStart w:id="3" w:name="_Toc143379805"/>
      <w:bookmarkStart w:id="4" w:name="_Toc144057509"/>
      <w:r w:rsidRPr="00971F46">
        <w:t>Aim and Objectives Analysis</w:t>
      </w:r>
      <w:bookmarkEnd w:id="3"/>
      <w:bookmarkEnd w:id="4"/>
      <w:r w:rsidRPr="00971F46">
        <w:t xml:space="preserve"> </w:t>
      </w:r>
    </w:p>
    <w:p w14:paraId="10798C3A" w14:textId="77777777" w:rsidR="005664DA" w:rsidRDefault="000E4386" w:rsidP="00C54860">
      <w:r w:rsidRPr="000E4386">
        <w:t>The "Green Spaces for All" initiative in the UK seeks to encourage equal use of and access to green areas for all societal members. This program aims to close gaps in access to green spaces and make sure that people from all backgrounds can benefit from the social, psychological, and physical advantages that these areas provide. The "Green Spaces for All" effort seeks to achieve these goals in order to change the urban landscape of the UK into a more equitable, welcoming, and environmentally friendly place where everyone, regardless of background or condition, has access to nature and its advantages.</w:t>
      </w:r>
    </w:p>
    <w:p w14:paraId="22053AB4" w14:textId="77777777" w:rsidR="009D1D6E" w:rsidRDefault="009D1D6E" w:rsidP="00C54860"/>
    <w:p w14:paraId="3DA9D69E" w14:textId="77777777" w:rsidR="00AF2A50" w:rsidRPr="00971F46" w:rsidRDefault="00AF2A50" w:rsidP="00971F46">
      <w:pPr>
        <w:pStyle w:val="Heading2"/>
      </w:pPr>
      <w:bookmarkStart w:id="5" w:name="_Toc143379806"/>
      <w:bookmarkStart w:id="6" w:name="_Toc144057510"/>
      <w:r w:rsidRPr="00971F46">
        <w:t>Analyze the best practices of community engagement</w:t>
      </w:r>
      <w:bookmarkEnd w:id="5"/>
      <w:bookmarkEnd w:id="6"/>
    </w:p>
    <w:p w14:paraId="379B5353" w14:textId="77777777" w:rsidR="00B02F77" w:rsidRDefault="00AF2A50" w:rsidP="00C54860">
      <w:r w:rsidRPr="00AF2A50">
        <w:t>Like in any other metropolitan environment, community engagement in London entails a number of activities designed to promote cooperation, and participation among groups, and government bodies. In order to successfully involve the community in a city as diverse as London, it is important to make sure that everyone's voice is heard, regardless of socioeconomic status, ethnicity, age,</w:t>
      </w:r>
      <w:r w:rsidR="002436AB">
        <w:t xml:space="preserve"> gender, or any other element. </w:t>
      </w:r>
      <w:r w:rsidRPr="00AF2A50">
        <w:t xml:space="preserve">Early community involvement in the planning stages of initiatives, policies, and projects enables significant input to influence results. </w:t>
      </w:r>
      <w:r w:rsidR="002436AB" w:rsidRPr="002436AB">
        <w:t>Residents were given a sense of belonging, ownership, and responsibility through community involvement in the effort. The initiative met its objectives and provided long-term benefits to the neighborhood.</w:t>
      </w:r>
      <w:r w:rsidR="009D1D6E">
        <w:t xml:space="preserve"> </w:t>
      </w:r>
      <w:r w:rsidR="009D1D6E" w:rsidRPr="00706519">
        <w:t>Local communities should be given the freedom to take the initiative in creating their own environment, which can involve participating in project design or even having a vote in funding distribution, according to authorities. Needs, preferences, and communication methods vary among communities. Understanding these distinctions and adjusting engagement tactics as necessary can help you engage with them more successfully. What functions in one area might not function in another</w:t>
      </w:r>
    </w:p>
    <w:p w14:paraId="5CD86E84" w14:textId="77777777" w:rsidR="00B02F77" w:rsidRDefault="00B02F77" w:rsidP="00C54860">
      <w:r>
        <w:rPr>
          <w:noProof/>
        </w:rPr>
        <w:lastRenderedPageBreak/>
        <w:drawing>
          <wp:inline distT="0" distB="0" distL="0" distR="0" wp14:anchorId="1224B4EC" wp14:editId="253D8087">
            <wp:extent cx="5943600" cy="3343275"/>
            <wp:effectExtent l="0" t="0" r="0" b="9525"/>
            <wp:docPr id="1" name="Picture 1" descr="Atkins and Murphy Model of Reflection - Modèle de présentation gratu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kins and Murphy Model of Reflection - Modèle de présentation gratui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614B636" w14:textId="77777777" w:rsidR="00B02F77" w:rsidRDefault="00B02F77" w:rsidP="00B02F77">
      <w:pPr>
        <w:jc w:val="center"/>
      </w:pPr>
      <w:r>
        <w:rPr>
          <w:szCs w:val="24"/>
        </w:rPr>
        <w:t>Figure: Atkins and Murphy Model of reflection</w:t>
      </w:r>
    </w:p>
    <w:p w14:paraId="139F23EA" w14:textId="77777777" w:rsidR="00C54860" w:rsidRDefault="002436AB" w:rsidP="00C54860">
      <w:r w:rsidRPr="002436AB">
        <w:t>This was accomplished through volunteering, interactive design work</w:t>
      </w:r>
      <w:r w:rsidR="00444FE8">
        <w:t xml:space="preserve">shops, and student involvement. </w:t>
      </w:r>
      <w:r w:rsidRPr="002436AB">
        <w:t>It might serve as an example for future community involvement-focused social development initiatives.</w:t>
      </w:r>
      <w:r w:rsidR="00AF2A50" w:rsidRPr="00AF2A50">
        <w:t xml:space="preserve"> Effective community participation depends on communicating information in a clear, succinct, and understandable manner. This might entail distributing information about projects, plans, and policies through a variety of channels, including community meetings, websites, social media, and local magazines.</w:t>
      </w:r>
      <w:r w:rsidR="00706519">
        <w:t xml:space="preserve"> </w:t>
      </w:r>
      <w:r w:rsidR="00706519" w:rsidRPr="00706519">
        <w:t>Not only should you enlighten the community, but you should also listen carefully to their worries, suggestions, and opinions. This may entail holding focus groups, workshops, surveys, and town hall meetings where residents may voice their ideas and ask concerns</w:t>
      </w:r>
      <w:r w:rsidR="009B6070">
        <w:t xml:space="preserve"> (</w:t>
      </w:r>
      <w:r w:rsidR="009B6070">
        <w:rPr>
          <w:rFonts w:cs="Times New Roman"/>
          <w:color w:val="222222"/>
          <w:szCs w:val="20"/>
          <w:shd w:val="clear" w:color="auto" w:fill="FFFFFF"/>
        </w:rPr>
        <w:t>Driscoll,</w:t>
      </w:r>
      <w:r w:rsidR="009B6070" w:rsidRPr="009B6070">
        <w:rPr>
          <w:rFonts w:cs="Times New Roman"/>
          <w:color w:val="222222"/>
          <w:szCs w:val="20"/>
          <w:shd w:val="clear" w:color="auto" w:fill="FFFFFF"/>
        </w:rPr>
        <w:t xml:space="preserve"> 2014</w:t>
      </w:r>
      <w:r w:rsidR="009B6070">
        <w:t>)</w:t>
      </w:r>
      <w:r w:rsidR="00706519" w:rsidRPr="00706519">
        <w:t>. Community members are more willing to participate in decisions that impact their neighborhoods when they exp</w:t>
      </w:r>
      <w:r w:rsidR="009D1D6E">
        <w:t>erience a feeling of ownership</w:t>
      </w:r>
      <w:r w:rsidR="00706519" w:rsidRPr="00706519">
        <w:t>.</w:t>
      </w:r>
      <w:r w:rsidR="003348D1">
        <w:t xml:space="preserve"> </w:t>
      </w:r>
      <w:r w:rsidR="003348D1" w:rsidRPr="003348D1">
        <w:t>The key to progress is to continuously assess the efficacy of community involvement tactics and to be willing to modify them in response to input and results. Collaboration between the local government, corporations, nonprofit organizations, and citizens is frequently necessary for effective community participation</w:t>
      </w:r>
      <w:r w:rsidR="00071AA4">
        <w:t xml:space="preserve"> (</w:t>
      </w:r>
      <w:r w:rsidR="00071AA4">
        <w:rPr>
          <w:rFonts w:cs="Times New Roman"/>
          <w:color w:val="222222"/>
          <w:szCs w:val="20"/>
          <w:shd w:val="clear" w:color="auto" w:fill="FFFFFF"/>
        </w:rPr>
        <w:t>Lee and Kwak,</w:t>
      </w:r>
      <w:r w:rsidR="00071AA4" w:rsidRPr="00071AA4">
        <w:rPr>
          <w:rFonts w:cs="Times New Roman"/>
          <w:color w:val="222222"/>
          <w:szCs w:val="20"/>
          <w:shd w:val="clear" w:color="auto" w:fill="FFFFFF"/>
        </w:rPr>
        <w:t xml:space="preserve"> 2012</w:t>
      </w:r>
      <w:r w:rsidR="00071AA4">
        <w:t>)</w:t>
      </w:r>
      <w:r w:rsidR="003348D1" w:rsidRPr="003348D1">
        <w:t>. These collaborations may offer a variety of viewpoints and resources. It's crucial to remember that</w:t>
      </w:r>
      <w:r w:rsidR="009D1D6E">
        <w:t xml:space="preserve"> </w:t>
      </w:r>
      <w:r w:rsidR="003348D1" w:rsidRPr="003348D1">
        <w:lastRenderedPageBreak/>
        <w:t>community participation strategies can differ amongst London's areas due to the size, diversity, and distinctive features of the city.</w:t>
      </w:r>
      <w:r w:rsidR="003348D1">
        <w:t xml:space="preserve"> </w:t>
      </w:r>
    </w:p>
    <w:p w14:paraId="5B3189DE" w14:textId="77777777" w:rsidR="002436AB" w:rsidRPr="00971F46" w:rsidRDefault="002436AB" w:rsidP="00971F46">
      <w:pPr>
        <w:pStyle w:val="Heading2"/>
      </w:pPr>
      <w:bookmarkStart w:id="7" w:name="_Toc143379807"/>
      <w:bookmarkStart w:id="8" w:name="_Toc144057511"/>
      <w:r w:rsidRPr="00971F46">
        <w:t>Cognitive and Intellectual skills for solving problem</w:t>
      </w:r>
      <w:bookmarkEnd w:id="7"/>
      <w:bookmarkEnd w:id="8"/>
    </w:p>
    <w:p w14:paraId="1682FCE4" w14:textId="77777777" w:rsidR="002436AB" w:rsidRDefault="00971F46" w:rsidP="00C54860">
      <w:pPr>
        <w:rPr>
          <w:rFonts w:cs="Times New Roman"/>
        </w:rPr>
      </w:pPr>
      <w:r w:rsidRPr="00971F46">
        <w:rPr>
          <w:rFonts w:cs="Times New Roman"/>
        </w:rPr>
        <w:t xml:space="preserve">In order to efficiently solve difficulties, cognitive and intellectual abilities are essential. These cognitive abilities help people assess, weigh, and come up with answers for challenging problems.  This ability requires that you analyze information, assess its accuracy and relevance, and reach well-founded conclusions. Critical thinkers are skilled at seeing biases, presumptions, and logical errors that could influence their approach to problem-solving. Analytical abilities involve disassembling complicated issues into simpler parts, comprehending how those parts relate to one another, and spotting patterns or trends. </w:t>
      </w:r>
      <w:r w:rsidR="0046199F" w:rsidRPr="0046199F">
        <w:rPr>
          <w:rFonts w:cs="Times New Roman"/>
        </w:rPr>
        <w:t>In order to effectively solve issues, make wise decisions, and lead your team to success, leaders need to have strong cognitive and intellectual abilities</w:t>
      </w:r>
      <w:r w:rsidR="006B2CC5">
        <w:rPr>
          <w:rFonts w:cs="Times New Roman"/>
        </w:rPr>
        <w:t xml:space="preserve"> (</w:t>
      </w:r>
      <w:r w:rsidR="006B2CC5">
        <w:rPr>
          <w:rFonts w:cs="Times New Roman"/>
          <w:color w:val="222222"/>
          <w:szCs w:val="20"/>
          <w:shd w:val="clear" w:color="auto" w:fill="FFFFFF"/>
        </w:rPr>
        <w:t>Badalova et al, 2020</w:t>
      </w:r>
      <w:r w:rsidR="006B2CC5">
        <w:rPr>
          <w:rFonts w:cs="Times New Roman"/>
        </w:rPr>
        <w:t>)</w:t>
      </w:r>
      <w:r w:rsidR="0046199F" w:rsidRPr="0046199F">
        <w:rPr>
          <w:rFonts w:cs="Times New Roman"/>
        </w:rPr>
        <w:t>. Analyzing circumstances, facts, and data logically and objectively is required for this. It enables you to recognize underlying problems, take into account many viewpoints, and come at well-informed judgments. Effective leaders divide complicated issues into more manageable parts. This ability enables you to identify the underlying causes of problems and create focused solutions. Innovative solutions might result from thinking outside the box and being open to fresh concepts. Encourage your employees to think creatively, and be open to trying out new ideas. Leaders frequently have to make difficult choices. Strong decision-making abilities involve weighing the pros and disadvantages of several options, taking future results into account, and selecting the optimal course of action.</w:t>
      </w:r>
      <w:r w:rsidR="00C33A0A">
        <w:rPr>
          <w:rFonts w:cs="Times New Roman"/>
        </w:rPr>
        <w:t xml:space="preserve"> </w:t>
      </w:r>
      <w:r w:rsidR="00B14555" w:rsidRPr="00B14555">
        <w:rPr>
          <w:rFonts w:cs="Times New Roman"/>
        </w:rPr>
        <w:t>Setting long-term objectives, laying out concrete measures, and foreseeing probable obstacles are all parts of this talent</w:t>
      </w:r>
      <w:r w:rsidR="00071AA4">
        <w:rPr>
          <w:rFonts w:cs="Times New Roman"/>
        </w:rPr>
        <w:t xml:space="preserve"> (</w:t>
      </w:r>
      <w:r w:rsidR="00071AA4">
        <w:rPr>
          <w:rFonts w:cs="Times New Roman"/>
          <w:color w:val="222222"/>
          <w:szCs w:val="20"/>
          <w:shd w:val="clear" w:color="auto" w:fill="FFFFFF"/>
        </w:rPr>
        <w:t>Johnson, 2010</w:t>
      </w:r>
      <w:r w:rsidR="00071AA4">
        <w:rPr>
          <w:rFonts w:cs="Times New Roman"/>
        </w:rPr>
        <w:t>)</w:t>
      </w:r>
      <w:r w:rsidR="00B14555" w:rsidRPr="00B14555">
        <w:rPr>
          <w:rFonts w:cs="Times New Roman"/>
        </w:rPr>
        <w:t xml:space="preserve">. </w:t>
      </w:r>
      <w:r w:rsidR="002F0158">
        <w:rPr>
          <w:rFonts w:cs="Times New Roman"/>
        </w:rPr>
        <w:t>B</w:t>
      </w:r>
      <w:r w:rsidR="00E974FC" w:rsidRPr="00E974FC">
        <w:rPr>
          <w:rFonts w:cs="Times New Roman"/>
        </w:rPr>
        <w:t xml:space="preserve">ased </w:t>
      </w:r>
      <w:r w:rsidR="00B10149">
        <w:rPr>
          <w:rFonts w:cs="Times New Roman"/>
        </w:rPr>
        <w:t>on my personal experience m</w:t>
      </w:r>
      <w:r w:rsidR="00E974FC" w:rsidRPr="00E974FC">
        <w:rPr>
          <w:rFonts w:cs="Times New Roman"/>
        </w:rPr>
        <w:t>y position as a sales representative at Unilever Company helped me develop skills and a deeper understanding of the industry, and it was a life-changing event. I found that working as a team increases efficiency in accomplishing common objectives that are advantageous to the organization. I was inspired to succeed in the role and become a top salesperson. In areas where I lacked understanding, the staff offered technical assistance, which was incredibly helpful. The optimum working conditions are found among employees with broad professional experience. The group produced high-caliber work quickly and effectively. I initially thought the selling function to be difficult and frustrating. The majority of senior coworkers were willing to talk about how to bear the responsibilities, highlighting their own work experiences.</w:t>
      </w:r>
      <w:r w:rsidR="00BF3B9D">
        <w:rPr>
          <w:rFonts w:cs="Times New Roman"/>
        </w:rPr>
        <w:t xml:space="preserve"> </w:t>
      </w:r>
      <w:r w:rsidR="00BF3B9D" w:rsidRPr="00BF3B9D">
        <w:rPr>
          <w:rFonts w:cs="Times New Roman"/>
        </w:rPr>
        <w:t xml:space="preserve">Time is the essential element. The </w:t>
      </w:r>
      <w:r w:rsidR="00BF3B9D" w:rsidRPr="00BF3B9D">
        <w:rPr>
          <w:rFonts w:cs="Times New Roman"/>
        </w:rPr>
        <w:lastRenderedPageBreak/>
        <w:t>guidance and advice gave me the courage and inspiration to keep on. I'm grateful to my supervisor for putting up with my errors and giving me the chance to fix them. In order to best serve their needs, I had to evaluate the suggestions made by the clients. I found that the most crucial staff characteristics were perseverance and dedication.</w:t>
      </w:r>
      <w:r w:rsidR="002F41AC">
        <w:rPr>
          <w:rFonts w:cs="Times New Roman"/>
        </w:rPr>
        <w:t xml:space="preserve"> </w:t>
      </w:r>
    </w:p>
    <w:p w14:paraId="3A2C783E" w14:textId="77777777" w:rsidR="002F41AC" w:rsidRPr="0027405E" w:rsidRDefault="002F41AC" w:rsidP="0027405E">
      <w:pPr>
        <w:pStyle w:val="Heading2"/>
      </w:pPr>
      <w:bookmarkStart w:id="9" w:name="_Toc143379808"/>
      <w:bookmarkStart w:id="10" w:name="_Toc144057512"/>
      <w:r w:rsidRPr="0027405E">
        <w:t>Evaluation of adopting community engagement and green project pros and cons based on some research</w:t>
      </w:r>
      <w:bookmarkEnd w:id="9"/>
      <w:bookmarkEnd w:id="10"/>
      <w:r w:rsidRPr="0027405E">
        <w:t xml:space="preserve"> </w:t>
      </w:r>
    </w:p>
    <w:p w14:paraId="570DABF4" w14:textId="77777777" w:rsidR="002F41AC" w:rsidRDefault="009A7347" w:rsidP="00C54860">
      <w:pPr>
        <w:rPr>
          <w:rFonts w:cs="Times New Roman"/>
        </w:rPr>
      </w:pPr>
      <w:r w:rsidRPr="009A7347">
        <w:rPr>
          <w:rFonts w:cs="Times New Roman"/>
        </w:rPr>
        <w:t>According to the Scottish La</w:t>
      </w:r>
      <w:r w:rsidR="009B5ABD">
        <w:rPr>
          <w:rFonts w:cs="Times New Roman"/>
        </w:rPr>
        <w:t xml:space="preserve">nd Use Strategy, </w:t>
      </w:r>
      <w:r w:rsidRPr="009A7347">
        <w:rPr>
          <w:rFonts w:cs="Times New Roman"/>
        </w:rPr>
        <w:t>Scotland where land resources are respected and plans and decisions are long-lasting and beneficial to the country's wellbeing. The publication provides ideas and recommendations for sustainable land usage, which has several benefits. Its tenets consist of: Individuals should have the opportunity to take part in land use and management decisions that affect their lives and the future. Land use decisions may become more standardized and integrated when the Principles are applied locally. T</w:t>
      </w:r>
      <w:r w:rsidR="009B5ABD">
        <w:rPr>
          <w:rFonts w:cs="Times New Roman"/>
        </w:rPr>
        <w:t xml:space="preserve">he Land Use Strategy </w:t>
      </w:r>
      <w:r w:rsidRPr="009A7347">
        <w:rPr>
          <w:rFonts w:cs="Times New Roman"/>
        </w:rPr>
        <w:t>Objective 3 strives to develop connections between urban and rural communities and the land in order to spread awareness of wise land use. The results of participation with local communities are described in a case study from Dundee</w:t>
      </w:r>
      <w:r w:rsidR="00C311D4">
        <w:rPr>
          <w:rFonts w:cs="Times New Roman"/>
        </w:rPr>
        <w:t xml:space="preserve"> (</w:t>
      </w:r>
      <w:r w:rsidR="00C311D4">
        <w:rPr>
          <w:rFonts w:cs="Times New Roman"/>
          <w:color w:val="222222"/>
          <w:szCs w:val="20"/>
          <w:shd w:val="clear" w:color="auto" w:fill="FFFFFF"/>
        </w:rPr>
        <w:t xml:space="preserve">Portney, </w:t>
      </w:r>
      <w:r w:rsidR="00C311D4" w:rsidRPr="00152309">
        <w:rPr>
          <w:rFonts w:cs="Times New Roman"/>
          <w:color w:val="222222"/>
          <w:szCs w:val="20"/>
          <w:shd w:val="clear" w:color="auto" w:fill="FFFFFF"/>
        </w:rPr>
        <w:t>2005</w:t>
      </w:r>
      <w:r w:rsidR="00C311D4">
        <w:rPr>
          <w:rFonts w:cs="Times New Roman"/>
        </w:rPr>
        <w:t>)</w:t>
      </w:r>
      <w:r w:rsidRPr="009A7347">
        <w:rPr>
          <w:rFonts w:cs="Times New Roman"/>
        </w:rPr>
        <w:t>.</w:t>
      </w:r>
    </w:p>
    <w:p w14:paraId="428A89C8" w14:textId="77777777" w:rsidR="0013351F" w:rsidRDefault="0013351F" w:rsidP="00C54860">
      <w:pPr>
        <w:rPr>
          <w:rFonts w:cs="Times New Roman"/>
        </w:rPr>
      </w:pPr>
      <w:r w:rsidRPr="0013351F">
        <w:rPr>
          <w:rFonts w:cs="Times New Roman"/>
        </w:rPr>
        <w:t>You can build community relationships through collaboration with stakeholders, which will help with the development and application of policies. Stakeholder relationships encourage collaboration, cooperation, understanding, trust, and credibility. The benefits and drawbacks of the Green Space project in the UK city are illustrated here.</w:t>
      </w:r>
    </w:p>
    <w:p w14:paraId="57D484D6" w14:textId="77777777" w:rsidR="002C053C" w:rsidRDefault="002C053C" w:rsidP="002C053C">
      <w:pPr>
        <w:rPr>
          <w:b/>
          <w:bCs/>
          <w:szCs w:val="24"/>
        </w:rPr>
      </w:pPr>
      <w:r>
        <w:rPr>
          <w:b/>
          <w:bCs/>
          <w:szCs w:val="24"/>
        </w:rPr>
        <w:t>Pros</w:t>
      </w:r>
    </w:p>
    <w:p w14:paraId="0EF8F504" w14:textId="77777777" w:rsidR="002C053C" w:rsidRPr="002C053C" w:rsidRDefault="002C053C" w:rsidP="002C053C">
      <w:pPr>
        <w:pStyle w:val="ListParagraph"/>
        <w:numPr>
          <w:ilvl w:val="0"/>
          <w:numId w:val="2"/>
        </w:numPr>
        <w:rPr>
          <w:bCs/>
          <w:szCs w:val="24"/>
        </w:rPr>
      </w:pPr>
      <w:r w:rsidRPr="002C053C">
        <w:rPr>
          <w:bCs/>
          <w:szCs w:val="24"/>
        </w:rPr>
        <w:t>Locally owned and operated</w:t>
      </w:r>
    </w:p>
    <w:p w14:paraId="7FDC43CF" w14:textId="77777777" w:rsidR="002C053C" w:rsidRPr="002C053C" w:rsidRDefault="002C053C" w:rsidP="002C053C">
      <w:pPr>
        <w:pStyle w:val="ListParagraph"/>
        <w:numPr>
          <w:ilvl w:val="0"/>
          <w:numId w:val="2"/>
        </w:numPr>
        <w:rPr>
          <w:bCs/>
          <w:szCs w:val="24"/>
        </w:rPr>
      </w:pPr>
      <w:r w:rsidRPr="002C053C">
        <w:rPr>
          <w:bCs/>
          <w:szCs w:val="24"/>
        </w:rPr>
        <w:t>Enhancing Decision-Making</w:t>
      </w:r>
    </w:p>
    <w:p w14:paraId="40226698" w14:textId="77777777" w:rsidR="002C053C" w:rsidRPr="002C053C" w:rsidRDefault="002C053C" w:rsidP="002C053C">
      <w:pPr>
        <w:pStyle w:val="ListParagraph"/>
        <w:numPr>
          <w:ilvl w:val="0"/>
          <w:numId w:val="2"/>
        </w:numPr>
        <w:rPr>
          <w:bCs/>
          <w:szCs w:val="24"/>
        </w:rPr>
      </w:pPr>
      <w:r w:rsidRPr="002C053C">
        <w:rPr>
          <w:bCs/>
          <w:szCs w:val="24"/>
        </w:rPr>
        <w:t>Confidence and Cooperation</w:t>
      </w:r>
    </w:p>
    <w:p w14:paraId="02C69B95" w14:textId="77777777" w:rsidR="002C053C" w:rsidRPr="002C053C" w:rsidRDefault="002C053C" w:rsidP="002C053C">
      <w:pPr>
        <w:pStyle w:val="ListParagraph"/>
        <w:numPr>
          <w:ilvl w:val="0"/>
          <w:numId w:val="2"/>
        </w:numPr>
        <w:rPr>
          <w:bCs/>
          <w:szCs w:val="24"/>
        </w:rPr>
      </w:pPr>
      <w:r w:rsidRPr="002C053C">
        <w:rPr>
          <w:bCs/>
          <w:szCs w:val="24"/>
        </w:rPr>
        <w:t>Innovation</w:t>
      </w:r>
    </w:p>
    <w:p w14:paraId="184B45C0" w14:textId="77777777" w:rsidR="002C053C" w:rsidRDefault="002C053C" w:rsidP="002C053C">
      <w:pPr>
        <w:pStyle w:val="ListParagraph"/>
        <w:numPr>
          <w:ilvl w:val="0"/>
          <w:numId w:val="2"/>
        </w:numPr>
        <w:rPr>
          <w:bCs/>
          <w:szCs w:val="24"/>
        </w:rPr>
      </w:pPr>
      <w:r w:rsidRPr="002C053C">
        <w:rPr>
          <w:bCs/>
          <w:szCs w:val="24"/>
        </w:rPr>
        <w:t>Social Integration</w:t>
      </w:r>
    </w:p>
    <w:p w14:paraId="1ABF8715" w14:textId="77777777" w:rsidR="00D9096D" w:rsidRPr="00D9096D" w:rsidRDefault="00D9096D" w:rsidP="00D9096D">
      <w:pPr>
        <w:pStyle w:val="ListParagraph"/>
        <w:numPr>
          <w:ilvl w:val="0"/>
          <w:numId w:val="2"/>
        </w:numPr>
        <w:rPr>
          <w:bCs/>
          <w:szCs w:val="24"/>
        </w:rPr>
      </w:pPr>
      <w:r w:rsidRPr="00D9096D">
        <w:rPr>
          <w:bCs/>
          <w:szCs w:val="24"/>
        </w:rPr>
        <w:t>Environmental Advantages for Health</w:t>
      </w:r>
    </w:p>
    <w:p w14:paraId="40AE012D" w14:textId="77777777" w:rsidR="00D9096D" w:rsidRPr="00D9096D" w:rsidRDefault="00D9096D" w:rsidP="00D9096D">
      <w:pPr>
        <w:pStyle w:val="ListParagraph"/>
        <w:numPr>
          <w:ilvl w:val="0"/>
          <w:numId w:val="2"/>
        </w:numPr>
        <w:rPr>
          <w:bCs/>
          <w:szCs w:val="24"/>
        </w:rPr>
      </w:pPr>
      <w:r w:rsidRPr="00D9096D">
        <w:rPr>
          <w:bCs/>
          <w:szCs w:val="24"/>
        </w:rPr>
        <w:t>Economic Possibilities</w:t>
      </w:r>
    </w:p>
    <w:p w14:paraId="6E6FFF4D" w14:textId="77777777" w:rsidR="00D9096D" w:rsidRPr="00D9096D" w:rsidRDefault="00D9096D" w:rsidP="00D9096D">
      <w:pPr>
        <w:pStyle w:val="ListParagraph"/>
        <w:numPr>
          <w:ilvl w:val="0"/>
          <w:numId w:val="2"/>
        </w:numPr>
        <w:rPr>
          <w:bCs/>
          <w:szCs w:val="24"/>
        </w:rPr>
      </w:pPr>
      <w:r w:rsidRPr="00D9096D">
        <w:rPr>
          <w:bCs/>
          <w:szCs w:val="24"/>
        </w:rPr>
        <w:t>Savings over time and a good reputation</w:t>
      </w:r>
    </w:p>
    <w:p w14:paraId="59A212A6" w14:textId="77777777" w:rsidR="002C053C" w:rsidRPr="002C053C" w:rsidRDefault="002C053C" w:rsidP="002C053C">
      <w:pPr>
        <w:rPr>
          <w:bCs/>
          <w:szCs w:val="24"/>
        </w:rPr>
      </w:pPr>
    </w:p>
    <w:p w14:paraId="39B256E0" w14:textId="77777777" w:rsidR="002C053C" w:rsidRDefault="002C053C" w:rsidP="002C053C">
      <w:pPr>
        <w:rPr>
          <w:b/>
          <w:bCs/>
          <w:szCs w:val="24"/>
        </w:rPr>
      </w:pPr>
      <w:r>
        <w:rPr>
          <w:b/>
          <w:bCs/>
          <w:szCs w:val="24"/>
        </w:rPr>
        <w:lastRenderedPageBreak/>
        <w:t>Cons</w:t>
      </w:r>
    </w:p>
    <w:p w14:paraId="09BBB0C9" w14:textId="77777777" w:rsidR="002C053C" w:rsidRPr="002C053C" w:rsidRDefault="002C053C" w:rsidP="002C053C">
      <w:pPr>
        <w:pStyle w:val="ListParagraph"/>
        <w:numPr>
          <w:ilvl w:val="0"/>
          <w:numId w:val="1"/>
        </w:numPr>
        <w:rPr>
          <w:rFonts w:cs="Times New Roman"/>
        </w:rPr>
      </w:pPr>
      <w:r w:rsidRPr="002C053C">
        <w:rPr>
          <w:rFonts w:cs="Times New Roman"/>
        </w:rPr>
        <w:t>Conflict and Resistance Take Up Time</w:t>
      </w:r>
    </w:p>
    <w:p w14:paraId="0079C798" w14:textId="77777777" w:rsidR="002C053C" w:rsidRPr="002C053C" w:rsidRDefault="002C053C" w:rsidP="002C053C">
      <w:pPr>
        <w:pStyle w:val="ListParagraph"/>
        <w:numPr>
          <w:ilvl w:val="0"/>
          <w:numId w:val="1"/>
        </w:numPr>
        <w:rPr>
          <w:rFonts w:cs="Times New Roman"/>
        </w:rPr>
      </w:pPr>
      <w:r w:rsidRPr="002C053C">
        <w:rPr>
          <w:rFonts w:cs="Times New Roman"/>
        </w:rPr>
        <w:t>Resource Consuming</w:t>
      </w:r>
    </w:p>
    <w:p w14:paraId="5AEACB03" w14:textId="77777777" w:rsidR="002C053C" w:rsidRPr="002C053C" w:rsidRDefault="002C053C" w:rsidP="002C053C">
      <w:pPr>
        <w:pStyle w:val="ListParagraph"/>
        <w:numPr>
          <w:ilvl w:val="0"/>
          <w:numId w:val="1"/>
        </w:numPr>
        <w:rPr>
          <w:rFonts w:cs="Times New Roman"/>
        </w:rPr>
      </w:pPr>
      <w:r>
        <w:rPr>
          <w:rFonts w:cs="Times New Roman"/>
        </w:rPr>
        <w:t>Making Complex Decisions</w:t>
      </w:r>
    </w:p>
    <w:p w14:paraId="7C7B2627" w14:textId="77777777" w:rsidR="002C053C" w:rsidRDefault="002C053C" w:rsidP="002C053C">
      <w:pPr>
        <w:pStyle w:val="ListParagraph"/>
        <w:numPr>
          <w:ilvl w:val="0"/>
          <w:numId w:val="1"/>
        </w:numPr>
        <w:rPr>
          <w:rFonts w:cs="Times New Roman"/>
        </w:rPr>
      </w:pPr>
      <w:r w:rsidRPr="002C053C">
        <w:rPr>
          <w:rFonts w:cs="Times New Roman"/>
        </w:rPr>
        <w:t>Representativeness</w:t>
      </w:r>
    </w:p>
    <w:p w14:paraId="1B739956" w14:textId="77777777" w:rsidR="00BB4595" w:rsidRPr="00BB4595" w:rsidRDefault="00BB4595" w:rsidP="00BB4595">
      <w:pPr>
        <w:pStyle w:val="ListParagraph"/>
        <w:numPr>
          <w:ilvl w:val="0"/>
          <w:numId w:val="1"/>
        </w:numPr>
        <w:rPr>
          <w:rFonts w:cs="Times New Roman"/>
        </w:rPr>
      </w:pPr>
      <w:r w:rsidRPr="00BB4595">
        <w:rPr>
          <w:rFonts w:cs="Times New Roman"/>
        </w:rPr>
        <w:t>Initial expenses, technical difficulties</w:t>
      </w:r>
    </w:p>
    <w:p w14:paraId="3CCE32C3" w14:textId="77777777" w:rsidR="00BB4595" w:rsidRPr="00BB4595" w:rsidRDefault="00BB4595" w:rsidP="00BB4595">
      <w:pPr>
        <w:pStyle w:val="ListParagraph"/>
        <w:numPr>
          <w:ilvl w:val="0"/>
          <w:numId w:val="1"/>
        </w:numPr>
        <w:rPr>
          <w:rFonts w:cs="Times New Roman"/>
        </w:rPr>
      </w:pPr>
      <w:r w:rsidRPr="00BB4595">
        <w:rPr>
          <w:rFonts w:cs="Times New Roman"/>
        </w:rPr>
        <w:t>Perceived Discomfort</w:t>
      </w:r>
    </w:p>
    <w:p w14:paraId="4D7E375C" w14:textId="77777777" w:rsidR="00BB4595" w:rsidRPr="00BB4595" w:rsidRDefault="00BB4595" w:rsidP="00BB4595">
      <w:pPr>
        <w:pStyle w:val="ListParagraph"/>
        <w:numPr>
          <w:ilvl w:val="0"/>
          <w:numId w:val="1"/>
        </w:numPr>
        <w:rPr>
          <w:rFonts w:cs="Times New Roman"/>
        </w:rPr>
      </w:pPr>
      <w:r w:rsidRPr="00BB4595">
        <w:rPr>
          <w:rFonts w:cs="Times New Roman"/>
        </w:rPr>
        <w:t>Regulation Obstacles</w:t>
      </w:r>
    </w:p>
    <w:p w14:paraId="7E1E9A10" w14:textId="77777777" w:rsidR="00BB4595" w:rsidRPr="00BB4595" w:rsidRDefault="00BB4595" w:rsidP="00BB4595">
      <w:pPr>
        <w:pStyle w:val="ListParagraph"/>
        <w:numPr>
          <w:ilvl w:val="0"/>
          <w:numId w:val="1"/>
        </w:numPr>
        <w:rPr>
          <w:rFonts w:cs="Times New Roman"/>
        </w:rPr>
      </w:pPr>
      <w:r w:rsidRPr="00BB4595">
        <w:rPr>
          <w:rFonts w:cs="Times New Roman"/>
        </w:rPr>
        <w:t>Public Awareness is Low</w:t>
      </w:r>
    </w:p>
    <w:p w14:paraId="77094940" w14:textId="77777777" w:rsidR="00AF7974" w:rsidRDefault="00AF7974" w:rsidP="00AF7974">
      <w:pPr>
        <w:rPr>
          <w:rFonts w:cs="Times New Roman"/>
        </w:rPr>
      </w:pPr>
      <w:r w:rsidRPr="00AF7974">
        <w:rPr>
          <w:rFonts w:cs="Times New Roman"/>
        </w:rPr>
        <w:t>It's critical to carry out in-depth research and consult with stakeholders in order to weigh the advantages and disadvantages of implementing green initiatives and community participation in your unique setting. These programs' success frequently hinges on specialized approaches that take into account regional requirements, values, and difficulties</w:t>
      </w:r>
      <w:r w:rsidR="00EF6E0A">
        <w:rPr>
          <w:rFonts w:cs="Times New Roman"/>
        </w:rPr>
        <w:t xml:space="preserve"> (</w:t>
      </w:r>
      <w:r w:rsidR="00EF6E0A">
        <w:rPr>
          <w:rFonts w:cs="Times New Roman"/>
          <w:color w:val="222222"/>
          <w:szCs w:val="20"/>
          <w:shd w:val="clear" w:color="auto" w:fill="FFFFFF"/>
        </w:rPr>
        <w:t>Green,</w:t>
      </w:r>
      <w:r w:rsidR="00EF6E0A" w:rsidRPr="00EF6E0A">
        <w:rPr>
          <w:rFonts w:cs="Times New Roman"/>
          <w:color w:val="222222"/>
          <w:szCs w:val="20"/>
          <w:shd w:val="clear" w:color="auto" w:fill="FFFFFF"/>
        </w:rPr>
        <w:t xml:space="preserve"> 2016</w:t>
      </w:r>
      <w:r w:rsidR="00EF6E0A">
        <w:rPr>
          <w:rFonts w:cs="Times New Roman"/>
        </w:rPr>
        <w:t>)</w:t>
      </w:r>
      <w:r w:rsidRPr="00AF7974">
        <w:rPr>
          <w:rFonts w:cs="Times New Roman"/>
        </w:rPr>
        <w:t>.</w:t>
      </w:r>
    </w:p>
    <w:p w14:paraId="3A4C1C9A" w14:textId="77777777" w:rsidR="005D1D69" w:rsidRDefault="005D1D69" w:rsidP="005D1D69">
      <w:pPr>
        <w:pStyle w:val="Heading1"/>
      </w:pPr>
      <w:bookmarkStart w:id="11" w:name="_Toc143379809"/>
      <w:bookmarkStart w:id="12" w:name="_Toc144057513"/>
      <w:r>
        <w:t>Conclusion</w:t>
      </w:r>
      <w:bookmarkEnd w:id="11"/>
      <w:bookmarkEnd w:id="12"/>
    </w:p>
    <w:p w14:paraId="14F21FA2" w14:textId="77777777" w:rsidR="00AF7974" w:rsidRDefault="005D1D69" w:rsidP="00AF7974">
      <w:pPr>
        <w:rPr>
          <w:rFonts w:cs="Times New Roman"/>
        </w:rPr>
      </w:pPr>
      <w:r w:rsidRPr="005D1D69">
        <w:rPr>
          <w:rFonts w:cs="Times New Roman"/>
        </w:rPr>
        <w:t>Reflective evaluation is essential for learning, especially when taking into account previous experiences. The "Green Spaces for All" project demonstrated the value of community involvement in the conception and execution of social projects. Due to community involvement, the program resolved problems with confined green area use, providing benefits to people for years. The initiative will train people in London and around the world in inclusive decision-making, participation in the community, and partnership-building. This project demonstrates how community-driven initiatives benefit society. The project demonstrates how neighborhood-led initiatives may transform green spaces into hotspots for social, health, and environmental issues</w:t>
      </w:r>
      <w:r w:rsidR="00960616">
        <w:rPr>
          <w:rFonts w:cs="Times New Roman"/>
        </w:rPr>
        <w:t xml:space="preserve"> (</w:t>
      </w:r>
      <w:r w:rsidR="00960616">
        <w:rPr>
          <w:rFonts w:cs="Times New Roman"/>
          <w:color w:val="222222"/>
          <w:szCs w:val="20"/>
          <w:shd w:val="clear" w:color="auto" w:fill="FFFFFF"/>
        </w:rPr>
        <w:t xml:space="preserve">TIERNEY, </w:t>
      </w:r>
      <w:r w:rsidR="00960616" w:rsidRPr="000A475A">
        <w:rPr>
          <w:rFonts w:cs="Times New Roman"/>
          <w:color w:val="222222"/>
          <w:szCs w:val="20"/>
          <w:shd w:val="clear" w:color="auto" w:fill="FFFFFF"/>
        </w:rPr>
        <w:t>2012</w:t>
      </w:r>
      <w:r w:rsidR="00960616">
        <w:rPr>
          <w:rFonts w:cs="Times New Roman"/>
        </w:rPr>
        <w:t>)</w:t>
      </w:r>
      <w:r w:rsidRPr="005D1D69">
        <w:rPr>
          <w:rFonts w:cs="Times New Roman"/>
        </w:rPr>
        <w:t>. Reflective evaluations by community members at various firms are encouraged to advance knowledge and work performance. There are different perspectives on how people evaluate circumstances and develop judgments.</w:t>
      </w:r>
      <w:r>
        <w:rPr>
          <w:rFonts w:cs="Times New Roman"/>
        </w:rPr>
        <w:t xml:space="preserve"> </w:t>
      </w:r>
      <w:r w:rsidR="00A87CC9">
        <w:rPr>
          <w:rFonts w:cs="Times New Roman"/>
        </w:rPr>
        <w:t xml:space="preserve">People should use </w:t>
      </w:r>
      <w:r w:rsidRPr="005D1D69">
        <w:rPr>
          <w:rFonts w:cs="Times New Roman"/>
        </w:rPr>
        <w:t xml:space="preserve">provided theories as a foundation for their judgment in order to produce a thorough reflection. The selfless labor of city dwellers provided useful sales abilities while creating a green space for all residents. Developing these skills will improve performance in upcoming tasks related to developing green projects. As a volunteer, the first term of learning focused on the importance of interpersonal, </w:t>
      </w:r>
      <w:r w:rsidRPr="005D1D69">
        <w:rPr>
          <w:rFonts w:cs="Times New Roman"/>
        </w:rPr>
        <w:lastRenderedPageBreak/>
        <w:t>communication, and self-management skills in the real world. This d</w:t>
      </w:r>
      <w:r w:rsidR="009015A4">
        <w:rPr>
          <w:rFonts w:cs="Times New Roman"/>
        </w:rPr>
        <w:t>iscussion highlights the need</w:t>
      </w:r>
      <w:r w:rsidRPr="005D1D69">
        <w:rPr>
          <w:rFonts w:cs="Times New Roman"/>
        </w:rPr>
        <w:t xml:space="preserve"> drawing lessons from past mistakes and utilizing various situational strategies.</w:t>
      </w:r>
    </w:p>
    <w:p w14:paraId="27B43B9B" w14:textId="77777777" w:rsidR="00FA2572" w:rsidRPr="00AF7974" w:rsidRDefault="00FA2572" w:rsidP="00AF7974">
      <w:pPr>
        <w:rPr>
          <w:rFonts w:cs="Times New Roman"/>
        </w:rPr>
      </w:pPr>
    </w:p>
    <w:p w14:paraId="485F7429" w14:textId="77777777" w:rsidR="00AF7974" w:rsidRPr="00AF7974" w:rsidRDefault="00AF7974" w:rsidP="00AF7974">
      <w:pPr>
        <w:rPr>
          <w:rFonts w:cs="Times New Roman"/>
        </w:rPr>
      </w:pPr>
    </w:p>
    <w:p w14:paraId="10F83458" w14:textId="77777777" w:rsidR="00AF7974" w:rsidRPr="00AF7974" w:rsidRDefault="00AF7974" w:rsidP="00AF7974">
      <w:pPr>
        <w:rPr>
          <w:rFonts w:cs="Times New Roman"/>
        </w:rPr>
      </w:pPr>
    </w:p>
    <w:p w14:paraId="1CFCD994" w14:textId="77777777" w:rsidR="00AF7974" w:rsidRPr="00AF7974" w:rsidRDefault="00AF7974" w:rsidP="00AF7974">
      <w:pPr>
        <w:rPr>
          <w:rFonts w:cs="Times New Roman"/>
        </w:rPr>
      </w:pPr>
    </w:p>
    <w:p w14:paraId="2B33D2CA" w14:textId="77777777" w:rsidR="00AF7974" w:rsidRPr="00AF7974" w:rsidRDefault="00AF7974" w:rsidP="00AF7974">
      <w:pPr>
        <w:rPr>
          <w:rFonts w:cs="Times New Roman"/>
        </w:rPr>
      </w:pPr>
    </w:p>
    <w:p w14:paraId="7E2A68EB" w14:textId="77777777" w:rsidR="00AF7974" w:rsidRPr="00AF7974" w:rsidRDefault="00AF7974" w:rsidP="00AF7974">
      <w:pPr>
        <w:rPr>
          <w:rFonts w:cs="Times New Roman"/>
        </w:rPr>
      </w:pPr>
    </w:p>
    <w:p w14:paraId="3C0801E6" w14:textId="77777777" w:rsidR="00AF7974" w:rsidRPr="00AF7974" w:rsidRDefault="00AF7974" w:rsidP="00AF7974">
      <w:pPr>
        <w:rPr>
          <w:rFonts w:cs="Times New Roman"/>
        </w:rPr>
      </w:pPr>
    </w:p>
    <w:p w14:paraId="1A3D9811" w14:textId="77777777" w:rsidR="002C053C" w:rsidRDefault="002C053C" w:rsidP="00AF7974">
      <w:pPr>
        <w:rPr>
          <w:rFonts w:cs="Times New Roman"/>
        </w:rPr>
      </w:pPr>
    </w:p>
    <w:p w14:paraId="47FF90E7" w14:textId="77777777" w:rsidR="00FA2572" w:rsidRDefault="00FA2572" w:rsidP="00AF7974">
      <w:pPr>
        <w:rPr>
          <w:rFonts w:cs="Times New Roman"/>
        </w:rPr>
      </w:pPr>
    </w:p>
    <w:p w14:paraId="3266C7C2" w14:textId="77777777" w:rsidR="00FA2572" w:rsidRDefault="00FA2572" w:rsidP="00AF7974">
      <w:pPr>
        <w:rPr>
          <w:rFonts w:cs="Times New Roman"/>
        </w:rPr>
      </w:pPr>
    </w:p>
    <w:p w14:paraId="2C0A2F26" w14:textId="77777777" w:rsidR="00FA2572" w:rsidRDefault="00FA2572" w:rsidP="00AF7974">
      <w:pPr>
        <w:rPr>
          <w:rFonts w:cs="Times New Roman"/>
        </w:rPr>
      </w:pPr>
    </w:p>
    <w:p w14:paraId="1DBF9E32" w14:textId="77777777" w:rsidR="00FA2572" w:rsidRDefault="00FA2572" w:rsidP="00AF7974">
      <w:pPr>
        <w:rPr>
          <w:rFonts w:cs="Times New Roman"/>
        </w:rPr>
      </w:pPr>
    </w:p>
    <w:p w14:paraId="5B24B263" w14:textId="77777777" w:rsidR="00FA2572" w:rsidRDefault="00FA2572" w:rsidP="00AF7974">
      <w:pPr>
        <w:rPr>
          <w:rFonts w:cs="Times New Roman"/>
        </w:rPr>
      </w:pPr>
    </w:p>
    <w:p w14:paraId="29DC7215" w14:textId="77777777" w:rsidR="001979FE" w:rsidRDefault="001979FE" w:rsidP="00FA2572">
      <w:pPr>
        <w:pStyle w:val="Heading1"/>
      </w:pPr>
      <w:bookmarkStart w:id="13" w:name="_Toc144057514"/>
    </w:p>
    <w:p w14:paraId="09115B9C" w14:textId="77777777" w:rsidR="009B5ABD" w:rsidRDefault="009B5ABD" w:rsidP="00FA2572">
      <w:pPr>
        <w:pStyle w:val="Heading1"/>
      </w:pPr>
    </w:p>
    <w:p w14:paraId="79F42A30" w14:textId="77777777" w:rsidR="009B5ABD" w:rsidRDefault="009B5ABD" w:rsidP="00FA2572">
      <w:pPr>
        <w:pStyle w:val="Heading1"/>
      </w:pPr>
    </w:p>
    <w:p w14:paraId="27036E52" w14:textId="77777777" w:rsidR="00FA2572" w:rsidRDefault="00FA2572" w:rsidP="00FA2572">
      <w:pPr>
        <w:pStyle w:val="Heading1"/>
      </w:pPr>
      <w:r>
        <w:t>References</w:t>
      </w:r>
      <w:bookmarkEnd w:id="13"/>
    </w:p>
    <w:p w14:paraId="49AC156F" w14:textId="77777777" w:rsidR="00800784" w:rsidRDefault="00800784" w:rsidP="00800784">
      <w:r w:rsidRPr="00800784">
        <w:t xml:space="preserve">Van den Berg, M., Wendel-Vos, W., van Poppel, M., Kemper, H., van Mechelen, W. and Maas, J., 2015. Health benefits of green spaces in the living environment: A systematic review of epidemiological studies. </w:t>
      </w:r>
      <w:r w:rsidRPr="00800784">
        <w:rPr>
          <w:i/>
        </w:rPr>
        <w:t>Urban forestry &amp; urban greening, 14(4), pp.806-816.</w:t>
      </w:r>
    </w:p>
    <w:p w14:paraId="69BF0E66" w14:textId="77777777" w:rsidR="00800784" w:rsidRDefault="008940BB" w:rsidP="00800784">
      <w:pPr>
        <w:rPr>
          <w:rFonts w:cs="Times New Roman"/>
          <w:color w:val="222222"/>
          <w:szCs w:val="20"/>
          <w:shd w:val="clear" w:color="auto" w:fill="FFFFFF"/>
        </w:rPr>
      </w:pPr>
      <w:r w:rsidRPr="008940BB">
        <w:rPr>
          <w:rFonts w:cs="Times New Roman"/>
          <w:color w:val="222222"/>
          <w:szCs w:val="20"/>
          <w:shd w:val="clear" w:color="auto" w:fill="FFFFFF"/>
        </w:rPr>
        <w:t>Gascon, M., Triguero-Mas, M., Martínez, D., Dadvand, P., Rojas-Rueda, D., Plasència, A. and Nieuwenhuijsen, M.J., 2016. Residential green spaces and mortality: A systematic review. </w:t>
      </w:r>
      <w:r w:rsidRPr="008940BB">
        <w:rPr>
          <w:rFonts w:cs="Times New Roman"/>
          <w:i/>
          <w:iCs/>
          <w:color w:val="222222"/>
          <w:szCs w:val="20"/>
          <w:shd w:val="clear" w:color="auto" w:fill="FFFFFF"/>
        </w:rPr>
        <w:t>Environment international</w:t>
      </w:r>
      <w:r w:rsidRPr="008940BB">
        <w:rPr>
          <w:rFonts w:cs="Times New Roman"/>
          <w:color w:val="222222"/>
          <w:szCs w:val="20"/>
          <w:shd w:val="clear" w:color="auto" w:fill="FFFFFF"/>
        </w:rPr>
        <w:t>, </w:t>
      </w:r>
      <w:r w:rsidRPr="008940BB">
        <w:rPr>
          <w:rFonts w:cs="Times New Roman"/>
          <w:i/>
          <w:iCs/>
          <w:color w:val="222222"/>
          <w:szCs w:val="20"/>
          <w:shd w:val="clear" w:color="auto" w:fill="FFFFFF"/>
        </w:rPr>
        <w:t>86</w:t>
      </w:r>
      <w:r w:rsidRPr="008940BB">
        <w:rPr>
          <w:rFonts w:cs="Times New Roman"/>
          <w:color w:val="222222"/>
          <w:szCs w:val="20"/>
          <w:shd w:val="clear" w:color="auto" w:fill="FFFFFF"/>
        </w:rPr>
        <w:t>, pp.60-67.</w:t>
      </w:r>
    </w:p>
    <w:p w14:paraId="61985F68" w14:textId="77777777" w:rsidR="009B6070" w:rsidRDefault="009B6070" w:rsidP="00800784">
      <w:pPr>
        <w:rPr>
          <w:rFonts w:cs="Times New Roman"/>
          <w:color w:val="222222"/>
          <w:szCs w:val="20"/>
          <w:shd w:val="clear" w:color="auto" w:fill="FFFFFF"/>
        </w:rPr>
      </w:pPr>
      <w:r w:rsidRPr="009B6070">
        <w:rPr>
          <w:rFonts w:cs="Times New Roman"/>
          <w:color w:val="222222"/>
          <w:szCs w:val="20"/>
          <w:shd w:val="clear" w:color="auto" w:fill="FFFFFF"/>
        </w:rPr>
        <w:t>Barbosa, O., Tratalos, J.A., Armsworth, P.R., Davies, R.G., Fuller, R.A., Johnson, P. and Gaston, K.J., 2007. Who benefits from access to green space? A case study from Sheffield, UK. </w:t>
      </w:r>
      <w:r w:rsidRPr="009B6070">
        <w:rPr>
          <w:rFonts w:cs="Times New Roman"/>
          <w:i/>
          <w:iCs/>
          <w:color w:val="222222"/>
          <w:szCs w:val="20"/>
          <w:shd w:val="clear" w:color="auto" w:fill="FFFFFF"/>
        </w:rPr>
        <w:t>Landscape and Urban planning</w:t>
      </w:r>
      <w:r w:rsidRPr="009B6070">
        <w:rPr>
          <w:rFonts w:cs="Times New Roman"/>
          <w:color w:val="222222"/>
          <w:szCs w:val="20"/>
          <w:shd w:val="clear" w:color="auto" w:fill="FFFFFF"/>
        </w:rPr>
        <w:t>, </w:t>
      </w:r>
      <w:r w:rsidRPr="009B6070">
        <w:rPr>
          <w:rFonts w:cs="Times New Roman"/>
          <w:i/>
          <w:iCs/>
          <w:color w:val="222222"/>
          <w:szCs w:val="20"/>
          <w:shd w:val="clear" w:color="auto" w:fill="FFFFFF"/>
        </w:rPr>
        <w:t>83</w:t>
      </w:r>
      <w:r w:rsidRPr="009B6070">
        <w:rPr>
          <w:rFonts w:cs="Times New Roman"/>
          <w:color w:val="222222"/>
          <w:szCs w:val="20"/>
          <w:shd w:val="clear" w:color="auto" w:fill="FFFFFF"/>
        </w:rPr>
        <w:t>(2-3), pp.187-195.</w:t>
      </w:r>
    </w:p>
    <w:p w14:paraId="2D90F864" w14:textId="77777777" w:rsidR="009B6070" w:rsidRDefault="009B6070" w:rsidP="00800784">
      <w:pPr>
        <w:rPr>
          <w:rFonts w:cs="Times New Roman"/>
          <w:color w:val="222222"/>
          <w:szCs w:val="20"/>
          <w:shd w:val="clear" w:color="auto" w:fill="FFFFFF"/>
        </w:rPr>
      </w:pPr>
      <w:r w:rsidRPr="009B6070">
        <w:rPr>
          <w:rFonts w:cs="Times New Roman"/>
          <w:color w:val="222222"/>
          <w:szCs w:val="20"/>
          <w:shd w:val="clear" w:color="auto" w:fill="FFFFFF"/>
        </w:rPr>
        <w:t>Driscoll, A., 2014. Analysis of the Carnegie classification of community engagement: Patterns and impact on institutions. </w:t>
      </w:r>
      <w:r w:rsidRPr="009B6070">
        <w:rPr>
          <w:rFonts w:cs="Times New Roman"/>
          <w:i/>
          <w:iCs/>
          <w:color w:val="222222"/>
          <w:szCs w:val="20"/>
          <w:shd w:val="clear" w:color="auto" w:fill="FFFFFF"/>
        </w:rPr>
        <w:t>New Directions for Institutional Research</w:t>
      </w:r>
      <w:r w:rsidRPr="009B6070">
        <w:rPr>
          <w:rFonts w:cs="Times New Roman"/>
          <w:color w:val="222222"/>
          <w:szCs w:val="20"/>
          <w:shd w:val="clear" w:color="auto" w:fill="FFFFFF"/>
        </w:rPr>
        <w:t>, </w:t>
      </w:r>
      <w:r w:rsidRPr="009B6070">
        <w:rPr>
          <w:rFonts w:cs="Times New Roman"/>
          <w:i/>
          <w:iCs/>
          <w:color w:val="222222"/>
          <w:szCs w:val="20"/>
          <w:shd w:val="clear" w:color="auto" w:fill="FFFFFF"/>
        </w:rPr>
        <w:t>2014</w:t>
      </w:r>
      <w:r w:rsidRPr="009B6070">
        <w:rPr>
          <w:rFonts w:cs="Times New Roman"/>
          <w:color w:val="222222"/>
          <w:szCs w:val="20"/>
          <w:shd w:val="clear" w:color="auto" w:fill="FFFFFF"/>
        </w:rPr>
        <w:t>(162), pp.3-15.</w:t>
      </w:r>
    </w:p>
    <w:p w14:paraId="2D95E57A" w14:textId="77777777" w:rsidR="00071AA4" w:rsidRDefault="00071AA4" w:rsidP="00800784">
      <w:pPr>
        <w:rPr>
          <w:rFonts w:cs="Times New Roman"/>
          <w:color w:val="222222"/>
          <w:szCs w:val="20"/>
          <w:shd w:val="clear" w:color="auto" w:fill="FFFFFF"/>
        </w:rPr>
      </w:pPr>
      <w:r w:rsidRPr="00071AA4">
        <w:rPr>
          <w:rFonts w:cs="Times New Roman"/>
          <w:color w:val="222222"/>
          <w:szCs w:val="20"/>
          <w:shd w:val="clear" w:color="auto" w:fill="FFFFFF"/>
        </w:rPr>
        <w:t>Lee, G. and Kwak, Y.H., 2012. An open government maturity model for social media-based public engagement. </w:t>
      </w:r>
      <w:r w:rsidRPr="00071AA4">
        <w:rPr>
          <w:rFonts w:cs="Times New Roman"/>
          <w:i/>
          <w:iCs/>
          <w:color w:val="222222"/>
          <w:szCs w:val="20"/>
          <w:shd w:val="clear" w:color="auto" w:fill="FFFFFF"/>
        </w:rPr>
        <w:t>Government information quarterly</w:t>
      </w:r>
      <w:r w:rsidRPr="00071AA4">
        <w:rPr>
          <w:rFonts w:cs="Times New Roman"/>
          <w:color w:val="222222"/>
          <w:szCs w:val="20"/>
          <w:shd w:val="clear" w:color="auto" w:fill="FFFFFF"/>
        </w:rPr>
        <w:t>, </w:t>
      </w:r>
      <w:r w:rsidRPr="00071AA4">
        <w:rPr>
          <w:rFonts w:cs="Times New Roman"/>
          <w:i/>
          <w:iCs/>
          <w:color w:val="222222"/>
          <w:szCs w:val="20"/>
          <w:shd w:val="clear" w:color="auto" w:fill="FFFFFF"/>
        </w:rPr>
        <w:t>29</w:t>
      </w:r>
      <w:r w:rsidRPr="00071AA4">
        <w:rPr>
          <w:rFonts w:cs="Times New Roman"/>
          <w:color w:val="222222"/>
          <w:szCs w:val="20"/>
          <w:shd w:val="clear" w:color="auto" w:fill="FFFFFF"/>
        </w:rPr>
        <w:t>(4), pp.492-503.</w:t>
      </w:r>
    </w:p>
    <w:p w14:paraId="6A91484B" w14:textId="77777777" w:rsidR="006B2CC5" w:rsidRDefault="00071AA4" w:rsidP="00800784">
      <w:pPr>
        <w:rPr>
          <w:rFonts w:cs="Times New Roman"/>
          <w:color w:val="222222"/>
          <w:szCs w:val="20"/>
          <w:shd w:val="clear" w:color="auto" w:fill="FFFFFF"/>
        </w:rPr>
      </w:pPr>
      <w:r>
        <w:rPr>
          <w:rFonts w:cs="Times New Roman"/>
          <w:color w:val="222222"/>
          <w:szCs w:val="20"/>
          <w:shd w:val="clear" w:color="auto" w:fill="FFFFFF"/>
        </w:rPr>
        <w:t>Johnson, S.D., 2010</w:t>
      </w:r>
      <w:r w:rsidRPr="00071AA4">
        <w:rPr>
          <w:rFonts w:cs="Times New Roman"/>
          <w:color w:val="222222"/>
          <w:szCs w:val="20"/>
          <w:shd w:val="clear" w:color="auto" w:fill="FFFFFF"/>
        </w:rPr>
        <w:t>. </w:t>
      </w:r>
      <w:r w:rsidRPr="00071AA4">
        <w:rPr>
          <w:rFonts w:cs="Times New Roman"/>
          <w:i/>
          <w:iCs/>
          <w:color w:val="222222"/>
          <w:szCs w:val="20"/>
          <w:shd w:val="clear" w:color="auto" w:fill="FFFFFF"/>
        </w:rPr>
        <w:t>Learning technological concepts and developing intellectual skills</w:t>
      </w:r>
      <w:r w:rsidRPr="00071AA4">
        <w:rPr>
          <w:rFonts w:cs="Times New Roman"/>
          <w:color w:val="222222"/>
          <w:szCs w:val="20"/>
          <w:shd w:val="clear" w:color="auto" w:fill="FFFFFF"/>
        </w:rPr>
        <w:t> (pp. 161-180). Springer Netherlands.</w:t>
      </w:r>
    </w:p>
    <w:p w14:paraId="628F5051" w14:textId="77777777" w:rsidR="006B2CC5" w:rsidRDefault="006B2CC5" w:rsidP="00800784">
      <w:pPr>
        <w:rPr>
          <w:rFonts w:cs="Times New Roman"/>
          <w:color w:val="222222"/>
          <w:szCs w:val="20"/>
          <w:shd w:val="clear" w:color="auto" w:fill="FFFFFF"/>
        </w:rPr>
      </w:pPr>
      <w:r w:rsidRPr="006B2CC5">
        <w:rPr>
          <w:rFonts w:cs="Times New Roman"/>
          <w:color w:val="222222"/>
          <w:szCs w:val="20"/>
          <w:shd w:val="clear" w:color="auto" w:fill="FFFFFF"/>
        </w:rPr>
        <w:t>Badalova, S.I., Komilov, Q.U. and Kurbanova, A.J., 2020. Intellectual training of students of technical institute. </w:t>
      </w:r>
      <w:r w:rsidRPr="006B2CC5">
        <w:rPr>
          <w:rFonts w:cs="Times New Roman"/>
          <w:i/>
          <w:iCs/>
          <w:color w:val="222222"/>
          <w:szCs w:val="20"/>
          <w:shd w:val="clear" w:color="auto" w:fill="FFFFFF"/>
        </w:rPr>
        <w:t>Academic Research in Educational Sciences</w:t>
      </w:r>
      <w:r w:rsidRPr="006B2CC5">
        <w:rPr>
          <w:rFonts w:cs="Times New Roman"/>
          <w:color w:val="222222"/>
          <w:szCs w:val="20"/>
          <w:shd w:val="clear" w:color="auto" w:fill="FFFFFF"/>
        </w:rPr>
        <w:t>, (1), pp.266-274.</w:t>
      </w:r>
    </w:p>
    <w:p w14:paraId="2F0922EC" w14:textId="77777777" w:rsidR="00152309" w:rsidRDefault="00152309" w:rsidP="00800784">
      <w:pPr>
        <w:rPr>
          <w:rFonts w:cs="Times New Roman"/>
          <w:color w:val="222222"/>
          <w:szCs w:val="20"/>
          <w:shd w:val="clear" w:color="auto" w:fill="FFFFFF"/>
        </w:rPr>
      </w:pPr>
      <w:r w:rsidRPr="00152309">
        <w:rPr>
          <w:rFonts w:cs="Times New Roman"/>
          <w:color w:val="222222"/>
          <w:szCs w:val="20"/>
          <w:shd w:val="clear" w:color="auto" w:fill="FFFFFF"/>
        </w:rPr>
        <w:t>Kahila-Tani, M., Kytta, M. and Geertman, S., 2019. Does mapping improve public participation? Exploring the pros and cons of using public participation GIS in urban planning practices. </w:t>
      </w:r>
      <w:r w:rsidRPr="00152309">
        <w:rPr>
          <w:rFonts w:cs="Times New Roman"/>
          <w:i/>
          <w:iCs/>
          <w:color w:val="222222"/>
          <w:szCs w:val="20"/>
          <w:shd w:val="clear" w:color="auto" w:fill="FFFFFF"/>
        </w:rPr>
        <w:t>Landscape and urban planning</w:t>
      </w:r>
      <w:r w:rsidRPr="00152309">
        <w:rPr>
          <w:rFonts w:cs="Times New Roman"/>
          <w:color w:val="222222"/>
          <w:szCs w:val="20"/>
          <w:shd w:val="clear" w:color="auto" w:fill="FFFFFF"/>
        </w:rPr>
        <w:t>, </w:t>
      </w:r>
      <w:r w:rsidRPr="00152309">
        <w:rPr>
          <w:rFonts w:cs="Times New Roman"/>
          <w:i/>
          <w:iCs/>
          <w:color w:val="222222"/>
          <w:szCs w:val="20"/>
          <w:shd w:val="clear" w:color="auto" w:fill="FFFFFF"/>
        </w:rPr>
        <w:t>186</w:t>
      </w:r>
      <w:r w:rsidRPr="00152309">
        <w:rPr>
          <w:rFonts w:cs="Times New Roman"/>
          <w:color w:val="222222"/>
          <w:szCs w:val="20"/>
          <w:shd w:val="clear" w:color="auto" w:fill="FFFFFF"/>
        </w:rPr>
        <w:t>, pp.45-55.</w:t>
      </w:r>
    </w:p>
    <w:p w14:paraId="0C8D7601" w14:textId="77777777" w:rsidR="00152309" w:rsidRDefault="00152309" w:rsidP="00800784">
      <w:pPr>
        <w:rPr>
          <w:rFonts w:ascii="Arial" w:hAnsi="Arial" w:cs="Arial"/>
          <w:color w:val="222222"/>
          <w:sz w:val="20"/>
          <w:szCs w:val="20"/>
          <w:shd w:val="clear" w:color="auto" w:fill="FFFFFF"/>
        </w:rPr>
      </w:pPr>
      <w:r w:rsidRPr="00152309">
        <w:rPr>
          <w:rFonts w:cs="Times New Roman"/>
          <w:color w:val="222222"/>
          <w:szCs w:val="20"/>
          <w:shd w:val="clear" w:color="auto" w:fill="FFFFFF"/>
        </w:rPr>
        <w:lastRenderedPageBreak/>
        <w:t>Portney, K., 2005. Civic engagement and sustainable cities in the United States. </w:t>
      </w:r>
      <w:r w:rsidRPr="00152309">
        <w:rPr>
          <w:rFonts w:cs="Times New Roman"/>
          <w:i/>
          <w:iCs/>
          <w:color w:val="222222"/>
          <w:szCs w:val="20"/>
          <w:shd w:val="clear" w:color="auto" w:fill="FFFFFF"/>
        </w:rPr>
        <w:t>Public Administration Review</w:t>
      </w:r>
      <w:r w:rsidRPr="00152309">
        <w:rPr>
          <w:rFonts w:cs="Times New Roman"/>
          <w:color w:val="222222"/>
          <w:szCs w:val="20"/>
          <w:shd w:val="clear" w:color="auto" w:fill="FFFFFF"/>
        </w:rPr>
        <w:t>, </w:t>
      </w:r>
      <w:r w:rsidRPr="00152309">
        <w:rPr>
          <w:rFonts w:cs="Times New Roman"/>
          <w:i/>
          <w:iCs/>
          <w:color w:val="222222"/>
          <w:szCs w:val="20"/>
          <w:shd w:val="clear" w:color="auto" w:fill="FFFFFF"/>
        </w:rPr>
        <w:t>65</w:t>
      </w:r>
      <w:r w:rsidRPr="00152309">
        <w:rPr>
          <w:rFonts w:cs="Times New Roman"/>
          <w:color w:val="222222"/>
          <w:szCs w:val="20"/>
          <w:shd w:val="clear" w:color="auto" w:fill="FFFFFF"/>
        </w:rPr>
        <w:t>(5), pp.579-591</w:t>
      </w:r>
      <w:r>
        <w:rPr>
          <w:rFonts w:ascii="Arial" w:hAnsi="Arial" w:cs="Arial"/>
          <w:color w:val="222222"/>
          <w:sz w:val="20"/>
          <w:szCs w:val="20"/>
          <w:shd w:val="clear" w:color="auto" w:fill="FFFFFF"/>
        </w:rPr>
        <w:t>.</w:t>
      </w:r>
    </w:p>
    <w:p w14:paraId="29F4B5AB" w14:textId="77777777" w:rsidR="00EF6E0A" w:rsidRDefault="00EF6E0A" w:rsidP="00800784">
      <w:pPr>
        <w:rPr>
          <w:rFonts w:cs="Times New Roman"/>
          <w:color w:val="222222"/>
          <w:szCs w:val="20"/>
          <w:shd w:val="clear" w:color="auto" w:fill="FFFFFF"/>
        </w:rPr>
      </w:pPr>
      <w:r w:rsidRPr="00EF6E0A">
        <w:rPr>
          <w:rFonts w:cs="Times New Roman"/>
          <w:color w:val="222222"/>
          <w:szCs w:val="20"/>
          <w:shd w:val="clear" w:color="auto" w:fill="FFFFFF"/>
        </w:rPr>
        <w:t>Green, G., 2016. Power to the people: to what extent has public involvement in applied health research achieved this?. </w:t>
      </w:r>
      <w:r w:rsidRPr="00EF6E0A">
        <w:rPr>
          <w:rFonts w:cs="Times New Roman"/>
          <w:i/>
          <w:iCs/>
          <w:color w:val="222222"/>
          <w:szCs w:val="20"/>
          <w:shd w:val="clear" w:color="auto" w:fill="FFFFFF"/>
        </w:rPr>
        <w:t>Research Involvement and Engagement</w:t>
      </w:r>
      <w:r w:rsidRPr="00EF6E0A">
        <w:rPr>
          <w:rFonts w:cs="Times New Roman"/>
          <w:color w:val="222222"/>
          <w:szCs w:val="20"/>
          <w:shd w:val="clear" w:color="auto" w:fill="FFFFFF"/>
        </w:rPr>
        <w:t>, </w:t>
      </w:r>
      <w:r w:rsidRPr="00EF6E0A">
        <w:rPr>
          <w:rFonts w:cs="Times New Roman"/>
          <w:i/>
          <w:iCs/>
          <w:color w:val="222222"/>
          <w:szCs w:val="20"/>
          <w:shd w:val="clear" w:color="auto" w:fill="FFFFFF"/>
        </w:rPr>
        <w:t>2</w:t>
      </w:r>
      <w:r w:rsidRPr="00EF6E0A">
        <w:rPr>
          <w:rFonts w:cs="Times New Roman"/>
          <w:color w:val="222222"/>
          <w:szCs w:val="20"/>
          <w:shd w:val="clear" w:color="auto" w:fill="FFFFFF"/>
        </w:rPr>
        <w:t>(1), pp.1-13.</w:t>
      </w:r>
    </w:p>
    <w:p w14:paraId="2BEA2888" w14:textId="77777777" w:rsidR="000A475A" w:rsidRPr="000A475A" w:rsidRDefault="000A475A" w:rsidP="00800784">
      <w:pPr>
        <w:rPr>
          <w:rFonts w:cs="Times New Roman"/>
          <w:color w:val="222222"/>
          <w:sz w:val="56"/>
          <w:szCs w:val="20"/>
          <w:shd w:val="clear" w:color="auto" w:fill="FFFFFF"/>
        </w:rPr>
      </w:pPr>
      <w:r w:rsidRPr="000A475A">
        <w:rPr>
          <w:rFonts w:cs="Times New Roman"/>
          <w:color w:val="222222"/>
          <w:szCs w:val="20"/>
          <w:shd w:val="clear" w:color="auto" w:fill="FFFFFF"/>
        </w:rPr>
        <w:t>TIERNEY, W.G., 2012. Reflective evaluation. </w:t>
      </w:r>
      <w:r w:rsidRPr="000A475A">
        <w:rPr>
          <w:rFonts w:cs="Times New Roman"/>
          <w:i/>
          <w:iCs/>
          <w:color w:val="222222"/>
          <w:szCs w:val="20"/>
          <w:shd w:val="clear" w:color="auto" w:fill="FFFFFF"/>
        </w:rPr>
        <w:t>Increasing access to college: Extending possibilities for all students</w:t>
      </w:r>
      <w:r w:rsidRPr="000A475A">
        <w:rPr>
          <w:rFonts w:cs="Times New Roman"/>
          <w:color w:val="222222"/>
          <w:szCs w:val="20"/>
          <w:shd w:val="clear" w:color="auto" w:fill="FFFFFF"/>
        </w:rPr>
        <w:t>, p.217.</w:t>
      </w:r>
    </w:p>
    <w:p w14:paraId="5121A0DA" w14:textId="77777777" w:rsidR="00071AA4" w:rsidRPr="00071AA4" w:rsidRDefault="00071AA4">
      <w:pPr>
        <w:rPr>
          <w:rFonts w:cs="Times New Roman"/>
          <w:sz w:val="96"/>
        </w:rPr>
      </w:pPr>
    </w:p>
    <w:sectPr w:rsidR="00071AA4" w:rsidRPr="00071AA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D958D2"/>
    <w:multiLevelType w:val="hybridMultilevel"/>
    <w:tmpl w:val="54662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025BD1"/>
    <w:multiLevelType w:val="hybridMultilevel"/>
    <w:tmpl w:val="49B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8555916">
    <w:abstractNumId w:val="0"/>
  </w:num>
  <w:num w:numId="2" w16cid:durableId="30390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659"/>
    <w:rsid w:val="00071AA4"/>
    <w:rsid w:val="000A475A"/>
    <w:rsid w:val="000E4386"/>
    <w:rsid w:val="001268AB"/>
    <w:rsid w:val="0013351F"/>
    <w:rsid w:val="00152309"/>
    <w:rsid w:val="001979FE"/>
    <w:rsid w:val="002436AB"/>
    <w:rsid w:val="0027405E"/>
    <w:rsid w:val="002B42BF"/>
    <w:rsid w:val="002C053C"/>
    <w:rsid w:val="002F0158"/>
    <w:rsid w:val="002F41AC"/>
    <w:rsid w:val="003348D1"/>
    <w:rsid w:val="00394BBF"/>
    <w:rsid w:val="004049DF"/>
    <w:rsid w:val="00444FE8"/>
    <w:rsid w:val="0046199F"/>
    <w:rsid w:val="004F6201"/>
    <w:rsid w:val="005664DA"/>
    <w:rsid w:val="005D1D69"/>
    <w:rsid w:val="006B2CC5"/>
    <w:rsid w:val="00706519"/>
    <w:rsid w:val="007A3D41"/>
    <w:rsid w:val="00800784"/>
    <w:rsid w:val="008940BB"/>
    <w:rsid w:val="008C1F67"/>
    <w:rsid w:val="009015A4"/>
    <w:rsid w:val="00960616"/>
    <w:rsid w:val="00971F46"/>
    <w:rsid w:val="009A7347"/>
    <w:rsid w:val="009B5ABD"/>
    <w:rsid w:val="009B6070"/>
    <w:rsid w:val="009D1D6E"/>
    <w:rsid w:val="00A029EB"/>
    <w:rsid w:val="00A87CC9"/>
    <w:rsid w:val="00AE4063"/>
    <w:rsid w:val="00AF2A50"/>
    <w:rsid w:val="00AF6659"/>
    <w:rsid w:val="00AF7974"/>
    <w:rsid w:val="00B02F77"/>
    <w:rsid w:val="00B10149"/>
    <w:rsid w:val="00B14555"/>
    <w:rsid w:val="00B70F5E"/>
    <w:rsid w:val="00BB4595"/>
    <w:rsid w:val="00BF3B9D"/>
    <w:rsid w:val="00C311D4"/>
    <w:rsid w:val="00C33A0A"/>
    <w:rsid w:val="00C54860"/>
    <w:rsid w:val="00C663D3"/>
    <w:rsid w:val="00D9096D"/>
    <w:rsid w:val="00DB228E"/>
    <w:rsid w:val="00E7273C"/>
    <w:rsid w:val="00E974FC"/>
    <w:rsid w:val="00EF6E0A"/>
    <w:rsid w:val="00F11707"/>
    <w:rsid w:val="00FA01F8"/>
    <w:rsid w:val="00FA2572"/>
    <w:rsid w:val="00FF02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0E7C2"/>
  <w15:docId w15:val="{E2C11DA9-D464-7949-A2CF-EB6CA275E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8AB"/>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548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E438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86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E438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2C053C"/>
    <w:pPr>
      <w:ind w:left="720"/>
      <w:contextualSpacing/>
    </w:pPr>
  </w:style>
  <w:style w:type="paragraph" w:styleId="TOCHeading">
    <w:name w:val="TOC Heading"/>
    <w:basedOn w:val="Heading1"/>
    <w:next w:val="Normal"/>
    <w:uiPriority w:val="39"/>
    <w:semiHidden/>
    <w:unhideWhenUsed/>
    <w:qFormat/>
    <w:rsid w:val="002B42BF"/>
    <w:pPr>
      <w:spacing w:line="276" w:lineRule="auto"/>
      <w:jc w:val="left"/>
      <w:outlineLvl w:val="9"/>
    </w:pPr>
    <w:rPr>
      <w:lang w:eastAsia="ja-JP"/>
    </w:rPr>
  </w:style>
  <w:style w:type="paragraph" w:styleId="TOC1">
    <w:name w:val="toc 1"/>
    <w:basedOn w:val="Normal"/>
    <w:next w:val="Normal"/>
    <w:autoRedefine/>
    <w:uiPriority w:val="39"/>
    <w:unhideWhenUsed/>
    <w:rsid w:val="002B42BF"/>
    <w:pPr>
      <w:spacing w:after="100"/>
    </w:pPr>
  </w:style>
  <w:style w:type="paragraph" w:styleId="TOC2">
    <w:name w:val="toc 2"/>
    <w:basedOn w:val="Normal"/>
    <w:next w:val="Normal"/>
    <w:autoRedefine/>
    <w:uiPriority w:val="39"/>
    <w:unhideWhenUsed/>
    <w:rsid w:val="002B42BF"/>
    <w:pPr>
      <w:spacing w:after="100"/>
      <w:ind w:left="240"/>
    </w:pPr>
  </w:style>
  <w:style w:type="character" w:styleId="Hyperlink">
    <w:name w:val="Hyperlink"/>
    <w:basedOn w:val="DefaultParagraphFont"/>
    <w:uiPriority w:val="99"/>
    <w:unhideWhenUsed/>
    <w:rsid w:val="002B42BF"/>
    <w:rPr>
      <w:color w:val="0000FF" w:themeColor="hyperlink"/>
      <w:u w:val="single"/>
    </w:rPr>
  </w:style>
  <w:style w:type="paragraph" w:styleId="BalloonText">
    <w:name w:val="Balloon Text"/>
    <w:basedOn w:val="Normal"/>
    <w:link w:val="BalloonTextChar"/>
    <w:uiPriority w:val="99"/>
    <w:semiHidden/>
    <w:unhideWhenUsed/>
    <w:rsid w:val="002B42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42B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08089">
      <w:bodyDiv w:val="1"/>
      <w:marLeft w:val="0"/>
      <w:marRight w:val="0"/>
      <w:marTop w:val="0"/>
      <w:marBottom w:val="0"/>
      <w:divBdr>
        <w:top w:val="none" w:sz="0" w:space="0" w:color="auto"/>
        <w:left w:val="none" w:sz="0" w:space="0" w:color="auto"/>
        <w:bottom w:val="none" w:sz="0" w:space="0" w:color="auto"/>
        <w:right w:val="none" w:sz="0" w:space="0" w:color="auto"/>
      </w:divBdr>
    </w:div>
    <w:div w:id="522398202">
      <w:bodyDiv w:val="1"/>
      <w:marLeft w:val="0"/>
      <w:marRight w:val="0"/>
      <w:marTop w:val="0"/>
      <w:marBottom w:val="0"/>
      <w:divBdr>
        <w:top w:val="none" w:sz="0" w:space="0" w:color="auto"/>
        <w:left w:val="none" w:sz="0" w:space="0" w:color="auto"/>
        <w:bottom w:val="none" w:sz="0" w:space="0" w:color="auto"/>
        <w:right w:val="none" w:sz="0" w:space="0" w:color="auto"/>
      </w:divBdr>
    </w:div>
    <w:div w:id="749892768">
      <w:bodyDiv w:val="1"/>
      <w:marLeft w:val="0"/>
      <w:marRight w:val="0"/>
      <w:marTop w:val="0"/>
      <w:marBottom w:val="0"/>
      <w:divBdr>
        <w:top w:val="none" w:sz="0" w:space="0" w:color="auto"/>
        <w:left w:val="none" w:sz="0" w:space="0" w:color="auto"/>
        <w:bottom w:val="none" w:sz="0" w:space="0" w:color="auto"/>
        <w:right w:val="none" w:sz="0" w:space="0" w:color="auto"/>
      </w:divBdr>
    </w:div>
    <w:div w:id="759184876">
      <w:bodyDiv w:val="1"/>
      <w:marLeft w:val="0"/>
      <w:marRight w:val="0"/>
      <w:marTop w:val="0"/>
      <w:marBottom w:val="0"/>
      <w:divBdr>
        <w:top w:val="none" w:sz="0" w:space="0" w:color="auto"/>
        <w:left w:val="none" w:sz="0" w:space="0" w:color="auto"/>
        <w:bottom w:val="none" w:sz="0" w:space="0" w:color="auto"/>
        <w:right w:val="none" w:sz="0" w:space="0" w:color="auto"/>
      </w:divBdr>
    </w:div>
    <w:div w:id="1373655131">
      <w:bodyDiv w:val="1"/>
      <w:marLeft w:val="0"/>
      <w:marRight w:val="0"/>
      <w:marTop w:val="0"/>
      <w:marBottom w:val="0"/>
      <w:divBdr>
        <w:top w:val="none" w:sz="0" w:space="0" w:color="auto"/>
        <w:left w:val="none" w:sz="0" w:space="0" w:color="auto"/>
        <w:bottom w:val="none" w:sz="0" w:space="0" w:color="auto"/>
        <w:right w:val="none" w:sz="0" w:space="0" w:color="auto"/>
      </w:divBdr>
    </w:div>
    <w:div w:id="1537308861">
      <w:bodyDiv w:val="1"/>
      <w:marLeft w:val="0"/>
      <w:marRight w:val="0"/>
      <w:marTop w:val="0"/>
      <w:marBottom w:val="0"/>
      <w:divBdr>
        <w:top w:val="none" w:sz="0" w:space="0" w:color="auto"/>
        <w:left w:val="none" w:sz="0" w:space="0" w:color="auto"/>
        <w:bottom w:val="none" w:sz="0" w:space="0" w:color="auto"/>
        <w:right w:val="none" w:sz="0" w:space="0" w:color="auto"/>
      </w:divBdr>
    </w:div>
    <w:div w:id="1615482884">
      <w:bodyDiv w:val="1"/>
      <w:marLeft w:val="0"/>
      <w:marRight w:val="0"/>
      <w:marTop w:val="0"/>
      <w:marBottom w:val="0"/>
      <w:divBdr>
        <w:top w:val="none" w:sz="0" w:space="0" w:color="auto"/>
        <w:left w:val="none" w:sz="0" w:space="0" w:color="auto"/>
        <w:bottom w:val="none" w:sz="0" w:space="0" w:color="auto"/>
        <w:right w:val="none" w:sz="0" w:space="0" w:color="auto"/>
      </w:divBdr>
    </w:div>
    <w:div w:id="2063165550">
      <w:bodyDiv w:val="1"/>
      <w:marLeft w:val="0"/>
      <w:marRight w:val="0"/>
      <w:marTop w:val="0"/>
      <w:marBottom w:val="0"/>
      <w:divBdr>
        <w:top w:val="none" w:sz="0" w:space="0" w:color="auto"/>
        <w:left w:val="none" w:sz="0" w:space="0" w:color="auto"/>
        <w:bottom w:val="none" w:sz="0" w:space="0" w:color="auto"/>
        <w:right w:val="none" w:sz="0" w:space="0" w:color="auto"/>
      </w:divBdr>
    </w:div>
    <w:div w:id="214250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6D34D0-2281-42B3-BC7B-001A5A3AA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2346</Words>
  <Characters>13374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Tuhin Emran</dc:creator>
  <cp:keywords/>
  <dc:description/>
  <cp:lastModifiedBy>Viktoria Ivanova (2219320)</cp:lastModifiedBy>
  <cp:revision>2</cp:revision>
  <dcterms:created xsi:type="dcterms:W3CDTF">2023-08-30T21:19:00Z</dcterms:created>
  <dcterms:modified xsi:type="dcterms:W3CDTF">2023-08-30T21:19:00Z</dcterms:modified>
</cp:coreProperties>
</file>