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rPr>
          <w:rFonts w:ascii="Times New Roman" w:cs="Times New Roman" w:hAnsi="Times New Roman" w:eastAsia="Times New Roman"/>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Alberto Alessandro Berio</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fldChar w:fldCharType="begin" w:fldLock="0"/>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instrText xml:space="preserve"> HYPERLINK "mailto:1907991@students.utwsd.ac.uk"</w:instrText>
            </w:r>
            <w:r>
              <w:rPr>
                <w:rStyle w:val="Hyperlink.0"/>
                <w:rFonts w:ascii="Arial" w:cs="Arial" w:hAnsi="Arial" w:eastAsia="Arial"/>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14:textOutline>
                  <w14:noFill/>
                </w14:textOutline>
                <w14:textFill>
                  <w14:no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rtl w:val="0"/>
                <w14:textOutline>
                  <w14:noFill/>
                </w14:textOutline>
                <w14:textFill>
                  <w14:noFill/>
                </w14:textFill>
              </w:rPr>
              <w:t>1907991</w:t>
            </w:r>
            <w:r>
              <w:rPr>
                <w:rStyle w:val="Hyperlink.0"/>
                <w:rFonts w:ascii="Arial" w:cs="Arial Unicode MS" w:hAnsi="Arial" w:eastAsia="Arial Unicode MS"/>
                <w:b w:val="0"/>
                <w:bCs w:val="0"/>
                <w:i w:val="0"/>
                <w:iCs w:val="0"/>
                <w:caps w:val="0"/>
                <w:smallCaps w:val="0"/>
                <w:strike w:val="0"/>
                <w:dstrike w:val="0"/>
                <w:outline w:val="0"/>
                <w:color w:val="0000ff"/>
                <w:spacing w:val="0"/>
                <w:kern w:val="0"/>
                <w:position w:val="0"/>
                <w:sz w:val="22"/>
                <w:szCs w:val="22"/>
                <w:u w:val="single" w:color="0000ff"/>
                <w:shd w:val="nil" w:color="auto" w:fill="auto"/>
                <w:vertAlign w:val="baseline"/>
                <w:rtl w:val="0"/>
                <w:lang w:val="en-US"/>
                <w14:textOutline>
                  <w14:noFill/>
                </w14:textOutline>
                <w14:textFill>
                  <w14:noFill/>
                </w14:textFill>
              </w:rPr>
              <w:t>@students.utwsd.ac.uk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HPCA7009</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Skyscapes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p>
            <w:pPr>
              <w:pStyle w:val="Header &amp; Footer"/>
              <w:bidi w:val="0"/>
              <w:ind w:left="0" w:right="0" w:firstLine="0"/>
              <w:jc w:val="left"/>
              <w:rPr>
                <w:rtl w:val="0"/>
              </w:rPr>
            </w:pPr>
            <w:r>
              <w:rPr>
                <w:caps w:val="1"/>
                <w:shd w:val="nil" w:color="auto" w:fill="auto"/>
                <w:rtl w:val="0"/>
                <w:lang w:val="en-US"/>
                <w14:textOutline>
                  <w14:noFill/>
                </w14:textOutline>
              </w:rPr>
              <w:t>1907991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August, 16th, 2020</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This assignment is for the       1</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 xml:space="preserve">st </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2</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nd</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3</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rd</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4</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5</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6</w:t>
            </w:r>
            <w:r>
              <w:rPr>
                <w:rFonts w:ascii="Arial" w:hAnsi="Arial"/>
                <w:outline w:val="0"/>
                <w:color w:val="000000"/>
                <w:sz w:val="22"/>
                <w:szCs w:val="22"/>
                <w:u w:color="000000"/>
                <w:shd w:val="nil" w:color="auto" w:fill="auto"/>
                <w:vertAlign w:val="superscript"/>
                <w:rtl w:val="0"/>
                <w:lang w:val="en-US"/>
                <w14:textOutline>
                  <w14:noFill/>
                </w14:textOutline>
                <w14:textFill>
                  <w14:solidFill>
                    <w14:srgbClr w14:val="000000"/>
                  </w14:solidFill>
                </w14:textFill>
              </w:rPr>
              <w:t>th</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 xml:space="preserve"> </w:t>
            </w: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 xml:space="preserve">   </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rPr>
                <w:rFonts w:ascii="Arial" w:cs="Arial" w:hAnsi="Arial" w:eastAsia="Arial"/>
                <w:b w:val="1"/>
                <w:bCs w:val="1"/>
                <w:outline w:val="0"/>
                <w:color w:val="000000"/>
                <w:u w:color="000000"/>
                <w:shd w:val="nil" w:color="auto" w:fill="auto"/>
                <w:lang w:val="en-US"/>
                <w14:textOutline>
                  <w14:noFill/>
                </w14:textOutline>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u w:color="000000"/>
                <w:shd w:val="nil" w:color="auto" w:fill="auto"/>
                <w:rtl w:val="0"/>
                <w14:textOutline>
                  <w14:noFill/>
                </w14:textOutline>
                <w14:textFill>
                  <w14:solidFill>
                    <w14:srgbClr w14:val="000000"/>
                  </w14:solidFill>
                </w14:textFill>
              </w:rPr>
            </w:pPr>
            <w:r>
              <w:rPr>
                <w:rFonts w:ascii="Arial" w:hAnsi="Arial"/>
                <w:b w:val="1"/>
                <w:bCs w:val="1"/>
                <w:outline w:val="0"/>
                <w:color w:val="000000"/>
                <w:u w:color="000000"/>
                <w:shd w:val="nil" w:color="auto" w:fill="auto"/>
                <w:rtl w:val="0"/>
                <w:lang w:val="en-US"/>
                <w14:textOutline>
                  <w14:noFill/>
                </w14:textOutline>
                <w14:textFill>
                  <w14:solidFill>
                    <w14:srgbClr w14:val="000000"/>
                  </w14:solidFill>
                </w14:textFill>
              </w:rPr>
              <w:t>Assignment Mark</w:t>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1</w:t>
            </w:r>
            <w:r>
              <w:rPr>
                <w:rFonts w:ascii="Arial" w:hAnsi="Arial"/>
                <w:outline w:val="0"/>
                <w:color w:val="000000"/>
                <w:sz w:val="20"/>
                <w:szCs w:val="20"/>
                <w:u w:color="000000"/>
                <w:shd w:val="nil" w:color="auto" w:fill="auto"/>
                <w:vertAlign w:val="superscript"/>
                <w:rtl w:val="0"/>
                <w:lang w:val="en-US"/>
                <w14:textOutline>
                  <w14:noFill/>
                </w14:textOutline>
                <w14:textFill>
                  <w14:solidFill>
                    <w14:srgbClr w14:val="000000"/>
                  </w14:solidFill>
                </w14:textFill>
              </w:rPr>
              <w:t>st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Provisional mark</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2</w:t>
            </w:r>
            <w:r>
              <w:rPr>
                <w:rFonts w:ascii="Arial" w:hAnsi="Arial"/>
                <w:outline w:val="0"/>
                <w:color w:val="000000"/>
                <w:sz w:val="20"/>
                <w:szCs w:val="20"/>
                <w:u w:color="000000"/>
                <w:shd w:val="nil" w:color="auto" w:fill="auto"/>
                <w:vertAlign w:val="superscript"/>
                <w:rtl w:val="0"/>
                <w:lang w:val="en-US"/>
                <w14:textOutline>
                  <w14:noFill/>
                </w14:textOutline>
                <w14:textFill>
                  <w14:solidFill>
                    <w14:srgbClr w14:val="000000"/>
                  </w14:solidFill>
                </w14:textFill>
              </w:rPr>
              <w:t>nd</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s/Moderator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provisional mark</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External Examiner</w:t>
            </w:r>
            <w:r>
              <w:rPr>
                <w:rFonts w:ascii="Arial" w:hAnsi="Arial" w:hint="default"/>
                <w:outline w:val="0"/>
                <w:color w:val="000000"/>
                <w:sz w:val="20"/>
                <w:szCs w:val="20"/>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0"/>
                <w:szCs w:val="20"/>
                <w:u w:color="000000"/>
                <w:shd w:val="nil" w:color="auto" w:fill="auto"/>
                <w:rtl w:val="0"/>
                <w:lang w:val="en-US"/>
                <w14:textOutline>
                  <w14:noFill/>
                </w14:textOutline>
                <w14:textFill>
                  <w14:solidFill>
                    <w14:srgbClr w14:val="000000"/>
                  </w14:solidFill>
                </w14:textFill>
              </w:rPr>
              <w:t>s mark (if relevant)</w:t>
              <w:tab/>
            </w:r>
          </w:p>
          <w:p>
            <w:pPr>
              <w:pStyle w:val="Body 2"/>
              <w:spacing w:after="0" w:line="240" w:lineRule="auto"/>
              <w:rPr>
                <w:rFonts w:ascii="Arial" w:cs="Arial" w:hAnsi="Arial" w:eastAsia="Arial"/>
                <w:outline w:val="0"/>
                <w:color w:val="000000"/>
                <w:sz w:val="20"/>
                <w:szCs w:val="20"/>
                <w:u w:color="000000"/>
                <w:shd w:val="nil" w:color="auto" w:fill="auto"/>
                <w:lang w:val="en-US"/>
                <w14:textOutline>
                  <w14:noFill/>
                </w14:textOutline>
                <w14:textFill>
                  <w14:solidFill>
                    <w14:srgbClr w14:val="000000"/>
                  </w14:solidFill>
                </w14:textFill>
              </w:rPr>
            </w:pPr>
          </w:p>
          <w:p>
            <w:pPr>
              <w:pStyle w:val="Body 2"/>
              <w:spacing w:after="0" w:line="240" w:lineRule="auto"/>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pPr>
            <w:r>
              <w:rPr>
                <w:rFonts w:ascii="Arial" w:hAnsi="Arial"/>
                <w:b w:val="1"/>
                <w:bCs w:val="1"/>
                <w:outline w:val="0"/>
                <w:color w:val="000000"/>
                <w:sz w:val="20"/>
                <w:szCs w:val="20"/>
                <w:u w:color="000000"/>
                <w:shd w:val="nil" w:color="auto" w:fill="auto"/>
                <w:rtl w:val="0"/>
                <w:lang w:val="en-US"/>
                <w14:textOutline>
                  <w14:noFill/>
                </w14:textOutline>
                <w14:textFill>
                  <w14:solidFill>
                    <w14:srgbClr w14:val="000000"/>
                  </w14:solidFill>
                </w14:textFill>
              </w:rPr>
              <w:t>Final Mark</w:t>
            </w:r>
          </w:p>
          <w:p>
            <w:pPr>
              <w:pStyle w:val="Body 2"/>
              <w:spacing w:after="0" w:line="240" w:lineRule="auto"/>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pPr>
            <w:r>
              <w:rPr>
                <w:rFonts w:ascii="Arial" w:cs="Arial" w:hAnsi="Arial" w:eastAsia="Arial"/>
                <w:b w:val="1"/>
                <w:bCs w:val="1"/>
                <w:outline w:val="0"/>
                <w:color w:val="000000"/>
                <w:sz w:val="20"/>
                <w:szCs w:val="20"/>
                <w:u w:color="000000"/>
                <w:shd w:val="nil" w:color="auto" w:fill="auto"/>
                <w14:textOutline>
                  <w14:noFill/>
                </w14:textOutline>
                <w14:textFill>
                  <w14:solidFill>
                    <w14:srgbClr w14:val="000000"/>
                  </w14:solidFill>
                </w14:textFill>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rPr>
                <w:rFonts w:ascii="Arial" w:cs="Arial" w:hAnsi="Arial" w:eastAsia="Arial"/>
                <w:b w:val="1"/>
                <w:bCs w:val="1"/>
                <w:outline w:val="0"/>
                <w:color w:val="000000"/>
                <w:sz w:val="22"/>
                <w:szCs w:val="22"/>
                <w:u w:color="000000"/>
                <w:shd w:val="nil" w:color="auto" w:fill="auto"/>
                <w14:textOutline>
                  <w14:noFill/>
                </w14:textOutline>
                <w14:textFill>
                  <w14:solidFill>
                    <w14:srgbClr w14:val="000000"/>
                  </w14:solidFill>
                </w14:textFill>
              </w:rPr>
            </w:pP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External Examiner</w:t>
            </w:r>
            <w:r>
              <w:rPr>
                <w:rFonts w:ascii="Arial" w:hAnsi="Arial" w:hint="default"/>
                <w:b w:val="1"/>
                <w:bCs w:val="1"/>
                <w:outline w:val="0"/>
                <w:color w:val="000000"/>
                <w:sz w:val="22"/>
                <w:szCs w:val="22"/>
                <w:u w:color="000000"/>
                <w:shd w:val="nil" w:color="auto" w:fill="auto"/>
                <w:rtl w:val="0"/>
                <w:lang w:val="en-US"/>
                <w14:textOutline>
                  <w14:noFill/>
                </w14:textOutline>
                <w14:textFill>
                  <w14:solidFill>
                    <w14:srgbClr w14:val="000000"/>
                  </w14:solidFill>
                </w14:textFill>
              </w:rPr>
              <w:t>’</w:t>
            </w:r>
            <w:r>
              <w:rPr>
                <w:rFonts w:ascii="Arial" w:hAnsi="Arial"/>
                <w:b w:val="1"/>
                <w:bCs w:val="1"/>
                <w:outline w:val="0"/>
                <w:color w:val="000000"/>
                <w:sz w:val="22"/>
                <w:szCs w:val="22"/>
                <w:u w:color="000000"/>
                <w:shd w:val="nil" w:color="auto" w:fill="auto"/>
                <w:rtl w:val="0"/>
                <w:lang w:val="en-US"/>
                <w14:textOutline>
                  <w14:noFill/>
                </w14:textOutline>
                <w14:textFill>
                  <w14:solidFill>
                    <w14:srgbClr w14:val="000000"/>
                  </w14:solidFill>
                </w14:textFill>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External Examiner</w:t>
            </w:r>
            <w:r>
              <w:rPr>
                <w:rFonts w:ascii="Arial" w:hAnsi="Arial" w:hint="default"/>
                <w:outline w:val="0"/>
                <w:color w:val="000000"/>
                <w:sz w:val="22"/>
                <w:szCs w:val="22"/>
                <w:u w:color="000000"/>
                <w:shd w:val="nil" w:color="auto" w:fill="auto"/>
                <w:rtl w:val="0"/>
                <w:lang w:val="en-US"/>
                <w14:textOutline>
                  <w14:noFill/>
                </w14:textOutline>
                <w14:textFill>
                  <w14:solidFill>
                    <w14:srgbClr w14:val="000000"/>
                  </w14:solidFill>
                </w14:textFill>
              </w:rPr>
              <w:t>’</w:t>
            </w: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spacing w:after="0" w:line="240" w:lineRule="auto"/>
            </w:pPr>
            <w:r>
              <w:rPr>
                <w:rFonts w:ascii="Arial" w:hAnsi="Arial"/>
                <w:outline w:val="0"/>
                <w:color w:val="000000"/>
                <w:sz w:val="22"/>
                <w:szCs w:val="22"/>
                <w:u w:color="000000"/>
                <w:shd w:val="nil" w:color="auto" w:fill="auto"/>
                <w:rtl w:val="0"/>
                <w:lang w:val="en-US"/>
                <w14:textOutline>
                  <w14:noFill/>
                </w14:textOutline>
                <w14:textFill>
                  <w14:solidFill>
                    <w14:srgbClr w14:val="000000"/>
                  </w14:solidFill>
                </w14:textFill>
              </w:rPr>
              <w:t>Date:</w:t>
            </w:r>
          </w:p>
        </w:tc>
      </w:tr>
    </w:tbl>
    <w:p>
      <w:pPr>
        <w:pStyle w:val="Subtitle"/>
      </w:pPr>
      <w:r>
        <w:rPr>
          <w:rFonts w:ascii="Arial Unicode MS" w:cs="Arial Unicode MS" w:hAnsi="Arial Unicode MS" w:eastAsia="Arial Unicode MS"/>
          <w:b w:val="0"/>
          <w:bCs w:val="0"/>
          <w:i w:val="0"/>
          <w:iCs w:val="0"/>
          <w:sz w:val="38"/>
          <w:szCs w:val="38"/>
        </w:rPr>
        <w:br w:type="page"/>
      </w:r>
    </w:p>
    <w:p>
      <w:pPr>
        <w:pStyle w:val="Subtitle"/>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r>
        <w:rPr>
          <w:rFonts w:ascii="Times New Roman" w:hAnsi="Times New Roman"/>
          <w:b w:val="1"/>
          <w:bCs w:val="1"/>
          <w:outline w:val="0"/>
          <w:color w:val="000000"/>
          <w:sz w:val="38"/>
          <w:szCs w:val="38"/>
          <w:u w:color="000000"/>
          <w:rtl w:val="0"/>
          <w:lang w:val="en-US"/>
          <w14:textFill>
            <w14:solidFill>
              <w14:srgbClr w14:val="000000"/>
            </w14:solidFill>
          </w14:textFill>
        </w:rPr>
        <w:t>The Sacred Cistern: Possible Astronomical Orientations At The Minoan Ruins of Chamaizi, Crete</w:t>
      </w:r>
    </w:p>
    <w:p>
      <w:pPr>
        <w:pStyle w:val="Subheading"/>
        <w:rPr>
          <w:rFonts w:ascii="Times New Roman" w:cs="Times New Roman" w:hAnsi="Times New Roman" w:eastAsia="Times New Roman"/>
          <w:i w:val="1"/>
          <w:iCs w:val="1"/>
          <w:outline w:val="0"/>
          <w:color w:val="7a7a7a"/>
          <w:sz w:val="24"/>
          <w:szCs w:val="24"/>
          <w:u w:color="7a7a7a"/>
          <w14:textFill>
            <w14:solidFill>
              <w14:srgbClr w14:val="7A7A7A"/>
            </w14:solidFill>
          </w14:textFill>
        </w:rPr>
      </w:pPr>
      <w:r>
        <w:rPr>
          <w:rFonts w:ascii="Times New Roman" w:hAnsi="Times New Roman"/>
          <w:outline w:val="0"/>
          <w:color w:val="7a7a7a"/>
          <w:sz w:val="24"/>
          <w:szCs w:val="24"/>
          <w:u w:color="7a7a7a"/>
          <w:rtl w:val="0"/>
          <w:lang w:val="en-US"/>
          <w14:textFill>
            <w14:solidFill>
              <w14:srgbClr w14:val="7A7A7A"/>
            </w14:solidFill>
          </w14:textFill>
        </w:rPr>
        <w:t xml:space="preserve">Word Count: </w:t>
      </w:r>
      <w:r>
        <w:rPr>
          <w:rFonts w:ascii="Times New Roman" w:hAnsi="Times New Roman"/>
          <w:outline w:val="0"/>
          <w:color w:val="7a7a7a"/>
          <w:sz w:val="24"/>
          <w:szCs w:val="24"/>
          <w:u w:color="7a7a7a"/>
          <w:rtl w:val="0"/>
          <w:lang w:val="en-US"/>
          <w14:textFill>
            <w14:solidFill>
              <w14:srgbClr w14:val="7A7A7A"/>
            </w14:solidFill>
          </w14:textFill>
        </w:rPr>
        <w:t>3788</w:t>
      </w:r>
    </w:p>
    <w:p>
      <w:pPr>
        <w:pStyle w:val="Heading Reg"/>
        <w:rPr>
          <w:outline w:val="0"/>
          <w:color w:val="7a7a7a"/>
          <w:sz w:val="24"/>
          <w:szCs w:val="24"/>
          <w14:textFill>
            <w14:solidFill>
              <w14:srgbClr w14:val="7A7A7A"/>
            </w14:solidFill>
          </w14:textFill>
        </w:rPr>
      </w:pPr>
    </w:p>
    <w:p>
      <w:pPr>
        <w:pStyle w:val="Heading Reg"/>
      </w:pPr>
      <w:r>
        <w:rPr>
          <w:rFonts w:cs="Arial Unicode MS" w:eastAsia="Arial Unicode MS"/>
          <w:rtl w:val="0"/>
          <w:lang w:val="en-US"/>
        </w:rPr>
        <w:t>Introduction</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This research project aims to study</w:t>
      </w:r>
      <w:r>
        <w:rPr>
          <w:rFonts w:ascii="Times New Roman" w:hAnsi="Times New Roman"/>
          <w:rtl w:val="0"/>
          <w:lang w:val="en-US"/>
        </w:rPr>
        <w:t xml:space="preserve"> possible </w:t>
      </w:r>
      <w:r>
        <w:rPr>
          <w:rFonts w:ascii="Times New Roman" w:hAnsi="Times New Roman"/>
          <w:rtl w:val="0"/>
          <w:lang w:val="en-US"/>
        </w:rPr>
        <w:t>astronomical</w:t>
      </w:r>
      <w:r>
        <w:rPr>
          <w:rFonts w:ascii="Times New Roman" w:hAnsi="Times New Roman"/>
          <w:rtl w:val="0"/>
        </w:rPr>
        <w:t xml:space="preserve"> </w:t>
      </w:r>
      <w:r>
        <w:rPr>
          <w:rFonts w:ascii="Times New Roman" w:hAnsi="Times New Roman"/>
          <w:rtl w:val="0"/>
          <w:lang w:val="en-US"/>
        </w:rPr>
        <w:t xml:space="preserve">orientations at the Minoan ruins of Chamaizi, in the hinterlands of eastern Crete </w:t>
      </w:r>
      <w:r>
        <w:rPr>
          <w:rFonts w:ascii="Times New Roman" w:hAnsi="Times New Roman"/>
          <w:rtl w:val="0"/>
        </w:rPr>
        <w:t>(35</w:t>
      </w:r>
      <w:r>
        <w:rPr>
          <w:rFonts w:ascii="Times New Roman" w:hAnsi="Times New Roman" w:hint="default"/>
          <w:rtl w:val="0"/>
          <w:lang w:val="it-IT"/>
        </w:rPr>
        <w:t>°</w:t>
      </w:r>
      <w:r>
        <w:rPr>
          <w:rFonts w:ascii="Times New Roman" w:hAnsi="Times New Roman"/>
          <w:rtl w:val="0"/>
        </w:rPr>
        <w:t>10</w:t>
      </w:r>
      <w:r>
        <w:rPr>
          <w:rFonts w:ascii="Times New Roman" w:hAnsi="Times New Roman" w:hint="default"/>
          <w:rtl w:val="1"/>
        </w:rPr>
        <w:t>’</w:t>
      </w:r>
      <w:r>
        <w:rPr>
          <w:rFonts w:ascii="Times New Roman" w:hAnsi="Times New Roman"/>
          <w:rtl w:val="0"/>
        </w:rPr>
        <w:t>3.67</w:t>
      </w:r>
      <w:r>
        <w:rPr>
          <w:rFonts w:ascii="Times New Roman" w:hAnsi="Times New Roman" w:hint="default"/>
          <w:rtl w:val="0"/>
        </w:rPr>
        <w:t>”</w:t>
      </w:r>
      <w:r>
        <w:rPr>
          <w:rFonts w:ascii="Times New Roman" w:hAnsi="Times New Roman"/>
          <w:rtl w:val="0"/>
          <w:lang w:val="de-DE"/>
        </w:rPr>
        <w:t>N,  26</w:t>
      </w:r>
      <w:r>
        <w:rPr>
          <w:rFonts w:ascii="Times New Roman" w:hAnsi="Times New Roman" w:hint="default"/>
          <w:rtl w:val="0"/>
          <w:lang w:val="it-IT"/>
        </w:rPr>
        <w:t xml:space="preserve">° </w:t>
      </w:r>
      <w:r>
        <w:rPr>
          <w:rFonts w:ascii="Times New Roman" w:hAnsi="Times New Roman"/>
          <w:rtl w:val="0"/>
        </w:rPr>
        <w:t>1</w:t>
      </w:r>
      <w:r>
        <w:rPr>
          <w:rFonts w:ascii="Times New Roman" w:hAnsi="Times New Roman" w:hint="default"/>
          <w:rtl w:val="1"/>
        </w:rPr>
        <w:t>’</w:t>
      </w:r>
      <w:r>
        <w:rPr>
          <w:rFonts w:ascii="Times New Roman" w:hAnsi="Times New Roman"/>
          <w:rtl w:val="0"/>
        </w:rPr>
        <w:t>6.75</w:t>
      </w:r>
      <w:r>
        <w:rPr>
          <w:rFonts w:ascii="Times New Roman" w:hAnsi="Times New Roman" w:hint="default"/>
          <w:rtl w:val="0"/>
        </w:rPr>
        <w:t>”</w:t>
      </w:r>
      <w:r>
        <w:rPr>
          <w:rFonts w:ascii="Times New Roman" w:hAnsi="Times New Roman"/>
          <w:rtl w:val="0"/>
          <w:lang w:val="pt-PT"/>
        </w:rPr>
        <w:t>E)</w:t>
      </w:r>
      <w:r>
        <w:rPr>
          <w:rFonts w:ascii="Times New Roman" w:hAnsi="Times New Roman"/>
          <w:rtl w:val="0"/>
          <w:lang w:val="en-US"/>
        </w:rPr>
        <w:t xml:space="preserve">. </w:t>
      </w:r>
      <w:r>
        <w:rPr>
          <w:rFonts w:ascii="Times New Roman" w:hAnsi="Times New Roman"/>
          <w:rtl w:val="0"/>
        </w:rPr>
        <w:t>Blomberg and Henriksson</w:t>
      </w:r>
      <w:r>
        <w:rPr>
          <w:rFonts w:ascii="Times New Roman" w:hAnsi="Times New Roman"/>
          <w:rtl w:val="0"/>
          <w:lang w:val="en-US"/>
        </w:rPr>
        <w:t xml:space="preserve"> proposed two archaeoastronomical alignments at the site</w:t>
      </w:r>
      <w:r>
        <w:rPr>
          <w:rFonts w:ascii="Times New Roman" w:hAnsi="Times New Roman" w:hint="default"/>
          <w:rtl w:val="0"/>
          <w:lang w:val="en-US"/>
        </w:rPr>
        <w:t>’</w:t>
      </w:r>
      <w:r>
        <w:rPr>
          <w:rFonts w:ascii="Times New Roman" w:hAnsi="Times New Roman"/>
          <w:rtl w:val="0"/>
          <w:lang w:val="en-US"/>
        </w:rPr>
        <w:t>s entranceways, who emphasized its uniqueness as the only location in their Minoan survey to harbor sunset alignments.</w:t>
      </w:r>
      <w:r>
        <w:rPr>
          <w:rFonts w:ascii="Times New Roman" w:cs="Times New Roman" w:hAnsi="Times New Roman" w:eastAsia="Times New Roman"/>
          <w:vertAlign w:val="superscript"/>
        </w:rPr>
        <w:footnoteReference w:id="1"/>
      </w:r>
      <w:r>
        <w:rPr>
          <w:rFonts w:ascii="Times New Roman" w:hAnsi="Times New Roman"/>
          <w:rtl w:val="0"/>
        </w:rPr>
        <w:t xml:space="preserve"> </w:t>
      </w:r>
      <w:r>
        <w:rPr>
          <w:rFonts w:ascii="Times New Roman" w:hAnsi="Times New Roman"/>
          <w:rtl w:val="0"/>
          <w:lang w:val="en-US"/>
        </w:rPr>
        <w:t>T</w:t>
      </w:r>
      <w:r>
        <w:rPr>
          <w:rFonts w:ascii="Times New Roman" w:hAnsi="Times New Roman"/>
          <w:rtl w:val="0"/>
          <w:lang w:val="fr-FR"/>
        </w:rPr>
        <w:t xml:space="preserve">he objective </w:t>
      </w:r>
      <w:r>
        <w:rPr>
          <w:rFonts w:ascii="Times New Roman" w:hAnsi="Times New Roman"/>
          <w:rtl w:val="0"/>
          <w:lang w:val="en-US"/>
        </w:rPr>
        <w:t>of this research is</w:t>
      </w:r>
      <w:r>
        <w:rPr>
          <w:rFonts w:ascii="Times New Roman" w:hAnsi="Times New Roman"/>
          <w:rtl w:val="0"/>
          <w:lang w:val="en-US"/>
        </w:rPr>
        <w:t xml:space="preserve"> to </w:t>
      </w:r>
      <w:r>
        <w:rPr>
          <w:rFonts w:ascii="Times New Roman" w:hAnsi="Times New Roman"/>
          <w:rtl w:val="0"/>
          <w:lang w:val="en-US"/>
        </w:rPr>
        <w:t>analyze</w:t>
      </w:r>
      <w:r>
        <w:rPr>
          <w:rFonts w:ascii="Times New Roman" w:hAnsi="Times New Roman"/>
          <w:rtl w:val="0"/>
          <w:lang w:val="en-US"/>
        </w:rPr>
        <w:t xml:space="preserve"> azimuthal orientations of the site</w:t>
      </w:r>
      <w:r>
        <w:rPr>
          <w:rFonts w:ascii="Times New Roman" w:hAnsi="Times New Roman" w:hint="default"/>
          <w:rtl w:val="1"/>
        </w:rPr>
        <w:t>’</w:t>
      </w:r>
      <w:r>
        <w:rPr>
          <w:rFonts w:ascii="Times New Roman" w:hAnsi="Times New Roman"/>
          <w:rtl w:val="0"/>
          <w:lang w:val="en-US"/>
        </w:rPr>
        <w:t>s inner walls and compare them with regional mythological, iconographic, and ethno</w:t>
      </w:r>
      <w:r>
        <w:rPr>
          <w:rFonts w:ascii="Times New Roman" w:hAnsi="Times New Roman"/>
          <w:rtl w:val="0"/>
          <w:lang w:val="en-US"/>
        </w:rPr>
        <w:t>historic</w:t>
      </w:r>
      <w:r>
        <w:rPr>
          <w:rFonts w:ascii="Times New Roman" w:hAnsi="Times New Roman"/>
          <w:rtl w:val="0"/>
          <w:lang w:val="en-US"/>
        </w:rPr>
        <w:t xml:space="preserve"> evidence from the Minoan</w:t>
      </w:r>
      <w:r>
        <w:rPr>
          <w:rFonts w:ascii="Times New Roman" w:hAnsi="Times New Roman"/>
          <w:rtl w:val="0"/>
          <w:lang w:val="en-US"/>
        </w:rPr>
        <w:t xml:space="preserve"> and the later</w:t>
      </w:r>
      <w:r>
        <w:rPr>
          <w:rFonts w:ascii="Times New Roman" w:hAnsi="Times New Roman"/>
          <w:rtl w:val="0"/>
          <w:lang w:val="en-US"/>
        </w:rPr>
        <w:t xml:space="preserve"> Mycenaean and Greek cultures. While intentionality is difficult to </w:t>
      </w:r>
      <w:r>
        <w:rPr>
          <w:rFonts w:ascii="Times New Roman" w:hAnsi="Times New Roman"/>
          <w:rtl w:val="0"/>
          <w:lang w:val="en-US"/>
        </w:rPr>
        <w:t>determine, this paper presents new evidence that</w:t>
      </w:r>
      <w:r>
        <w:rPr>
          <w:rFonts w:ascii="Times New Roman" w:hAnsi="Times New Roman"/>
          <w:rtl w:val="0"/>
        </w:rPr>
        <w:t xml:space="preserve"> azimuth</w:t>
      </w:r>
      <w:r>
        <w:rPr>
          <w:rFonts w:ascii="Times New Roman" w:hAnsi="Times New Roman"/>
          <w:rtl w:val="0"/>
          <w:lang w:val="en-US"/>
        </w:rPr>
        <w:t>al</w:t>
      </w:r>
      <w:r>
        <w:rPr>
          <w:rFonts w:ascii="Times New Roman" w:hAnsi="Times New Roman"/>
          <w:rtl w:val="0"/>
          <w:lang w:val="en-US"/>
        </w:rPr>
        <w:t xml:space="preserve"> bearings of </w:t>
      </w:r>
      <w:r>
        <w:rPr>
          <w:rFonts w:ascii="Times New Roman" w:hAnsi="Times New Roman"/>
          <w:rtl w:val="0"/>
          <w:lang w:val="en-US"/>
        </w:rPr>
        <w:t xml:space="preserve">some </w:t>
      </w:r>
      <w:r>
        <w:rPr>
          <w:rFonts w:ascii="Times New Roman" w:hAnsi="Times New Roman"/>
          <w:rtl w:val="0"/>
          <w:lang w:val="en-US"/>
        </w:rPr>
        <w:t xml:space="preserve">inner walls </w:t>
      </w:r>
      <w:r>
        <w:rPr>
          <w:rFonts w:ascii="Times New Roman" w:hAnsi="Times New Roman"/>
          <w:rtl w:val="0"/>
          <w:lang w:val="en-US"/>
        </w:rPr>
        <w:t xml:space="preserve">appear to have been oriented toward the declination of significant </w:t>
      </w:r>
      <w:r>
        <w:rPr>
          <w:rFonts w:ascii="Times New Roman" w:hAnsi="Times New Roman"/>
          <w:rtl w:val="0"/>
          <w:lang w:val="en-US"/>
        </w:rPr>
        <w:t>celestial events</w:t>
      </w:r>
      <w:r>
        <w:rPr>
          <w:rFonts w:ascii="Times New Roman" w:hAnsi="Times New Roman"/>
          <w:rtl w:val="0"/>
          <w:lang w:val="en-US"/>
        </w:rPr>
        <w:t>, stars, and possibly constellations, which were depicted in Minoan glyptic iconography (Appendix, Table 1). The significance of these orientations may have been preserved in ancient Greek myths, culture, and traditions.</w:t>
      </w:r>
    </w:p>
    <w:p>
      <w:pPr>
        <w:pStyle w:val="Body A"/>
        <w:rPr>
          <w:rFonts w:ascii="Times New Roman" w:cs="Times New Roman" w:hAnsi="Times New Roman" w:eastAsia="Times New Roman"/>
        </w:rPr>
      </w:pPr>
    </w:p>
    <w:p>
      <w:pPr>
        <w:pStyle w:val="Heading Reg"/>
      </w:pPr>
      <w:r>
        <w:rPr>
          <w:rFonts w:cs="Arial Unicode MS" w:eastAsia="Arial Unicode MS"/>
          <w:rtl w:val="0"/>
          <w:lang w:val="en-US"/>
        </w:rPr>
        <w:t>Literature Review</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Near the Bay of Sitia, Chamaizi crowns a flattened knoll as the imminent construction in the surrounding farmlands.</w:t>
      </w:r>
      <w:r>
        <w:rPr>
          <w:rFonts w:ascii="Times New Roman" w:cs="Times New Roman" w:hAnsi="Times New Roman" w:eastAsia="Times New Roman"/>
          <w:vertAlign w:val="superscript"/>
        </w:rPr>
        <w:footnoteReference w:id="2"/>
      </w:r>
      <w:r>
        <w:rPr>
          <w:rFonts w:ascii="Times New Roman" w:hAnsi="Times New Roman"/>
          <w:rtl w:val="0"/>
          <w:lang w:val="en-US"/>
        </w:rPr>
        <w:t xml:space="preserve"> </w:t>
      </w:r>
      <w:r>
        <w:rPr>
          <w:rFonts w:ascii="Times New Roman" w:hAnsi="Times New Roman"/>
          <w:rtl w:val="0"/>
          <w:lang w:val="en-US"/>
        </w:rPr>
        <w:t xml:space="preserve">Chamaizi has attracted attention as the only oval-shaped Minoan construction discovered so far. Davras observed that, </w:t>
      </w:r>
      <w:r>
        <w:rPr>
          <w:rFonts w:ascii="Times New Roman" w:hAnsi="Times New Roman" w:hint="default"/>
          <w:rtl w:val="1"/>
        </w:rPr>
        <w:t>‘</w:t>
      </w:r>
      <w:r>
        <w:rPr>
          <w:rFonts w:ascii="Times New Roman" w:hAnsi="Times New Roman"/>
          <w:rtl w:val="0"/>
          <w:lang w:val="en-US"/>
        </w:rPr>
        <w:t>The oval form is not caused by the space available on the crown of the hill: there is enough solid bedrock, leaving a good margin before dropping downhill</w:t>
      </w:r>
      <w:r>
        <w:rPr>
          <w:rFonts w:ascii="Times New Roman" w:hAnsi="Times New Roman" w:hint="default"/>
          <w:rtl w:val="1"/>
        </w:rPr>
        <w:t>’</w:t>
      </w:r>
      <w:r>
        <w:rPr>
          <w:rFonts w:ascii="Times New Roman" w:hAnsi="Times New Roman"/>
          <w:rtl w:val="0"/>
        </w:rPr>
        <w:t>.</w:t>
      </w:r>
      <w:r>
        <w:rPr>
          <w:rFonts w:ascii="Times New Roman" w:hAnsi="Times New Roman"/>
          <w:rtl w:val="0"/>
          <w:lang w:val="en-US"/>
        </w:rPr>
        <w:t xml:space="preserve"> The presence of </w:t>
      </w:r>
      <w:r>
        <w:rPr>
          <w:rFonts w:ascii="Times New Roman" w:hAnsi="Times New Roman" w:hint="default"/>
          <w:rtl w:val="0"/>
          <w:lang w:val="en-US"/>
        </w:rPr>
        <w:t>‘</w:t>
      </w:r>
      <w:r>
        <w:rPr>
          <w:rFonts w:ascii="Times New Roman" w:hAnsi="Times New Roman"/>
          <w:rtl w:val="0"/>
          <w:lang w:val="en-US"/>
        </w:rPr>
        <w:t>pithos fragments, loomweights, whetsones, querns, and pestles</w:t>
      </w:r>
      <w:r>
        <w:rPr>
          <w:rFonts w:ascii="Times New Roman" w:hAnsi="Times New Roman" w:hint="default"/>
          <w:rtl w:val="0"/>
          <w:lang w:val="en-US"/>
        </w:rPr>
        <w:t xml:space="preserve">’ </w:t>
      </w:r>
      <w:r>
        <w:rPr>
          <w:rFonts w:ascii="Times New Roman" w:hAnsi="Times New Roman"/>
          <w:rtl w:val="0"/>
          <w:lang w:val="en-US"/>
        </w:rPr>
        <w:t>suggest domestic activities associated with a house.</w:t>
      </w:r>
      <w:r>
        <w:rPr>
          <w:rFonts w:ascii="Times New Roman" w:cs="Times New Roman" w:hAnsi="Times New Roman" w:eastAsia="Times New Roman"/>
          <w:vertAlign w:val="superscript"/>
        </w:rPr>
        <w:footnoteReference w:id="3"/>
      </w:r>
      <w:r>
        <w:rPr>
          <w:rFonts w:ascii="Times New Roman" w:hAnsi="Times New Roman"/>
          <w:rtl w:val="0"/>
          <w:lang w:val="en-US"/>
        </w:rPr>
        <w:t xml:space="preserve"> Artifacts, such as the </w:t>
      </w:r>
      <w:r>
        <w:rPr>
          <w:rFonts w:ascii="Times New Roman" w:hAnsi="Times New Roman" w:hint="default"/>
          <w:rtl w:val="0"/>
          <w:lang w:val="en-US"/>
        </w:rPr>
        <w:t>‘</w:t>
      </w:r>
      <w:r>
        <w:rPr>
          <w:rFonts w:ascii="Times New Roman" w:hAnsi="Times New Roman"/>
          <w:rtl w:val="0"/>
          <w:lang w:val="en-US"/>
        </w:rPr>
        <w:t>Chamaizi pots</w:t>
      </w:r>
      <w:r>
        <w:rPr>
          <w:rFonts w:ascii="Times New Roman" w:hAnsi="Times New Roman" w:hint="default"/>
          <w:rtl w:val="0"/>
          <w:lang w:val="en-US"/>
        </w:rPr>
        <w:t xml:space="preserve">’ </w:t>
      </w:r>
      <w:r>
        <w:rPr>
          <w:rFonts w:ascii="Times New Roman" w:hAnsi="Times New Roman"/>
          <w:rtl w:val="0"/>
          <w:lang w:val="en-US"/>
        </w:rPr>
        <w:t>indicate high ranking individuals inhabited the location, while their style suggests cultic ceremonies.</w:t>
      </w:r>
      <w:r>
        <w:rPr>
          <w:rFonts w:ascii="Times New Roman" w:cs="Times New Roman" w:hAnsi="Times New Roman" w:eastAsia="Times New Roman"/>
          <w:vertAlign w:val="superscript"/>
        </w:rPr>
        <w:footnoteReference w:id="4"/>
      </w:r>
      <w:r>
        <w:rPr>
          <w:rFonts w:ascii="Times New Roman" w:hAnsi="Times New Roman"/>
          <w:rtl w:val="0"/>
          <w:lang w:val="en-US"/>
        </w:rPr>
        <w:t xml:space="preserve"> According to Arthur Evans, the vases and other objects found there are characteristic of the MM I period (ca. 2000 </w:t>
      </w:r>
      <w:r>
        <w:rPr>
          <w:rFonts w:ascii="Times New Roman" w:hAnsi="Times New Roman"/>
          <w:smallCaps w:val="1"/>
          <w:rtl w:val="0"/>
          <w:lang w:val="en-US"/>
        </w:rPr>
        <w:t>bce</w:t>
      </w:r>
      <w:r>
        <w:rPr>
          <w:rFonts w:ascii="Times New Roman" w:hAnsi="Times New Roman"/>
          <w:rtl w:val="0"/>
          <w:lang w:val="en-US"/>
        </w:rPr>
        <w:t>).</w:t>
      </w:r>
      <w:r>
        <w:rPr>
          <w:rFonts w:ascii="Times New Roman" w:cs="Times New Roman" w:hAnsi="Times New Roman" w:eastAsia="Times New Roman"/>
          <w:vertAlign w:val="superscript"/>
        </w:rPr>
        <w:footnoteReference w:id="5"/>
      </w:r>
      <w:r>
        <w:rPr>
          <w:rFonts w:ascii="Times New Roman" w:hAnsi="Times New Roman"/>
          <w:rtl w:val="0"/>
          <w:lang w:val="en-US"/>
        </w:rPr>
        <w:t xml:space="preserve"> This implies that it was concurrent with the famed palace of Knossos.</w:t>
      </w:r>
      <w:r>
        <w:rPr>
          <w:rFonts w:ascii="Times New Roman" w:cs="Times New Roman" w:hAnsi="Times New Roman" w:eastAsia="Times New Roman"/>
          <w:vertAlign w:val="superscript"/>
        </w:rPr>
        <w:footnoteReference w:id="6"/>
      </w:r>
      <w:r>
        <w:rPr>
          <w:rFonts w:ascii="Times New Roman" w:hAnsi="Times New Roman"/>
          <w:rtl w:val="0"/>
          <w:lang w:val="en-US"/>
        </w:rPr>
        <w:t xml:space="preserve"> Chamaizi</w:t>
      </w:r>
      <w:r>
        <w:rPr>
          <w:rFonts w:ascii="Times New Roman" w:hAnsi="Times New Roman" w:hint="default"/>
          <w:rtl w:val="0"/>
          <w:lang w:val="en-US"/>
        </w:rPr>
        <w:t>’</w:t>
      </w:r>
      <w:r>
        <w:rPr>
          <w:rFonts w:ascii="Times New Roman" w:hAnsi="Times New Roman"/>
          <w:rtl w:val="0"/>
          <w:lang w:val="en-US"/>
        </w:rPr>
        <w:t>s function is still debated by archaeologists, with some suggesting a fortress, while the presence of a few terra-cotta figurines, similar but fewer in number to those from peak sanctuaries, has suggested a domestic sanctuary or at least a domestic shrine.</w:t>
      </w:r>
      <w:r>
        <w:rPr>
          <w:rFonts w:ascii="Times New Roman" w:cs="Times New Roman" w:hAnsi="Times New Roman" w:eastAsia="Times New Roman"/>
          <w:vertAlign w:val="superscript"/>
        </w:rPr>
        <w:footnoteReference w:id="7"/>
      </w:r>
      <w:r>
        <w:rPr>
          <w:rFonts w:ascii="Times New Roman" w:hAnsi="Times New Roman"/>
          <w:rtl w:val="0"/>
        </w:rPr>
        <w:t xml:space="preserve"> </w:t>
      </w:r>
      <w:r>
        <w:rPr>
          <w:rFonts w:ascii="Times New Roman" w:hAnsi="Times New Roman"/>
          <w:rtl w:val="0"/>
          <w:lang w:val="en-US"/>
        </w:rPr>
        <w:t>After extensive research, photographs of the votive figurines were not located by the author.</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4324308" cy="201431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rainfall.png"/>
                    <pic:cNvPicPr>
                      <a:picLocks noChangeAspect="1"/>
                    </pic:cNvPicPr>
                  </pic:nvPicPr>
                  <pic:blipFill>
                    <a:blip r:embed="rId4">
                      <a:extLst/>
                    </a:blip>
                    <a:stretch>
                      <a:fillRect/>
                    </a:stretch>
                  </pic:blipFill>
                  <pic:spPr>
                    <a:xfrm>
                      <a:off x="0" y="0"/>
                      <a:ext cx="4324308" cy="2014315"/>
                    </a:xfrm>
                    <a:prstGeom prst="rect">
                      <a:avLst/>
                    </a:prstGeom>
                    <a:ln w="12700" cap="flat">
                      <a:noFill/>
                      <a:miter lim="400000"/>
                    </a:ln>
                    <a:effectLst/>
                  </pic:spPr>
                </pic:pic>
              </a:graphicData>
            </a:graphic>
          </wp:inline>
        </w:drawing>
      </w:r>
    </w:p>
    <w:p>
      <w:pPr>
        <w:pStyle w:val="Image Caption"/>
      </w:pPr>
      <w:r>
        <w:rPr>
          <w:b w:val="1"/>
          <w:bCs w:val="1"/>
          <w:rtl w:val="0"/>
          <w:lang w:val="en-US"/>
        </w:rPr>
        <w:t>Figure 1</w:t>
      </w:r>
      <w:r>
        <w:rPr>
          <w:rtl w:val="0"/>
        </w:rPr>
        <w:t xml:space="preserve">. </w:t>
      </w:r>
      <w:r>
        <w:rPr>
          <w:rtl w:val="0"/>
        </w:rPr>
        <w:t>The island of Crete and mean annual precipitation</w:t>
      </w:r>
      <w:r>
        <w:rPr>
          <w:rtl w:val="0"/>
        </w:rPr>
        <w:t>.</w:t>
      </w:r>
      <w:r>
        <w:rPr>
          <w:rFonts w:ascii="Times New Roman" w:cs="Times New Roman" w:hAnsi="Times New Roman" w:eastAsia="Times New Roman"/>
          <w:b w:val="0"/>
          <w:bCs w:val="0"/>
          <w:i w:val="0"/>
          <w:iCs w:val="0"/>
          <w:vertAlign w:val="superscript"/>
        </w:rPr>
        <w:footnoteReference w:id="8"/>
      </w:r>
    </w:p>
    <w:p>
      <w:pPr>
        <w:pStyle w:val="Image Caption"/>
      </w:pPr>
    </w:p>
    <w:p>
      <w:pPr>
        <w:pStyle w:val="Body A"/>
        <w:rPr>
          <w:rFonts w:ascii="Times New Roman" w:cs="Times New Roman" w:hAnsi="Times New Roman" w:eastAsia="Times New Roman"/>
        </w:rPr>
      </w:pPr>
      <w:r>
        <w:rPr>
          <w:rFonts w:ascii="Times New Roman" w:hAnsi="Times New Roman"/>
          <w:rtl w:val="0"/>
          <w:lang w:val="en-US"/>
        </w:rPr>
        <w:t xml:space="preserve">Meteorological studies </w:t>
      </w:r>
      <w:r>
        <w:rPr>
          <w:rFonts w:ascii="Times New Roman" w:hAnsi="Times New Roman"/>
          <w:rtl w:val="0"/>
          <w:lang w:val="en-US"/>
        </w:rPr>
        <w:t>indicate</w:t>
      </w:r>
      <w:r>
        <w:rPr>
          <w:rFonts w:ascii="Times New Roman" w:hAnsi="Times New Roman"/>
          <w:rtl w:val="0"/>
          <w:lang w:val="en-US"/>
        </w:rPr>
        <w:t xml:space="preserve"> that Sitia is located in one of the driest </w:t>
      </w:r>
      <w:r>
        <w:rPr>
          <w:rFonts w:ascii="Times New Roman" w:hAnsi="Times New Roman"/>
          <w:rtl w:val="0"/>
          <w:lang w:val="en-US"/>
        </w:rPr>
        <w:t>regions</w:t>
      </w:r>
      <w:r>
        <w:rPr>
          <w:rFonts w:ascii="Times New Roman" w:hAnsi="Times New Roman"/>
          <w:rtl w:val="0"/>
          <w:lang w:val="en-US"/>
        </w:rPr>
        <w:t xml:space="preserve"> of Crete with a mean annual precipitation of around 600mm (</w:t>
      </w:r>
      <w:r>
        <w:rPr>
          <w:rFonts w:ascii="Times New Roman" w:hAnsi="Times New Roman"/>
          <w:rtl w:val="0"/>
          <w:lang w:val="en-US"/>
        </w:rPr>
        <w:t>f</w:t>
      </w:r>
      <w:r>
        <w:rPr>
          <w:rFonts w:ascii="Times New Roman" w:hAnsi="Times New Roman"/>
          <w:rtl w:val="0"/>
        </w:rPr>
        <w:t xml:space="preserve">ig. </w:t>
      </w:r>
      <w:r>
        <w:rPr>
          <w:rFonts w:ascii="Times New Roman" w:hAnsi="Times New Roman"/>
          <w:rtl w:val="0"/>
          <w:lang w:val="en-US"/>
        </w:rPr>
        <w:t>1</w:t>
      </w:r>
      <w:r>
        <w:rPr>
          <w:rFonts w:ascii="Times New Roman" w:hAnsi="Times New Roman"/>
          <w:rtl w:val="0"/>
        </w:rPr>
        <w:t xml:space="preserve">). </w:t>
      </w:r>
      <w:r>
        <w:rPr>
          <w:rFonts w:ascii="Times New Roman" w:hAnsi="Times New Roman"/>
          <w:rtl w:val="0"/>
          <w:lang w:val="en-US"/>
        </w:rPr>
        <w:t>The absence of a natural source of water, and the discovery of a drain which poured out overflows adjacent to the southern entrance, confirmed the identification of the cistern.</w:t>
      </w:r>
      <w:r>
        <w:rPr>
          <w:rFonts w:ascii="Times New Roman" w:cs="Times New Roman" w:hAnsi="Times New Roman" w:eastAsia="Times New Roman"/>
          <w:vertAlign w:val="superscript"/>
        </w:rPr>
        <w:footnoteReference w:id="9"/>
      </w:r>
      <w:r>
        <w:rPr>
          <w:rFonts w:ascii="Times New Roman" w:hAnsi="Times New Roman"/>
          <w:rtl w:val="0"/>
          <w:lang w:val="en-US"/>
        </w:rPr>
        <w:t xml:space="preserve"> A</w:t>
      </w:r>
      <w:r>
        <w:rPr>
          <w:rFonts w:ascii="Times New Roman" w:hAnsi="Times New Roman"/>
          <w:rtl w:val="0"/>
          <w:lang w:val="en-US"/>
        </w:rPr>
        <w:t>s suggested by Marinatos</w:t>
      </w:r>
      <w:r>
        <w:rPr>
          <w:rFonts w:ascii="Times New Roman" w:hAnsi="Times New Roman"/>
          <w:rtl w:val="0"/>
          <w:lang w:val="en-US"/>
        </w:rPr>
        <w:t>, t</w:t>
      </w:r>
      <w:r>
        <w:rPr>
          <w:rFonts w:ascii="Times New Roman" w:hAnsi="Times New Roman"/>
          <w:rtl w:val="0"/>
          <w:lang w:val="en-US"/>
        </w:rPr>
        <w:t xml:space="preserve">he centrality of the cistern, </w:t>
      </w:r>
      <w:r>
        <w:rPr>
          <w:rFonts w:ascii="Times New Roman" w:hAnsi="Times New Roman"/>
          <w:rtl w:val="0"/>
          <w:lang w:val="en-US"/>
        </w:rPr>
        <w:t xml:space="preserve">the </w:t>
      </w:r>
      <w:r>
        <w:rPr>
          <w:rFonts w:ascii="Times New Roman" w:hAnsi="Times New Roman" w:hint="default"/>
          <w:rtl w:val="0"/>
          <w:lang w:val="en-US"/>
        </w:rPr>
        <w:t>‘</w:t>
      </w:r>
      <w:r>
        <w:rPr>
          <w:rFonts w:ascii="Times New Roman" w:hAnsi="Times New Roman"/>
          <w:rtl w:val="0"/>
          <w:lang w:val="en-US"/>
        </w:rPr>
        <w:t>symbolic nucleus</w:t>
      </w:r>
      <w:r>
        <w:rPr>
          <w:rFonts w:ascii="Times New Roman" w:hAnsi="Times New Roman" w:hint="default"/>
          <w:rtl w:val="0"/>
          <w:lang w:val="en-US"/>
        </w:rPr>
        <w:t xml:space="preserve">’ </w:t>
      </w:r>
      <w:r>
        <w:rPr>
          <w:rFonts w:ascii="Times New Roman" w:hAnsi="Times New Roman"/>
          <w:rtl w:val="0"/>
          <w:lang w:val="en-US"/>
        </w:rPr>
        <w:t>accessible from all rooms and entrances</w:t>
      </w:r>
      <w:r>
        <w:rPr>
          <w:rFonts w:ascii="Times New Roman" w:hAnsi="Times New Roman"/>
          <w:rtl w:val="0"/>
        </w:rPr>
        <w:t xml:space="preserve">, </w:t>
      </w:r>
      <w:r>
        <w:rPr>
          <w:rFonts w:ascii="Times New Roman" w:hAnsi="Times New Roman"/>
          <w:rtl w:val="0"/>
          <w:lang w:val="en-US"/>
        </w:rPr>
        <w:t>emphasizes</w:t>
      </w:r>
      <w:r>
        <w:rPr>
          <w:rFonts w:ascii="Times New Roman" w:hAnsi="Times New Roman"/>
          <w:rtl w:val="0"/>
          <w:lang w:val="en-US"/>
        </w:rPr>
        <w:t xml:space="preserve"> its importance to the dwellers</w:t>
      </w:r>
      <w:r>
        <w:rPr>
          <w:rFonts w:ascii="Times New Roman" w:hAnsi="Times New Roman"/>
          <w:rtl w:val="0"/>
          <w:lang w:val="en-US"/>
        </w:rPr>
        <w:t>.</w:t>
      </w:r>
      <w:r>
        <w:rPr>
          <w:rFonts w:ascii="Times New Roman" w:cs="Times New Roman" w:hAnsi="Times New Roman" w:eastAsia="Times New Roman"/>
          <w:vertAlign w:val="superscript"/>
        </w:rPr>
        <w:footnoteReference w:id="10"/>
      </w:r>
      <w:r>
        <w:rPr>
          <w:rFonts w:ascii="Times New Roman" w:hAnsi="Times New Roman"/>
          <w:rtl w:val="0"/>
          <w:lang w:val="en-US"/>
        </w:rPr>
        <w:t xml:space="preserve"> He further conjectured that Chamaizi</w:t>
      </w:r>
      <w:r>
        <w:rPr>
          <w:rFonts w:ascii="Times New Roman" w:hAnsi="Times New Roman"/>
          <w:rtl w:val="0"/>
          <w:lang w:val="en-US"/>
        </w:rPr>
        <w:t xml:space="preserve"> was </w:t>
      </w:r>
      <w:r>
        <w:rPr>
          <w:rFonts w:ascii="Times New Roman" w:hAnsi="Times New Roman"/>
          <w:rtl w:val="0"/>
          <w:lang w:val="en-US"/>
        </w:rPr>
        <w:t>linked</w:t>
      </w:r>
      <w:r>
        <w:rPr>
          <w:rFonts w:ascii="Times New Roman" w:hAnsi="Times New Roman"/>
          <w:rtl w:val="0"/>
          <w:lang w:val="en-US"/>
        </w:rPr>
        <w:t xml:space="preserve"> to a high-ranking individual whose function was connected to the </w:t>
      </w:r>
      <w:r>
        <w:rPr>
          <w:rFonts w:ascii="Times New Roman" w:hAnsi="Times New Roman"/>
          <w:rtl w:val="0"/>
          <w:lang w:val="en-US"/>
        </w:rPr>
        <w:t xml:space="preserve">water </w:t>
      </w:r>
      <w:r>
        <w:rPr>
          <w:rFonts w:ascii="Times New Roman" w:hAnsi="Times New Roman"/>
          <w:rtl w:val="0"/>
          <w:lang w:val="fr-FR"/>
        </w:rPr>
        <w:t>cistern</w:t>
      </w:r>
      <w:r>
        <w:rPr>
          <w:rFonts w:ascii="Times New Roman" w:hAnsi="Times New Roman"/>
          <w:rtl w:val="0"/>
          <w:lang w:val="en-US"/>
        </w:rPr>
        <w:t xml:space="preserve"> and who organized feasting and ritual activities</w:t>
      </w:r>
      <w:r>
        <w:rPr>
          <w:rFonts w:ascii="Times New Roman" w:hAnsi="Times New Roman"/>
          <w:rtl w:val="0"/>
        </w:rPr>
        <w:t>.</w:t>
      </w:r>
      <w:r>
        <w:rPr>
          <w:rFonts w:ascii="Times New Roman" w:cs="Times New Roman" w:hAnsi="Times New Roman" w:eastAsia="Times New Roman"/>
          <w:vertAlign w:val="superscript"/>
        </w:rPr>
        <w:footnoteReference w:id="11"/>
      </w:r>
    </w:p>
    <w:p>
      <w:pPr>
        <w:pStyle w:val="Body A"/>
        <w:jc w:val="center"/>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3309966" cy="2850447"/>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5">
                      <a:extLst/>
                    </a:blip>
                    <a:stretch>
                      <a:fillRect/>
                    </a:stretch>
                  </pic:blipFill>
                  <pic:spPr>
                    <a:xfrm>
                      <a:off x="0" y="0"/>
                      <a:ext cx="3309966" cy="2850447"/>
                    </a:xfrm>
                    <a:prstGeom prst="rect">
                      <a:avLst/>
                    </a:prstGeom>
                    <a:ln w="12700" cap="flat">
                      <a:noFill/>
                      <a:miter lim="400000"/>
                    </a:ln>
                    <a:effectLst/>
                  </pic:spPr>
                </pic:pic>
              </a:graphicData>
            </a:graphic>
          </wp:inline>
        </w:drawing>
      </w:r>
    </w:p>
    <w:p>
      <w:pPr>
        <w:pStyle w:val="Image Caption"/>
      </w:pPr>
      <w:r>
        <w:rPr>
          <w:b w:val="1"/>
          <w:bCs w:val="1"/>
          <w:rtl w:val="0"/>
          <w:lang w:val="en-US"/>
        </w:rPr>
        <w:t>Figure 2</w:t>
      </w:r>
      <w:r>
        <w:rPr>
          <w:rtl w:val="0"/>
        </w:rPr>
        <w:t>. The orientations according to Bloomberg of Chamaizi to sunrise at winter solstice and the heliacal setting of Arcturus at the beginning of the Middle Bronze Age.</w:t>
      </w:r>
      <w:r>
        <w:rPr>
          <w:rFonts w:ascii="Times New Roman" w:cs="Times New Roman" w:hAnsi="Times New Roman" w:eastAsia="Times New Roman"/>
          <w:b w:val="0"/>
          <w:bCs w:val="0"/>
          <w:i w:val="0"/>
          <w:iCs w:val="0"/>
          <w:vertAlign w:val="superscript"/>
        </w:rPr>
        <w:footnoteReference w:id="12"/>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Blomberg and Henriksson have suggested that the ruins of Chamaizi contain astronomical alignments (fig. 2): </w:t>
      </w:r>
      <w:r>
        <w:rPr>
          <w:rFonts w:ascii="Times New Roman" w:hAnsi="Times New Roman" w:hint="default"/>
          <w:rtl w:val="0"/>
          <w:lang w:val="en-US"/>
        </w:rPr>
        <w:t>‘</w:t>
      </w:r>
      <w:r>
        <w:rPr>
          <w:rFonts w:ascii="Times New Roman" w:hAnsi="Times New Roman"/>
          <w:rtl w:val="0"/>
          <w:lang w:val="en-US"/>
        </w:rPr>
        <w:t xml:space="preserve">The main entrance was orientated to sunrise on the morning of the winter solstice in the early Middle Minoan period (ca. 2000 </w:t>
      </w:r>
      <w:r>
        <w:rPr>
          <w:rFonts w:ascii="Times New Roman" w:hAnsi="Times New Roman"/>
          <w:smallCaps w:val="1"/>
          <w:rtl w:val="0"/>
          <w:lang w:val="en-US"/>
        </w:rPr>
        <w:t>bce</w:t>
      </w:r>
      <w:r>
        <w:rPr>
          <w:rFonts w:ascii="Times New Roman" w:hAnsi="Times New Roman"/>
          <w:rtl w:val="0"/>
          <w:lang w:val="en-US"/>
        </w:rPr>
        <w:t>) and the door on the northern side framed the heliacal setting of Arcturus in the same period.</w:t>
      </w:r>
      <w:r>
        <w:rPr>
          <w:rFonts w:ascii="Times New Roman" w:hAnsi="Times New Roman" w:hint="default"/>
          <w:rtl w:val="0"/>
          <w:lang w:val="en-US"/>
        </w:rPr>
        <w:t>’</w:t>
      </w:r>
      <w:r>
        <w:rPr>
          <w:rFonts w:ascii="Times New Roman" w:cs="Times New Roman" w:hAnsi="Times New Roman" w:eastAsia="Times New Roman"/>
          <w:vertAlign w:val="superscript"/>
        </w:rPr>
        <w:footnoteReference w:id="13"/>
      </w:r>
      <w:r>
        <w:rPr>
          <w:rFonts w:ascii="Times New Roman" w:hAnsi="Times New Roman"/>
          <w:rtl w:val="0"/>
          <w:lang w:val="en-US"/>
        </w:rPr>
        <w:t xml:space="preserve"> To locate Chamaizi within the Minoan skyscape, </w:t>
      </w:r>
      <w:r>
        <w:rPr>
          <w:rFonts w:ascii="Times New Roman" w:hAnsi="Times New Roman"/>
          <w:rtl w:val="0"/>
          <w:lang w:val="en-US"/>
        </w:rPr>
        <w:t>the question of the origins of the Greek celestial map and its possible inheritance from an archaic past</w:t>
      </w:r>
      <w:r>
        <w:rPr>
          <w:rFonts w:ascii="Times New Roman" w:hAnsi="Times New Roman"/>
          <w:rtl w:val="0"/>
          <w:lang w:val="en-US"/>
        </w:rPr>
        <w:t xml:space="preserve"> must be considered</w:t>
      </w:r>
      <w:r>
        <w:rPr>
          <w:rFonts w:ascii="Times New Roman" w:hAnsi="Times New Roman"/>
          <w:rtl w:val="0"/>
        </w:rPr>
        <w:t>.</w:t>
      </w:r>
      <w:r>
        <w:rPr>
          <w:rFonts w:ascii="Times New Roman" w:hAnsi="Times New Roman"/>
          <w:rtl w:val="0"/>
          <w:lang w:val="en-US"/>
        </w:rPr>
        <w:t xml:space="preserve"> </w:t>
      </w:r>
      <w:r>
        <w:rPr>
          <w:rFonts w:ascii="Times New Roman" w:hAnsi="Times New Roman"/>
          <w:rtl w:val="0"/>
          <w:lang w:val="de-DE"/>
        </w:rPr>
        <w:t xml:space="preserve">Schaefer </w:t>
      </w:r>
      <w:r>
        <w:rPr>
          <w:rFonts w:ascii="Times New Roman" w:hAnsi="Times New Roman"/>
          <w:rtl w:val="0"/>
          <w:lang w:val="en-US"/>
        </w:rPr>
        <w:t>argued</w:t>
      </w:r>
      <w:r>
        <w:rPr>
          <w:rFonts w:ascii="Times New Roman" w:hAnsi="Times New Roman"/>
          <w:rtl w:val="0"/>
          <w:lang w:val="en-US"/>
        </w:rPr>
        <w:t xml:space="preserve"> that</w:t>
      </w:r>
      <w:r>
        <w:rPr>
          <w:rFonts w:ascii="Times New Roman" w:hAnsi="Times New Roman"/>
          <w:rtl w:val="0"/>
          <w:lang w:val="en-US"/>
        </w:rPr>
        <w:t>,</w:t>
      </w:r>
      <w:r>
        <w:rPr>
          <w:rFonts w:ascii="Times New Roman" w:hAnsi="Times New Roman" w:hint="default"/>
          <w:rtl w:val="1"/>
        </w:rPr>
        <w:t xml:space="preserve"> ‘</w:t>
      </w:r>
      <w:r>
        <w:rPr>
          <w:rFonts w:ascii="Times New Roman" w:hAnsi="Times New Roman"/>
          <w:rtl w:val="0"/>
          <w:lang w:val="en-US"/>
        </w:rPr>
        <w:t>no evidence for the old Greek constellations has been found in Minoan Crete or elsewhere before the first millennium b.c.</w:t>
      </w:r>
      <w:r>
        <w:rPr>
          <w:rFonts w:ascii="Times New Roman" w:hAnsi="Times New Roman" w:hint="default"/>
          <w:rtl w:val="1"/>
        </w:rPr>
        <w:t xml:space="preserve">’ </w:t>
      </w:r>
      <w:r>
        <w:rPr>
          <w:rFonts w:ascii="Times New Roman" w:hAnsi="Times New Roman"/>
          <w:rtl w:val="0"/>
          <w:lang w:val="en-US"/>
        </w:rPr>
        <w:t xml:space="preserve">and that </w:t>
      </w:r>
      <w:r>
        <w:rPr>
          <w:rFonts w:ascii="Times New Roman" w:hAnsi="Times New Roman" w:hint="default"/>
          <w:rtl w:val="1"/>
        </w:rPr>
        <w:t>‘</w:t>
      </w:r>
      <w:r>
        <w:rPr>
          <w:rFonts w:ascii="Times New Roman" w:hAnsi="Times New Roman"/>
          <w:rtl w:val="0"/>
          <w:lang w:val="en-US"/>
        </w:rPr>
        <w:t>t</w:t>
      </w:r>
      <w:r>
        <w:rPr>
          <w:rFonts w:ascii="Times New Roman" w:hAnsi="Times New Roman"/>
          <w:rtl w:val="0"/>
          <w:lang w:val="en-US"/>
        </w:rPr>
        <w:t>he lack of all constellations other than the obvious Orion and Big Bear from Hesiod and Homer argues that these were unknown to the early Greeks and Myceneans.</w:t>
      </w:r>
      <w:r>
        <w:rPr>
          <w:rFonts w:ascii="Times New Roman" w:hAnsi="Times New Roman" w:hint="default"/>
          <w:rtl w:val="1"/>
        </w:rPr>
        <w:t>’</w:t>
      </w:r>
      <w:r>
        <w:rPr>
          <w:rFonts w:ascii="Times New Roman" w:hAnsi="Times New Roman"/>
          <w:rtl w:val="0"/>
          <w:lang w:val="en-US"/>
        </w:rPr>
        <w:t xml:space="preserve"> Although Minoan</w:t>
      </w:r>
      <w:r>
        <w:rPr>
          <w:rFonts w:ascii="Times New Roman" w:hAnsi="Times New Roman"/>
          <w:rtl w:val="0"/>
          <w:lang w:val="en-US"/>
        </w:rPr>
        <w:t xml:space="preserve"> hieroglyphic and Linear A writing systems remain undeciphered</w:t>
      </w:r>
      <w:r>
        <w:rPr>
          <w:rFonts w:ascii="Times New Roman" w:hAnsi="Times New Roman"/>
          <w:rtl w:val="0"/>
          <w:lang w:val="en-US"/>
        </w:rPr>
        <w:t xml:space="preserve">, their religion and culture are traceable through the later Mycenaean and Greek civilizations. As Nilsson writes, </w:t>
      </w:r>
      <w:r>
        <w:rPr>
          <w:rFonts w:ascii="Times New Roman" w:hAnsi="Times New Roman" w:hint="default"/>
          <w:rtl w:val="0"/>
          <w:lang w:val="en-US"/>
        </w:rPr>
        <w:t>‘</w:t>
      </w:r>
      <w:r>
        <w:rPr>
          <w:rFonts w:ascii="Times New Roman" w:hAnsi="Times New Roman"/>
          <w:rtl w:val="0"/>
          <w:lang w:val="en-US"/>
        </w:rPr>
        <w:t>It would be an impossible standpoint to deny any connexion b</w:t>
      </w:r>
      <w:r>
        <w:rPr>
          <w:rFonts w:ascii="Times New Roman" w:hAnsi="Times New Roman"/>
          <w:rtl w:val="0"/>
          <w:lang w:val="en-US"/>
        </w:rPr>
        <w:t>e</w:t>
      </w:r>
      <w:r>
        <w:rPr>
          <w:rFonts w:ascii="Times New Roman" w:hAnsi="Times New Roman"/>
          <w:rtl w:val="0"/>
          <w:lang w:val="en-US"/>
        </w:rPr>
        <w:t>tween the religion of the pre-Greek inhabitants of Greece and Greek religion.</w:t>
      </w:r>
      <w:r>
        <w:rPr>
          <w:rFonts w:ascii="Times New Roman" w:hAnsi="Times New Roman" w:hint="default"/>
          <w:rtl w:val="0"/>
          <w:lang w:val="en-US"/>
        </w:rPr>
        <w:t>’</w:t>
      </w:r>
      <w:r>
        <w:rPr>
          <w:rFonts w:ascii="Times New Roman" w:cs="Times New Roman" w:hAnsi="Times New Roman" w:eastAsia="Times New Roman"/>
          <w:vertAlign w:val="superscript"/>
        </w:rPr>
        <w:footnoteReference w:id="14"/>
      </w:r>
      <w:r>
        <w:rPr>
          <w:rFonts w:ascii="Times New Roman" w:hAnsi="Times New Roman"/>
          <w:rtl w:val="0"/>
          <w:lang w:val="en-US"/>
        </w:rPr>
        <w:t xml:space="preserve"> It has even been proposed that the Greek constellations described by </w:t>
      </w:r>
      <w:r>
        <w:rPr>
          <w:rFonts w:ascii="Times New Roman" w:hAnsi="Times New Roman"/>
          <w:rtl w:val="0"/>
          <w:lang w:val="en-US"/>
        </w:rPr>
        <w:t xml:space="preserve">Eudoxus and </w:t>
      </w:r>
      <w:r>
        <w:rPr>
          <w:rFonts w:ascii="Times New Roman" w:hAnsi="Times New Roman"/>
          <w:rtl w:val="0"/>
          <w:lang w:val="en-US"/>
        </w:rPr>
        <w:t>by</w:t>
      </w:r>
      <w:r>
        <w:rPr>
          <w:rFonts w:ascii="Times New Roman" w:hAnsi="Times New Roman"/>
          <w:rtl w:val="0"/>
          <w:lang w:val="en-US"/>
        </w:rPr>
        <w:t xml:space="preserve"> Aratus may have been created around 2800 </w:t>
      </w:r>
      <w:r>
        <w:rPr>
          <w:rFonts w:ascii="Times New Roman" w:hAnsi="Times New Roman"/>
          <w:smallCaps w:val="1"/>
          <w:rtl w:val="0"/>
          <w:lang w:val="en-US"/>
        </w:rPr>
        <w:t>bce</w:t>
      </w:r>
      <w:r>
        <w:rPr>
          <w:rFonts w:ascii="Times New Roman" w:hAnsi="Times New Roman"/>
          <w:rtl w:val="0"/>
          <w:lang w:val="en-US"/>
        </w:rPr>
        <w:t xml:space="preserve"> by a </w:t>
      </w:r>
      <w:r>
        <w:rPr>
          <w:rFonts w:ascii="Times New Roman" w:hAnsi="Times New Roman"/>
          <w:rtl w:val="0"/>
          <w:lang w:val="en-US"/>
        </w:rPr>
        <w:t xml:space="preserve">sailing </w:t>
      </w:r>
      <w:r>
        <w:rPr>
          <w:rFonts w:ascii="Times New Roman" w:hAnsi="Times New Roman"/>
          <w:rtl w:val="0"/>
          <w:lang w:val="fr-FR"/>
        </w:rPr>
        <w:t xml:space="preserve">culture </w:t>
      </w:r>
      <w:r>
        <w:rPr>
          <w:rFonts w:ascii="Times New Roman" w:hAnsi="Times New Roman"/>
          <w:rtl w:val="0"/>
          <w:lang w:val="en-US"/>
        </w:rPr>
        <w:t>around the latitude of 36</w:t>
      </w:r>
      <w:r>
        <w:rPr>
          <w:rFonts w:ascii="Times New Roman" w:hAnsi="Times New Roman" w:hint="default"/>
          <w:rtl w:val="0"/>
          <w:lang w:val="en-US"/>
        </w:rPr>
        <w:t>°</w:t>
      </w:r>
      <w:r>
        <w:rPr>
          <w:rFonts w:ascii="Times New Roman" w:hAnsi="Times New Roman"/>
          <w:rtl w:val="0"/>
          <w:lang w:val="en-US"/>
        </w:rPr>
        <w:t>, near that of Syria or Crete.</w:t>
      </w:r>
      <w:r>
        <w:rPr>
          <w:rFonts w:ascii="Times New Roman" w:cs="Times New Roman" w:hAnsi="Times New Roman" w:eastAsia="Times New Roman"/>
          <w:vertAlign w:val="superscript"/>
        </w:rPr>
        <w:footnoteReference w:id="15"/>
      </w:r>
      <w:r>
        <w:rPr>
          <w:rFonts w:ascii="Times New Roman" w:hAnsi="Times New Roman"/>
          <w:rtl w:val="0"/>
          <w:lang w:val="en-US"/>
        </w:rPr>
        <w:t xml:space="preserve"> Although, </w:t>
      </w:r>
      <w:r>
        <w:rPr>
          <w:rFonts w:ascii="Times New Roman" w:hAnsi="Times New Roman"/>
          <w:rtl w:val="0"/>
          <w:lang w:val="de-DE"/>
        </w:rPr>
        <w:t>Schaefer</w:t>
      </w:r>
      <w:r>
        <w:rPr>
          <w:rFonts w:ascii="Times New Roman" w:hAnsi="Times New Roman"/>
          <w:rtl w:val="0"/>
          <w:lang w:val="en-US"/>
        </w:rPr>
        <w:t xml:space="preserve"> disagrees with these dates and latitudes</w:t>
      </w:r>
      <w:r>
        <w:rPr>
          <w:rFonts w:ascii="Times New Roman" w:hAnsi="Times New Roman"/>
          <w:rtl w:val="0"/>
        </w:rPr>
        <w:t>.</w:t>
      </w:r>
      <w:r>
        <w:rPr>
          <w:rFonts w:ascii="Times New Roman" w:cs="Times New Roman" w:hAnsi="Times New Roman" w:eastAsia="Times New Roman"/>
          <w:vertAlign w:val="superscript"/>
        </w:rPr>
        <w:footnoteReference w:id="16"/>
      </w:r>
    </w:p>
    <w:p>
      <w:pPr>
        <w:pStyle w:val="Body A"/>
        <w:rPr>
          <w:rFonts w:ascii="Times New Roman" w:cs="Times New Roman" w:hAnsi="Times New Roman" w:eastAsia="Times New Roman"/>
        </w:rPr>
      </w:pPr>
      <w:r>
        <w:rPr>
          <w:rFonts w:ascii="Times New Roman" w:hAnsi="Times New Roman"/>
          <w:rtl w:val="0"/>
          <w:lang w:val="en-US"/>
        </w:rPr>
        <w:t>According to Blomberg and Henriksson, an earlier entrance on the northwestern side, later closed, was oriented to the heliacal setting of Arcturus.</w:t>
      </w:r>
      <w:r>
        <w:rPr>
          <w:rFonts w:ascii="Times New Roman" w:cs="Times New Roman" w:hAnsi="Times New Roman" w:eastAsia="Times New Roman"/>
          <w:vertAlign w:val="superscript"/>
        </w:rPr>
        <w:footnoteReference w:id="17"/>
      </w:r>
      <w:r>
        <w:rPr>
          <w:rFonts w:ascii="Times New Roman" w:hAnsi="Times New Roman"/>
          <w:rtl w:val="0"/>
          <w:lang w:val="en-US"/>
        </w:rPr>
        <w:t xml:space="preserve"> They believe it was a significant star in Minoan calendrical astronomy, serving as a marker for the sailing season.</w:t>
      </w:r>
      <w:r>
        <w:rPr>
          <w:rFonts w:ascii="Times New Roman" w:cs="Times New Roman" w:hAnsi="Times New Roman" w:eastAsia="Times New Roman"/>
          <w:vertAlign w:val="superscript"/>
        </w:rPr>
        <w:footnoteReference w:id="18"/>
      </w:r>
      <w:r>
        <w:rPr>
          <w:rFonts w:ascii="Times New Roman" w:hAnsi="Times New Roman"/>
          <w:rtl w:val="0"/>
          <w:lang w:val="en-US"/>
        </w:rPr>
        <w:t xml:space="preserve"> Kyriakidis outlines the importance of the stars to ancient sailors:</w:t>
      </w:r>
    </w:p>
    <w:p>
      <w:pPr>
        <w:pStyle w:val="Body A"/>
        <w:ind w:left="720"/>
        <w:rPr>
          <w:rFonts w:ascii="Times New Roman" w:cs="Times New Roman" w:hAnsi="Times New Roman" w:eastAsia="Times New Roman"/>
        </w:rPr>
      </w:pPr>
    </w:p>
    <w:p>
      <w:pPr>
        <w:pStyle w:val="Quote"/>
        <w:ind w:left="720"/>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But did the Minoans classify their stars into constellations?</w:t>
      </w:r>
      <w:r>
        <w:rPr>
          <w:rFonts w:ascii="Times New Roman" w:hAnsi="Times New Roman"/>
          <w:rtl w:val="0"/>
          <w:lang w:val="en-US"/>
        </w:rPr>
        <w:t xml:space="preserve"> </w:t>
      </w:r>
      <w:r>
        <w:rPr>
          <w:rFonts w:ascii="Times New Roman" w:hAnsi="Times New Roman"/>
          <w:rtl w:val="0"/>
          <w:lang w:val="en-US"/>
        </w:rPr>
        <w:t>The evidence is very limited. We would rather formulate the question in a different way. Did the Minoans need to know the stars?</w:t>
      </w:r>
      <w:r>
        <w:rPr>
          <w:rFonts w:ascii="Times New Roman" w:hAnsi="Times New Roman"/>
          <w:rtl w:val="0"/>
          <w:lang w:val="en-US"/>
        </w:rPr>
        <w:t xml:space="preserve"> </w:t>
      </w:r>
      <w:r>
        <w:rPr>
          <w:rFonts w:ascii="Times New Roman" w:hAnsi="Times New Roman"/>
          <w:rtl w:val="0"/>
          <w:lang w:val="en-US"/>
        </w:rPr>
        <w:t>The answer to that question is surely yes. Any seafaring and trading nation needs to be able to read the stars. Minoan Crete, one of the main regional sea powers of its time, would have classified the stars into constellations to act as mnemonic devices.</w:t>
      </w:r>
      <w:r>
        <w:rPr>
          <w:rFonts w:ascii="Times New Roman" w:hAnsi="Times New Roman" w:hint="default"/>
          <w:rtl w:val="0"/>
          <w:lang w:val="en-US"/>
        </w:rPr>
        <w:t>’</w:t>
      </w:r>
      <w:r>
        <w:rPr>
          <w:rFonts w:ascii="Times New Roman" w:cs="Times New Roman" w:hAnsi="Times New Roman" w:eastAsia="Times New Roman"/>
          <w:vertAlign w:val="superscript"/>
        </w:rPr>
        <w:footnoteReference w:id="19"/>
      </w:r>
      <w:r>
        <w:rPr>
          <w:rFonts w:ascii="Times New Roman" w:hAnsi="Times New Roman"/>
          <w:rtl w:val="0"/>
          <w:lang w:val="en-US"/>
        </w:rPr>
        <w:t xml:space="preserve"> </w:t>
      </w:r>
    </w:p>
    <w:p>
      <w:pPr>
        <w:pStyle w:val="Body A"/>
        <w:rPr>
          <w:rFonts w:ascii="Times New Roman" w:cs="Times New Roman" w:hAnsi="Times New Roman" w:eastAsia="Times New Roman"/>
        </w:rPr>
      </w:pPr>
    </w:p>
    <w:p>
      <w:pPr>
        <w:pStyle w:val="Post QUOTE"/>
        <w:rPr>
          <w:rFonts w:ascii="Times New Roman" w:cs="Times New Roman" w:hAnsi="Times New Roman" w:eastAsia="Times New Roman"/>
        </w:rPr>
      </w:pPr>
      <w:r>
        <w:rPr>
          <w:rFonts w:ascii="Times New Roman" w:hAnsi="Times New Roman"/>
          <w:rtl w:val="0"/>
          <w:lang w:val="en-US"/>
        </w:rPr>
        <w:t xml:space="preserve">Setting aside the debate of when and where the Greek constellations originated, as Kyriakidis suggests, the Minoan </w:t>
      </w:r>
      <w:r>
        <w:rPr>
          <w:rFonts w:ascii="Times New Roman" w:hAnsi="Times New Roman" w:hint="default"/>
          <w:rtl w:val="0"/>
          <w:lang w:val="en-US"/>
        </w:rPr>
        <w:t>‘</w:t>
      </w:r>
      <w:r>
        <w:rPr>
          <w:rFonts w:ascii="Times New Roman" w:hAnsi="Times New Roman"/>
          <w:rtl w:val="0"/>
          <w:lang w:val="en-US"/>
        </w:rPr>
        <w:t>thalassocracy</w:t>
      </w:r>
      <w:r>
        <w:rPr>
          <w:rFonts w:ascii="Times New Roman" w:hAnsi="Times New Roman" w:hint="default"/>
          <w:rtl w:val="0"/>
          <w:lang w:val="en-US"/>
        </w:rPr>
        <w:t>’</w:t>
      </w:r>
      <w:r>
        <w:rPr>
          <w:rFonts w:ascii="Times New Roman" w:hAnsi="Times New Roman"/>
          <w:rtl w:val="0"/>
          <w:lang w:val="en-US"/>
        </w:rPr>
        <w:t>, dependent on stellar navigation, would have by necessity employed constellations.</w:t>
      </w:r>
    </w:p>
    <w:p>
      <w:pPr>
        <w:pStyle w:val="Body A"/>
        <w:rPr>
          <w:rFonts w:ascii="Times New Roman" w:cs="Times New Roman" w:hAnsi="Times New Roman" w:eastAsia="Times New Roman"/>
        </w:rPr>
      </w:pPr>
      <w:r>
        <w:rPr>
          <w:rFonts w:ascii="Times New Roman" w:hAnsi="Times New Roman"/>
          <w:rtl w:val="0"/>
          <w:lang w:val="en-US"/>
        </w:rPr>
        <w:t xml:space="preserve">Kyriakidis then discusses how the Minoan lapidary tradition where </w:t>
      </w:r>
      <w:r>
        <w:rPr>
          <w:rFonts w:ascii="Times New Roman" w:hAnsi="Times New Roman" w:hint="default"/>
          <w:rtl w:val="0"/>
          <w:lang w:val="en-US"/>
        </w:rPr>
        <w:t>‘</w:t>
      </w:r>
      <w:r>
        <w:rPr>
          <w:rFonts w:ascii="Times New Roman" w:hAnsi="Times New Roman"/>
          <w:rtl w:val="0"/>
          <w:lang w:val="en-US"/>
        </w:rPr>
        <w:t>people appear to be floating and not standing on the ground has caught the imagination of some Minoan scholars and has prompted much speculation on what they represent and what the implications are for Minoan religion.</w:t>
      </w:r>
      <w:r>
        <w:rPr>
          <w:rFonts w:ascii="Times New Roman" w:hAnsi="Times New Roman" w:hint="default"/>
          <w:rtl w:val="0"/>
          <w:lang w:val="en-US"/>
        </w:rPr>
        <w:t>’</w:t>
      </w:r>
      <w:r>
        <w:rPr>
          <w:rFonts w:ascii="Times New Roman" w:cs="Times New Roman" w:hAnsi="Times New Roman" w:eastAsia="Times New Roman"/>
          <w:vertAlign w:val="superscript"/>
        </w:rPr>
        <w:footnoteReference w:id="20"/>
      </w:r>
      <w:r>
        <w:rPr>
          <w:rFonts w:ascii="Times New Roman" w:hAnsi="Times New Roman"/>
          <w:rtl w:val="0"/>
        </w:rPr>
        <w:t xml:space="preserve"> </w:t>
      </w:r>
      <w:r>
        <w:rPr>
          <w:rFonts w:ascii="Times New Roman" w:hAnsi="Times New Roman"/>
          <w:rtl w:val="0"/>
          <w:lang w:val="en-US"/>
        </w:rPr>
        <w:t xml:space="preserve">Marinatos and Nilsson held the view they represented generic </w:t>
      </w:r>
      <w:r>
        <w:rPr>
          <w:rFonts w:ascii="Times New Roman" w:hAnsi="Times New Roman" w:hint="default"/>
          <w:rtl w:val="0"/>
          <w:lang w:val="en-US"/>
        </w:rPr>
        <w:t>‘</w:t>
      </w:r>
      <w:r>
        <w:rPr>
          <w:rFonts w:ascii="Times New Roman" w:hAnsi="Times New Roman"/>
          <w:rtl w:val="0"/>
          <w:lang w:val="en-US"/>
        </w:rPr>
        <w:t>divine epiphanies from the sky</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21"/>
      </w:r>
      <w:r>
        <w:rPr>
          <w:rFonts w:ascii="Times New Roman" w:hAnsi="Times New Roman"/>
          <w:rtl w:val="0"/>
          <w:lang w:val="en-US"/>
        </w:rPr>
        <w:t xml:space="preserve"> I</w:t>
      </w:r>
      <w:r>
        <w:rPr>
          <w:rFonts w:ascii="Times New Roman" w:hAnsi="Times New Roman"/>
          <w:rtl w:val="0"/>
          <w:lang w:val="nl-NL"/>
        </w:rPr>
        <w:t>n later Mycen</w:t>
      </w:r>
      <w:r>
        <w:rPr>
          <w:rFonts w:ascii="Times New Roman" w:hAnsi="Times New Roman"/>
          <w:rtl w:val="0"/>
          <w:lang w:val="en-US"/>
        </w:rPr>
        <w:t>a</w:t>
      </w:r>
      <w:r>
        <w:rPr>
          <w:rFonts w:ascii="Times New Roman" w:hAnsi="Times New Roman"/>
          <w:rtl w:val="0"/>
        </w:rPr>
        <w:t>ean rings</w:t>
      </w:r>
      <w:r>
        <w:rPr>
          <w:rFonts w:ascii="Times New Roman" w:hAnsi="Times New Roman"/>
          <w:rtl w:val="0"/>
          <w:lang w:val="en-US"/>
        </w:rPr>
        <w:t xml:space="preserve">, these </w:t>
      </w:r>
      <w:r>
        <w:rPr>
          <w:rFonts w:ascii="Times New Roman" w:hAnsi="Times New Roman" w:hint="default"/>
          <w:rtl w:val="0"/>
          <w:lang w:val="en-US"/>
        </w:rPr>
        <w:t>‘</w:t>
      </w:r>
      <w:r>
        <w:rPr>
          <w:rFonts w:ascii="Times New Roman" w:hAnsi="Times New Roman"/>
          <w:rtl w:val="0"/>
          <w:lang w:val="en-US"/>
        </w:rPr>
        <w:t>floating figures</w:t>
      </w:r>
      <w:r>
        <w:rPr>
          <w:rFonts w:ascii="Times New Roman" w:hAnsi="Times New Roman" w:hint="default"/>
          <w:rtl w:val="0"/>
          <w:lang w:val="en-US"/>
        </w:rPr>
        <w:t xml:space="preserve">’ </w:t>
      </w:r>
      <w:r>
        <w:rPr>
          <w:rFonts w:ascii="Times New Roman" w:hAnsi="Times New Roman"/>
          <w:rtl w:val="0"/>
          <w:lang w:val="en-US"/>
        </w:rPr>
        <w:t>occupy the same upper registers as the sun, moon, and stars.</w:t>
      </w:r>
      <w:r>
        <w:rPr>
          <w:rFonts w:ascii="Times New Roman" w:cs="Times New Roman" w:hAnsi="Times New Roman" w:eastAsia="Times New Roman"/>
          <w:vertAlign w:val="superscript"/>
        </w:rPr>
        <w:footnoteReference w:id="22"/>
      </w:r>
      <w:r>
        <w:rPr>
          <w:rFonts w:ascii="Times New Roman" w:hAnsi="Times New Roman"/>
          <w:rtl w:val="0"/>
          <w:lang w:val="en-US"/>
        </w:rPr>
        <w:t xml:space="preserve"> Kyriakidis then proposes that the unidentified floating icons often depicted on Minoan seals, </w:t>
      </w:r>
      <w:r>
        <w:rPr>
          <w:rFonts w:ascii="Times New Roman" w:hAnsi="Times New Roman" w:hint="default"/>
          <w:rtl w:val="0"/>
          <w:lang w:val="en-US"/>
        </w:rPr>
        <w:t>‘</w:t>
      </w:r>
      <w:r>
        <w:rPr>
          <w:rFonts w:ascii="Times New Roman" w:hAnsi="Times New Roman"/>
          <w:rtl w:val="0"/>
          <w:lang w:val="en-US"/>
        </w:rPr>
        <w:t>may also represent other stellar bodies (i.e., constellations).</w:t>
      </w:r>
      <w:r>
        <w:rPr>
          <w:rFonts w:ascii="Times New Roman" w:hAnsi="Times New Roman" w:hint="default"/>
          <w:rtl w:val="0"/>
          <w:lang w:val="en-US"/>
        </w:rPr>
        <w:t>’</w:t>
      </w:r>
      <w:r>
        <w:rPr>
          <w:rFonts w:ascii="Times New Roman" w:cs="Times New Roman" w:hAnsi="Times New Roman" w:eastAsia="Times New Roman"/>
          <w:vertAlign w:val="superscript"/>
        </w:rPr>
        <w:footnoteReference w:id="23"/>
      </w:r>
      <w:r>
        <w:rPr>
          <w:rFonts w:ascii="Times New Roman" w:hAnsi="Times New Roman"/>
          <w:rtl w:val="0"/>
          <w:lang w:val="en-US"/>
        </w:rPr>
        <w:t xml:space="preserve"> For example, he</w:t>
      </w:r>
      <w:r>
        <w:rPr>
          <w:rFonts w:ascii="Times New Roman" w:hAnsi="Times New Roman"/>
          <w:rtl w:val="0"/>
          <w:lang w:val="en-US"/>
        </w:rPr>
        <w:t xml:space="preserve"> interprets the hair of the floating person on Minoan seals as Corona Borealis.</w:t>
      </w:r>
      <w:r>
        <w:rPr>
          <w:rFonts w:ascii="Times New Roman" w:cs="Times New Roman" w:hAnsi="Times New Roman" w:eastAsia="Times New Roman"/>
          <w:vertAlign w:val="superscript"/>
        </w:rPr>
        <w:footnoteReference w:id="24"/>
      </w:r>
      <w:r>
        <w:rPr>
          <w:rFonts w:ascii="Times New Roman" w:hAnsi="Times New Roman"/>
          <w:rtl w:val="0"/>
        </w:rPr>
        <w:t xml:space="preserve"> </w:t>
      </w:r>
      <w:r>
        <w:rPr>
          <w:rFonts w:ascii="Times New Roman" w:hAnsi="Times New Roman"/>
          <w:rtl w:val="0"/>
          <w:lang w:val="en-US"/>
        </w:rPr>
        <w:t xml:space="preserve">The constellation was known as the Northern Wreath to the ancient Greeks who identified it with </w:t>
      </w:r>
      <w:r>
        <w:rPr>
          <w:rFonts w:ascii="Times New Roman" w:hAnsi="Times New Roman"/>
          <w:rtl w:val="0"/>
          <w:lang w:val="en-US"/>
        </w:rPr>
        <w:t>the myth of the Minoan princess</w:t>
      </w:r>
      <w:r>
        <w:rPr>
          <w:rFonts w:ascii="Times New Roman" w:hAnsi="Times New Roman"/>
          <w:rtl w:val="0"/>
          <w:lang w:val="en-US"/>
        </w:rPr>
        <w:t>,</w:t>
      </w:r>
      <w:r>
        <w:rPr>
          <w:rFonts w:ascii="Times New Roman" w:hAnsi="Times New Roman"/>
          <w:rtl w:val="0"/>
        </w:rPr>
        <w:t xml:space="preserve"> Ariadne.</w:t>
      </w:r>
      <w:r>
        <w:rPr>
          <w:rFonts w:ascii="Times New Roman" w:hAnsi="Times New Roman"/>
          <w:rtl w:val="0"/>
          <w:lang w:val="en-US"/>
        </w:rPr>
        <w:t xml:space="preserve"> This proposition links a Minoan glyptic symbol with a Greek constellation, whose myth was set in Bronze Age Crete.</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p>
    <w:p>
      <w:pPr>
        <w:pStyle w:val="Heading Reg"/>
      </w:pPr>
      <w:r>
        <w:rPr>
          <w:rFonts w:cs="Arial Unicode MS" w:eastAsia="Arial Unicode MS"/>
          <w:rtl w:val="0"/>
          <w:lang w:val="en-US"/>
        </w:rPr>
        <w:t>Methodology</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The virtual fieldwork undertaken involved measuring the azimuthal bearings of Chamaizi on Google satellite imagery which were then inputted into Stellarium software, set to 2000 </w:t>
      </w:r>
      <w:r>
        <w:rPr>
          <w:rFonts w:ascii="Times New Roman" w:hAnsi="Times New Roman"/>
          <w:smallCaps w:val="1"/>
          <w:rtl w:val="0"/>
          <w:lang w:val="en-US"/>
        </w:rPr>
        <w:t>bce</w:t>
      </w:r>
      <w:r>
        <w:rPr>
          <w:rFonts w:ascii="Times New Roman" w:hAnsi="Times New Roman"/>
          <w:rtl w:val="0"/>
          <w:lang w:val="en-US"/>
        </w:rPr>
        <w:t xml:space="preserve"> at the site</w:t>
      </w:r>
      <w:r>
        <w:rPr>
          <w:rFonts w:ascii="Times New Roman" w:hAnsi="Times New Roman" w:hint="default"/>
          <w:rtl w:val="0"/>
          <w:lang w:val="en-US"/>
        </w:rPr>
        <w:t>’</w:t>
      </w:r>
      <w:r>
        <w:rPr>
          <w:rFonts w:ascii="Times New Roman" w:hAnsi="Times New Roman"/>
          <w:rtl w:val="0"/>
          <w:lang w:val="en-US"/>
        </w:rPr>
        <w:t>s latitude and longitude (fig. 3). The location</w:t>
      </w:r>
      <w:r>
        <w:rPr>
          <w:rFonts w:ascii="Times New Roman" w:hAnsi="Times New Roman" w:hint="default"/>
          <w:rtl w:val="0"/>
          <w:lang w:val="en-US"/>
        </w:rPr>
        <w:t>’</w:t>
      </w:r>
      <w:r>
        <w:rPr>
          <w:rFonts w:ascii="Times New Roman" w:hAnsi="Times New Roman"/>
          <w:rtl w:val="0"/>
          <w:lang w:val="en-US"/>
        </w:rPr>
        <w:t>s horizon landscape profile (generated via HeyWhatsThat.com) was also imported into Stellarium to determine the correct altitude of rising and setting celestial luminaries within the landscape. The architectural uniqueness of Chamaizi could be a limiting factor for this analysis, for</w:t>
      </w:r>
      <w:r>
        <w:rPr>
          <w:rFonts w:ascii="Times New Roman" w:hAnsi="Times New Roman"/>
          <w:shd w:val="clear" w:color="auto" w:fill="ffffff"/>
          <w:rtl w:val="0"/>
          <w:lang w:val="en-US"/>
        </w:rPr>
        <w:t xml:space="preserve"> as</w:t>
      </w:r>
      <w:r>
        <w:rPr>
          <w:rFonts w:ascii="Times New Roman" w:hAnsi="Times New Roman"/>
          <w:shd w:val="clear" w:color="auto" w:fill="ffffff"/>
          <w:rtl w:val="0"/>
          <w:lang w:val="en-US"/>
        </w:rPr>
        <w:t xml:space="preserve"> Ruggles</w:t>
      </w:r>
      <w:r>
        <w:rPr>
          <w:rFonts w:ascii="Times New Roman" w:hAnsi="Times New Roman"/>
          <w:shd w:val="clear" w:color="auto" w:fill="ffffff"/>
          <w:rtl w:val="0"/>
          <w:lang w:val="en-US"/>
        </w:rPr>
        <w:t xml:space="preserve"> writes, quoting Belmonte</w:t>
      </w:r>
      <w:r>
        <w:rPr>
          <w:rFonts w:ascii="Times New Roman" w:hAnsi="Times New Roman" w:hint="default"/>
          <w:shd w:val="clear" w:color="auto" w:fill="ffffff"/>
          <w:rtl w:val="0"/>
          <w:lang w:val="en-US"/>
        </w:rPr>
        <w:t xml:space="preserve"> ‘</w:t>
      </w:r>
      <w:r>
        <w:rPr>
          <w:rFonts w:ascii="Times New Roman" w:hAnsi="Times New Roman"/>
          <w:shd w:val="clear" w:color="auto" w:fill="ffffff"/>
          <w:rtl w:val="0"/>
          <w:lang w:val="en-US"/>
        </w:rPr>
        <w:t>[</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]unique interpretations for undue types of monuments are scientifically untestable.</w:t>
      </w:r>
      <w:r>
        <w:rPr>
          <w:rFonts w:ascii="Times New Roman" w:hAnsi="Times New Roman" w:hint="default"/>
          <w:shd w:val="clear" w:color="auto" w:fill="ffffff"/>
          <w:rtl w:val="0"/>
          <w:lang w:val="en-US"/>
        </w:rPr>
        <w:t>’</w:t>
      </w:r>
      <w:r>
        <w:rPr>
          <w:rFonts w:ascii="Times New Roman" w:cs="Times New Roman" w:hAnsi="Times New Roman" w:eastAsia="Times New Roman"/>
          <w:shd w:val="clear" w:color="auto" w:fill="ffffff"/>
          <w:vertAlign w:val="superscript"/>
        </w:rPr>
        <w:footnoteReference w:id="25"/>
      </w:r>
      <w:r>
        <w:rPr>
          <w:rFonts w:ascii="Times New Roman" w:hAnsi="Times New Roman"/>
          <w:shd w:val="clear" w:color="auto" w:fill="ffffff"/>
          <w:rtl w:val="0"/>
          <w:lang w:val="en-US"/>
        </w:rPr>
        <w:t xml:space="preserve"> </w:t>
      </w:r>
      <w:r>
        <w:rPr>
          <w:rFonts w:ascii="Times New Roman" w:hAnsi="Times New Roman"/>
          <w:rtl w:val="0"/>
          <w:lang w:val="en-US"/>
        </w:rPr>
        <w:t>Fortunately, though, comparable orientations have been documented by Blomberg and Henriksson</w:t>
      </w:r>
      <w:r>
        <w:rPr>
          <w:rFonts w:ascii="Times New Roman" w:hAnsi="Times New Roman" w:hint="default"/>
          <w:rtl w:val="0"/>
          <w:lang w:val="en-US"/>
        </w:rPr>
        <w:t>’</w:t>
      </w:r>
      <w:r>
        <w:rPr>
          <w:rFonts w:ascii="Times New Roman" w:hAnsi="Times New Roman"/>
          <w:rtl w:val="0"/>
          <w:lang w:val="en-US"/>
        </w:rPr>
        <w:t>s extensive work at other Minoan sites.</w:t>
      </w:r>
      <w:r>
        <w:rPr>
          <w:rFonts w:ascii="Times New Roman" w:cs="Times New Roman" w:hAnsi="Times New Roman" w:eastAsia="Times New Roman"/>
          <w:vertAlign w:val="superscript"/>
        </w:rPr>
        <w:footnoteReference w:id="26"/>
      </w:r>
      <w:r>
        <w:rPr>
          <w:rFonts w:ascii="Times New Roman" w:hAnsi="Times New Roman"/>
          <w:rtl w:val="0"/>
        </w:rPr>
        <w:t xml:space="preserve"> </w:t>
      </w:r>
      <w:r>
        <w:rPr>
          <w:rFonts w:ascii="Times New Roman" w:hAnsi="Times New Roman"/>
          <w:rtl w:val="0"/>
          <w:lang w:val="en-US"/>
        </w:rPr>
        <w:t xml:space="preserve">Also, while astronomically oriented </w:t>
      </w:r>
      <w:r>
        <w:rPr>
          <w:rFonts w:ascii="Times New Roman" w:hAnsi="Times New Roman"/>
          <w:rtl w:val="0"/>
          <w:lang w:val="en-US"/>
        </w:rPr>
        <w:t xml:space="preserve">inner walls without </w:t>
      </w:r>
      <w:r>
        <w:rPr>
          <w:rFonts w:ascii="Times New Roman" w:hAnsi="Times New Roman"/>
          <w:rtl w:val="0"/>
          <w:lang w:val="en-US"/>
        </w:rPr>
        <w:t xml:space="preserve">obvious </w:t>
      </w:r>
      <w:r>
        <w:rPr>
          <w:rFonts w:ascii="Times New Roman" w:hAnsi="Times New Roman"/>
          <w:rtl w:val="0"/>
          <w:lang w:val="en-US"/>
        </w:rPr>
        <w:t xml:space="preserve">sight-lines </w:t>
      </w:r>
      <w:r>
        <w:rPr>
          <w:rFonts w:ascii="Times New Roman" w:hAnsi="Times New Roman"/>
          <w:rtl w:val="0"/>
          <w:lang w:val="en-US"/>
        </w:rPr>
        <w:t xml:space="preserve">to the horizon </w:t>
      </w:r>
      <w:r>
        <w:rPr>
          <w:rFonts w:ascii="Times New Roman" w:hAnsi="Times New Roman"/>
          <w:rtl w:val="0"/>
          <w:lang w:val="en-US"/>
        </w:rPr>
        <w:t>might seem unusual</w:t>
      </w:r>
      <w:r>
        <w:rPr>
          <w:rFonts w:ascii="Times New Roman" w:hAnsi="Times New Roman"/>
          <w:rtl w:val="0"/>
          <w:lang w:val="en-US"/>
        </w:rPr>
        <w:t>, Blomberg and Henriksson have proposed a similar analysis at the Minoan site of Petsophas, where all of the original inner walls of the site were orientated to major celestial events, with emphasis on the helical rising and setting of Arcturus.</w:t>
      </w:r>
      <w:r>
        <w:rPr>
          <w:rFonts w:ascii="Times New Roman" w:cs="Times New Roman" w:hAnsi="Times New Roman" w:eastAsia="Times New Roman"/>
          <w:vertAlign w:val="superscript"/>
        </w:rPr>
        <w:footnoteReference w:id="27"/>
      </w:r>
      <w:r>
        <w:rPr>
          <w:rFonts w:ascii="Times New Roman" w:hAnsi="Times New Roman"/>
          <w:rtl w:val="0"/>
          <w:lang w:val="en-US"/>
        </w:rPr>
        <w:t xml:space="preserve"> Because of project scope, the orientations found for other inner walls will not be discussed in this paper. Also, d</w:t>
      </w:r>
      <w:r>
        <w:rPr>
          <w:rFonts w:ascii="Times New Roman" w:hAnsi="Times New Roman"/>
          <w:rtl w:val="0"/>
          <w:lang w:val="en-US"/>
        </w:rPr>
        <w:t>ue to the fact that HeyWhatsThat landscape profiles are prone to error</w:t>
      </w:r>
      <w:r>
        <w:rPr>
          <w:rFonts w:ascii="Times New Roman" w:hAnsi="Times New Roman"/>
          <w:rtl w:val="0"/>
          <w:lang w:val="en-US"/>
        </w:rPr>
        <w:t xml:space="preserve">, </w:t>
      </w:r>
      <w:r>
        <w:rPr>
          <w:rFonts w:ascii="Times New Roman" w:hAnsi="Times New Roman"/>
          <w:i w:val="1"/>
          <w:iCs w:val="1"/>
          <w:rtl w:val="0"/>
          <w:lang w:val="en-US"/>
        </w:rPr>
        <w:t>in</w:t>
      </w:r>
      <w:r>
        <w:rPr>
          <w:rFonts w:ascii="Times New Roman" w:hAnsi="Times New Roman"/>
          <w:i w:val="1"/>
          <w:iCs w:val="1"/>
          <w:rtl w:val="0"/>
        </w:rPr>
        <w:t xml:space="preserve"> situ</w:t>
      </w:r>
      <w:r>
        <w:rPr>
          <w:rFonts w:ascii="Times New Roman" w:hAnsi="Times New Roman"/>
          <w:rtl w:val="0"/>
          <w:lang w:val="en-US"/>
        </w:rPr>
        <w:t xml:space="preserve"> fieldwork </w:t>
      </w:r>
      <w:r>
        <w:rPr>
          <w:rFonts w:ascii="Times New Roman" w:hAnsi="Times New Roman"/>
          <w:rtl w:val="0"/>
          <w:lang w:val="en-US"/>
        </w:rPr>
        <w:t>will</w:t>
      </w:r>
      <w:r>
        <w:rPr>
          <w:rFonts w:ascii="Times New Roman" w:hAnsi="Times New Roman"/>
          <w:rtl w:val="0"/>
        </w:rPr>
        <w:t xml:space="preserve"> </w:t>
      </w:r>
      <w:r>
        <w:rPr>
          <w:rFonts w:ascii="Times New Roman" w:hAnsi="Times New Roman"/>
          <w:rtl w:val="0"/>
          <w:lang w:val="en-US"/>
        </w:rPr>
        <w:t xml:space="preserve">be </w:t>
      </w:r>
      <w:r>
        <w:rPr>
          <w:rFonts w:ascii="Times New Roman" w:hAnsi="Times New Roman"/>
          <w:rtl w:val="0"/>
          <w:lang w:val="en-US"/>
        </w:rPr>
        <w:t>needed to validate the</w:t>
      </w:r>
      <w:r>
        <w:rPr>
          <w:rFonts w:ascii="Times New Roman" w:hAnsi="Times New Roman"/>
          <w:rtl w:val="0"/>
          <w:lang w:val="en-US"/>
        </w:rPr>
        <w:t>se</w:t>
      </w:r>
      <w:r>
        <w:rPr>
          <w:rFonts w:ascii="Times New Roman" w:hAnsi="Times New Roman"/>
          <w:rtl w:val="0"/>
          <w:lang w:val="en-US"/>
        </w:rPr>
        <w:t xml:space="preserve"> preliminary </w:t>
      </w:r>
      <w:r>
        <w:rPr>
          <w:rFonts w:ascii="Times New Roman" w:hAnsi="Times New Roman"/>
          <w:rtl w:val="0"/>
          <w:lang w:val="en-US"/>
        </w:rPr>
        <w:t>results.</w:t>
      </w: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5919991" cy="3388834"/>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Artboard Copy.jpg"/>
                    <pic:cNvPicPr>
                      <a:picLocks noChangeAspect="1"/>
                    </pic:cNvPicPr>
                  </pic:nvPicPr>
                  <pic:blipFill>
                    <a:blip r:embed="rId6">
                      <a:extLst/>
                    </a:blip>
                    <a:stretch>
                      <a:fillRect/>
                    </a:stretch>
                  </pic:blipFill>
                  <pic:spPr>
                    <a:xfrm>
                      <a:off x="0" y="0"/>
                      <a:ext cx="5919991" cy="3388834"/>
                    </a:xfrm>
                    <a:prstGeom prst="rect">
                      <a:avLst/>
                    </a:prstGeom>
                    <a:ln w="12700" cap="flat">
                      <a:noFill/>
                      <a:miter lim="400000"/>
                    </a:ln>
                    <a:effectLst/>
                  </pic:spPr>
                </pic:pic>
              </a:graphicData>
            </a:graphic>
          </wp:inline>
        </w:drawing>
      </w:r>
    </w:p>
    <w:p>
      <w:pPr>
        <w:pStyle w:val="Image Caption"/>
      </w:pPr>
      <w:r>
        <w:rPr>
          <w:b w:val="1"/>
          <w:bCs w:val="1"/>
          <w:rtl w:val="0"/>
          <w:lang w:val="en-US"/>
        </w:rPr>
        <w:t>Figure 3</w:t>
      </w:r>
      <w:r>
        <w:rPr>
          <w:rtl w:val="0"/>
        </w:rPr>
        <w:t>. Orientations of Chamaizi</w:t>
      </w:r>
      <w:r>
        <w:rPr>
          <w:rtl w:val="0"/>
        </w:rPr>
        <w:t>’</w:t>
      </w:r>
      <w:r>
        <w:rPr>
          <w:rtl w:val="0"/>
        </w:rPr>
        <w:t>s inner walls.</w:t>
      </w:r>
    </w:p>
    <w:p>
      <w:pPr>
        <w:pStyle w:val="Image A"/>
        <w:rPr>
          <w:rFonts w:ascii="Times New Roman" w:cs="Times New Roman" w:hAnsi="Times New Roman" w:eastAsia="Times New Roman"/>
        </w:rPr>
      </w:pPr>
    </w:p>
    <w:p>
      <w:pPr>
        <w:pStyle w:val="Heading Reg"/>
        <w:rPr>
          <w:u w:val="single"/>
        </w:rPr>
      </w:pPr>
      <w:r>
        <w:rPr>
          <w:rFonts w:cs="Arial Unicode MS" w:eastAsia="Arial Unicode MS"/>
          <w:rtl w:val="0"/>
          <w:lang w:val="en-US"/>
        </w:rPr>
        <w:t>The Spike of Wheat</w:t>
      </w:r>
    </w:p>
    <w:p>
      <w:pPr>
        <w:pStyle w:val="Body A"/>
        <w:rPr>
          <w:rFonts w:ascii="Times New Roman" w:cs="Times New Roman" w:hAnsi="Times New Roman" w:eastAsia="Times New Roman"/>
          <w:u w:val="single"/>
        </w:rPr>
      </w:pPr>
    </w:p>
    <w:p>
      <w:pPr>
        <w:pStyle w:val="Body A"/>
        <w:rPr>
          <w:rFonts w:ascii="Times New Roman" w:cs="Times New Roman" w:hAnsi="Times New Roman" w:eastAsia="Times New Roman"/>
        </w:rPr>
      </w:pPr>
      <w:r>
        <w:rPr>
          <w:rFonts w:ascii="Times New Roman" w:hAnsi="Times New Roman"/>
          <w:rtl w:val="0"/>
          <w:lang w:val="en-US"/>
        </w:rPr>
        <w:t xml:space="preserve">The ancient Greeks employed the risings and settings of constellations </w:t>
      </w:r>
      <w:r>
        <w:rPr>
          <w:rFonts w:ascii="Times New Roman" w:hAnsi="Times New Roman"/>
          <w:rtl w:val="0"/>
          <w:lang w:val="en-US"/>
        </w:rPr>
        <w:t>as seasonal markers</w:t>
      </w:r>
      <w:r>
        <w:rPr>
          <w:rFonts w:ascii="Times New Roman" w:hAnsi="Times New Roman"/>
          <w:rtl w:val="0"/>
          <w:lang w:val="en-US"/>
        </w:rPr>
        <w:t>, as recorded by Hippocrates who marked various points of the year by the Pleiades and Arcturus.</w:t>
      </w:r>
      <w:r>
        <w:rPr>
          <w:rFonts w:ascii="Times New Roman" w:cs="Times New Roman" w:hAnsi="Times New Roman" w:eastAsia="Times New Roman"/>
          <w:vertAlign w:val="superscript"/>
        </w:rPr>
        <w:footnoteReference w:id="28"/>
      </w:r>
      <w:r>
        <w:rPr>
          <w:rFonts w:ascii="Times New Roman" w:hAnsi="Times New Roman"/>
          <w:rtl w:val="0"/>
          <w:lang w:val="en-US"/>
        </w:rPr>
        <w:t xml:space="preserve"> A similar tradition may have been observed at Chamaizi. The </w:t>
      </w:r>
      <w:r>
        <w:rPr>
          <w:rFonts w:ascii="Times New Roman" w:hAnsi="Times New Roman"/>
          <w:rtl w:val="0"/>
          <w:lang w:val="en-US"/>
        </w:rPr>
        <w:t>azimuth of wall</w:t>
      </w:r>
      <w:r>
        <w:rPr>
          <w:rFonts w:ascii="Times New Roman" w:hAnsi="Times New Roman"/>
          <w:rtl w:val="0"/>
          <w:lang w:val="en-US"/>
        </w:rPr>
        <w:t xml:space="preserve"> (C) was oriented</w:t>
      </w:r>
      <w:r>
        <w:rPr>
          <w:rFonts w:ascii="Times New Roman" w:hAnsi="Times New Roman"/>
          <w:rtl w:val="0"/>
        </w:rPr>
        <w:t xml:space="preserve"> </w:t>
      </w:r>
      <w:r>
        <w:rPr>
          <w:rFonts w:ascii="Times New Roman" w:hAnsi="Times New Roman"/>
          <w:rtl w:val="0"/>
          <w:lang w:val="en-US"/>
        </w:rPr>
        <w:t>toward</w:t>
      </w:r>
      <w:r>
        <w:rPr>
          <w:rFonts w:ascii="Times New Roman" w:hAnsi="Times New Roman"/>
          <w:rtl w:val="0"/>
          <w:lang w:val="en-US"/>
        </w:rPr>
        <w:t xml:space="preserve"> the</w:t>
      </w:r>
      <w:r>
        <w:rPr>
          <w:rFonts w:ascii="Times New Roman" w:hAnsi="Times New Roman"/>
          <w:rtl w:val="0"/>
          <w:lang w:val="en-US"/>
        </w:rPr>
        <w:t xml:space="preserve"> theoretical declination for the evening</w:t>
      </w:r>
      <w:r>
        <w:rPr>
          <w:rFonts w:ascii="Times New Roman" w:hAnsi="Times New Roman"/>
          <w:rtl w:val="0"/>
        </w:rPr>
        <w:t xml:space="preserve"> </w:t>
      </w:r>
      <w:r>
        <w:rPr>
          <w:rFonts w:ascii="Times New Roman" w:hAnsi="Times New Roman"/>
          <w:rtl w:val="0"/>
          <w:lang w:val="en-US"/>
        </w:rPr>
        <w:t>r</w:t>
      </w:r>
      <w:r>
        <w:rPr>
          <w:rFonts w:ascii="Times New Roman" w:hAnsi="Times New Roman"/>
          <w:rtl w:val="0"/>
        </w:rPr>
        <w:t>i</w:t>
      </w:r>
      <w:r>
        <w:rPr>
          <w:rFonts w:ascii="Times New Roman" w:hAnsi="Times New Roman"/>
          <w:rtl w:val="0"/>
          <w:lang w:val="en-US"/>
        </w:rPr>
        <w:t>se</w:t>
      </w:r>
      <w:r>
        <w:rPr>
          <w:rFonts w:ascii="Times New Roman" w:hAnsi="Times New Roman"/>
          <w:rtl w:val="0"/>
          <w:lang w:val="en-US"/>
        </w:rPr>
        <w:t xml:space="preserve"> of Spica, the brightest star in Virgo</w:t>
      </w:r>
      <w:r>
        <w:rPr>
          <w:rFonts w:ascii="Times New Roman" w:hAnsi="Times New Roman"/>
          <w:rtl w:val="0"/>
          <w:lang w:val="en-US"/>
        </w:rPr>
        <w:t xml:space="preserve"> circa 2000 </w:t>
      </w:r>
      <w:r>
        <w:rPr>
          <w:rFonts w:ascii="Times New Roman" w:hAnsi="Times New Roman"/>
          <w:smallCaps w:val="1"/>
          <w:rtl w:val="0"/>
          <w:lang w:val="en-US"/>
        </w:rPr>
        <w:t>bce</w:t>
      </w:r>
      <w:r>
        <w:rPr>
          <w:rFonts w:ascii="Times New Roman" w:hAnsi="Times New Roman"/>
          <w:rtl w:val="0"/>
        </w:rPr>
        <w:t>.</w:t>
      </w:r>
      <w:r>
        <w:rPr>
          <w:rFonts w:ascii="Times New Roman" w:hAnsi="Times New Roman"/>
          <w:rtl w:val="0"/>
          <w:lang w:val="en-US"/>
        </w:rPr>
        <w:t xml:space="preserve"> Spica</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rPr>
        <w:t xml:space="preserve"> </w:t>
      </w:r>
      <w:r>
        <w:rPr>
          <w:rFonts w:ascii="Times New Roman" w:hAnsi="Times New Roman"/>
          <w:rtl w:val="0"/>
          <w:lang w:val="en-US"/>
        </w:rPr>
        <w:t xml:space="preserve">Latin name means </w:t>
      </w:r>
      <w:r>
        <w:rPr>
          <w:rFonts w:ascii="Times New Roman" w:hAnsi="Times New Roman" w:hint="default"/>
          <w:rtl w:val="0"/>
          <w:lang w:val="en-US"/>
        </w:rPr>
        <w:t>‘</w:t>
      </w:r>
      <w:r>
        <w:rPr>
          <w:rFonts w:ascii="Times New Roman" w:hAnsi="Times New Roman"/>
          <w:rtl w:val="0"/>
        </w:rPr>
        <w:t>spike</w:t>
      </w:r>
      <w:r>
        <w:rPr>
          <w:rFonts w:ascii="Times New Roman" w:hAnsi="Times New Roman" w:hint="default"/>
          <w:rtl w:val="0"/>
          <w:lang w:val="en-US"/>
        </w:rPr>
        <w:t>’</w:t>
      </w:r>
      <w:r>
        <w:rPr>
          <w:rFonts w:ascii="Times New Roman" w:hAnsi="Times New Roman"/>
          <w:rtl w:val="0"/>
        </w:rPr>
        <w:t xml:space="preserve"> </w:t>
      </w:r>
      <w:r>
        <w:rPr>
          <w:rFonts w:ascii="Times New Roman" w:hAnsi="Times New Roman"/>
          <w:rtl w:val="0"/>
          <w:lang w:val="en-US"/>
        </w:rPr>
        <w:t xml:space="preserve">for the ear </w:t>
      </w:r>
      <w:r>
        <w:rPr>
          <w:rFonts w:ascii="Times New Roman" w:hAnsi="Times New Roman"/>
          <w:rtl w:val="0"/>
          <w:lang w:val="en-US"/>
        </w:rPr>
        <w:t xml:space="preserve">of wheat held by </w:t>
      </w:r>
      <w:r>
        <w:rPr>
          <w:rFonts w:ascii="Times New Roman" w:hAnsi="Times New Roman"/>
          <w:rtl w:val="0"/>
          <w:lang w:val="en-US"/>
        </w:rPr>
        <w:t>Virgo</w:t>
      </w:r>
      <w:r>
        <w:rPr>
          <w:rFonts w:ascii="Times New Roman" w:hAnsi="Times New Roman"/>
          <w:rtl w:val="0"/>
          <w:lang w:val="en-US"/>
        </w:rPr>
        <w:t xml:space="preserve">, as </w:t>
      </w:r>
      <w:r>
        <w:rPr>
          <w:rFonts w:ascii="Times New Roman" w:hAnsi="Times New Roman"/>
          <w:rtl w:val="0"/>
          <w:lang w:val="en-US"/>
        </w:rPr>
        <w:t>widely reproduced</w:t>
      </w:r>
      <w:r>
        <w:rPr>
          <w:rFonts w:ascii="Times New Roman" w:hAnsi="Times New Roman"/>
          <w:rtl w:val="0"/>
        </w:rPr>
        <w:t xml:space="preserve"> </w:t>
      </w:r>
      <w:r>
        <w:rPr>
          <w:rFonts w:ascii="Times New Roman" w:hAnsi="Times New Roman"/>
          <w:rtl w:val="0"/>
          <w:lang w:val="en-US"/>
        </w:rPr>
        <w:t>in</w:t>
      </w:r>
      <w:r>
        <w:rPr>
          <w:rFonts w:ascii="Times New Roman" w:hAnsi="Times New Roman"/>
          <w:rtl w:val="0"/>
        </w:rPr>
        <w:t xml:space="preserve"> Gr</w:t>
      </w:r>
      <w:r>
        <w:rPr>
          <w:rFonts w:ascii="Times New Roman" w:hAnsi="Times New Roman"/>
          <w:rtl w:val="0"/>
          <w:lang w:val="en-US"/>
        </w:rPr>
        <w:t>aeco-Roman</w:t>
      </w:r>
      <w:r>
        <w:rPr>
          <w:rFonts w:ascii="Times New Roman" w:hAnsi="Times New Roman"/>
          <w:rtl w:val="0"/>
        </w:rPr>
        <w:t xml:space="preserve"> </w:t>
      </w:r>
      <w:r>
        <w:rPr>
          <w:rFonts w:ascii="Times New Roman" w:hAnsi="Times New Roman"/>
          <w:rtl w:val="0"/>
          <w:lang w:val="en-US"/>
        </w:rPr>
        <w:t>zodiacal imagery</w:t>
      </w:r>
      <w:r>
        <w:rPr>
          <w:rFonts w:ascii="Times New Roman" w:hAnsi="Times New Roman"/>
          <w:rtl w:val="0"/>
        </w:rPr>
        <w:t>.</w:t>
      </w:r>
      <w:r>
        <w:rPr>
          <w:rFonts w:ascii="Times New Roman" w:hAnsi="Times New Roman"/>
          <w:rtl w:val="0"/>
          <w:lang w:val="en-US"/>
        </w:rPr>
        <w:t xml:space="preserve"> It can also be found in Mesopotamian traditions, as evidenced by the Mul.Apin star tables, which equate Virgo (The Furrow), with the goddess </w:t>
      </w:r>
      <w:r>
        <w:rPr>
          <w:rFonts w:ascii="Times New Roman" w:hAnsi="Times New Roman" w:hint="default"/>
          <w:i w:val="1"/>
          <w:iCs w:val="1"/>
          <w:rtl w:val="0"/>
        </w:rPr>
        <w:t>Š</w:t>
      </w:r>
      <w:r>
        <w:rPr>
          <w:rFonts w:ascii="Times New Roman" w:hAnsi="Times New Roman"/>
          <w:i w:val="1"/>
          <w:iCs w:val="1"/>
          <w:rtl w:val="0"/>
        </w:rPr>
        <w:t>ala</w:t>
      </w:r>
      <w:r>
        <w:rPr>
          <w:rFonts w:ascii="Times New Roman" w:hAnsi="Times New Roman"/>
          <w:rtl w:val="0"/>
          <w:lang w:val="en-US"/>
        </w:rPr>
        <w:t xml:space="preserve"> and her </w:t>
      </w:r>
      <w:r>
        <w:rPr>
          <w:rFonts w:ascii="Times New Roman" w:hAnsi="Times New Roman" w:hint="default"/>
          <w:rtl w:val="0"/>
          <w:lang w:val="en-US"/>
        </w:rPr>
        <w:t>‘</w:t>
      </w:r>
      <w:r>
        <w:rPr>
          <w:rFonts w:ascii="Times New Roman" w:hAnsi="Times New Roman"/>
          <w:rtl w:val="0"/>
          <w:lang w:val="en-US"/>
        </w:rPr>
        <w:t>ear of grain</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29"/>
      </w:r>
    </w:p>
    <w:p>
      <w:pPr>
        <w:pStyle w:val="Body A"/>
        <w:rPr>
          <w:rFonts w:ascii="Times New Roman" w:cs="Times New Roman" w:hAnsi="Times New Roman" w:eastAsia="Times New Roman"/>
        </w:rPr>
      </w:pPr>
      <w:r>
        <w:rPr>
          <w:rFonts w:ascii="Times New Roman" w:hAnsi="Times New Roman"/>
          <w:rtl w:val="0"/>
          <w:lang w:val="en-US"/>
        </w:rPr>
        <w:t>Spica</w:t>
      </w:r>
      <w:r>
        <w:rPr>
          <w:rFonts w:ascii="Times New Roman" w:hAnsi="Times New Roman" w:hint="default"/>
          <w:rtl w:val="0"/>
          <w:lang w:val="en-US"/>
        </w:rPr>
        <w:t>’</w:t>
      </w:r>
      <w:r>
        <w:rPr>
          <w:rFonts w:ascii="Times New Roman" w:hAnsi="Times New Roman"/>
          <w:rtl w:val="0"/>
          <w:lang w:val="en-US"/>
        </w:rPr>
        <w:t xml:space="preserve">s evening rise occurred one month before the Spring Equinox. </w:t>
      </w:r>
      <w:r>
        <w:rPr>
          <w:rFonts w:ascii="Times New Roman" w:hAnsi="Times New Roman"/>
          <w:rtl w:val="0"/>
        </w:rPr>
        <w:t xml:space="preserve">Blomberg and Henriksson </w:t>
      </w:r>
      <w:r>
        <w:rPr>
          <w:rFonts w:ascii="Times New Roman" w:hAnsi="Times New Roman"/>
          <w:rtl w:val="0"/>
          <w:lang w:val="en-US"/>
        </w:rPr>
        <w:t>have also documented sunrise alignments marking precisely one month before the equinoxes at Knossos, Juktas, Phaistos, Gournia, Malia, Valypethro, and Tylissos.</w:t>
      </w:r>
      <w:r>
        <w:rPr>
          <w:rFonts w:ascii="Times New Roman" w:cs="Times New Roman" w:hAnsi="Times New Roman" w:eastAsia="Times New Roman"/>
          <w:vertAlign w:val="superscript"/>
        </w:rPr>
        <w:footnoteReference w:id="30"/>
      </w:r>
      <w:r>
        <w:rPr>
          <w:rFonts w:ascii="Times New Roman" w:hAnsi="Times New Roman"/>
          <w:rtl w:val="0"/>
          <w:lang w:val="en-US"/>
        </w:rPr>
        <w:t xml:space="preserve"> A parallel can possibly be drawn</w:t>
      </w:r>
      <w:r>
        <w:rPr>
          <w:rFonts w:ascii="Times New Roman" w:hAnsi="Times New Roman"/>
          <w:rtl w:val="0"/>
        </w:rPr>
        <w:t xml:space="preserve"> </w:t>
      </w:r>
      <w:r>
        <w:rPr>
          <w:rFonts w:ascii="Times New Roman" w:hAnsi="Times New Roman"/>
          <w:rtl w:val="0"/>
          <w:lang w:val="en-US"/>
        </w:rPr>
        <w:t xml:space="preserve">with </w:t>
      </w:r>
      <w:r>
        <w:rPr>
          <w:rFonts w:ascii="Times New Roman" w:hAnsi="Times New Roman"/>
          <w:i w:val="1"/>
          <w:iCs w:val="1"/>
          <w:rtl w:val="0"/>
          <w:lang w:val="en-US"/>
        </w:rPr>
        <w:t>Haloa</w:t>
      </w:r>
      <w:r>
        <w:rPr>
          <w:rFonts w:ascii="Times New Roman" w:hAnsi="Times New Roman"/>
          <w:rtl w:val="0"/>
          <w:lang w:val="en-US"/>
        </w:rPr>
        <w:t xml:space="preserve">, </w:t>
      </w:r>
      <w:r>
        <w:rPr>
          <w:rFonts w:ascii="Times New Roman" w:hAnsi="Times New Roman"/>
          <w:rtl w:val="0"/>
          <w:lang w:val="en-US"/>
        </w:rPr>
        <w:t>the ancient Greek festival of Demeter in mid-</w:t>
      </w:r>
      <w:r>
        <w:rPr>
          <w:rFonts w:ascii="Times New Roman" w:hAnsi="Times New Roman"/>
          <w:rtl w:val="0"/>
          <w:lang w:val="en-US"/>
        </w:rPr>
        <w:t>w</w:t>
      </w:r>
      <w:r>
        <w:rPr>
          <w:rFonts w:ascii="Times New Roman" w:hAnsi="Times New Roman"/>
          <w:rtl w:val="0"/>
        </w:rPr>
        <w:t>inter</w:t>
      </w:r>
      <w:r>
        <w:rPr>
          <w:rFonts w:ascii="Times New Roman" w:hAnsi="Times New Roman"/>
          <w:rtl w:val="0"/>
          <w:lang w:val="en-US"/>
        </w:rPr>
        <w:t xml:space="preserve">. </w:t>
      </w:r>
      <w:r>
        <w:rPr>
          <w:rFonts w:ascii="Times New Roman" w:hAnsi="Times New Roman"/>
          <w:rtl w:val="0"/>
        </w:rPr>
        <w:t>H</w:t>
      </w:r>
      <w:r>
        <w:rPr>
          <w:rFonts w:ascii="Times New Roman" w:hAnsi="Times New Roman" w:hint="default"/>
          <w:rtl w:val="0"/>
          <w:lang w:val="da-DK"/>
        </w:rPr>
        <w:t>å</w:t>
      </w:r>
      <w:r>
        <w:rPr>
          <w:rFonts w:ascii="Times New Roman" w:hAnsi="Times New Roman"/>
          <w:rtl w:val="0"/>
          <w:lang w:val="en-US"/>
        </w:rPr>
        <w:t xml:space="preserve">land </w:t>
      </w:r>
      <w:r>
        <w:rPr>
          <w:rFonts w:ascii="Times New Roman" w:hAnsi="Times New Roman"/>
          <w:rtl w:val="0"/>
          <w:lang w:val="en-US"/>
        </w:rPr>
        <w:t>explained the significance of this time of year to Greek farmers:</w:t>
      </w:r>
      <w:r>
        <w:rPr>
          <w:rFonts w:ascii="Times New Roman" w:hAnsi="Times New Roman" w:hint="default"/>
          <w:rtl w:val="1"/>
        </w:rPr>
        <w:t xml:space="preserve"> ‘</w:t>
      </w:r>
      <w:r>
        <w:rPr>
          <w:rFonts w:ascii="Times New Roman" w:hAnsi="Times New Roman"/>
          <w:rtl w:val="0"/>
          <w:lang w:val="en-US"/>
        </w:rPr>
        <w:t>If only a small percentage of the seeds have sprouted by January, it is unlikely that the crop will be a good one.</w:t>
      </w:r>
      <w:r>
        <w:rPr>
          <w:rFonts w:ascii="Times New Roman" w:hAnsi="Times New Roman" w:hint="default"/>
          <w:rtl w:val="1"/>
        </w:rPr>
        <w:t>’</w:t>
      </w:r>
      <w:r>
        <w:rPr>
          <w:rFonts w:ascii="Times New Roman" w:cs="Times New Roman" w:hAnsi="Times New Roman" w:eastAsia="Times New Roman"/>
          <w:vertAlign w:val="superscript"/>
        </w:rPr>
        <w:footnoteReference w:id="31"/>
      </w:r>
      <w:r>
        <w:rPr>
          <w:rFonts w:ascii="Times New Roman" w:hAnsi="Times New Roman"/>
          <w:rtl w:val="0"/>
          <w:lang w:val="en-US"/>
        </w:rPr>
        <w:t xml:space="preserve"> </w:t>
      </w:r>
      <w:r>
        <w:rPr>
          <w:rFonts w:ascii="Times New Roman" w:hAnsi="Times New Roman"/>
          <w:rtl w:val="0"/>
          <w:lang w:val="en-US"/>
        </w:rPr>
        <w:t>Therefore, Spica</w:t>
      </w:r>
      <w:r>
        <w:rPr>
          <w:rFonts w:ascii="Times New Roman" w:hAnsi="Times New Roman" w:hint="default"/>
          <w:rtl w:val="1"/>
        </w:rPr>
        <w:t>’</w:t>
      </w:r>
      <w:r>
        <w:rPr>
          <w:rFonts w:ascii="Times New Roman" w:hAnsi="Times New Roman"/>
          <w:rtl w:val="0"/>
          <w:lang w:val="en-US"/>
        </w:rPr>
        <w:t>s evening rise</w:t>
      </w:r>
      <w:r>
        <w:rPr>
          <w:rFonts w:ascii="Times New Roman" w:hAnsi="Times New Roman"/>
          <w:rtl w:val="0"/>
          <w:lang w:val="en-US"/>
        </w:rPr>
        <w:t xml:space="preserve"> was well situated to</w:t>
      </w:r>
      <w:r>
        <w:rPr>
          <w:rFonts w:ascii="Times New Roman" w:hAnsi="Times New Roman"/>
          <w:rtl w:val="0"/>
          <w:lang w:val="en-US"/>
        </w:rPr>
        <w:t xml:space="preserve"> have </w:t>
      </w:r>
      <w:r>
        <w:rPr>
          <w:rFonts w:ascii="Times New Roman" w:hAnsi="Times New Roman"/>
          <w:rtl w:val="0"/>
          <w:lang w:val="en-US"/>
        </w:rPr>
        <w:t>functioned as an</w:t>
      </w:r>
      <w:r>
        <w:rPr>
          <w:rFonts w:ascii="Times New Roman" w:hAnsi="Times New Roman"/>
          <w:rtl w:val="0"/>
          <w:lang w:val="en-US"/>
        </w:rPr>
        <w:t xml:space="preserve"> agricultural marker for the Minoans</w:t>
      </w:r>
      <w:r>
        <w:rPr>
          <w:rFonts w:ascii="Times New Roman" w:hAnsi="Times New Roman"/>
          <w:rtl w:val="0"/>
          <w:lang w:val="en-US"/>
        </w:rPr>
        <w:t>, forecasting the season</w:t>
      </w:r>
      <w:r>
        <w:rPr>
          <w:rFonts w:ascii="Times New Roman" w:hAnsi="Times New Roman" w:hint="default"/>
          <w:rtl w:val="0"/>
          <w:lang w:val="en-US"/>
        </w:rPr>
        <w:t>’</w:t>
      </w:r>
      <w:r>
        <w:rPr>
          <w:rFonts w:ascii="Times New Roman" w:hAnsi="Times New Roman"/>
          <w:rtl w:val="0"/>
          <w:lang w:val="en-US"/>
        </w:rPr>
        <w:t>s harvest</w:t>
      </w:r>
      <w:r>
        <w:rPr>
          <w:rFonts w:ascii="Times New Roman" w:hAnsi="Times New Roman"/>
          <w:rtl w:val="0"/>
        </w:rPr>
        <w:t>.</w:t>
      </w:r>
      <w:r>
        <w:rPr>
          <w:rFonts w:ascii="Times New Roman" w:hAnsi="Times New Roman"/>
          <w:rtl w:val="0"/>
          <w:lang w:val="en-US"/>
        </w:rPr>
        <w:t xml:space="preserve"> </w:t>
      </w:r>
      <w:r>
        <w:rPr>
          <w:rFonts w:ascii="Times New Roman" w:hAnsi="Times New Roman"/>
          <w:rtl w:val="0"/>
          <w:lang w:val="en-US"/>
        </w:rPr>
        <w:t xml:space="preserve">In addition, the fact that wall (C) adjoined the storage room, where harvest grains were kept, </w:t>
      </w:r>
      <w:r>
        <w:rPr>
          <w:rFonts w:ascii="Times New Roman" w:hAnsi="Times New Roman"/>
          <w:rtl w:val="0"/>
          <w:lang w:val="en-US"/>
        </w:rPr>
        <w:t>it can be conjectured</w:t>
      </w:r>
      <w:r>
        <w:rPr>
          <w:rFonts w:ascii="Times New Roman" w:hAnsi="Times New Roman"/>
          <w:rtl w:val="0"/>
          <w:lang w:val="en-US"/>
        </w:rPr>
        <w:t xml:space="preserve"> that the alignment</w:t>
      </w:r>
      <w:r>
        <w:rPr>
          <w:rFonts w:ascii="Times New Roman" w:hAnsi="Times New Roman" w:hint="default"/>
          <w:rtl w:val="1"/>
        </w:rPr>
        <w:t>’</w:t>
      </w:r>
      <w:r>
        <w:rPr>
          <w:rFonts w:ascii="Times New Roman" w:hAnsi="Times New Roman"/>
          <w:rtl w:val="0"/>
          <w:lang w:val="en-US"/>
        </w:rPr>
        <w:t>s harvest symbology could have been transferred to the house</w:t>
      </w:r>
      <w:r>
        <w:rPr>
          <w:rFonts w:ascii="Times New Roman" w:hAnsi="Times New Roman" w:hint="default"/>
          <w:rtl w:val="1"/>
        </w:rPr>
        <w:t>’</w:t>
      </w:r>
      <w:r>
        <w:rPr>
          <w:rFonts w:ascii="Times New Roman" w:hAnsi="Times New Roman"/>
          <w:rtl w:val="0"/>
          <w:lang w:val="en-US"/>
        </w:rPr>
        <w:t>s space syntax.</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5943473" cy="2999575"/>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7">
                      <a:extLst/>
                    </a:blip>
                    <a:stretch>
                      <a:fillRect/>
                    </a:stretch>
                  </pic:blipFill>
                  <pic:spPr>
                    <a:xfrm>
                      <a:off x="0" y="0"/>
                      <a:ext cx="5943473" cy="2999575"/>
                    </a:xfrm>
                    <a:prstGeom prst="rect">
                      <a:avLst/>
                    </a:prstGeom>
                    <a:ln w="12700" cap="flat">
                      <a:noFill/>
                      <a:miter lim="400000"/>
                    </a:ln>
                    <a:effectLst/>
                  </pic:spPr>
                </pic:pic>
              </a:graphicData>
            </a:graphic>
          </wp:inline>
        </w:drawing>
      </w:r>
    </w:p>
    <w:p>
      <w:pPr>
        <w:pStyle w:val="Image Caption"/>
      </w:pPr>
      <w:r>
        <w:rPr>
          <w:b w:val="1"/>
          <w:bCs w:val="1"/>
          <w:rtl w:val="0"/>
          <w:lang w:val="en-US"/>
        </w:rPr>
        <w:t>Chart 1</w:t>
      </w:r>
      <w:r>
        <w:rPr>
          <w:rtl w:val="0"/>
        </w:rPr>
        <w:t>. Spica</w:t>
      </w:r>
      <w:r>
        <w:rPr>
          <w:rtl w:val="0"/>
        </w:rPr>
        <w:t>’</w:t>
      </w:r>
      <w:r>
        <w:rPr>
          <w:rtl w:val="0"/>
        </w:rPr>
        <w:t xml:space="preserve">s evening rising at Chamaizi ca. 2000 </w:t>
      </w:r>
      <w:r>
        <w:rPr>
          <w:smallCaps w:val="1"/>
          <w:rtl w:val="0"/>
          <w:lang w:val="en-US"/>
        </w:rPr>
        <w:t>bce,</w:t>
      </w:r>
      <w:r>
        <w:rPr>
          <w:rtl w:val="0"/>
        </w:rPr>
        <w:t xml:space="preserve"> one month before Spring Equinox.</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While Virgo is unconfirmed as a Minoan constellation, it can be observed that the evening rise of Spica happened as half of Virgo</w:t>
      </w:r>
      <w:r>
        <w:rPr>
          <w:rFonts w:ascii="Times New Roman" w:hAnsi="Times New Roman" w:hint="default"/>
          <w:rtl w:val="0"/>
          <w:lang w:val="en-US"/>
        </w:rPr>
        <w:t>’</w:t>
      </w:r>
      <w:r>
        <w:rPr>
          <w:rFonts w:ascii="Times New Roman" w:hAnsi="Times New Roman"/>
          <w:rtl w:val="0"/>
          <w:lang w:val="en-US"/>
        </w:rPr>
        <w:t xml:space="preserve">s </w:t>
      </w:r>
      <w:r>
        <w:rPr>
          <w:rFonts w:ascii="Times New Roman" w:hAnsi="Times New Roman" w:hint="default"/>
          <w:rtl w:val="0"/>
          <w:lang w:val="en-US"/>
        </w:rPr>
        <w:t>‘</w:t>
      </w:r>
      <w:r>
        <w:rPr>
          <w:rFonts w:ascii="Times New Roman" w:hAnsi="Times New Roman"/>
          <w:rtl w:val="0"/>
          <w:lang w:val="en-US"/>
        </w:rPr>
        <w:t>body</w:t>
      </w:r>
      <w:r>
        <w:rPr>
          <w:rFonts w:ascii="Times New Roman" w:hAnsi="Times New Roman" w:hint="default"/>
          <w:rtl w:val="0"/>
          <w:lang w:val="en-US"/>
        </w:rPr>
        <w:t xml:space="preserve">’ </w:t>
      </w:r>
      <w:r>
        <w:rPr>
          <w:rFonts w:ascii="Times New Roman" w:hAnsi="Times New Roman"/>
          <w:rtl w:val="0"/>
          <w:lang w:val="en-US"/>
        </w:rPr>
        <w:t xml:space="preserve">was below the horizon (chart 1, above). A Minoan seal depicts a goddess emerging from the earth, while a suppliant, holding her by the arm, </w:t>
      </w:r>
      <w:r>
        <w:rPr>
          <w:rFonts w:ascii="Times New Roman" w:hAnsi="Times New Roman"/>
          <w:rtl w:val="0"/>
          <w:lang w:val="en-US"/>
        </w:rPr>
        <w:t xml:space="preserve">appears to be inspecting the young crops beneath his feet as might have been done </w:t>
      </w:r>
      <w:r>
        <w:rPr>
          <w:rFonts w:ascii="Times New Roman" w:hAnsi="Times New Roman"/>
          <w:rtl w:val="0"/>
          <w:lang w:val="en-US"/>
        </w:rPr>
        <w:t>mid-Winter (fig. 4)</w:t>
      </w:r>
      <w:r>
        <w:rPr>
          <w:rFonts w:ascii="Times New Roman" w:hAnsi="Times New Roman"/>
          <w:rtl w:val="0"/>
        </w:rPr>
        <w:t xml:space="preserve">. </w:t>
      </w:r>
      <w:r>
        <w:rPr>
          <w:rFonts w:ascii="Times New Roman" w:hAnsi="Times New Roman"/>
          <w:rtl w:val="0"/>
          <w:lang w:val="en-US"/>
        </w:rPr>
        <w:t xml:space="preserve">Evans suggests: </w:t>
      </w:r>
      <w:r>
        <w:rPr>
          <w:rFonts w:ascii="Times New Roman" w:hAnsi="Times New Roman" w:hint="default"/>
          <w:rtl w:val="0"/>
          <w:lang w:val="en-US"/>
        </w:rPr>
        <w:t>‘</w:t>
      </w:r>
      <w:r>
        <w:rPr>
          <w:rFonts w:ascii="Times New Roman" w:hAnsi="Times New Roman"/>
          <w:rtl w:val="0"/>
          <w:lang w:val="en-US"/>
        </w:rPr>
        <w:t xml:space="preserve">It is the Spring Goddess arising out of the earth, </w:t>
      </w:r>
      <w:r>
        <w:rPr>
          <w:rFonts w:ascii="Times New Roman" w:hAnsi="Times New Roman"/>
          <w:rtl w:val="0"/>
          <w:lang w:val="en-US"/>
        </w:rPr>
        <w:t>and</w:t>
      </w:r>
      <w:r>
        <w:rPr>
          <w:rFonts w:ascii="Times New Roman" w:hAnsi="Times New Roman"/>
          <w:rtl w:val="0"/>
        </w:rPr>
        <w:t xml:space="preserve"> </w:t>
      </w:r>
      <w:r>
        <w:rPr>
          <w:rFonts w:ascii="Times New Roman" w:hAnsi="Times New Roman"/>
          <w:rtl w:val="0"/>
          <w:lang w:val="en-US"/>
        </w:rPr>
        <w:t>the poppy-heads</w:t>
      </w:r>
      <w:r>
        <w:rPr>
          <w:rFonts w:ascii="Times New Roman" w:hAnsi="Times New Roman"/>
          <w:rtl w:val="0"/>
          <w:lang w:val="en-US"/>
        </w:rPr>
        <w:t xml:space="preserve"> she holds in her hand, besid</w:t>
      </w:r>
      <w:r>
        <w:rPr>
          <w:rFonts w:ascii="Times New Roman" w:hAnsi="Times New Roman"/>
          <w:rtl w:val="0"/>
          <w:lang w:val="en-US"/>
        </w:rPr>
        <w:t>es</w:t>
      </w:r>
      <w:r>
        <w:rPr>
          <w:rFonts w:ascii="Times New Roman" w:hAnsi="Times New Roman"/>
          <w:rtl w:val="0"/>
        </w:rPr>
        <w:t xml:space="preserve"> </w:t>
      </w:r>
      <w:r>
        <w:rPr>
          <w:rFonts w:ascii="Times New Roman" w:hAnsi="Times New Roman"/>
          <w:rtl w:val="0"/>
          <w:lang w:val="en-US"/>
        </w:rPr>
        <w:t xml:space="preserve">being emblems of fertility, may also in </w:t>
      </w:r>
      <w:r>
        <w:rPr>
          <w:rFonts w:ascii="Times New Roman" w:hAnsi="Times New Roman"/>
          <w:rtl w:val="0"/>
          <w:lang w:val="en-US"/>
        </w:rPr>
        <w:t>their soporific quality b</w:t>
      </w:r>
      <w:r>
        <w:rPr>
          <w:rFonts w:ascii="Times New Roman" w:hAnsi="Times New Roman"/>
          <w:rtl w:val="0"/>
          <w:lang w:val="en-US"/>
        </w:rPr>
        <w:t>ear a certain allusion to her winter sleep.</w:t>
      </w:r>
      <w:r>
        <w:rPr>
          <w:rFonts w:ascii="Times New Roman" w:hAnsi="Times New Roman" w:hint="default"/>
          <w:rtl w:val="0"/>
          <w:lang w:val="en-US"/>
        </w:rPr>
        <w:t>’</w:t>
      </w:r>
      <w:r>
        <w:rPr>
          <w:rFonts w:ascii="Times New Roman" w:cs="Times New Roman" w:hAnsi="Times New Roman" w:eastAsia="Times New Roman"/>
          <w:vertAlign w:val="superscript"/>
        </w:rPr>
        <w:footnoteReference w:id="32"/>
      </w:r>
      <w:r>
        <w:rPr>
          <w:rFonts w:ascii="Times New Roman" w:hAnsi="Times New Roman"/>
          <w:rtl w:val="0"/>
          <w:lang w:val="en-US"/>
        </w:rPr>
        <w:t xml:space="preserve"> He equated this goddess with the Greek Persephone, who rose from the underworld bearing poppies, drawing a parallel to a terra-cotta relief from </w:t>
      </w:r>
      <w:r>
        <w:rPr>
          <w:rFonts w:ascii="Times New Roman" w:hAnsi="Times New Roman"/>
          <w:i w:val="1"/>
          <w:iCs w:val="1"/>
          <w:rtl w:val="0"/>
          <w:lang w:val="en-US"/>
        </w:rPr>
        <w:t>Magna Graecia</w:t>
      </w:r>
      <w:r>
        <w:rPr>
          <w:rFonts w:ascii="Times New Roman" w:hAnsi="Times New Roman"/>
          <w:rtl w:val="0"/>
          <w:lang w:val="en-US"/>
        </w:rPr>
        <w:t xml:space="preserve"> that depicts a chthonic Persephone holding both poppies, lilies, and ears of barley (</w:t>
      </w:r>
      <w:r>
        <w:rPr>
          <w:rFonts w:ascii="Times New Roman" w:hAnsi="Times New Roman"/>
          <w:rtl w:val="0"/>
        </w:rPr>
        <w:t xml:space="preserve">fig. </w:t>
      </w:r>
      <w:r>
        <w:rPr>
          <w:rFonts w:ascii="Times New Roman" w:hAnsi="Times New Roman"/>
          <w:rtl w:val="0"/>
          <w:lang w:val="en-US"/>
        </w:rPr>
        <w:t>5).</w:t>
      </w:r>
      <w:r>
        <w:rPr>
          <w:rFonts w:ascii="Times New Roman" w:cs="Times New Roman" w:hAnsi="Times New Roman" w:eastAsia="Times New Roman"/>
          <w:vertAlign w:val="superscript"/>
        </w:rPr>
        <w:footnoteReference w:id="33"/>
      </w:r>
    </w:p>
    <w:p>
      <w:pPr>
        <w:pStyle w:val="Body A"/>
        <w:rPr>
          <w:rFonts w:ascii="Times New Roman" w:cs="Times New Roman" w:hAnsi="Times New Roman" w:eastAsia="Times New Roman"/>
        </w:rPr>
      </w:pPr>
    </w:p>
    <w:p>
      <w:pPr>
        <w:pStyle w:val="Body A"/>
        <w:jc w:val="center"/>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2310601" cy="1453363"/>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png"/>
                    <pic:cNvPicPr>
                      <a:picLocks noChangeAspect="1"/>
                    </pic:cNvPicPr>
                  </pic:nvPicPr>
                  <pic:blipFill>
                    <a:blip r:embed="rId8">
                      <a:extLst/>
                    </a:blip>
                    <a:stretch>
                      <a:fillRect/>
                    </a:stretch>
                  </pic:blipFill>
                  <pic:spPr>
                    <a:xfrm>
                      <a:off x="0" y="0"/>
                      <a:ext cx="2310601" cy="1453363"/>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2653207" cy="1314396"/>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9">
                      <a:extLst/>
                    </a:blip>
                    <a:stretch>
                      <a:fillRect/>
                    </a:stretch>
                  </pic:blipFill>
                  <pic:spPr>
                    <a:xfrm>
                      <a:off x="0" y="0"/>
                      <a:ext cx="2653207" cy="1314396"/>
                    </a:xfrm>
                    <a:prstGeom prst="rect">
                      <a:avLst/>
                    </a:prstGeom>
                    <a:ln w="12700" cap="flat">
                      <a:noFill/>
                      <a:miter lim="400000"/>
                    </a:ln>
                    <a:effectLst/>
                  </pic:spPr>
                </pic:pic>
              </a:graphicData>
            </a:graphic>
          </wp:inline>
        </w:drawing>
      </w:r>
    </w:p>
    <w:p>
      <w:pPr>
        <w:pStyle w:val="Image Caption"/>
      </w:pPr>
      <w:r>
        <w:rPr>
          <w:b w:val="1"/>
          <w:bCs w:val="1"/>
          <w:rtl w:val="0"/>
          <w:lang w:val="en-US"/>
        </w:rPr>
        <w:t>Figure 4</w:t>
      </w:r>
      <w:r>
        <w:rPr>
          <w:rtl w:val="0"/>
        </w:rPr>
        <w:t xml:space="preserve">. Spring Goddess rising from ground. </w:t>
      </w:r>
      <w:r>
        <w:rPr>
          <w:b w:val="1"/>
          <w:bCs w:val="1"/>
          <w:rtl w:val="0"/>
          <w:lang w:val="en-US"/>
        </w:rPr>
        <w:t>Figure 5</w:t>
      </w:r>
      <w:r>
        <w:rPr>
          <w:rtl w:val="0"/>
        </w:rPr>
        <w:t>. Persephone rising from ground, holding poppy-capsules, lilies, ears of barley, with snakes on either side. Terracota relief, Magna Graecia.</w:t>
      </w:r>
      <w:r>
        <w:rPr>
          <w:rFonts w:ascii="Times New Roman" w:cs="Times New Roman" w:hAnsi="Times New Roman" w:eastAsia="Times New Roman"/>
          <w:b w:val="0"/>
          <w:bCs w:val="0"/>
          <w:i w:val="0"/>
          <w:iCs w:val="0"/>
          <w:vertAlign w:val="superscript"/>
        </w:rPr>
        <w:footnoteReference w:id="34"/>
      </w:r>
    </w:p>
    <w:p>
      <w:pPr>
        <w:pStyle w:val="Image Caption"/>
      </w:pPr>
    </w:p>
    <w:p>
      <w:pPr>
        <w:pStyle w:val="Body A"/>
        <w:rPr>
          <w:rFonts w:ascii="Times New Roman" w:cs="Times New Roman" w:hAnsi="Times New Roman" w:eastAsia="Times New Roman"/>
        </w:rPr>
      </w:pPr>
      <w:r>
        <w:rPr>
          <w:rFonts w:ascii="Times New Roman" w:hAnsi="Times New Roman"/>
          <w:rtl w:val="0"/>
          <w:lang w:val="en-US"/>
        </w:rPr>
        <w:t>In the Eleus</w:t>
      </w:r>
      <w:r>
        <w:rPr>
          <w:rFonts w:ascii="Times New Roman" w:hAnsi="Times New Roman"/>
          <w:rtl w:val="0"/>
          <w:lang w:val="en-US"/>
        </w:rPr>
        <w:t>ini</w:t>
      </w:r>
      <w:r>
        <w:rPr>
          <w:rFonts w:ascii="Times New Roman" w:hAnsi="Times New Roman"/>
          <w:rtl w:val="0"/>
          <w:lang w:val="en-US"/>
        </w:rPr>
        <w:t>an mysteries</w:t>
      </w:r>
      <w:r>
        <w:rPr>
          <w:rFonts w:ascii="Times New Roman" w:hAnsi="Times New Roman"/>
          <w:rtl w:val="0"/>
          <w:lang w:val="en-US"/>
        </w:rPr>
        <w:t>, associated with the cults of Demeter and Persephone</w:t>
      </w:r>
      <w:r>
        <w:rPr>
          <w:rFonts w:ascii="Times New Roman" w:hAnsi="Times New Roman"/>
          <w:rtl w:val="0"/>
          <w:lang w:val="en-US"/>
        </w:rPr>
        <w:t xml:space="preserve">, sheaves of wheat were </w:t>
      </w:r>
      <w:r>
        <w:rPr>
          <w:rFonts w:ascii="Times New Roman" w:hAnsi="Times New Roman"/>
          <w:rtl w:val="0"/>
          <w:lang w:val="en-US"/>
        </w:rPr>
        <w:t>conferred upon</w:t>
      </w:r>
      <w:r>
        <w:rPr>
          <w:rFonts w:ascii="Times New Roman" w:hAnsi="Times New Roman"/>
          <w:rtl w:val="0"/>
          <w:lang w:val="en-US"/>
        </w:rPr>
        <w:t xml:space="preserve"> initiates, </w:t>
      </w:r>
      <w:r>
        <w:rPr>
          <w:rFonts w:ascii="Times New Roman" w:hAnsi="Times New Roman"/>
          <w:rtl w:val="0"/>
          <w:lang w:val="en-US"/>
        </w:rPr>
        <w:t>confirming</w:t>
      </w:r>
      <w:r>
        <w:rPr>
          <w:rFonts w:ascii="Times New Roman" w:hAnsi="Times New Roman"/>
          <w:rtl w:val="0"/>
        </w:rPr>
        <w:t xml:space="preserve"> </w:t>
      </w:r>
      <w:r>
        <w:rPr>
          <w:rFonts w:ascii="Times New Roman" w:hAnsi="Times New Roman"/>
          <w:rtl w:val="0"/>
          <w:lang w:val="en-US"/>
        </w:rPr>
        <w:t>the object</w:t>
      </w:r>
      <w:r>
        <w:rPr>
          <w:rFonts w:ascii="Times New Roman" w:hAnsi="Times New Roman" w:hint="default"/>
          <w:rtl w:val="0"/>
          <w:lang w:val="en-US"/>
        </w:rPr>
        <w:t>’</w:t>
      </w:r>
      <w:r>
        <w:rPr>
          <w:rFonts w:ascii="Times New Roman" w:hAnsi="Times New Roman"/>
          <w:rtl w:val="0"/>
          <w:lang w:val="en-US"/>
        </w:rPr>
        <w:t>s</w:t>
      </w:r>
      <w:r>
        <w:rPr>
          <w:rFonts w:ascii="Times New Roman" w:hAnsi="Times New Roman"/>
          <w:rtl w:val="0"/>
        </w:rPr>
        <w:t xml:space="preserve"> </w:t>
      </w:r>
      <w:r>
        <w:rPr>
          <w:rFonts w:ascii="Times New Roman" w:hAnsi="Times New Roman"/>
          <w:rtl w:val="0"/>
          <w:lang w:val="en-US"/>
        </w:rPr>
        <w:t>sacrosanct status in Hellenic times</w:t>
      </w:r>
      <w:r>
        <w:rPr>
          <w:rFonts w:ascii="Times New Roman" w:hAnsi="Times New Roman"/>
          <w:rtl w:val="0"/>
        </w:rPr>
        <w:t>.</w:t>
      </w:r>
      <w:r>
        <w:rPr>
          <w:rFonts w:ascii="Times New Roman" w:cs="Times New Roman" w:hAnsi="Times New Roman" w:eastAsia="Times New Roman"/>
          <w:outline w:val="0"/>
          <w:color w:val="1f2021"/>
          <w:vertAlign w:val="superscript"/>
          <w14:textFill>
            <w14:solidFill>
              <w14:srgbClr w14:val="202122"/>
            </w14:solidFill>
          </w14:textFill>
        </w:rPr>
        <w:footnoteReference w:id="35"/>
      </w:r>
      <w:r>
        <w:rPr>
          <w:rFonts w:ascii="Times New Roman" w:hAnsi="Times New Roman"/>
          <w:rtl w:val="0"/>
          <w:lang w:val="en-US"/>
        </w:rPr>
        <w:t xml:space="preserve"> Kyriakidis highlights that one of the most common </w:t>
      </w:r>
      <w:r>
        <w:rPr>
          <w:rFonts w:ascii="Times New Roman" w:hAnsi="Times New Roman" w:hint="default"/>
          <w:rtl w:val="0"/>
          <w:lang w:val="en-US"/>
        </w:rPr>
        <w:t>‘</w:t>
      </w:r>
      <w:r>
        <w:rPr>
          <w:rFonts w:ascii="Times New Roman" w:hAnsi="Times New Roman"/>
          <w:rtl w:val="0"/>
          <w:lang w:val="en-US"/>
        </w:rPr>
        <w:t>floating items</w:t>
      </w:r>
      <w:r>
        <w:rPr>
          <w:rFonts w:ascii="Times New Roman" w:hAnsi="Times New Roman" w:hint="default"/>
          <w:rtl w:val="0"/>
          <w:lang w:val="en-US"/>
        </w:rPr>
        <w:t xml:space="preserve">’ </w:t>
      </w:r>
      <w:r>
        <w:rPr>
          <w:rFonts w:ascii="Times New Roman" w:hAnsi="Times New Roman"/>
          <w:rtl w:val="0"/>
          <w:lang w:val="en-US"/>
        </w:rPr>
        <w:t xml:space="preserve">on Minoan gems is indeed the spike of wheat, which </w:t>
      </w:r>
      <w:r>
        <w:rPr>
          <w:rFonts w:ascii="Times New Roman" w:hAnsi="Times New Roman" w:hint="default"/>
          <w:rtl w:val="0"/>
          <w:lang w:val="en-US"/>
        </w:rPr>
        <w:t>‘</w:t>
      </w:r>
      <w:r>
        <w:rPr>
          <w:rFonts w:ascii="Times New Roman" w:hAnsi="Times New Roman"/>
          <w:rtl w:val="0"/>
          <w:lang w:val="en-US"/>
        </w:rPr>
        <w:t>despite its abstract character and var</w:t>
      </w:r>
      <w:r>
        <w:rPr>
          <w:rFonts w:ascii="Times New Roman" w:hAnsi="Times New Roman"/>
          <w:rtl w:val="0"/>
          <w:lang w:val="en-US"/>
        </w:rPr>
        <w:t>i</w:t>
      </w:r>
      <w:r>
        <w:rPr>
          <w:rFonts w:ascii="Times New Roman" w:hAnsi="Times New Roman"/>
          <w:rtl w:val="0"/>
          <w:lang w:val="en-US"/>
        </w:rPr>
        <w:t>ed position has a stable basic form and texture, always at the upper center of the entire depiction</w:t>
      </w:r>
      <w:r>
        <w:rPr>
          <w:rFonts w:ascii="Times New Roman" w:hAnsi="Times New Roman" w:hint="default"/>
          <w:rtl w:val="0"/>
          <w:lang w:val="en-US"/>
        </w:rPr>
        <w:t>’</w:t>
      </w:r>
      <w:r>
        <w:rPr>
          <w:rFonts w:ascii="Times New Roman" w:hAnsi="Times New Roman"/>
          <w:rtl w:val="0"/>
          <w:lang w:val="en-US"/>
        </w:rPr>
        <w:t>, perhaps indicative of a celestial identity (fig. 6).</w:t>
      </w:r>
      <w:r>
        <w:rPr>
          <w:rFonts w:ascii="Times New Roman" w:cs="Times New Roman" w:hAnsi="Times New Roman" w:eastAsia="Times New Roman"/>
          <w:vertAlign w:val="superscript"/>
        </w:rPr>
        <w:footnoteReference w:id="36"/>
      </w:r>
      <w:r>
        <w:rPr>
          <w:rFonts w:ascii="Times New Roman" w:hAnsi="Times New Roman"/>
          <w:rtl w:val="0"/>
          <w:lang w:val="en-US"/>
        </w:rPr>
        <w:t xml:space="preserve"> </w:t>
      </w:r>
      <w:r>
        <w:rPr>
          <w:rFonts w:ascii="Times New Roman" w:hAnsi="Times New Roman"/>
          <w:rtl w:val="0"/>
          <w:lang w:val="en-US"/>
        </w:rPr>
        <w:t>Therefore, Chamaizi</w:t>
      </w:r>
      <w:r>
        <w:rPr>
          <w:rFonts w:ascii="Times New Roman" w:hAnsi="Times New Roman" w:hint="default"/>
          <w:rtl w:val="1"/>
        </w:rPr>
        <w:t>’</w:t>
      </w:r>
      <w:r>
        <w:rPr>
          <w:rFonts w:ascii="Times New Roman" w:hAnsi="Times New Roman"/>
          <w:rtl w:val="0"/>
          <w:lang w:val="en-US"/>
        </w:rPr>
        <w:t>s orientation to the evening rise of Spica</w:t>
      </w:r>
      <w:r>
        <w:rPr>
          <w:rFonts w:ascii="Times New Roman" w:hAnsi="Times New Roman"/>
          <w:rtl w:val="0"/>
          <w:lang w:val="en-US"/>
        </w:rPr>
        <w:t xml:space="preserve"> lends weight to Kyriakidis</w:t>
      </w:r>
      <w:r>
        <w:rPr>
          <w:rFonts w:ascii="Times New Roman" w:hAnsi="Times New Roman" w:hint="default"/>
          <w:rtl w:val="0"/>
          <w:lang w:val="en-US"/>
        </w:rPr>
        <w:t xml:space="preserve">’ </w:t>
      </w:r>
      <w:r>
        <w:rPr>
          <w:rFonts w:ascii="Times New Roman" w:hAnsi="Times New Roman"/>
          <w:rtl w:val="0"/>
          <w:lang w:val="en-US"/>
        </w:rPr>
        <w:t xml:space="preserve">notion that the glyptic </w:t>
      </w:r>
      <w:r>
        <w:rPr>
          <w:rFonts w:ascii="Times New Roman" w:hAnsi="Times New Roman" w:hint="default"/>
          <w:rtl w:val="0"/>
          <w:lang w:val="en-US"/>
        </w:rPr>
        <w:t>‘</w:t>
      </w:r>
      <w:r>
        <w:rPr>
          <w:rFonts w:ascii="Times New Roman" w:hAnsi="Times New Roman"/>
          <w:rtl w:val="0"/>
          <w:lang w:val="en-US"/>
        </w:rPr>
        <w:t>floating objects</w:t>
      </w:r>
      <w:r>
        <w:rPr>
          <w:rFonts w:ascii="Times New Roman" w:hAnsi="Times New Roman" w:hint="default"/>
          <w:rtl w:val="0"/>
          <w:lang w:val="en-US"/>
        </w:rPr>
        <w:t xml:space="preserve">’ </w:t>
      </w:r>
      <w:r>
        <w:rPr>
          <w:rFonts w:ascii="Times New Roman" w:hAnsi="Times New Roman"/>
          <w:rtl w:val="0"/>
          <w:lang w:val="en-US"/>
        </w:rPr>
        <w:t>represented stars, since as the evidence suggests, the</w:t>
      </w:r>
      <w:r>
        <w:rPr>
          <w:rFonts w:ascii="Times New Roman" w:hAnsi="Times New Roman"/>
          <w:rtl w:val="0"/>
          <w:lang w:val="en-US"/>
        </w:rPr>
        <w:t xml:space="preserve"> celestial </w:t>
      </w:r>
      <w:r>
        <w:rPr>
          <w:rFonts w:ascii="Times New Roman" w:hAnsi="Times New Roman" w:hint="default"/>
          <w:rtl w:val="1"/>
        </w:rPr>
        <w:t>‘</w:t>
      </w:r>
      <w:r>
        <w:rPr>
          <w:rFonts w:ascii="Times New Roman" w:hAnsi="Times New Roman"/>
          <w:rtl w:val="0"/>
          <w:lang w:val="en-US"/>
        </w:rPr>
        <w:t>floating wheat</w:t>
      </w:r>
      <w:r>
        <w:rPr>
          <w:rFonts w:ascii="Times New Roman" w:hAnsi="Times New Roman" w:hint="default"/>
          <w:rtl w:val="1"/>
        </w:rPr>
        <w:t xml:space="preserve">’ </w:t>
      </w:r>
      <w:r>
        <w:rPr>
          <w:rFonts w:ascii="Times New Roman" w:hAnsi="Times New Roman"/>
          <w:rtl w:val="0"/>
          <w:lang w:val="fr-FR"/>
        </w:rPr>
        <w:t>iconography</w:t>
      </w:r>
      <w:r>
        <w:rPr>
          <w:rFonts w:ascii="Times New Roman" w:hAnsi="Times New Roman"/>
          <w:rtl w:val="0"/>
          <w:lang w:val="en-US"/>
        </w:rPr>
        <w:t xml:space="preserve"> could be related to Spica, the </w:t>
      </w:r>
      <w:r>
        <w:rPr>
          <w:rFonts w:ascii="Times New Roman" w:hAnsi="Times New Roman" w:hint="default"/>
          <w:rtl w:val="0"/>
          <w:lang w:val="en-US"/>
        </w:rPr>
        <w:t>‘</w:t>
      </w:r>
      <w:r>
        <w:rPr>
          <w:rFonts w:ascii="Times New Roman" w:hAnsi="Times New Roman"/>
          <w:rtl w:val="0"/>
          <w:lang w:val="en-US"/>
        </w:rPr>
        <w:t>ear of grain</w:t>
      </w:r>
      <w:r>
        <w:rPr>
          <w:rFonts w:ascii="Times New Roman" w:hAnsi="Times New Roman" w:hint="default"/>
          <w:rtl w:val="0"/>
          <w:lang w:val="en-US"/>
        </w:rPr>
        <w:t>’</w:t>
      </w:r>
      <w:r>
        <w:rPr>
          <w:rFonts w:ascii="Times New Roman" w:hAnsi="Times New Roman"/>
          <w:rtl w:val="0"/>
        </w:rPr>
        <w:t>.</w:t>
      </w: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2297821" cy="1760033"/>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a:picLocks noChangeAspect="1"/>
                    </pic:cNvPicPr>
                  </pic:nvPicPr>
                  <pic:blipFill>
                    <a:blip r:embed="rId10">
                      <a:extLst/>
                    </a:blip>
                    <a:stretch>
                      <a:fillRect/>
                    </a:stretch>
                  </pic:blipFill>
                  <pic:spPr>
                    <a:xfrm>
                      <a:off x="0" y="0"/>
                      <a:ext cx="2297821" cy="1760033"/>
                    </a:xfrm>
                    <a:prstGeom prst="rect">
                      <a:avLst/>
                    </a:prstGeom>
                    <a:ln w="12700" cap="flat">
                      <a:noFill/>
                      <a:miter lim="400000"/>
                    </a:ln>
                    <a:effectLst/>
                  </pic:spPr>
                </pic:pic>
              </a:graphicData>
            </a:graphic>
          </wp:inline>
        </w:drawing>
      </w:r>
    </w:p>
    <w:p>
      <w:pPr>
        <w:pStyle w:val="Image Caption"/>
      </w:pPr>
      <w:r>
        <w:rPr>
          <w:b w:val="1"/>
          <w:bCs w:val="1"/>
          <w:rtl w:val="0"/>
          <w:lang w:val="en-US"/>
        </w:rPr>
        <w:t>Figure 6</w:t>
      </w:r>
      <w:r>
        <w:rPr>
          <w:rtl w:val="0"/>
        </w:rPr>
        <w:t xml:space="preserve">. Examples of floating </w:t>
      </w:r>
      <w:r>
        <w:rPr>
          <w:rtl w:val="0"/>
        </w:rPr>
        <w:t>‘</w:t>
      </w:r>
      <w:r>
        <w:rPr>
          <w:rtl w:val="0"/>
        </w:rPr>
        <w:t>spikes</w:t>
      </w:r>
      <w:r>
        <w:rPr>
          <w:rtl w:val="0"/>
        </w:rPr>
        <w:t xml:space="preserve">’ </w:t>
      </w:r>
      <w:r>
        <w:rPr>
          <w:rtl w:val="0"/>
        </w:rPr>
        <w:t xml:space="preserve">(detail): </w:t>
      </w:r>
      <w:r>
        <w:rPr>
          <w:i w:val="1"/>
          <w:iCs w:val="1"/>
          <w:rtl w:val="0"/>
          <w:lang w:val="en-US"/>
        </w:rPr>
        <w:t>a</w:t>
      </w:r>
      <w:r>
        <w:rPr>
          <w:rtl w:val="0"/>
        </w:rPr>
        <w:t xml:space="preserve">, plain (second Kalvyia ring); </w:t>
      </w:r>
      <w:r>
        <w:rPr>
          <w:i w:val="1"/>
          <w:iCs w:val="1"/>
          <w:rtl w:val="0"/>
          <w:lang w:val="en-US"/>
        </w:rPr>
        <w:t>b</w:t>
      </w:r>
      <w:r>
        <w:rPr>
          <w:rtl w:val="0"/>
        </w:rPr>
        <w:t xml:space="preserve">, wheat-like (Vapheio ring); </w:t>
      </w:r>
      <w:r>
        <w:rPr>
          <w:i w:val="1"/>
          <w:iCs w:val="1"/>
          <w:rtl w:val="0"/>
          <w:lang w:val="en-US"/>
        </w:rPr>
        <w:t>c</w:t>
      </w:r>
      <w:r>
        <w:rPr>
          <w:rtl w:val="0"/>
        </w:rPr>
        <w:t xml:space="preserve">, beanpod-like (Isotapa ring); </w:t>
      </w:r>
      <w:r>
        <w:rPr>
          <w:i w:val="1"/>
          <w:iCs w:val="1"/>
          <w:rtl w:val="0"/>
          <w:lang w:val="en-US"/>
        </w:rPr>
        <w:t>d</w:t>
      </w:r>
      <w:r>
        <w:rPr>
          <w:rtl w:val="0"/>
        </w:rPr>
        <w:t>, cloud-like (Sellopoulo ring)</w:t>
      </w:r>
      <w:r>
        <w:rPr>
          <w:rFonts w:ascii="Times New Roman" w:cs="Times New Roman" w:hAnsi="Times New Roman" w:eastAsia="Times New Roman"/>
          <w:b w:val="0"/>
          <w:bCs w:val="0"/>
          <w:i w:val="0"/>
          <w:iCs w:val="0"/>
          <w:vertAlign w:val="superscript"/>
        </w:rPr>
        <w:footnoteReference w:id="37"/>
      </w:r>
    </w:p>
    <w:p>
      <w:pPr>
        <w:pStyle w:val="Body A"/>
        <w:rPr>
          <w:rFonts w:ascii="Times New Roman" w:cs="Times New Roman" w:hAnsi="Times New Roman" w:eastAsia="Times New Roman"/>
          <w:b w:val="1"/>
          <w:bCs w:val="1"/>
        </w:rPr>
      </w:pPr>
    </w:p>
    <w:p>
      <w:pPr>
        <w:pStyle w:val="Heading Reg"/>
      </w:pPr>
      <w:r>
        <w:rPr>
          <w:rFonts w:cs="Arial Unicode MS" w:eastAsia="Arial Unicode MS"/>
          <w:rtl w:val="0"/>
          <w:lang w:val="en-US"/>
        </w:rPr>
        <w:t>Topocosm of The Minoan Skyscape</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A </w:t>
      </w:r>
      <w:r>
        <w:rPr>
          <w:rFonts w:ascii="Times New Roman" w:hAnsi="Times New Roman"/>
          <w:rtl w:val="0"/>
          <w:lang w:val="en-US"/>
        </w:rPr>
        <w:t xml:space="preserve">diagrammatic analysis of </w:t>
      </w:r>
      <w:r>
        <w:rPr>
          <w:rFonts w:ascii="Times New Roman" w:hAnsi="Times New Roman"/>
          <w:rtl w:val="0"/>
          <w:lang w:val="en-US"/>
        </w:rPr>
        <w:t xml:space="preserve">a class of </w:t>
      </w:r>
      <w:r>
        <w:rPr>
          <w:rFonts w:ascii="Times New Roman" w:hAnsi="Times New Roman"/>
          <w:rtl w:val="0"/>
          <w:lang w:val="en-US"/>
        </w:rPr>
        <w:t xml:space="preserve">8 oval Minoan seals indicates </w:t>
      </w:r>
      <w:r>
        <w:rPr>
          <w:rFonts w:ascii="Times New Roman" w:hAnsi="Times New Roman"/>
          <w:rtl w:val="0"/>
          <w:lang w:val="en-US"/>
        </w:rPr>
        <w:t xml:space="preserve">possible </w:t>
      </w:r>
      <w:r>
        <w:rPr>
          <w:rFonts w:ascii="Times New Roman" w:hAnsi="Times New Roman"/>
          <w:rtl w:val="0"/>
          <w:lang w:val="it-IT"/>
        </w:rPr>
        <w:t>mimic</w:t>
      </w:r>
      <w:r>
        <w:rPr>
          <w:rFonts w:ascii="Times New Roman" w:hAnsi="Times New Roman"/>
          <w:rtl w:val="0"/>
          <w:lang w:val="en-US"/>
        </w:rPr>
        <w:t>ry of</w:t>
      </w:r>
      <w:r>
        <w:rPr>
          <w:rFonts w:ascii="Times New Roman" w:hAnsi="Times New Roman"/>
          <w:rtl w:val="0"/>
          <w:lang w:val="en-US"/>
        </w:rPr>
        <w:t xml:space="preserve"> the original elliptical circumference of Chamaizi</w:t>
      </w:r>
      <w:r>
        <w:rPr>
          <w:rFonts w:ascii="Times New Roman" w:hAnsi="Times New Roman" w:hint="default"/>
          <w:rtl w:val="1"/>
        </w:rPr>
        <w:t>’</w:t>
      </w:r>
      <w:r>
        <w:rPr>
          <w:rFonts w:ascii="Times New Roman" w:hAnsi="Times New Roman"/>
          <w:rtl w:val="0"/>
          <w:lang w:val="en-US"/>
        </w:rPr>
        <w:t>s outer wall</w:t>
      </w:r>
      <w:r>
        <w:rPr>
          <w:rFonts w:ascii="Times New Roman" w:hAnsi="Times New Roman"/>
          <w:rtl w:val="0"/>
          <w:lang w:val="en-US"/>
        </w:rPr>
        <w:t xml:space="preserve"> </w:t>
      </w:r>
      <w:r>
        <w:rPr>
          <w:rFonts w:ascii="Times New Roman" w:hAnsi="Times New Roman"/>
          <w:rtl w:val="0"/>
        </w:rPr>
        <w:t>(</w:t>
      </w:r>
      <w:r>
        <w:rPr>
          <w:rFonts w:ascii="Times New Roman" w:hAnsi="Times New Roman"/>
          <w:rtl w:val="0"/>
          <w:lang w:val="en-US"/>
        </w:rPr>
        <w:t>f</w:t>
      </w:r>
      <w:r>
        <w:rPr>
          <w:rFonts w:ascii="Times New Roman" w:hAnsi="Times New Roman"/>
          <w:rtl w:val="0"/>
        </w:rPr>
        <w:t>ig</w:t>
      </w:r>
      <w:r>
        <w:rPr>
          <w:rFonts w:ascii="Times New Roman" w:hAnsi="Times New Roman"/>
          <w:rtl w:val="0"/>
          <w:lang w:val="en-US"/>
        </w:rPr>
        <w:t>.</w:t>
      </w:r>
      <w:r>
        <w:rPr>
          <w:rFonts w:ascii="Times New Roman" w:hAnsi="Times New Roman" w:hint="default"/>
          <w:rtl w:val="0"/>
          <w:lang w:val="en-US"/>
        </w:rPr>
        <w:t>’</w:t>
      </w:r>
      <w:r>
        <w:rPr>
          <w:rFonts w:ascii="Times New Roman" w:hAnsi="Times New Roman"/>
          <w:rtl w:val="0"/>
          <w:lang w:val="en-US"/>
        </w:rPr>
        <w:t>s 6, 7</w:t>
      </w:r>
      <w:r>
        <w:rPr>
          <w:rFonts w:ascii="Times New Roman" w:hAnsi="Times New Roman"/>
          <w:rtl w:val="0"/>
        </w:rPr>
        <w:t>).</w:t>
      </w:r>
      <w:r>
        <w:rPr>
          <w:rFonts w:ascii="Times New Roman" w:hAnsi="Times New Roman"/>
          <w:rtl w:val="0"/>
          <w:lang w:val="en-US"/>
        </w:rPr>
        <w:t xml:space="preserve"> The sanctity of this shape may be attested in Minoan seals that depict a sacred oval stone, the baetyl with the </w:t>
      </w:r>
      <w:r>
        <w:rPr>
          <w:rFonts w:ascii="Times New Roman" w:hAnsi="Times New Roman" w:hint="default"/>
          <w:rtl w:val="0"/>
          <w:lang w:val="en-US"/>
        </w:rPr>
        <w:t>‘</w:t>
      </w:r>
      <w:r>
        <w:rPr>
          <w:rFonts w:ascii="Times New Roman" w:hAnsi="Times New Roman"/>
          <w:rtl w:val="0"/>
          <w:lang w:val="en-US"/>
        </w:rPr>
        <w:t>floating</w:t>
      </w:r>
      <w:r>
        <w:rPr>
          <w:rFonts w:ascii="Times New Roman" w:hAnsi="Times New Roman" w:hint="default"/>
          <w:rtl w:val="0"/>
          <w:lang w:val="en-US"/>
        </w:rPr>
        <w:t xml:space="preserve">’ </w:t>
      </w:r>
      <w:r>
        <w:rPr>
          <w:rFonts w:ascii="Times New Roman" w:hAnsi="Times New Roman"/>
          <w:rtl w:val="0"/>
          <w:lang w:val="en-US"/>
        </w:rPr>
        <w:t xml:space="preserve">wheat above (fig. 8). The Minoan baetyl finds a parallel in the Greek tradition of the omphalos stone, meaning </w:t>
      </w:r>
      <w:r>
        <w:rPr>
          <w:rFonts w:ascii="Times New Roman" w:hAnsi="Times New Roman" w:hint="default"/>
          <w:rtl w:val="0"/>
          <w:lang w:val="en-US"/>
        </w:rPr>
        <w:t>‘</w:t>
      </w:r>
      <w:r>
        <w:rPr>
          <w:rFonts w:ascii="Times New Roman" w:hAnsi="Times New Roman"/>
          <w:rtl w:val="0"/>
          <w:lang w:val="en-US"/>
        </w:rPr>
        <w:t>navel</w:t>
      </w:r>
      <w:r>
        <w:rPr>
          <w:rFonts w:ascii="Times New Roman" w:hAnsi="Times New Roman" w:hint="default"/>
          <w:rtl w:val="0"/>
          <w:lang w:val="en-US"/>
        </w:rPr>
        <w:t>’</w:t>
      </w:r>
      <w:r>
        <w:rPr>
          <w:rFonts w:ascii="Times New Roman" w:hAnsi="Times New Roman"/>
          <w:rtl w:val="0"/>
          <w:lang w:val="en-US"/>
        </w:rPr>
        <w:t>, placed in temples throughout Greece.</w:t>
      </w:r>
      <w:r>
        <w:rPr>
          <w:rFonts w:ascii="Times New Roman" w:hAnsi="Times New Roman"/>
          <w:b w:val="1"/>
          <w:bCs w:val="1"/>
          <w:rtl w:val="0"/>
          <w:lang w:val="en-US"/>
        </w:rPr>
        <w:t xml:space="preserve"> </w:t>
      </w:r>
      <w:r>
        <w:rPr>
          <w:rFonts w:ascii="Times New Roman" w:hAnsi="Times New Roman"/>
          <w:rtl w:val="0"/>
          <w:lang w:val="en-US"/>
        </w:rPr>
        <w:t xml:space="preserve">Despite being a </w:t>
      </w:r>
      <w:r>
        <w:rPr>
          <w:rFonts w:ascii="Times New Roman" w:hAnsi="Times New Roman"/>
          <w:i w:val="1"/>
          <w:iCs w:val="1"/>
          <w:rtl w:val="0"/>
          <w:lang w:val="en-US"/>
        </w:rPr>
        <w:t>sui generis</w:t>
      </w:r>
      <w:r>
        <w:rPr>
          <w:rFonts w:ascii="Times New Roman" w:hAnsi="Times New Roman"/>
          <w:rtl w:val="0"/>
          <w:lang w:val="en-US"/>
        </w:rPr>
        <w:t xml:space="preserve"> example </w:t>
      </w:r>
      <w:r>
        <w:rPr>
          <w:rFonts w:ascii="Times New Roman" w:hAnsi="Times New Roman"/>
          <w:rtl w:val="0"/>
          <w:lang w:val="en-US"/>
        </w:rPr>
        <w:t>of this type of Minoan construction, this analysis suggests that the site</w:t>
      </w:r>
      <w:r>
        <w:rPr>
          <w:rFonts w:ascii="Times New Roman" w:hAnsi="Times New Roman" w:hint="default"/>
          <w:rtl w:val="0"/>
          <w:lang w:val="en-US"/>
        </w:rPr>
        <w:t>’</w:t>
      </w:r>
      <w:r>
        <w:rPr>
          <w:rFonts w:ascii="Times New Roman" w:hAnsi="Times New Roman"/>
          <w:rtl w:val="0"/>
          <w:lang w:val="en-US"/>
        </w:rPr>
        <w:t xml:space="preserve">s architecture contains </w:t>
      </w:r>
      <w:r>
        <w:rPr>
          <w:rFonts w:ascii="Times New Roman" w:hAnsi="Times New Roman"/>
          <w:rtl w:val="0"/>
        </w:rPr>
        <w:t xml:space="preserve">archetypal </w:t>
      </w:r>
      <w:r>
        <w:rPr>
          <w:rFonts w:ascii="Times New Roman" w:hAnsi="Times New Roman"/>
          <w:rtl w:val="0"/>
          <w:lang w:val="en-US"/>
        </w:rPr>
        <w:t>geometry of special significance to the Minoans.</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1874868" cy="1503701"/>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eals.jpg"/>
                    <pic:cNvPicPr>
                      <a:picLocks noChangeAspect="1"/>
                    </pic:cNvPicPr>
                  </pic:nvPicPr>
                  <pic:blipFill>
                    <a:blip r:embed="rId11">
                      <a:extLst/>
                    </a:blip>
                    <a:stretch>
                      <a:fillRect/>
                    </a:stretch>
                  </pic:blipFill>
                  <pic:spPr>
                    <a:xfrm>
                      <a:off x="0" y="0"/>
                      <a:ext cx="1874868" cy="1503701"/>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1694619" cy="1540999"/>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a:picLocks noChangeAspect="1"/>
                    </pic:cNvPicPr>
                  </pic:nvPicPr>
                  <pic:blipFill>
                    <a:blip r:embed="rId12">
                      <a:extLst/>
                    </a:blip>
                    <a:stretch>
                      <a:fillRect/>
                    </a:stretch>
                  </pic:blipFill>
                  <pic:spPr>
                    <a:xfrm>
                      <a:off x="0" y="0"/>
                      <a:ext cx="1694619" cy="1540999"/>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2313889" cy="1395983"/>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ng"/>
                    <pic:cNvPicPr>
                      <a:picLocks noChangeAspect="1"/>
                    </pic:cNvPicPr>
                  </pic:nvPicPr>
                  <pic:blipFill>
                    <a:blip r:embed="rId13">
                      <a:extLst/>
                    </a:blip>
                    <a:stretch>
                      <a:fillRect/>
                    </a:stretch>
                  </pic:blipFill>
                  <pic:spPr>
                    <a:xfrm>
                      <a:off x="0" y="0"/>
                      <a:ext cx="2313889" cy="1395983"/>
                    </a:xfrm>
                    <a:prstGeom prst="rect">
                      <a:avLst/>
                    </a:prstGeom>
                    <a:ln w="12700" cap="flat">
                      <a:noFill/>
                      <a:miter lim="400000"/>
                    </a:ln>
                    <a:effectLst/>
                  </pic:spPr>
                </pic:pic>
              </a:graphicData>
            </a:graphic>
          </wp:inline>
        </w:drawing>
      </w:r>
    </w:p>
    <w:p>
      <w:pPr>
        <w:pStyle w:val="Image Caption"/>
      </w:pPr>
    </w:p>
    <w:p>
      <w:pPr>
        <w:pStyle w:val="Image Caption"/>
      </w:pPr>
      <w:r>
        <w:rPr>
          <w:b w:val="1"/>
          <w:bCs w:val="1"/>
          <w:rtl w:val="0"/>
          <w:lang w:val="en-US"/>
        </w:rPr>
        <w:t>Figure 6</w:t>
      </w:r>
      <w:r>
        <w:rPr>
          <w:rtl w:val="0"/>
        </w:rPr>
        <w:t xml:space="preserve">. Superimposed outlines of 8 oval Minoan seals. </w:t>
      </w:r>
      <w:r>
        <w:rPr>
          <w:b w:val="1"/>
          <w:bCs w:val="1"/>
          <w:rtl w:val="0"/>
          <w:lang w:val="en-US"/>
        </w:rPr>
        <w:t>Figure 7</w:t>
      </w:r>
      <w:r>
        <w:rPr>
          <w:rtl w:val="0"/>
        </w:rPr>
        <w:t>. Outlines overlaid on Chamaizi</w:t>
      </w:r>
      <w:r>
        <w:rPr>
          <w:rtl w:val="0"/>
        </w:rPr>
        <w:t>’</w:t>
      </w:r>
      <w:r>
        <w:rPr>
          <w:rtl w:val="0"/>
        </w:rPr>
        <w:t xml:space="preserve">s elliptical outer walls. </w:t>
      </w:r>
      <w:r>
        <w:rPr>
          <w:b w:val="1"/>
          <w:bCs w:val="1"/>
          <w:rtl w:val="0"/>
          <w:lang w:val="en-US"/>
        </w:rPr>
        <w:t>Figure 8</w:t>
      </w:r>
      <w:r>
        <w:rPr>
          <w:rtl w:val="0"/>
        </w:rPr>
        <w:t>. Ring. Selopoulo. CMS Archives IIS - 1034.</w:t>
      </w:r>
    </w:p>
    <w:p>
      <w:pPr>
        <w:pStyle w:val="Image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The astronomical measurements indicate that wall (B) was aimed at the southern major lunar standstill at the time of Chamaizi</w:t>
      </w:r>
      <w:r>
        <w:rPr>
          <w:rFonts w:ascii="Times New Roman" w:hAnsi="Times New Roman" w:hint="default"/>
          <w:rtl w:val="0"/>
          <w:lang w:val="en-US"/>
        </w:rPr>
        <w:t>’</w:t>
      </w:r>
      <w:r>
        <w:rPr>
          <w:rFonts w:ascii="Times New Roman" w:hAnsi="Times New Roman"/>
          <w:rtl w:val="0"/>
          <w:lang w:val="en-US"/>
        </w:rPr>
        <w:t xml:space="preserve">s construction. </w:t>
      </w:r>
      <w:r>
        <w:rPr>
          <w:rFonts w:ascii="Times New Roman" w:hAnsi="Times New Roman"/>
          <w:rtl w:val="0"/>
        </w:rPr>
        <w:t>Henriksson and Blomberg</w:t>
      </w:r>
      <w:r>
        <w:rPr>
          <w:rFonts w:ascii="Times New Roman" w:hAnsi="Times New Roman"/>
          <w:rtl w:val="0"/>
          <w:lang w:val="en-US"/>
        </w:rPr>
        <w:t xml:space="preserve"> also found alignments to the </w:t>
      </w:r>
      <w:r>
        <w:rPr>
          <w:rFonts w:ascii="Times New Roman" w:hAnsi="Times New Roman"/>
          <w:rtl w:val="0"/>
          <w:lang w:val="en-US"/>
        </w:rPr>
        <w:t>southern major lunar standstill</w:t>
      </w:r>
      <w:r>
        <w:rPr>
          <w:rFonts w:ascii="Times New Roman" w:hAnsi="Times New Roman"/>
          <w:rtl w:val="0"/>
          <w:lang w:val="en-US"/>
        </w:rPr>
        <w:t xml:space="preserve"> in the Minoan palace of Zakros.</w:t>
      </w:r>
      <w:r>
        <w:rPr>
          <w:rFonts w:ascii="Times New Roman" w:cs="Times New Roman" w:hAnsi="Times New Roman" w:eastAsia="Times New Roman"/>
          <w:vertAlign w:val="superscript"/>
        </w:rPr>
        <w:footnoteReference w:id="38"/>
      </w:r>
      <w:r>
        <w:rPr>
          <w:rFonts w:ascii="Times New Roman" w:hAnsi="Times New Roman"/>
          <w:rtl w:val="0"/>
          <w:lang w:val="en-US"/>
        </w:rPr>
        <w:t xml:space="preserve"> Coincidentally, wall (B)</w:t>
      </w:r>
      <w:r>
        <w:rPr>
          <w:rFonts w:ascii="Times New Roman" w:hAnsi="Times New Roman" w:hint="default"/>
          <w:rtl w:val="0"/>
          <w:lang w:val="en-US"/>
        </w:rPr>
        <w:t>’</w:t>
      </w:r>
      <w:r>
        <w:rPr>
          <w:rFonts w:ascii="Times New Roman" w:hAnsi="Times New Roman"/>
          <w:rtl w:val="0"/>
          <w:lang w:val="en-US"/>
        </w:rPr>
        <w:t xml:space="preserve">s azimuth also pointed at the declination of Corona Australis, the Greek southern laurel wreath constellation. </w:t>
      </w:r>
      <w:r>
        <w:rPr>
          <w:rFonts w:ascii="Times New Roman" w:hAnsi="Times New Roman"/>
          <w:rtl w:val="0"/>
          <w:lang w:val="en-US"/>
        </w:rPr>
        <w:t xml:space="preserve">Although </w:t>
      </w:r>
      <w:r>
        <w:rPr>
          <w:rFonts w:ascii="Times New Roman" w:hAnsi="Times New Roman"/>
          <w:rtl w:val="0"/>
          <w:lang w:val="en-US"/>
        </w:rPr>
        <w:t>it is difficult to prove intentionality</w:t>
      </w:r>
      <w:r>
        <w:rPr>
          <w:rFonts w:ascii="Times New Roman" w:hAnsi="Times New Roman"/>
          <w:rtl w:val="0"/>
          <w:lang w:val="en-US"/>
        </w:rPr>
        <w:t>, the elliptical shape of Chamaizi</w:t>
      </w:r>
      <w:r>
        <w:rPr>
          <w:rFonts w:ascii="Times New Roman" w:hAnsi="Times New Roman" w:hint="default"/>
          <w:rtl w:val="1"/>
        </w:rPr>
        <w:t>’</w:t>
      </w:r>
      <w:r>
        <w:rPr>
          <w:rFonts w:ascii="Times New Roman" w:hAnsi="Times New Roman"/>
          <w:rtl w:val="0"/>
        </w:rPr>
        <w:t xml:space="preserve">s </w:t>
      </w:r>
      <w:r>
        <w:rPr>
          <w:rFonts w:ascii="Times New Roman" w:hAnsi="Times New Roman"/>
          <w:rtl w:val="0"/>
          <w:lang w:val="en-US"/>
        </w:rPr>
        <w:t xml:space="preserve">northern </w:t>
      </w:r>
      <w:r>
        <w:rPr>
          <w:rFonts w:ascii="Times New Roman" w:hAnsi="Times New Roman"/>
          <w:rtl w:val="0"/>
          <w:lang w:val="en-US"/>
        </w:rPr>
        <w:t xml:space="preserve">outer walls </w:t>
      </w:r>
      <w:r>
        <w:rPr>
          <w:rFonts w:ascii="Times New Roman" w:hAnsi="Times New Roman"/>
          <w:rtl w:val="0"/>
          <w:lang w:val="en-US"/>
        </w:rPr>
        <w:t>coincides</w:t>
      </w:r>
      <w:r>
        <w:rPr>
          <w:rFonts w:ascii="Times New Roman" w:hAnsi="Times New Roman"/>
          <w:rtl w:val="0"/>
          <w:lang w:val="en-US"/>
        </w:rPr>
        <w:t xml:space="preserve"> with the ovoid contours of </w:t>
      </w:r>
      <w:r>
        <w:rPr>
          <w:rFonts w:ascii="Times New Roman" w:hAnsi="Times New Roman"/>
          <w:rtl w:val="0"/>
          <w:lang w:val="en-US"/>
        </w:rPr>
        <w:t xml:space="preserve">the </w:t>
      </w:r>
      <w:r>
        <w:rPr>
          <w:rFonts w:ascii="Times New Roman" w:hAnsi="Times New Roman"/>
          <w:rtl w:val="0"/>
          <w:lang w:val="it-IT"/>
        </w:rPr>
        <w:t>Corona Australis constellation</w:t>
      </w:r>
      <w:r>
        <w:rPr>
          <w:rFonts w:ascii="Times New Roman" w:hAnsi="Times New Roman"/>
          <w:rtl w:val="0"/>
          <w:lang w:val="en-US"/>
        </w:rPr>
        <w:t xml:space="preserve"> (fig. 9)</w:t>
      </w:r>
      <w:r>
        <w:rPr>
          <w:rFonts w:ascii="Times New Roman" w:hAnsi="Times New Roman"/>
          <w:rtl w:val="0"/>
        </w:rPr>
        <w:t>.</w:t>
      </w:r>
      <w:r>
        <w:rPr>
          <w:rFonts w:ascii="Times New Roman" w:hAnsi="Times New Roman"/>
          <w:rtl w:val="0"/>
          <w:lang w:val="en-US"/>
        </w:rPr>
        <w:t xml:space="preserve"> This starry wreath, </w:t>
      </w:r>
      <w:r>
        <w:rPr>
          <w:rFonts w:ascii="Times New Roman" w:hAnsi="Times New Roman" w:hint="default"/>
          <w:rtl w:val="0"/>
        </w:rPr>
        <w:t>στεφανώ</w:t>
      </w:r>
      <w:r>
        <w:rPr>
          <w:rFonts w:ascii="Times New Roman" w:hAnsi="Times New Roman"/>
          <w:rtl w:val="0"/>
          <w:lang w:val="en-US"/>
        </w:rPr>
        <w:t xml:space="preserve">, was often associated with Apollo, however, Artemis also had the epithet, </w:t>
      </w:r>
      <w:r>
        <w:rPr>
          <w:rFonts w:ascii="Times New Roman" w:hAnsi="Times New Roman"/>
          <w:i w:val="1"/>
          <w:iCs w:val="1"/>
          <w:rtl w:val="0"/>
          <w:lang w:val="en-US"/>
        </w:rPr>
        <w:t>Daphnaia</w:t>
      </w:r>
      <w:r>
        <w:rPr>
          <w:rFonts w:ascii="Times New Roman" w:hAnsi="Times New Roman"/>
          <w:rtl w:val="0"/>
          <w:lang w:val="en-US"/>
        </w:rPr>
        <w:t xml:space="preserve">, meaning </w:t>
      </w:r>
      <w:r>
        <w:rPr>
          <w:rFonts w:ascii="Times New Roman" w:hAnsi="Times New Roman" w:hint="default"/>
          <w:rtl w:val="0"/>
          <w:lang w:val="en-US"/>
        </w:rPr>
        <w:t>‘</w:t>
      </w:r>
      <w:r>
        <w:rPr>
          <w:rFonts w:ascii="Times New Roman" w:hAnsi="Times New Roman"/>
          <w:rtl w:val="0"/>
          <w:lang w:val="en-US"/>
        </w:rPr>
        <w:t>of the laurels</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39"/>
      </w:r>
    </w:p>
    <w:p>
      <w:pPr>
        <w:pStyle w:val="Body A"/>
        <w:rPr>
          <w:rFonts w:ascii="Times New Roman" w:cs="Times New Roman" w:hAnsi="Times New Roman" w:eastAsia="Times New Roman"/>
        </w:rPr>
      </w:pPr>
    </w:p>
    <w:p>
      <w:pPr>
        <w:pStyle w:val="Image Caption"/>
        <w:rPr>
          <w:b w:val="1"/>
          <w:bCs w:val="1"/>
          <w:u w:val="single"/>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5943600" cy="2956956"/>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png"/>
                    <pic:cNvPicPr>
                      <a:picLocks noChangeAspect="1"/>
                    </pic:cNvPicPr>
                  </pic:nvPicPr>
                  <pic:blipFill>
                    <a:blip r:embed="rId14">
                      <a:extLst/>
                    </a:blip>
                    <a:stretch>
                      <a:fillRect/>
                    </a:stretch>
                  </pic:blipFill>
                  <pic:spPr>
                    <a:xfrm>
                      <a:off x="0" y="0"/>
                      <a:ext cx="5943600" cy="2956956"/>
                    </a:xfrm>
                    <a:prstGeom prst="rect">
                      <a:avLst/>
                    </a:prstGeom>
                    <a:ln w="12700" cap="flat">
                      <a:noFill/>
                      <a:miter lim="400000"/>
                    </a:ln>
                    <a:effectLst/>
                  </pic:spPr>
                </pic:pic>
              </a:graphicData>
            </a:graphic>
          </wp:inline>
        </w:drawing>
      </w:r>
    </w:p>
    <w:p>
      <w:pPr>
        <w:pStyle w:val="Image Caption"/>
      </w:pPr>
      <w:r>
        <w:rPr>
          <w:b w:val="1"/>
          <w:bCs w:val="1"/>
          <w:rtl w:val="0"/>
          <w:lang w:val="en-US"/>
        </w:rPr>
        <w:t>Chart 2</w:t>
      </w:r>
      <w:r>
        <w:rPr>
          <w:rtl w:val="0"/>
        </w:rPr>
        <w:t xml:space="preserve">. Corona Australis rising at the declination of the southern major lunar standstill as seen from Chamaizi, ca. 2000 </w:t>
      </w:r>
      <w:r>
        <w:rPr>
          <w:smallCaps w:val="1"/>
          <w:rtl w:val="0"/>
          <w:lang w:val="en-US"/>
        </w:rPr>
        <w:t>bce</w:t>
      </w:r>
      <w:r>
        <w:rPr>
          <w:rtl w:val="0"/>
        </w:rPr>
        <w:t>.</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The virgin huntress and lunar goddess, Artemis, was worshiped in the region of Chamaizi, as the local Britomartis. Flinterman cites Sporn, who identifies </w:t>
      </w:r>
      <w:r>
        <w:rPr>
          <w:rFonts w:ascii="Times New Roman" w:hAnsi="Times New Roman"/>
          <w:rtl w:val="0"/>
        </w:rPr>
        <w:t>Dictynna</w:t>
      </w:r>
      <w:r>
        <w:rPr>
          <w:rFonts w:ascii="Times New Roman" w:hAnsi="Times New Roman"/>
          <w:rtl w:val="0"/>
          <w:lang w:val="en-US"/>
        </w:rPr>
        <w:t>, syncretized with</w:t>
      </w:r>
      <w:r>
        <w:rPr>
          <w:rFonts w:ascii="Times New Roman" w:hAnsi="Times New Roman"/>
          <w:rtl w:val="0"/>
        </w:rPr>
        <w:t xml:space="preserve"> </w:t>
      </w:r>
      <w:r>
        <w:rPr>
          <w:rFonts w:ascii="Times New Roman" w:hAnsi="Times New Roman"/>
          <w:rtl w:val="0"/>
          <w:lang w:val="en-US"/>
        </w:rPr>
        <w:t>Britomartis, as wearing wreaths made of Dittany, an herb used to ease childbirth.</w:t>
      </w:r>
      <w:r>
        <w:rPr>
          <w:rFonts w:ascii="Times New Roman" w:cs="Times New Roman" w:hAnsi="Times New Roman" w:eastAsia="Times New Roman"/>
          <w:vertAlign w:val="superscript"/>
        </w:rPr>
        <w:footnoteReference w:id="40"/>
      </w:r>
      <w:r>
        <w:rPr>
          <w:rFonts w:ascii="Times New Roman" w:hAnsi="Times New Roman"/>
          <w:rtl w:val="0"/>
          <w:lang w:val="en-US"/>
        </w:rPr>
        <w:t xml:space="preserve"> Hesichus and Diodorus both mention Britomartis, whose name, according to Nilsson, is possibly a </w:t>
      </w:r>
      <w:r>
        <w:rPr>
          <w:rFonts w:ascii="Times New Roman" w:hAnsi="Times New Roman" w:hint="default"/>
          <w:rtl w:val="0"/>
          <w:lang w:val="en-US"/>
        </w:rPr>
        <w:t>‘</w:t>
      </w:r>
      <w:r>
        <w:rPr>
          <w:rFonts w:ascii="Times New Roman" w:hAnsi="Times New Roman"/>
          <w:rtl w:val="0"/>
          <w:lang w:val="en-US"/>
        </w:rPr>
        <w:t>scanty remain of the Minoan language</w:t>
      </w:r>
      <w:r>
        <w:rPr>
          <w:rFonts w:ascii="Times New Roman" w:hAnsi="Times New Roman" w:hint="default"/>
          <w:rtl w:val="0"/>
          <w:lang w:val="en-US"/>
        </w:rPr>
        <w:t xml:space="preserve">’ </w:t>
      </w:r>
      <w:r>
        <w:rPr>
          <w:rFonts w:ascii="Times New Roman" w:hAnsi="Times New Roman"/>
          <w:rtl w:val="0"/>
          <w:lang w:val="en-US"/>
        </w:rPr>
        <w:t>and who was worshipped in eastern Crete (where Chamaizi and Zakros are located).</w:t>
      </w:r>
      <w:r>
        <w:rPr>
          <w:rFonts w:ascii="Times New Roman" w:cs="Times New Roman" w:hAnsi="Times New Roman" w:eastAsia="Times New Roman"/>
          <w:vertAlign w:val="superscript"/>
        </w:rPr>
        <w:footnoteReference w:id="41"/>
      </w:r>
      <w:r>
        <w:rPr>
          <w:rFonts w:ascii="Times New Roman" w:hAnsi="Times New Roman"/>
          <w:rtl w:val="0"/>
          <w:lang w:val="en-US"/>
        </w:rPr>
        <w:t xml:space="preserve"> Solinus' folk etymology cites Britomartis</w:t>
      </w:r>
      <w:r>
        <w:rPr>
          <w:rFonts w:ascii="Times New Roman" w:hAnsi="Times New Roman" w:hint="default"/>
          <w:rtl w:val="0"/>
          <w:lang w:val="en-US"/>
        </w:rPr>
        <w:t xml:space="preserve">’ </w:t>
      </w:r>
      <w:r>
        <w:rPr>
          <w:rFonts w:ascii="Times New Roman" w:hAnsi="Times New Roman"/>
          <w:rtl w:val="0"/>
          <w:lang w:val="en-US"/>
        </w:rPr>
        <w:t xml:space="preserve">name as meaning </w:t>
      </w:r>
      <w:r>
        <w:rPr>
          <w:rFonts w:ascii="Times New Roman" w:hAnsi="Times New Roman"/>
          <w:i w:val="1"/>
          <w:iCs w:val="1"/>
          <w:rtl w:val="0"/>
          <w:lang w:val="it-IT"/>
        </w:rPr>
        <w:t>virgo dulcis</w:t>
      </w:r>
      <w:r>
        <w:rPr>
          <w:rFonts w:ascii="Times New Roman" w:hAnsi="Times New Roman"/>
          <w:rtl w:val="0"/>
          <w:lang w:val="en-US"/>
        </w:rPr>
        <w:t xml:space="preserve">, or </w:t>
      </w:r>
      <w:r>
        <w:rPr>
          <w:rFonts w:ascii="Times New Roman" w:hAnsi="Times New Roman" w:hint="default"/>
          <w:rtl w:val="0"/>
          <w:lang w:val="en-US"/>
        </w:rPr>
        <w:t>‘</w:t>
      </w:r>
      <w:r>
        <w:rPr>
          <w:rFonts w:ascii="Times New Roman" w:hAnsi="Times New Roman"/>
          <w:rtl w:val="0"/>
          <w:lang w:val="en-US"/>
        </w:rPr>
        <w:t>sweet virgin</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42"/>
      </w:r>
      <w:r>
        <w:rPr>
          <w:rFonts w:ascii="Times New Roman" w:hAnsi="Times New Roman"/>
          <w:rtl w:val="0"/>
          <w:lang w:val="en-US"/>
        </w:rPr>
        <w:t xml:space="preserve"> Eventually, the deity was demoted to nymph status, although she was said to be </w:t>
      </w:r>
      <w:r>
        <w:rPr>
          <w:rFonts w:ascii="Times New Roman" w:hAnsi="Times New Roman" w:hint="default"/>
          <w:rtl w:val="0"/>
          <w:lang w:val="en-US"/>
        </w:rPr>
        <w:t>‘</w:t>
      </w:r>
      <w:r>
        <w:rPr>
          <w:rFonts w:ascii="Times New Roman" w:hAnsi="Times New Roman"/>
          <w:rtl w:val="0"/>
          <w:lang w:val="en-US"/>
        </w:rPr>
        <w:t>the most loved</w:t>
      </w:r>
      <w:r>
        <w:rPr>
          <w:rFonts w:ascii="Times New Roman" w:hAnsi="Times New Roman" w:hint="default"/>
          <w:rtl w:val="0"/>
          <w:lang w:val="en-US"/>
        </w:rPr>
        <w:t xml:space="preserve">’ </w:t>
      </w:r>
      <w:r>
        <w:rPr>
          <w:rFonts w:ascii="Times New Roman" w:hAnsi="Times New Roman"/>
          <w:rtl w:val="0"/>
          <w:lang w:val="en-US"/>
        </w:rPr>
        <w:t>of Artemis.</w:t>
      </w:r>
      <w:r>
        <w:rPr>
          <w:rFonts w:ascii="Times New Roman" w:cs="Times New Roman" w:hAnsi="Times New Roman" w:eastAsia="Times New Roman"/>
          <w:vertAlign w:val="superscript"/>
        </w:rPr>
        <w:footnoteReference w:id="43"/>
      </w:r>
      <w:r>
        <w:rPr>
          <w:rFonts w:ascii="Times New Roman" w:hAnsi="Times New Roman"/>
          <w:rtl w:val="0"/>
          <w:lang w:val="en-US"/>
        </w:rPr>
        <w:t xml:space="preserve"> Britomartis, like Artemis, was identified with the moon, as evidenced by her link with the lunar </w:t>
      </w:r>
      <w:r>
        <w:rPr>
          <w:rFonts w:ascii="Times New Roman" w:hAnsi="Times New Roman"/>
          <w:rtl w:val="0"/>
        </w:rPr>
        <w:t>Aeginetan Aphaea</w:t>
      </w:r>
      <w:r>
        <w:rPr>
          <w:rFonts w:ascii="Times New Roman" w:hAnsi="Times New Roman"/>
          <w:rtl w:val="0"/>
          <w:lang w:val="en-US"/>
        </w:rPr>
        <w:t>, and also by some coins of the Roman empire depicting Dictynna, with the crescent.</w:t>
      </w:r>
      <w:r>
        <w:rPr>
          <w:rFonts w:ascii="Times New Roman" w:cs="Times New Roman" w:hAnsi="Times New Roman" w:eastAsia="Times New Roman"/>
          <w:vertAlign w:val="superscript"/>
        </w:rPr>
        <w:footnoteReference w:id="44"/>
      </w:r>
      <w:r>
        <w:rPr>
          <w:rFonts w:ascii="Times New Roman" w:hAnsi="Times New Roman"/>
          <w:rtl w:val="0"/>
          <w:lang w:val="en-US"/>
        </w:rPr>
        <w:t xml:space="preserve"> </w:t>
      </w:r>
      <w:r>
        <w:rPr>
          <w:rFonts w:ascii="Times New Roman" w:hAnsi="Times New Roman"/>
          <w:rtl w:val="0"/>
          <w:lang w:val="en-US"/>
        </w:rPr>
        <w:t xml:space="preserve">As such, the </w:t>
      </w:r>
      <w:r>
        <w:rPr>
          <w:rFonts w:ascii="Times New Roman" w:hAnsi="Times New Roman"/>
          <w:rtl w:val="0"/>
          <w:lang w:val="en-US"/>
        </w:rPr>
        <w:t>hypothesis</w:t>
      </w:r>
      <w:r>
        <w:rPr>
          <w:rFonts w:ascii="Times New Roman" w:hAnsi="Times New Roman"/>
          <w:rtl w:val="0"/>
          <w:lang w:val="en-US"/>
        </w:rPr>
        <w:t xml:space="preserve"> that Chamaizi was purposefully orientated to and mirrored Corona Australis, marking the southern major lunar standstill, is reinforced by the shape</w:t>
      </w:r>
      <w:r>
        <w:rPr>
          <w:rFonts w:ascii="Times New Roman" w:hAnsi="Times New Roman" w:hint="default"/>
          <w:rtl w:val="1"/>
        </w:rPr>
        <w:t>’</w:t>
      </w:r>
      <w:r>
        <w:rPr>
          <w:rFonts w:ascii="Times New Roman" w:hAnsi="Times New Roman"/>
          <w:rtl w:val="0"/>
          <w:lang w:val="en-US"/>
        </w:rPr>
        <w:t xml:space="preserve">s replication in Minoan art. </w:t>
      </w:r>
      <w:r>
        <w:rPr>
          <w:rFonts w:ascii="Times New Roman" w:hAnsi="Times New Roman"/>
          <w:rtl w:val="0"/>
          <w:lang w:val="en-US"/>
        </w:rPr>
        <w:t>It</w:t>
      </w:r>
      <w:r>
        <w:rPr>
          <w:rFonts w:ascii="Times New Roman" w:hAnsi="Times New Roman"/>
          <w:rtl w:val="0"/>
          <w:lang w:val="en-US"/>
        </w:rPr>
        <w:t xml:space="preserve"> is </w:t>
      </w:r>
      <w:r>
        <w:rPr>
          <w:rFonts w:ascii="Times New Roman" w:hAnsi="Times New Roman"/>
          <w:rtl w:val="0"/>
          <w:lang w:val="en-US"/>
        </w:rPr>
        <w:t xml:space="preserve">also </w:t>
      </w:r>
      <w:r>
        <w:rPr>
          <w:rFonts w:ascii="Times New Roman" w:hAnsi="Times New Roman"/>
          <w:rtl w:val="0"/>
          <w:lang w:val="en-US"/>
        </w:rPr>
        <w:t>historically evidenced by local cults to a Cretan Artemis, a lunar goddess, associated with wells and purification</w:t>
      </w:r>
      <w:r>
        <w:rPr>
          <w:rFonts w:ascii="Times New Roman" w:hAnsi="Times New Roman"/>
          <w:rtl w:val="0"/>
          <w:lang w:val="en-US"/>
        </w:rPr>
        <w:t>, and who was later depicted wearing wreaths.</w:t>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2629599" cy="2235499"/>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filtered.png"/>
                    <pic:cNvPicPr>
                      <a:picLocks noChangeAspect="1"/>
                    </pic:cNvPicPr>
                  </pic:nvPicPr>
                  <pic:blipFill>
                    <a:blip r:embed="rId15">
                      <a:extLst/>
                    </a:blip>
                    <a:stretch>
                      <a:fillRect/>
                    </a:stretch>
                  </pic:blipFill>
                  <pic:spPr>
                    <a:xfrm>
                      <a:off x="0" y="0"/>
                      <a:ext cx="2629599" cy="2235499"/>
                    </a:xfrm>
                    <a:prstGeom prst="rect">
                      <a:avLst/>
                    </a:prstGeom>
                    <a:ln w="12700" cap="flat">
                      <a:noFill/>
                      <a:miter lim="400000"/>
                    </a:ln>
                    <a:effectLst/>
                  </pic:spPr>
                </pic:pic>
              </a:graphicData>
            </a:graphic>
          </wp:inline>
        </w:drawing>
      </w:r>
    </w:p>
    <w:p>
      <w:pPr>
        <w:pStyle w:val="Image Caption"/>
      </w:pPr>
      <w:r>
        <w:rPr>
          <w:b w:val="1"/>
          <w:bCs w:val="1"/>
          <w:rtl w:val="0"/>
          <w:lang w:val="en-US"/>
        </w:rPr>
        <w:t>Figure 9</w:t>
      </w:r>
      <w:r>
        <w:rPr>
          <w:rtl w:val="0"/>
        </w:rPr>
        <w:t>. Corona Australis constellation outline overlaid on Chamaizi</w:t>
      </w:r>
      <w:r>
        <w:rPr>
          <w:rtl w:val="0"/>
        </w:rPr>
        <w:t>’</w:t>
      </w:r>
      <w:r>
        <w:rPr>
          <w:rtl w:val="0"/>
        </w:rPr>
        <w:t>s outer wall.</w:t>
      </w:r>
    </w:p>
    <w:p>
      <w:pPr>
        <w:pStyle w:val="Image Caption"/>
      </w:pPr>
    </w:p>
    <w:p>
      <w:pPr>
        <w:pStyle w:val="Heading Reg"/>
      </w:pPr>
      <w:r>
        <w:rPr>
          <w:rFonts w:cs="Arial Unicode MS" w:eastAsia="Arial Unicode MS"/>
          <w:rtl w:val="0"/>
          <w:lang w:val="en-US"/>
        </w:rPr>
        <w:t>The Minoan Mother Goddess</w:t>
      </w:r>
    </w:p>
    <w:p>
      <w:pPr>
        <w:pStyle w:val="Heading Reg"/>
      </w:pPr>
    </w:p>
    <w:p>
      <w:pPr>
        <w:pStyle w:val="Body A"/>
        <w:rPr>
          <w:rFonts w:ascii="Times New Roman" w:cs="Times New Roman" w:hAnsi="Times New Roman" w:eastAsia="Times New Roman"/>
        </w:rPr>
      </w:pPr>
      <w:r>
        <w:rPr>
          <w:rFonts w:ascii="Times New Roman" w:hAnsi="Times New Roman"/>
          <w:rtl w:val="0"/>
          <w:lang w:val="en-US"/>
        </w:rPr>
        <w:t xml:space="preserve">According to Marinatos, </w:t>
      </w:r>
      <w:r>
        <w:rPr>
          <w:rFonts w:ascii="Times New Roman" w:hAnsi="Times New Roman" w:hint="default"/>
          <w:rtl w:val="0"/>
          <w:lang w:val="en-US"/>
        </w:rPr>
        <w:t>‘</w:t>
      </w:r>
      <w:r>
        <w:rPr>
          <w:rFonts w:ascii="Times New Roman" w:hAnsi="Times New Roman"/>
          <w:rtl w:val="0"/>
          <w:lang w:val="en-US"/>
        </w:rPr>
        <w:t>that a powerful goddess of nature was the chief deity of the Minoans[</w:t>
      </w:r>
      <w:r>
        <w:rPr>
          <w:rFonts w:ascii="Times New Roman" w:hAnsi="Times New Roman" w:hint="default"/>
          <w:rtl w:val="0"/>
          <w:lang w:val="en-US"/>
        </w:rPr>
        <w:t>…</w:t>
      </w:r>
      <w:r>
        <w:rPr>
          <w:rFonts w:ascii="Times New Roman" w:hAnsi="Times New Roman"/>
          <w:rtl w:val="0"/>
          <w:lang w:val="en-US"/>
        </w:rPr>
        <w:t>] has never been seriously questioned,</w:t>
      </w:r>
      <w:r>
        <w:rPr>
          <w:rFonts w:ascii="Times New Roman" w:hAnsi="Times New Roman" w:hint="default"/>
          <w:rtl w:val="0"/>
          <w:lang w:val="en-US"/>
        </w:rPr>
        <w:t xml:space="preserve">’ </w:t>
      </w:r>
      <w:r>
        <w:rPr>
          <w:rFonts w:ascii="Times New Roman" w:hAnsi="Times New Roman"/>
          <w:rtl w:val="0"/>
          <w:lang w:val="en-US"/>
        </w:rPr>
        <w:t xml:space="preserve">and whose character revolves around </w:t>
      </w:r>
      <w:r>
        <w:rPr>
          <w:rFonts w:ascii="Times New Roman" w:hAnsi="Times New Roman" w:hint="default"/>
          <w:rtl w:val="0"/>
          <w:lang w:val="en-US"/>
        </w:rPr>
        <w:t>‘</w:t>
      </w:r>
      <w:r>
        <w:rPr>
          <w:rFonts w:ascii="Times New Roman" w:hAnsi="Times New Roman"/>
          <w:rtl w:val="0"/>
          <w:lang w:val="en-US"/>
        </w:rPr>
        <w:t>fertility and motherhood</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45"/>
      </w:r>
      <w:r>
        <w:rPr>
          <w:rFonts w:ascii="Times New Roman" w:hAnsi="Times New Roman"/>
          <w:rtl w:val="0"/>
          <w:lang w:val="en-US"/>
        </w:rPr>
        <w:t xml:space="preserve"> Flinterman suggests Dictynna may have in fact assisted in childbirth, further attested by her aforementioned wreath.</w:t>
      </w:r>
      <w:r>
        <w:rPr>
          <w:rFonts w:ascii="Times New Roman" w:cs="Times New Roman" w:hAnsi="Times New Roman" w:eastAsia="Times New Roman"/>
          <w:vertAlign w:val="superscript"/>
        </w:rPr>
        <w:footnoteReference w:id="46"/>
      </w:r>
      <w:r>
        <w:rPr>
          <w:rFonts w:ascii="Times New Roman" w:hAnsi="Times New Roman"/>
          <w:rtl w:val="0"/>
          <w:lang w:val="en-US"/>
        </w:rPr>
        <w:t xml:space="preserve"> Furthermore, the Amnissos cave, near Knossos, has been historically identified with the cave of </w:t>
      </w:r>
      <w:r>
        <w:rPr>
          <w:rFonts w:ascii="Times New Roman" w:hAnsi="Times New Roman"/>
          <w:rtl w:val="0"/>
          <w:lang w:val="de-DE"/>
        </w:rPr>
        <w:t>Eileithyia</w:t>
      </w:r>
      <w:r>
        <w:rPr>
          <w:rFonts w:ascii="Times New Roman" w:hAnsi="Times New Roman"/>
          <w:rtl w:val="0"/>
          <w:lang w:val="en-US"/>
        </w:rPr>
        <w:t xml:space="preserve">, the Greek goddess of birth. Sherds were found there from the </w:t>
      </w:r>
      <w:r>
        <w:rPr>
          <w:rFonts w:ascii="Times New Roman" w:hAnsi="Times New Roman" w:hint="default"/>
          <w:rtl w:val="0"/>
          <w:lang w:val="en-US"/>
        </w:rPr>
        <w:t>‘</w:t>
      </w:r>
      <w:r>
        <w:rPr>
          <w:rFonts w:ascii="Times New Roman" w:hAnsi="Times New Roman"/>
          <w:rtl w:val="0"/>
          <w:lang w:val="en-US"/>
        </w:rPr>
        <w:t>oldest times to the Roman days</w:t>
      </w:r>
      <w:r>
        <w:rPr>
          <w:rFonts w:ascii="Times New Roman" w:hAnsi="Times New Roman" w:hint="default"/>
          <w:rtl w:val="0"/>
          <w:lang w:val="en-US"/>
        </w:rPr>
        <w:t>’</w:t>
      </w:r>
      <w:r>
        <w:rPr>
          <w:rFonts w:ascii="Times New Roman" w:hAnsi="Times New Roman"/>
          <w:rtl w:val="0"/>
          <w:lang w:val="en-US"/>
        </w:rPr>
        <w:t>, and was mentioned by Homer as being sacred to the goddess.</w:t>
      </w:r>
      <w:r>
        <w:rPr>
          <w:rFonts w:ascii="Times New Roman" w:cs="Times New Roman" w:hAnsi="Times New Roman" w:eastAsia="Times New Roman"/>
          <w:vertAlign w:val="superscript"/>
        </w:rPr>
        <w:footnoteReference w:id="47"/>
      </w:r>
      <w:r>
        <w:rPr>
          <w:rFonts w:ascii="Times New Roman" w:hAnsi="Times New Roman"/>
          <w:rtl w:val="0"/>
          <w:lang w:val="en-US"/>
        </w:rPr>
        <w:t xml:space="preserve"> Nilsson, however, discounts this identification of the cave with the goddess.</w:t>
      </w:r>
      <w:r>
        <w:rPr>
          <w:rFonts w:ascii="Times New Roman" w:cs="Times New Roman" w:hAnsi="Times New Roman" w:eastAsia="Times New Roman"/>
          <w:vertAlign w:val="superscript"/>
        </w:rPr>
        <w:footnoteReference w:id="48"/>
      </w:r>
      <w:r>
        <w:rPr>
          <w:rFonts w:ascii="Times New Roman" w:hAnsi="Times New Roman"/>
          <w:rtl w:val="0"/>
          <w:lang w:val="en-US"/>
        </w:rPr>
        <w:t xml:space="preserve"> He does however propose that the philological evidence points to a pre-Greek origin to </w:t>
      </w:r>
      <w:r>
        <w:rPr>
          <w:rFonts w:ascii="Times New Roman" w:hAnsi="Times New Roman"/>
          <w:rtl w:val="0"/>
          <w:lang w:val="de-DE"/>
        </w:rPr>
        <w:t>Eileithyia</w:t>
      </w:r>
      <w:r>
        <w:rPr>
          <w:rFonts w:ascii="Times New Roman" w:hAnsi="Times New Roman"/>
          <w:rtl w:val="0"/>
          <w:lang w:val="en-US"/>
        </w:rPr>
        <w:t>.</w:t>
      </w:r>
      <w:r>
        <w:rPr>
          <w:rFonts w:ascii="Times New Roman" w:cs="Times New Roman" w:hAnsi="Times New Roman" w:eastAsia="Times New Roman"/>
          <w:vertAlign w:val="superscript"/>
        </w:rPr>
        <w:footnoteReference w:id="49"/>
      </w:r>
      <w:r>
        <w:rPr>
          <w:rFonts w:ascii="Times New Roman" w:hAnsi="Times New Roman"/>
          <w:rtl w:val="0"/>
          <w:lang w:val="en-US"/>
        </w:rPr>
        <w:t xml:space="preserve"> He elucidates the syncretization of Artemis and </w:t>
      </w:r>
      <w:r>
        <w:rPr>
          <w:rFonts w:ascii="Times New Roman" w:hAnsi="Times New Roman"/>
          <w:rtl w:val="0"/>
          <w:lang w:val="de-DE"/>
        </w:rPr>
        <w:t>Eileithyia</w:t>
      </w:r>
      <w:r>
        <w:rPr>
          <w:rFonts w:ascii="Times New Roman" w:hAnsi="Times New Roman"/>
          <w:rtl w:val="0"/>
          <w:lang w:val="en-US"/>
        </w:rPr>
        <w:t>, who also protected sacred wells:</w:t>
      </w:r>
    </w:p>
    <w:p>
      <w:pPr>
        <w:pStyle w:val="Body A"/>
        <w:rPr>
          <w:rFonts w:ascii="Times New Roman" w:cs="Times New Roman" w:hAnsi="Times New Roman" w:eastAsia="Times New Roman"/>
        </w:rPr>
      </w:pPr>
    </w:p>
    <w:p>
      <w:pPr>
        <w:pStyle w:val="Body A"/>
        <w:ind w:left="720" w:firstLine="0"/>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 xml:space="preserve">In her function of </w:t>
      </w:r>
      <w:r>
        <w:rPr>
          <w:rFonts w:ascii="Times New Roman" w:hAnsi="Times New Roman" w:hint="default"/>
          <w:rtl w:val="0"/>
        </w:rPr>
        <w:t>Λοχια</w:t>
      </w:r>
      <w:r>
        <w:rPr>
          <w:rFonts w:ascii="Times New Roman" w:hAnsi="Times New Roman"/>
          <w:rtl w:val="0"/>
          <w:lang w:val="en-US"/>
        </w:rPr>
        <w:t xml:space="preserve"> </w:t>
      </w:r>
      <w:r>
        <w:rPr>
          <w:rFonts w:ascii="Times New Roman" w:hAnsi="Times New Roman"/>
          <w:rtl w:val="0"/>
          <w:lang w:val="en-US"/>
        </w:rPr>
        <w:t>she is parallel to Eileithyia and is often surnamed thus, Artemis Eileithyia, especial</w:t>
      </w:r>
      <w:r>
        <w:rPr>
          <w:rFonts w:ascii="Times New Roman" w:hAnsi="Times New Roman"/>
          <w:rtl w:val="0"/>
          <w:lang w:val="en-US"/>
        </w:rPr>
        <w:t>ly</w:t>
      </w:r>
      <w:r>
        <w:rPr>
          <w:rFonts w:ascii="Times New Roman" w:hAnsi="Times New Roman"/>
          <w:rtl w:val="0"/>
          <w:lang w:val="en-US"/>
        </w:rPr>
        <w:t xml:space="preserve"> in Boeotia. Eileithyia appears, however, also as a goddess in her own right, and so far as her cults and her functions are known, she is always the goddess of childbirth, except at Paros where she was a healing goddess and had a sacred well</w:t>
      </w:r>
      <w:r>
        <w:rPr>
          <w:rFonts w:ascii="Times New Roman" w:hAnsi="Times New Roman"/>
          <w:rtl w:val="0"/>
          <w:lang w:val="en-US"/>
        </w:rPr>
        <w:t>.</w:t>
      </w:r>
      <w:r>
        <w:rPr>
          <w:rFonts w:ascii="Times New Roman" w:hAnsi="Times New Roman" w:hint="default"/>
          <w:rtl w:val="0"/>
          <w:lang w:val="en-US"/>
        </w:rPr>
        <w:t>’</w:t>
      </w:r>
      <w:r>
        <w:rPr>
          <w:rFonts w:ascii="Times New Roman" w:cs="Times New Roman" w:hAnsi="Times New Roman" w:eastAsia="Times New Roman"/>
          <w:vertAlign w:val="superscript"/>
        </w:rPr>
        <w:footnoteReference w:id="50"/>
      </w:r>
      <w:r>
        <w:rPr>
          <w:rFonts w:ascii="Times New Roman" w:hAnsi="Times New Roman"/>
          <w:rtl w:val="0"/>
          <w:lang w:val="en-US"/>
        </w:rPr>
        <w:t xml:space="preserve"> </w:t>
      </w:r>
    </w:p>
    <w:p>
      <w:pPr>
        <w:pStyle w:val="Body A"/>
        <w:ind w:firstLine="0"/>
        <w:rPr>
          <w:rFonts w:ascii="Times New Roman" w:cs="Times New Roman" w:hAnsi="Times New Roman" w:eastAsia="Times New Roman"/>
        </w:rPr>
      </w:pPr>
    </w:p>
    <w:p>
      <w:pPr>
        <w:pStyle w:val="Body A"/>
        <w:ind w:firstLine="0"/>
        <w:rPr>
          <w:rFonts w:ascii="Times New Roman" w:cs="Times New Roman" w:hAnsi="Times New Roman" w:eastAsia="Times New Roman"/>
        </w:rPr>
      </w:pPr>
      <w:r>
        <w:rPr>
          <w:rFonts w:ascii="Times New Roman" w:hAnsi="Times New Roman"/>
          <w:rtl w:val="0"/>
          <w:lang w:val="en-US"/>
        </w:rPr>
        <w:t xml:space="preserve">Despite being the virgin huntress of classical mythology, Artemis, was also a nature goddess and </w:t>
      </w:r>
      <w:r>
        <w:rPr>
          <w:rFonts w:ascii="Times New Roman" w:hAnsi="Times New Roman" w:hint="default"/>
          <w:rtl w:val="0"/>
          <w:lang w:val="en-US"/>
        </w:rPr>
        <w:t>‘</w:t>
      </w:r>
      <w:r>
        <w:rPr>
          <w:rFonts w:ascii="Times New Roman" w:hAnsi="Times New Roman"/>
          <w:rtl w:val="0"/>
          <w:lang w:val="en-US"/>
        </w:rPr>
        <w:t>mistress of the animals</w:t>
      </w:r>
      <w:r>
        <w:rPr>
          <w:rFonts w:ascii="Times New Roman" w:hAnsi="Times New Roman" w:hint="default"/>
          <w:rtl w:val="0"/>
          <w:lang w:val="en-US"/>
        </w:rPr>
        <w:t xml:space="preserve">’ </w:t>
      </w:r>
      <w:r>
        <w:rPr>
          <w:rFonts w:ascii="Times New Roman" w:hAnsi="Times New Roman"/>
          <w:rtl w:val="0"/>
          <w:lang w:val="en-US"/>
        </w:rPr>
        <w:t>justifying her function as goddess of childbirth.</w:t>
      </w:r>
      <w:r>
        <w:rPr>
          <w:rFonts w:ascii="Times New Roman" w:cs="Times New Roman" w:hAnsi="Times New Roman" w:eastAsia="Times New Roman"/>
          <w:vertAlign w:val="superscript"/>
        </w:rPr>
        <w:footnoteReference w:id="51"/>
      </w:r>
      <w:r>
        <w:rPr>
          <w:rFonts w:ascii="Times New Roman" w:hAnsi="Times New Roman"/>
          <w:rtl w:val="0"/>
          <w:lang w:val="en-US"/>
        </w:rPr>
        <w:t xml:space="preserve"> </w:t>
      </w:r>
    </w:p>
    <w:p>
      <w:pPr>
        <w:pStyle w:val="Body A"/>
        <w:ind w:firstLine="567"/>
        <w:rPr>
          <w:rFonts w:ascii="Times New Roman" w:cs="Times New Roman" w:hAnsi="Times New Roman" w:eastAsia="Times New Roman"/>
        </w:rPr>
      </w:pPr>
      <w:r>
        <w:rPr>
          <w:rFonts w:ascii="Times New Roman" w:hAnsi="Times New Roman"/>
          <w:rtl w:val="0"/>
          <w:lang w:val="en-US"/>
        </w:rPr>
        <w:t>The ancient Greeks identified the central hearth of their homes with the virginal goddess Hestia, where newborn babies were often carried around, as a homecoming ritual.</w:t>
      </w:r>
      <w:r>
        <w:rPr>
          <w:rFonts w:ascii="Times New Roman" w:cs="Times New Roman" w:hAnsi="Times New Roman" w:eastAsia="Times New Roman"/>
          <w:vertAlign w:val="superscript"/>
        </w:rPr>
        <w:footnoteReference w:id="52"/>
      </w:r>
      <w:r>
        <w:rPr>
          <w:rFonts w:ascii="Times New Roman" w:hAnsi="Times New Roman"/>
          <w:rtl w:val="0"/>
          <w:lang w:val="en-US"/>
        </w:rPr>
        <w:t xml:space="preserve"> A similar</w:t>
      </w:r>
      <w:r>
        <w:rPr>
          <w:rFonts w:ascii="Times New Roman" w:hAnsi="Times New Roman"/>
          <w:rtl w:val="0"/>
          <w:lang w:val="en-US"/>
        </w:rPr>
        <w:t xml:space="preserve"> notion of a house embedded with sacred feminine architecture </w:t>
      </w:r>
      <w:r>
        <w:rPr>
          <w:rFonts w:ascii="Times New Roman" w:hAnsi="Times New Roman"/>
          <w:rtl w:val="0"/>
          <w:lang w:val="en-US"/>
        </w:rPr>
        <w:t>may have been present in Chamaizi</w:t>
      </w:r>
      <w:r>
        <w:rPr>
          <w:rFonts w:ascii="Times New Roman" w:hAnsi="Times New Roman"/>
          <w:rtl w:val="0"/>
        </w:rPr>
        <w:t xml:space="preserve">. </w:t>
      </w:r>
      <w:r>
        <w:rPr>
          <w:rFonts w:ascii="Times New Roman" w:hAnsi="Times New Roman"/>
          <w:rtl w:val="0"/>
          <w:lang w:val="en-US"/>
        </w:rPr>
        <w:t xml:space="preserve">It can be proposed that </w:t>
      </w:r>
      <w:r>
        <w:rPr>
          <w:rFonts w:ascii="Times New Roman" w:hAnsi="Times New Roman"/>
          <w:rtl w:val="0"/>
        </w:rPr>
        <w:t>Chamaizi</w:t>
      </w:r>
      <w:r>
        <w:rPr>
          <w:rFonts w:ascii="Times New Roman" w:hAnsi="Times New Roman" w:hint="default"/>
          <w:rtl w:val="1"/>
        </w:rPr>
        <w:t>’</w:t>
      </w:r>
      <w:r>
        <w:rPr>
          <w:rFonts w:ascii="Times New Roman" w:hAnsi="Times New Roman"/>
          <w:rtl w:val="0"/>
          <w:lang w:val="en-US"/>
        </w:rPr>
        <w:t>s oval floor plan and its centralized cistern are visually evocative of a bare breast</w:t>
      </w:r>
      <w:r>
        <w:rPr>
          <w:rFonts w:ascii="Times New Roman" w:hAnsi="Times New Roman"/>
          <w:rtl w:val="0"/>
          <w:lang w:val="en-US"/>
        </w:rPr>
        <w:t xml:space="preserve"> or the Omphallic </w:t>
      </w:r>
      <w:r>
        <w:rPr>
          <w:rFonts w:ascii="Times New Roman" w:hAnsi="Times New Roman" w:hint="default"/>
          <w:rtl w:val="0"/>
          <w:lang w:val="en-US"/>
        </w:rPr>
        <w:t>‘</w:t>
      </w:r>
      <w:r>
        <w:rPr>
          <w:rFonts w:ascii="Times New Roman" w:hAnsi="Times New Roman"/>
          <w:rtl w:val="0"/>
          <w:lang w:val="en-US"/>
        </w:rPr>
        <w:t>navel</w:t>
      </w:r>
      <w:r>
        <w:rPr>
          <w:rFonts w:ascii="Times New Roman" w:hAnsi="Times New Roman" w:hint="default"/>
          <w:rtl w:val="0"/>
          <w:lang w:val="en-US"/>
        </w:rPr>
        <w:t xml:space="preserve">’ </w:t>
      </w:r>
      <w:r>
        <w:rPr>
          <w:rFonts w:ascii="Times New Roman" w:hAnsi="Times New Roman"/>
          <w:rtl w:val="0"/>
          <w:lang w:val="en-US"/>
        </w:rPr>
        <w:t>stone, which may have symbolized the Minoan mother goddess, whose purification rites were associated with marriage and childbirth</w:t>
      </w:r>
      <w:r>
        <w:rPr>
          <w:rFonts w:ascii="Times New Roman" w:hAnsi="Times New Roman"/>
          <w:rtl w:val="0"/>
        </w:rPr>
        <w:t>.</w:t>
      </w:r>
      <w:r>
        <w:rPr>
          <w:rFonts w:ascii="Times New Roman" w:hAnsi="Times New Roman"/>
          <w:rtl w:val="0"/>
          <w:lang w:val="en-US"/>
        </w:rPr>
        <w:t xml:space="preserve"> </w:t>
      </w:r>
      <w:r>
        <w:rPr>
          <w:rFonts w:ascii="Times New Roman" w:hAnsi="Times New Roman"/>
          <w:rtl w:val="0"/>
          <w:lang w:val="en-US"/>
        </w:rPr>
        <w:t xml:space="preserve">The Omphalos stone, and perhaps by extension the Minoan baetyl, was mythopoetically linked to fertility </w:t>
      </w:r>
      <w:r>
        <w:rPr>
          <w:rFonts w:ascii="Times New Roman" w:hAnsi="Times New Roman"/>
          <w:rtl w:val="0"/>
          <w:lang w:val="en-US"/>
        </w:rPr>
        <w:t>when</w:t>
      </w:r>
      <w:r>
        <w:rPr>
          <w:rFonts w:ascii="Times New Roman" w:hAnsi="Times New Roman"/>
          <w:rtl w:val="0"/>
          <w:lang w:val="en-US"/>
        </w:rPr>
        <w:t xml:space="preserve"> Rhea tricked Cronus into believing </w:t>
      </w:r>
      <w:r>
        <w:rPr>
          <w:rFonts w:ascii="Times New Roman" w:hAnsi="Times New Roman"/>
          <w:rtl w:val="0"/>
          <w:lang w:val="en-US"/>
        </w:rPr>
        <w:t>a</w:t>
      </w:r>
      <w:r>
        <w:rPr>
          <w:rFonts w:ascii="Times New Roman" w:hAnsi="Times New Roman"/>
          <w:rtl w:val="0"/>
          <w:lang w:val="en-US"/>
        </w:rPr>
        <w:t xml:space="preserve"> stone swaddled in clothes was his son Zeus, which he promptly swallowed.</w:t>
      </w:r>
    </w:p>
    <w:p>
      <w:pPr>
        <w:pStyle w:val="Body A"/>
        <w:ind w:firstLine="567"/>
        <w:rPr>
          <w:rFonts w:ascii="Times New Roman" w:cs="Times New Roman" w:hAnsi="Times New Roman" w:eastAsia="Times New Roman"/>
        </w:rPr>
      </w:pPr>
      <w:r>
        <w:rPr>
          <w:rFonts w:ascii="Times New Roman" w:hAnsi="Times New Roman"/>
          <w:rtl w:val="0"/>
          <w:lang w:val="en-US"/>
        </w:rPr>
        <w:t xml:space="preserve">Chamaizi is located in Sitia, where according to the oft-quoted legend, Dictaean </w:t>
      </w:r>
      <w:r>
        <w:rPr>
          <w:rFonts w:ascii="Times New Roman" w:hAnsi="Times New Roman"/>
          <w:rtl w:val="0"/>
          <w:lang w:val="en-US"/>
        </w:rPr>
        <w:t>Zeus was born</w:t>
      </w:r>
      <w:r>
        <w:rPr>
          <w:rFonts w:ascii="Times New Roman" w:hAnsi="Times New Roman"/>
          <w:rtl w:val="0"/>
          <w:lang w:val="en-US"/>
        </w:rPr>
        <w:t xml:space="preserve"> in a cave on the unidentified mountain of Dikte, hidden away from Cronus. There, the infant god, </w:t>
      </w:r>
      <w:r>
        <w:rPr>
          <w:rFonts w:ascii="Times New Roman" w:hAnsi="Times New Roman" w:hint="default"/>
          <w:rtl w:val="0"/>
          <w:lang w:val="en-US"/>
        </w:rPr>
        <w:t>‘</w:t>
      </w:r>
      <w:r>
        <w:rPr>
          <w:rFonts w:ascii="Times New Roman" w:hAnsi="Times New Roman"/>
          <w:rtl w:val="0"/>
          <w:lang w:val="en-US"/>
        </w:rPr>
        <w:t>was fed with the milk of the goat Amalthea</w:t>
      </w:r>
      <w:r>
        <w:rPr>
          <w:rFonts w:ascii="Times New Roman" w:hAnsi="Times New Roman"/>
          <w:rtl w:val="0"/>
          <w:lang w:val="en-US"/>
        </w:rPr>
        <w:t>[</w:t>
      </w:r>
      <w:r>
        <w:rPr>
          <w:rFonts w:ascii="Times New Roman" w:hAnsi="Times New Roman" w:hint="default"/>
          <w:rtl w:val="0"/>
          <w:lang w:val="en-US"/>
        </w:rPr>
        <w:t>…</w:t>
      </w:r>
      <w:r>
        <w:rPr>
          <w:rFonts w:ascii="Times New Roman" w:hAnsi="Times New Roman"/>
          <w:rtl w:val="0"/>
          <w:lang w:val="en-US"/>
        </w:rPr>
        <w:t xml:space="preserve">] </w:t>
      </w:r>
      <w:r>
        <w:rPr>
          <w:rFonts w:ascii="Times New Roman" w:hAnsi="Times New Roman"/>
          <w:rtl w:val="0"/>
          <w:lang w:val="en-US"/>
        </w:rPr>
        <w:t>more often said to be a nymph who nursed Zeus</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53"/>
      </w:r>
      <w:r>
        <w:rPr>
          <w:rFonts w:ascii="Times New Roman" w:hAnsi="Times New Roman"/>
          <w:rtl w:val="0"/>
          <w:lang w:val="en-US"/>
        </w:rPr>
        <w:t xml:space="preserve"> The role of Dictynna/Britomartis as </w:t>
      </w:r>
      <w:r>
        <w:rPr>
          <w:rFonts w:ascii="Times New Roman" w:hAnsi="Times New Roman"/>
          <w:i w:val="1"/>
          <w:iCs w:val="1"/>
          <w:rtl w:val="0"/>
          <w:lang w:val="fr-FR"/>
        </w:rPr>
        <w:t>kourotrophos</w:t>
      </w:r>
      <w:r>
        <w:rPr>
          <w:rFonts w:ascii="Times New Roman" w:hAnsi="Times New Roman"/>
          <w:rtl w:val="0"/>
          <w:lang w:val="en-US"/>
        </w:rPr>
        <w:t xml:space="preserve"> of Zeus is attested from regional coins dating from Hadrian</w:t>
      </w:r>
      <w:r>
        <w:rPr>
          <w:rFonts w:ascii="Times New Roman" w:hAnsi="Times New Roman" w:hint="default"/>
          <w:rtl w:val="0"/>
          <w:lang w:val="en-US"/>
        </w:rPr>
        <w:t>’</w:t>
      </w:r>
      <w:r>
        <w:rPr>
          <w:rFonts w:ascii="Times New Roman" w:hAnsi="Times New Roman"/>
          <w:rtl w:val="0"/>
          <w:lang w:val="en-US"/>
        </w:rPr>
        <w:t>s reign, which depict the goddess holding an infant.</w:t>
      </w:r>
      <w:r>
        <w:rPr>
          <w:rFonts w:ascii="Times New Roman" w:cs="Times New Roman" w:hAnsi="Times New Roman" w:eastAsia="Times New Roman"/>
          <w:vertAlign w:val="superscript"/>
        </w:rPr>
        <w:footnoteReference w:id="54"/>
      </w:r>
      <w:r>
        <w:rPr>
          <w:rFonts w:ascii="Times New Roman" w:hAnsi="Times New Roman"/>
          <w:rtl w:val="0"/>
          <w:lang w:val="en-US"/>
        </w:rPr>
        <w:t xml:space="preserve"> The Greek mytheme of the Cretan divine suckling is further evoked by a myriad of bare-breasted Minoan goddesses depicted on figurines and frescoes. The famous faience deity, though heavily reconstructed, is a well-suited example, whose most striking feature, according to Marinatos, </w:t>
      </w:r>
      <w:r>
        <w:rPr>
          <w:rFonts w:ascii="Times New Roman" w:hAnsi="Times New Roman" w:hint="default"/>
          <w:rtl w:val="0"/>
          <w:lang w:val="en-US"/>
        </w:rPr>
        <w:t>‘</w:t>
      </w:r>
      <w:r>
        <w:rPr>
          <w:rFonts w:ascii="Times New Roman" w:hAnsi="Times New Roman"/>
          <w:rtl w:val="0"/>
          <w:lang w:val="en-US"/>
        </w:rPr>
        <w:t xml:space="preserve">is the deep </w:t>
      </w:r>
      <w:r>
        <w:rPr>
          <w:rFonts w:ascii="Times New Roman" w:hAnsi="Times New Roman"/>
          <w:i w:val="1"/>
          <w:iCs w:val="1"/>
          <w:rtl w:val="0"/>
          <w:lang w:val="en-US"/>
        </w:rPr>
        <w:t>d</w:t>
      </w:r>
      <w:r>
        <w:rPr>
          <w:rFonts w:ascii="Times New Roman" w:hAnsi="Times New Roman" w:hint="default"/>
          <w:i w:val="1"/>
          <w:iCs w:val="1"/>
          <w:rtl w:val="0"/>
          <w:lang w:val="en-US"/>
        </w:rPr>
        <w:t>é</w:t>
      </w:r>
      <w:r>
        <w:rPr>
          <w:rFonts w:ascii="Times New Roman" w:hAnsi="Times New Roman"/>
          <w:i w:val="1"/>
          <w:iCs w:val="1"/>
          <w:rtl w:val="0"/>
          <w:lang w:val="en-US"/>
        </w:rPr>
        <w:t>colletage</w:t>
      </w:r>
      <w:r>
        <w:rPr>
          <w:rFonts w:ascii="Times New Roman" w:hAnsi="Times New Roman"/>
          <w:rtl w:val="0"/>
          <w:lang w:val="en-US"/>
        </w:rPr>
        <w:t xml:space="preserve"> which leaves the breasts exposed</w:t>
      </w:r>
      <w:r>
        <w:rPr>
          <w:rFonts w:ascii="Times New Roman" w:hAnsi="Times New Roman" w:hint="default"/>
          <w:rtl w:val="0"/>
          <w:lang w:val="en-US"/>
        </w:rPr>
        <w:t xml:space="preserve">’ </w:t>
      </w:r>
      <w:r>
        <w:rPr>
          <w:rFonts w:ascii="Times New Roman" w:hAnsi="Times New Roman"/>
          <w:rtl w:val="0"/>
          <w:lang w:val="en-US"/>
        </w:rPr>
        <w:t>(fig. 10).</w:t>
      </w:r>
      <w:r>
        <w:rPr>
          <w:rFonts w:ascii="Times New Roman" w:cs="Times New Roman" w:hAnsi="Times New Roman" w:eastAsia="Times New Roman"/>
          <w:vertAlign w:val="superscript"/>
        </w:rPr>
        <w:footnoteReference w:id="55"/>
      </w:r>
    </w:p>
    <w:p>
      <w:pPr>
        <w:pStyle w:val="Body A"/>
        <w:rPr>
          <w:rFonts w:ascii="Times New Roman" w:cs="Times New Roman" w:hAnsi="Times New Roman" w:eastAsia="Times New Roman"/>
        </w:rPr>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1852521" cy="2569488"/>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filtered.jpeg"/>
                    <pic:cNvPicPr>
                      <a:picLocks noChangeAspect="1"/>
                    </pic:cNvPicPr>
                  </pic:nvPicPr>
                  <pic:blipFill>
                    <a:blip r:embed="rId16">
                      <a:extLst/>
                    </a:blip>
                    <a:stretch>
                      <a:fillRect/>
                    </a:stretch>
                  </pic:blipFill>
                  <pic:spPr>
                    <a:xfrm>
                      <a:off x="0" y="0"/>
                      <a:ext cx="1852521" cy="2569488"/>
                    </a:xfrm>
                    <a:prstGeom prst="rect">
                      <a:avLst/>
                    </a:prstGeom>
                    <a:ln w="12700" cap="flat">
                      <a:noFill/>
                      <a:miter lim="400000"/>
                    </a:ln>
                    <a:effectLst/>
                  </pic:spPr>
                </pic:pic>
              </a:graphicData>
            </a:graphic>
          </wp:inline>
        </w:drawing>
      </w:r>
    </w:p>
    <w:p>
      <w:pPr>
        <w:pStyle w:val="Image Caption"/>
      </w:pPr>
      <w:r>
        <w:rPr>
          <w:b w:val="1"/>
          <w:bCs w:val="1"/>
          <w:rtl w:val="0"/>
          <w:lang w:val="en-US"/>
        </w:rPr>
        <w:t>Figure 10</w:t>
      </w:r>
      <w:r>
        <w:rPr>
          <w:rtl w:val="0"/>
        </w:rPr>
        <w:t xml:space="preserve">. </w:t>
      </w:r>
      <w:r>
        <w:rPr>
          <w:rtl w:val="0"/>
        </w:rPr>
        <w:t xml:space="preserve">Faience figurines of the Snake Goddess. </w:t>
      </w:r>
      <w:r>
        <w:rPr>
          <w:rtl w:val="0"/>
        </w:rPr>
        <w:t xml:space="preserve">Heraklion Archaeological Museum. Photograph by </w:t>
      </w:r>
      <w:r>
        <w:rPr>
          <w:rtl w:val="0"/>
        </w:rPr>
        <w:t>AlMare</w:t>
      </w:r>
      <w:r>
        <w:rPr>
          <w:rtl w:val="0"/>
        </w:rPr>
        <w:t xml:space="preserve"> 2008.</w:t>
      </w:r>
    </w:p>
    <w:p>
      <w:pPr>
        <w:pStyle w:val="Body A"/>
        <w:rPr>
          <w:rFonts w:ascii="Times New Roman" w:cs="Times New Roman" w:hAnsi="Times New Roman" w:eastAsia="Times New Roman"/>
        </w:rPr>
      </w:pPr>
    </w:p>
    <w:p>
      <w:pPr>
        <w:pStyle w:val="Body A"/>
        <w:rPr>
          <w:rFonts w:ascii="Times New Roman" w:cs="Times New Roman" w:hAnsi="Times New Roman" w:eastAsia="Times New Roman"/>
        </w:rPr>
      </w:pPr>
      <w:r>
        <w:rPr>
          <w:rFonts w:ascii="Times New Roman" w:hAnsi="Times New Roman"/>
          <w:rtl w:val="0"/>
          <w:lang w:val="en-US"/>
        </w:rPr>
        <w:t xml:space="preserve">Traditionally, the location of this primeval Cretan myth was associated with the cave of Psychro, which according to Nilsson, </w:t>
      </w:r>
      <w:r>
        <w:rPr>
          <w:rFonts w:ascii="Times New Roman" w:hAnsi="Times New Roman" w:hint="default"/>
          <w:rtl w:val="0"/>
          <w:lang w:val="en-US"/>
        </w:rPr>
        <w:t>‘</w:t>
      </w:r>
      <w:r>
        <w:rPr>
          <w:rFonts w:ascii="Times New Roman" w:hAnsi="Times New Roman"/>
          <w:rtl w:val="0"/>
          <w:lang w:val="en-US"/>
        </w:rPr>
        <w:t>was frequented down to the geometric age, and the memory of its fame still lingers on in the verses of Hesiod.</w:t>
      </w:r>
      <w:r>
        <w:rPr>
          <w:rFonts w:ascii="Times New Roman" w:hAnsi="Times New Roman" w:hint="default"/>
          <w:rtl w:val="0"/>
          <w:lang w:val="en-US"/>
        </w:rPr>
        <w:t>’</w:t>
      </w:r>
      <w:r>
        <w:rPr>
          <w:rFonts w:ascii="Times New Roman" w:cs="Times New Roman" w:hAnsi="Times New Roman" w:eastAsia="Times New Roman"/>
          <w:vertAlign w:val="superscript"/>
        </w:rPr>
        <w:footnoteReference w:id="56"/>
      </w:r>
      <w:r>
        <w:rPr>
          <w:rFonts w:ascii="Times New Roman" w:hAnsi="Times New Roman"/>
          <w:rtl w:val="0"/>
          <w:lang w:val="en-US"/>
        </w:rPr>
        <w:t xml:space="preserve"> However, Nilsson suggests that </w:t>
      </w:r>
      <w:r>
        <w:rPr>
          <w:rFonts w:ascii="Times New Roman" w:hAnsi="Times New Roman" w:hint="default"/>
          <w:rtl w:val="0"/>
          <w:lang w:val="en-US"/>
        </w:rPr>
        <w:t>‘</w:t>
      </w:r>
      <w:r>
        <w:rPr>
          <w:rFonts w:ascii="Times New Roman" w:hAnsi="Times New Roman"/>
          <w:rtl w:val="0"/>
          <w:lang w:val="en-US"/>
        </w:rPr>
        <w:t>Psychro is not the Dictaean cave; the latter must be sought for in the district of Sitia</w:t>
      </w:r>
      <w:r>
        <w:rPr>
          <w:rFonts w:ascii="Times New Roman" w:hAnsi="Times New Roman" w:hint="default"/>
          <w:rtl w:val="0"/>
          <w:lang w:val="en-US"/>
        </w:rPr>
        <w:t>’</w:t>
      </w:r>
      <w:r>
        <w:rPr>
          <w:rFonts w:ascii="Times New Roman" w:hAnsi="Times New Roman"/>
          <w:rtl w:val="0"/>
          <w:lang w:val="en-US"/>
        </w:rPr>
        <w:t>.</w:t>
      </w:r>
      <w:r>
        <w:rPr>
          <w:rFonts w:ascii="Times New Roman" w:cs="Times New Roman" w:hAnsi="Times New Roman" w:eastAsia="Times New Roman"/>
          <w:vertAlign w:val="superscript"/>
        </w:rPr>
        <w:footnoteReference w:id="57"/>
      </w:r>
      <w:r>
        <w:rPr>
          <w:rFonts w:ascii="Times New Roman" w:hAnsi="Times New Roman"/>
          <w:rtl w:val="0"/>
          <w:lang w:val="en-US"/>
        </w:rPr>
        <w:t xml:space="preserve"> Therefore, the region of Chamaizi contained one of the fundamental myths of ancient Greece, the pilgrimage-worthy site of where Zeus </w:t>
      </w:r>
      <w:r>
        <w:rPr>
          <w:rFonts w:ascii="Times New Roman" w:hAnsi="Times New Roman"/>
          <w:i w:val="1"/>
          <w:iCs w:val="1"/>
          <w:rtl w:val="0"/>
          <w:lang w:val="da-DK"/>
        </w:rPr>
        <w:t>Kretagenes</w:t>
      </w:r>
      <w:r>
        <w:rPr>
          <w:rFonts w:ascii="Times New Roman" w:hAnsi="Times New Roman"/>
          <w:rtl w:val="0"/>
          <w:lang w:val="en-US"/>
        </w:rPr>
        <w:t xml:space="preserve"> was nurtured. The site</w:t>
      </w:r>
      <w:r>
        <w:rPr>
          <w:rFonts w:ascii="Times New Roman" w:hAnsi="Times New Roman" w:hint="default"/>
          <w:rtl w:val="0"/>
          <w:lang w:val="en-US"/>
        </w:rPr>
        <w:t>’</w:t>
      </w:r>
      <w:r>
        <w:rPr>
          <w:rFonts w:ascii="Times New Roman" w:hAnsi="Times New Roman"/>
          <w:rtl w:val="0"/>
          <w:lang w:val="en-US"/>
        </w:rPr>
        <w:t xml:space="preserve">s morphology, combined with astronomical alignments, and </w:t>
      </w:r>
      <w:r>
        <w:rPr>
          <w:rFonts w:ascii="Times New Roman" w:hAnsi="Times New Roman"/>
          <w:rtl w:val="0"/>
          <w:lang w:val="en-US"/>
        </w:rPr>
        <w:t xml:space="preserve">regional myths of divine nursing </w:t>
      </w:r>
      <w:r>
        <w:rPr>
          <w:rFonts w:ascii="Times New Roman" w:hAnsi="Times New Roman"/>
          <w:rtl w:val="0"/>
          <w:lang w:val="en-US"/>
        </w:rPr>
        <w:t>lend credibility to the speculation that it was a cistern sacred to the Minoan birthing goddess that m</w:t>
      </w:r>
      <w:r>
        <w:rPr>
          <w:rFonts w:ascii="Times New Roman" w:hAnsi="Times New Roman"/>
          <w:rtl w:val="0"/>
        </w:rPr>
        <w:t>etonymical</w:t>
      </w:r>
      <w:r>
        <w:rPr>
          <w:rFonts w:ascii="Times New Roman" w:hAnsi="Times New Roman"/>
          <w:rtl w:val="0"/>
          <w:lang w:val="en-US"/>
        </w:rPr>
        <w:t>ly</w:t>
      </w:r>
      <w:r>
        <w:rPr>
          <w:rFonts w:ascii="Times New Roman" w:hAnsi="Times New Roman"/>
          <w:rtl w:val="0"/>
          <w:lang w:val="fr-FR"/>
        </w:rPr>
        <w:t xml:space="preserve"> collect</w:t>
      </w:r>
      <w:r>
        <w:rPr>
          <w:rFonts w:ascii="Times New Roman" w:hAnsi="Times New Roman"/>
          <w:rtl w:val="0"/>
          <w:lang w:val="en-US"/>
        </w:rPr>
        <w:t>ed</w:t>
      </w:r>
      <w:r>
        <w:rPr>
          <w:rFonts w:ascii="Times New Roman" w:hAnsi="Times New Roman"/>
          <w:rtl w:val="0"/>
          <w:lang w:val="en-US"/>
        </w:rPr>
        <w:t xml:space="preserve"> and distribut</w:t>
      </w:r>
      <w:r>
        <w:rPr>
          <w:rFonts w:ascii="Times New Roman" w:hAnsi="Times New Roman"/>
          <w:rtl w:val="0"/>
          <w:lang w:val="en-US"/>
        </w:rPr>
        <w:t>ed</w:t>
      </w:r>
      <w:r>
        <w:rPr>
          <w:rFonts w:ascii="Times New Roman" w:hAnsi="Times New Roman"/>
          <w:rtl w:val="0"/>
        </w:rPr>
        <w:t xml:space="preserve"> </w:t>
      </w:r>
      <w:r>
        <w:rPr>
          <w:rFonts w:ascii="Times New Roman" w:hAnsi="Times New Roman"/>
          <w:rtl w:val="0"/>
          <w:lang w:val="en-US"/>
        </w:rPr>
        <w:t>water, her</w:t>
      </w:r>
      <w:r>
        <w:rPr>
          <w:rFonts w:ascii="Times New Roman" w:hAnsi="Times New Roman"/>
          <w:rtl w:val="0"/>
          <w:lang w:val="en-US"/>
        </w:rPr>
        <w:t xml:space="preserve"> life-giving nourishment</w:t>
      </w:r>
      <w:r>
        <w:rPr>
          <w:rFonts w:ascii="Times New Roman" w:hAnsi="Times New Roman"/>
          <w:rtl w:val="0"/>
          <w:lang w:val="en-US"/>
        </w:rPr>
        <w:t xml:space="preserve"> for the arid farmlands.</w:t>
      </w:r>
    </w:p>
    <w:p>
      <w:pPr>
        <w:pStyle w:val="Body A"/>
        <w:jc w:val="center"/>
        <w:rPr>
          <w:rFonts w:ascii="Times New Roman" w:cs="Times New Roman" w:hAnsi="Times New Roman" w:eastAsia="Times New Roman"/>
        </w:rPr>
      </w:pPr>
    </w:p>
    <w:p>
      <w:pPr>
        <w:pStyle w:val="Heading Reg"/>
      </w:pPr>
      <w:r>
        <w:rPr>
          <w:rFonts w:cs="Arial Unicode MS" w:eastAsia="Arial Unicode MS"/>
          <w:rtl w:val="0"/>
          <w:lang w:val="en-US"/>
        </w:rPr>
        <w:t>The Hieros Gamos</w:t>
      </w:r>
    </w:p>
    <w:p>
      <w:pPr>
        <w:pStyle w:val="Body"/>
        <w:spacing w:line="360" w:lineRule="auto"/>
        <w:ind w:firstLine="540"/>
        <w:rPr>
          <w14:textOutline w14:w="12700" w14:cap="flat">
            <w14:noFill/>
            <w14:miter w14:lim="400000"/>
          </w14:textOutline>
        </w:rPr>
      </w:pPr>
    </w:p>
    <w:p>
      <w:pPr>
        <w:pStyle w:val="Body"/>
        <w:spacing w:line="360" w:lineRule="auto"/>
        <w:ind w:firstLine="540"/>
        <w:rPr>
          <w14:textOutline w14:w="12700" w14:cap="flat">
            <w14:noFill/>
            <w14:miter w14:lim="400000"/>
          </w14:textOutline>
        </w:rPr>
      </w:pPr>
      <w:r>
        <w:rPr>
          <w:rtl w:val="0"/>
          <w:lang w:val="en-US"/>
          <w14:textOutline w14:w="12700" w14:cap="flat">
            <w14:noFill/>
            <w14:miter w14:lim="400000"/>
          </w14:textOutline>
        </w:rPr>
        <w:t xml:space="preserve">Given the </w:t>
      </w:r>
      <w:r>
        <w:rPr>
          <w:rtl w:val="0"/>
          <w:lang w:val="en-US"/>
          <w14:textOutline w14:w="12700" w14:cap="flat">
            <w14:noFill/>
            <w14:miter w14:lim="400000"/>
          </w14:textOutline>
        </w:rPr>
        <w:t>dry</w:t>
      </w:r>
      <w:r>
        <w:rPr>
          <w:rtl w:val="0"/>
          <w:lang w:val="en-US"/>
          <w14:textOutline w14:w="12700" w14:cap="flat">
            <w14:noFill/>
            <w14:miter w14:lim="400000"/>
          </w14:textOutline>
        </w:rPr>
        <w:t xml:space="preserve"> climate of Sitia</w:t>
      </w:r>
      <w:r>
        <w:rPr>
          <w:rtl w:val="0"/>
          <w:lang w:val="en-US"/>
          <w14:textOutline w14:w="12700" w14:cap="flat">
            <w14:noFill/>
            <w14:miter w14:lim="400000"/>
          </w14:textOutline>
        </w:rPr>
        <w:t xml:space="preserve"> and</w:t>
      </w:r>
      <w:r>
        <w:rPr>
          <w:rtl w:val="0"/>
          <w:lang w:val="en-US"/>
          <w14:textOutline w14:w="12700" w14:cap="flat">
            <w14:noFill/>
            <w14:miter w14:lim="400000"/>
          </w14:textOutline>
        </w:rPr>
        <w:t xml:space="preserve"> the presence of votive figurines, it </w:t>
      </w:r>
      <w:r>
        <w:rPr>
          <w:rtl w:val="0"/>
          <w:lang w:val="en-US"/>
          <w14:textOutline w14:w="12700" w14:cap="flat">
            <w14:noFill/>
            <w14:miter w14:lim="400000"/>
          </w14:textOutline>
        </w:rPr>
        <w:t>can be postulated</w:t>
      </w:r>
      <w:r>
        <w:rPr>
          <w:rtl w:val="0"/>
          <w:lang w:val="en-US"/>
          <w14:textOutline w14:w="12700" w14:cap="flat">
            <w14:noFill/>
            <w14:miter w14:lim="400000"/>
          </w14:textOutline>
        </w:rPr>
        <w:t xml:space="preserve"> that Chamaizi </w:t>
      </w:r>
      <w:r>
        <w:rPr>
          <w:rtl w:val="0"/>
          <w:lang w:val="en-US"/>
          <w14:textOutline w14:w="12700" w14:cap="flat">
            <w14:noFill/>
            <w14:miter w14:lim="400000"/>
          </w14:textOutline>
        </w:rPr>
        <w:t>could have been</w:t>
      </w:r>
      <w:r>
        <w:rPr>
          <w:rtl w:val="0"/>
          <w:lang w:val="en-US"/>
          <w14:textOutline w14:w="12700" w14:cap="flat">
            <w14:noFill/>
            <w14:miter w14:lim="400000"/>
          </w14:textOutline>
        </w:rPr>
        <w:t xml:space="preserve"> the </w:t>
      </w:r>
      <w:r>
        <w:rPr>
          <w:rtl w:val="0"/>
          <w:lang w:val="en-US"/>
          <w14:textOutline w14:w="12700" w14:cap="flat">
            <w14:noFill/>
            <w14:miter w14:lim="400000"/>
          </w14:textOutline>
        </w:rPr>
        <w:t>locus</w:t>
      </w:r>
      <w:r>
        <w:rPr>
          <w:rtl w:val="0"/>
          <w:lang w:val="en-US"/>
          <w14:textOutline w14:w="12700" w14:cap="flat">
            <w14:noFill/>
            <w14:miter w14:lim="400000"/>
          </w14:textOutline>
        </w:rPr>
        <w:t xml:space="preserve"> of rainmaking and fertility rituals </w:t>
      </w:r>
      <w:r>
        <w:rPr>
          <w:rtl w:val="0"/>
          <w:lang w:val="en-US"/>
          <w14:textOutline w14:w="12700" w14:cap="flat">
            <w14:noFill/>
            <w14:miter w14:lim="400000"/>
          </w14:textOutline>
        </w:rPr>
        <w:t>revolving around</w:t>
      </w:r>
      <w:r>
        <w:rPr>
          <w:rtl w:val="0"/>
          <w:lang w:val="en-US"/>
          <w14:textOutline w14:w="12700" w14:cap="flat">
            <w14:noFill/>
            <w14:miter w14:lim="400000"/>
          </w14:textOutline>
        </w:rPr>
        <w:t xml:space="preserve"> its cister</w:t>
      </w:r>
      <w:r>
        <w:rPr>
          <w:rtl w:val="0"/>
          <w:lang w:val="en-US"/>
          <w14:textOutline w14:w="12700" w14:cap="flat">
            <w14:noFill/>
            <w14:miter w14:lim="400000"/>
          </w14:textOutline>
        </w:rPr>
        <w:t>n. Marinatos</w:t>
      </w:r>
      <w:r>
        <w:rPr>
          <w:rtl w:val="0"/>
          <w:lang w:val="en-US"/>
          <w14:textOutline w14:w="12700" w14:cap="flat">
            <w14:noFill/>
            <w14:miter w14:lim="400000"/>
          </w14:textOutline>
        </w:rPr>
        <w:t>’ ‘</w:t>
      </w:r>
      <w:r>
        <w:rPr>
          <w:rtl w:val="0"/>
          <w:lang w:val="en-US"/>
          <w14:textOutline w14:w="12700" w14:cap="flat">
            <w14:noFill/>
            <w14:miter w14:lim="400000"/>
          </w14:textOutline>
        </w:rPr>
        <w:t>high-ranking individual</w:t>
      </w:r>
      <w:r>
        <w:rPr>
          <w:rtl w:val="0"/>
          <w:lang w:val="en-US"/>
          <w14:textOutline w14:w="12700" w14:cap="flat">
            <w14:noFill/>
            <w14:miter w14:lim="400000"/>
          </w14:textOutline>
        </w:rPr>
        <w:t xml:space="preserve">’ </w:t>
      </w:r>
      <w:r>
        <w:rPr>
          <w:rtl w:val="0"/>
          <w:lang w:val="en-US"/>
          <w14:textOutline w14:w="12700" w14:cap="flat">
            <w14:noFill/>
            <w14:miter w14:lim="400000"/>
          </w14:textOutline>
        </w:rPr>
        <w:t>may have been a priestess performing purification ceremonies associated with marriage and birth</w:t>
      </w:r>
      <w:r>
        <w:rPr>
          <w:rtl w:val="0"/>
          <w14:textOutline w14:w="12700" w14:cap="flat">
            <w14:noFill/>
            <w14:miter w14:lim="400000"/>
          </w14:textOutline>
        </w:rPr>
        <w:t>.</w:t>
      </w:r>
      <w:r>
        <w:rPr>
          <w:rtl w:val="0"/>
          <w:lang w:val="en-US"/>
          <w14:textOutline w14:w="12700" w14:cap="flat">
            <w14:noFill/>
            <w14:miter w14:lim="400000"/>
          </w14:textOutline>
        </w:rPr>
        <w:t xml:space="preserve"> This interpretation is bolstered by the fact that water sources such as spring were sacred to nymphs and the cult of Artemis, and were used for the pre-nuptial baths that purified maidens.</w:t>
      </w:r>
      <w:r>
        <w:rPr>
          <w:vertAlign w:val="superscript"/>
          <w14:textOutline w14:w="12700" w14:cap="flat">
            <w14:noFill/>
            <w14:miter w14:lim="400000"/>
          </w14:textOutline>
        </w:rPr>
        <w:footnoteReference w:id="58"/>
      </w:r>
      <w:r>
        <w:rPr>
          <w:rtl w:val="0"/>
          <w:lang w:val="en-US"/>
          <w14:textOutline w14:w="12700" w14:cap="flat">
            <w14:noFill/>
            <w14:miter w14:lim="400000"/>
          </w14:textOutline>
        </w:rPr>
        <w:t xml:space="preserve"> Flinterman cites Sporn who posited that Dictynna was patroness not just of hunters and fishermen, but also of marriageable girls.</w:t>
      </w:r>
      <w:r>
        <w:rPr>
          <w:vertAlign w:val="superscript"/>
          <w14:textOutline w14:w="12700" w14:cap="flat">
            <w14:noFill/>
            <w14:miter w14:lim="400000"/>
          </w14:textOutline>
        </w:rPr>
        <w:footnoteReference w:id="59"/>
      </w:r>
      <w:r>
        <w:rPr>
          <w:rtl w:val="0"/>
          <w:lang w:val="en-US"/>
          <w14:textOutline w14:w="12700" w14:cap="flat">
            <w14:noFill/>
            <w14:miter w14:lim="400000"/>
          </w14:textOutline>
        </w:rPr>
        <w:t xml:space="preserve"> Modern Greece still maintains the tradition of sprinkling newly-wed girls with water, to induce fertility in them.</w:t>
      </w:r>
      <w:r>
        <w:rPr>
          <w:vertAlign w:val="superscript"/>
          <w14:textOutline w14:w="12700" w14:cap="flat">
            <w14:noFill/>
            <w14:miter w14:lim="400000"/>
          </w14:textOutline>
        </w:rPr>
        <w:footnoteReference w:id="60"/>
      </w:r>
    </w:p>
    <w:p>
      <w:pPr>
        <w:pStyle w:val="Body A"/>
        <w:rPr>
          <w:rFonts w:ascii="Times New Roman" w:cs="Times New Roman" w:hAnsi="Times New Roman" w:eastAsia="Times New Roman"/>
        </w:rPr>
      </w:pPr>
      <w:r>
        <w:rPr>
          <w:rFonts w:ascii="Times New Roman" w:hAnsi="Times New Roman"/>
          <w:rtl w:val="0"/>
          <w:lang w:val="en-US"/>
        </w:rPr>
        <w:t xml:space="preserve">The Greek myth of </w:t>
      </w:r>
      <w:r>
        <w:rPr>
          <w:rFonts w:ascii="Times New Roman" w:hAnsi="Times New Roman"/>
          <w:rtl w:val="0"/>
        </w:rPr>
        <w:t>Dana</w:t>
      </w:r>
      <w:r>
        <w:rPr>
          <w:rFonts w:ascii="Times New Roman" w:hAnsi="Times New Roman" w:hint="default"/>
          <w:rtl w:val="0"/>
          <w:lang w:val="nl-NL"/>
        </w:rPr>
        <w:t>ë</w:t>
      </w:r>
      <w:r>
        <w:rPr>
          <w:rFonts w:ascii="Times New Roman" w:hAnsi="Times New Roman"/>
          <w:rtl w:val="0"/>
          <w:lang w:val="en-US"/>
        </w:rPr>
        <w:t xml:space="preserve"> may offer insights into Chamaizi</w:t>
      </w:r>
      <w:r>
        <w:rPr>
          <w:rFonts w:ascii="Times New Roman" w:hAnsi="Times New Roman" w:hint="default"/>
          <w:rtl w:val="0"/>
          <w:lang w:val="en-US"/>
        </w:rPr>
        <w:t>’</w:t>
      </w:r>
      <w:r>
        <w:rPr>
          <w:rFonts w:ascii="Times New Roman" w:hAnsi="Times New Roman"/>
          <w:rtl w:val="0"/>
          <w:lang w:val="en-US"/>
        </w:rPr>
        <w:t>s conceivable identification with Minoan marriage rituals. After hearing a prophecy from the Oracle of Delphi that his daughter, Dana</w:t>
      </w:r>
      <w:r>
        <w:rPr>
          <w:rFonts w:ascii="Times New Roman" w:hAnsi="Times New Roman" w:hint="default"/>
          <w:rtl w:val="0"/>
          <w:lang w:val="en-US"/>
        </w:rPr>
        <w:t>ë</w:t>
      </w:r>
      <w:r>
        <w:rPr>
          <w:rFonts w:ascii="Times New Roman" w:hAnsi="Times New Roman"/>
          <w:rtl w:val="0"/>
          <w:lang w:val="en-US"/>
        </w:rPr>
        <w:t xml:space="preserve">, would one day kill him, King Acrisius imprisoned her in a windowless tower with only a skylight reminiscent of Chamaizi itself. However, raging with lust, Zeus visited her in the form of golden rain, which streamed in through the skylight and into her womb, apparently through her </w:t>
      </w:r>
      <w:r>
        <w:rPr>
          <w:rFonts w:ascii="Times New Roman" w:hAnsi="Times New Roman" w:hint="default"/>
          <w:rtl w:val="0"/>
          <w:lang w:val="en-US"/>
        </w:rPr>
        <w:t>‘</w:t>
      </w:r>
      <w:r>
        <w:rPr>
          <w:rFonts w:ascii="Times New Roman" w:hAnsi="Times New Roman"/>
          <w:rtl w:val="0"/>
          <w:lang w:val="en-US"/>
        </w:rPr>
        <w:t>navel</w:t>
      </w:r>
      <w:r>
        <w:rPr>
          <w:rFonts w:ascii="Times New Roman" w:hAnsi="Times New Roman" w:hint="default"/>
          <w:rtl w:val="0"/>
          <w:lang w:val="en-US"/>
        </w:rPr>
        <w:t xml:space="preserve">’ </w:t>
      </w:r>
      <w:r>
        <w:rPr>
          <w:rFonts w:ascii="Times New Roman" w:hAnsi="Times New Roman"/>
          <w:rtl w:val="0"/>
          <w:lang w:val="en-US"/>
        </w:rPr>
        <w:t>as depicted in a bell-krater (fig. 11). Thus, the celebrated Greek hero, Perseus, was conceived.</w:t>
      </w:r>
      <w:r>
        <w:rPr>
          <w:rFonts w:ascii="Times New Roman" w:cs="Times New Roman" w:hAnsi="Times New Roman" w:eastAsia="Times New Roman"/>
          <w:vertAlign w:val="superscript"/>
        </w:rPr>
        <w:footnoteReference w:id="61"/>
      </w:r>
      <w:r>
        <w:rPr>
          <w:rFonts w:ascii="Times New Roman" w:hAnsi="Times New Roman"/>
          <w:rtl w:val="0"/>
          <w:lang w:val="en-US"/>
        </w:rPr>
        <w:t xml:space="preserve"> </w:t>
      </w:r>
      <w:r>
        <w:rPr>
          <w:rFonts w:ascii="Times New Roman" w:hAnsi="Times New Roman"/>
          <w:rtl w:val="0"/>
        </w:rPr>
        <w:t>H</w:t>
      </w:r>
      <w:r>
        <w:rPr>
          <w:rFonts w:ascii="Times New Roman" w:hAnsi="Times New Roman" w:hint="default"/>
          <w:rtl w:val="0"/>
          <w:lang w:val="da-DK"/>
        </w:rPr>
        <w:t>å</w:t>
      </w:r>
      <w:r>
        <w:rPr>
          <w:rFonts w:ascii="Times New Roman" w:hAnsi="Times New Roman"/>
          <w:rtl w:val="0"/>
        </w:rPr>
        <w:t>land</w:t>
      </w:r>
      <w:r>
        <w:rPr>
          <w:rFonts w:ascii="Times New Roman" w:hAnsi="Times New Roman"/>
          <w:rtl w:val="0"/>
          <w:lang w:val="en-US"/>
        </w:rPr>
        <w:t xml:space="preserve"> explains, </w:t>
      </w:r>
      <w:r>
        <w:rPr>
          <w:rFonts w:ascii="Times New Roman" w:hAnsi="Times New Roman" w:hint="default"/>
          <w:rtl w:val="0"/>
          <w:lang w:val="en-US"/>
        </w:rPr>
        <w:t>‘</w:t>
      </w:r>
      <w:r>
        <w:rPr>
          <w:rFonts w:ascii="Times New Roman" w:hAnsi="Times New Roman"/>
          <w:rtl w:val="0"/>
          <w:lang w:val="en-US"/>
        </w:rPr>
        <w:t xml:space="preserve">The idea that the Sky God impregnates the Earth Goddess through rain is expressed in several sources (cf. Aesch. Fr. 25 [44]) and in the ceremonial formula, </w:t>
      </w:r>
      <w:r>
        <w:rPr>
          <w:rFonts w:ascii="Times New Roman" w:hAnsi="Times New Roman" w:hint="default"/>
          <w:rtl w:val="1"/>
          <w:lang w:val="ar-SA" w:bidi="ar-SA"/>
        </w:rPr>
        <w:t>“</w:t>
      </w:r>
      <w:r>
        <w:rPr>
          <w:rFonts w:ascii="Times New Roman" w:hAnsi="Times New Roman"/>
          <w:rtl w:val="0"/>
          <w:lang w:val="en-US"/>
        </w:rPr>
        <w:t>rain, conceive</w:t>
      </w:r>
      <w:r>
        <w:rPr>
          <w:rFonts w:ascii="Times New Roman" w:hAnsi="Times New Roman" w:hint="default"/>
          <w:rtl w:val="0"/>
        </w:rPr>
        <w:t>”</w:t>
      </w:r>
      <w:r>
        <w:rPr>
          <w:rFonts w:ascii="Times New Roman" w:hAnsi="Times New Roman"/>
          <w:rtl w:val="0"/>
        </w:rPr>
        <w:t>.</w:t>
      </w:r>
      <w:r>
        <w:rPr>
          <w:rFonts w:ascii="Times New Roman" w:hAnsi="Times New Roman" w:hint="default"/>
          <w:rtl w:val="0"/>
          <w:lang w:val="en-US"/>
        </w:rPr>
        <w:t>’</w:t>
      </w:r>
      <w:r>
        <w:rPr>
          <w:rFonts w:ascii="Times New Roman" w:cs="Times New Roman" w:hAnsi="Times New Roman" w:eastAsia="Times New Roman"/>
          <w:vertAlign w:val="superscript"/>
        </w:rPr>
        <w:footnoteReference w:id="62"/>
      </w:r>
      <w:r>
        <w:rPr>
          <w:rFonts w:ascii="Times New Roman" w:hAnsi="Times New Roman"/>
          <w:rtl w:val="0"/>
          <w:lang w:val="en-US"/>
        </w:rPr>
        <w:t xml:space="preserve"> This mystical incantation was chanted during the rites of Eleusis to the Corn Mother, Demeter, in a </w:t>
      </w:r>
      <w:r>
        <w:rPr>
          <w:rFonts w:ascii="Times New Roman" w:hAnsi="Times New Roman"/>
          <w:i w:val="1"/>
          <w:iCs w:val="1"/>
          <w:rtl w:val="0"/>
          <w:lang w:val="en-US"/>
        </w:rPr>
        <w:t>hieros gamos</w:t>
      </w:r>
      <w:r>
        <w:rPr>
          <w:rFonts w:ascii="Times New Roman" w:hAnsi="Times New Roman"/>
          <w:rtl w:val="0"/>
          <w:lang w:val="en-US"/>
        </w:rPr>
        <w:t>, or sacred marriage, between heaven and earth, after which water was poured out ritualistically.</w:t>
      </w:r>
      <w:r>
        <w:rPr>
          <w:rFonts w:ascii="Times New Roman" w:cs="Times New Roman" w:hAnsi="Times New Roman" w:eastAsia="Times New Roman"/>
          <w:vertAlign w:val="superscript"/>
        </w:rPr>
        <w:footnoteReference w:id="63"/>
      </w:r>
      <w:r>
        <w:rPr>
          <w:rFonts w:ascii="Times New Roman" w:hAnsi="Times New Roman"/>
          <w:rtl w:val="0"/>
          <w:lang w:val="en-US"/>
        </w:rPr>
        <w:t xml:space="preserve"> This archaic belief system can perhaps be encapsulated by the ancient Egyptian word </w:t>
      </w:r>
      <w:r>
        <w:rPr>
          <w:rFonts w:ascii="Transliteration Italic" w:hAnsi="Transliteration Italic"/>
          <w:rtl w:val="0"/>
          <w:lang w:val="en-US"/>
        </w:rPr>
        <w:t>mw</w:t>
      </w:r>
      <w:r>
        <w:rPr>
          <w:rFonts w:ascii="Times New Roman" w:hAnsi="Times New Roman"/>
          <w:rtl w:val="0"/>
          <w:lang w:val="en-US"/>
        </w:rPr>
        <w:t xml:space="preserve"> </w:t>
      </w:r>
      <w:r>
        <w:rPr>
          <w:rFonts w:ascii="Times New Roman" w:cs="Times New Roman" w:hAnsi="Times New Roman" w:eastAsia="Times New Roman"/>
        </w:rPr>
        <w:drawing xmlns:a="http://schemas.openxmlformats.org/drawingml/2006/main">
          <wp:inline distT="0" distB="0" distL="0" distR="0">
            <wp:extent cx="483789" cy="215018"/>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png"/>
                    <pic:cNvPicPr>
                      <a:picLocks noChangeAspect="1"/>
                    </pic:cNvPicPr>
                  </pic:nvPicPr>
                  <pic:blipFill>
                    <a:blip r:embed="rId17">
                      <a:extLst/>
                    </a:blip>
                    <a:stretch>
                      <a:fillRect/>
                    </a:stretch>
                  </pic:blipFill>
                  <pic:spPr>
                    <a:xfrm>
                      <a:off x="0" y="0"/>
                      <a:ext cx="483789" cy="215018"/>
                    </a:xfrm>
                    <a:prstGeom prst="rect">
                      <a:avLst/>
                    </a:prstGeom>
                    <a:ln w="12700" cap="flat">
                      <a:noFill/>
                      <a:miter lim="400000"/>
                    </a:ln>
                    <a:effectLst/>
                  </pic:spPr>
                </pic:pic>
              </a:graphicData>
            </a:graphic>
          </wp:inline>
        </w:drawing>
      </w:r>
      <w:r>
        <w:rPr>
          <w:rFonts w:ascii="Times New Roman" w:hAnsi="Times New Roman"/>
          <w:rtl w:val="0"/>
          <w:lang w:val="en-US"/>
        </w:rPr>
        <w:t xml:space="preserve">, which meant </w:t>
      </w:r>
      <w:r>
        <w:rPr>
          <w:rFonts w:ascii="Times New Roman" w:hAnsi="Times New Roman" w:hint="default"/>
          <w:rtl w:val="0"/>
          <w:lang w:val="en-US"/>
        </w:rPr>
        <w:t>‘</w:t>
      </w:r>
      <w:r>
        <w:rPr>
          <w:rFonts w:ascii="Times New Roman" w:hAnsi="Times New Roman"/>
          <w:rtl w:val="0"/>
          <w:lang w:val="en-US"/>
        </w:rPr>
        <w:t>water, rain and semen</w:t>
      </w:r>
      <w:r>
        <w:rPr>
          <w:rFonts w:ascii="Times New Roman" w:hAnsi="Times New Roman" w:hint="default"/>
          <w:rtl w:val="0"/>
          <w:lang w:val="en-US"/>
        </w:rPr>
        <w:t>’</w:t>
      </w:r>
      <w:r>
        <w:rPr>
          <w:rFonts w:ascii="Times New Roman" w:hAnsi="Times New Roman"/>
          <w:rtl w:val="0"/>
          <w:lang w:val="en-US"/>
        </w:rPr>
        <w:t>.</w:t>
      </w:r>
    </w:p>
    <w:p>
      <w:pPr>
        <w:pStyle w:val="Body A"/>
        <w:rPr>
          <w:rFonts w:ascii="Times New Roman" w:cs="Times New Roman" w:hAnsi="Times New Roman" w:eastAsia="Times New Roman"/>
        </w:rPr>
      </w:pPr>
    </w:p>
    <w:p>
      <w:pPr>
        <w:pStyle w:val="Body A"/>
        <w:jc w:val="center"/>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4067360" cy="3253888"/>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tiff"/>
                    <pic:cNvPicPr>
                      <a:picLocks noChangeAspect="1"/>
                    </pic:cNvPicPr>
                  </pic:nvPicPr>
                  <pic:blipFill>
                    <a:blip r:embed="rId18">
                      <a:extLst/>
                    </a:blip>
                    <a:stretch>
                      <a:fillRect/>
                    </a:stretch>
                  </pic:blipFill>
                  <pic:spPr>
                    <a:xfrm>
                      <a:off x="0" y="0"/>
                      <a:ext cx="4067360" cy="3253888"/>
                    </a:xfrm>
                    <a:prstGeom prst="rect">
                      <a:avLst/>
                    </a:prstGeom>
                    <a:ln w="12700" cap="flat">
                      <a:noFill/>
                      <a:miter lim="400000"/>
                    </a:ln>
                    <a:effectLst/>
                  </pic:spPr>
                </pic:pic>
              </a:graphicData>
            </a:graphic>
          </wp:inline>
        </w:drawing>
      </w:r>
    </w:p>
    <w:p>
      <w:pPr>
        <w:pStyle w:val="Image Caption"/>
      </w:pPr>
      <w:r>
        <w:rPr>
          <w:b w:val="1"/>
          <w:bCs w:val="1"/>
          <w:rtl w:val="0"/>
          <w:lang w:val="en-US"/>
        </w:rPr>
        <w:t>Figure 11</w:t>
      </w:r>
      <w:r>
        <w:rPr>
          <w:rtl w:val="0"/>
        </w:rPr>
        <w:t xml:space="preserve">. </w:t>
      </w:r>
      <w:r>
        <w:rPr>
          <w:rtl w:val="0"/>
        </w:rPr>
        <w:t>Ancient Boeotian bell-krater showing Zeus impregnating Dana</w:t>
      </w:r>
      <w:r>
        <w:rPr>
          <w:rtl w:val="0"/>
        </w:rPr>
        <w:t xml:space="preserve">ë </w:t>
      </w:r>
      <w:r>
        <w:rPr>
          <w:rtl w:val="0"/>
        </w:rPr>
        <w:t>in the form of a shower of gold, circa 450-425 BC</w:t>
      </w:r>
      <w:r>
        <w:rPr>
          <w:rtl w:val="0"/>
        </w:rPr>
        <w:t xml:space="preserve">, Louvre Museum. Photograph by </w:t>
      </w:r>
      <w:r>
        <w:rPr>
          <w:rtl w:val="0"/>
        </w:rPr>
        <w:t>Marie-Lan Nguyen (2011)</w:t>
      </w:r>
      <w:r>
        <w:rPr>
          <w:rtl w:val="0"/>
        </w:rPr>
        <w:t>.</w:t>
      </w:r>
    </w:p>
    <w:p>
      <w:pPr>
        <w:pStyle w:val="Body"/>
        <w:spacing w:line="360" w:lineRule="auto"/>
        <w:ind w:firstLine="540"/>
        <w:rPr>
          <w14:textOutline w14:w="12700" w14:cap="flat">
            <w14:noFill/>
            <w14:miter w14:lim="400000"/>
          </w14:textOutline>
        </w:rPr>
      </w:pPr>
    </w:p>
    <w:p>
      <w:pPr>
        <w:pStyle w:val="Body"/>
        <w:spacing w:line="360" w:lineRule="auto"/>
        <w:ind w:firstLine="540"/>
        <w:rPr>
          <w14:textOutline w14:w="12700" w14:cap="flat">
            <w14:noFill/>
            <w14:miter w14:lim="400000"/>
          </w14:textOutline>
        </w:rPr>
      </w:pPr>
      <w:r>
        <w:rPr>
          <w:rtl w:val="0"/>
          <w:lang w:val="en-US"/>
          <w14:textOutline w14:w="12700" w14:cap="flat">
            <w14:noFill/>
            <w14:miter w14:lim="400000"/>
          </w14:textOutline>
        </w:rPr>
        <w:t>It can be surmised that this nuptial symbology may have been embedded into the orientations of Chamaizi</w:t>
      </w:r>
      <w:r>
        <w:rPr>
          <w:rtl w:val="0"/>
          <w:lang w:val="en-US"/>
          <w14:textOutline w14:w="12700" w14:cap="flat">
            <w14:noFill/>
            <w14:miter w14:lim="400000"/>
          </w14:textOutline>
        </w:rPr>
        <w:t>’</w:t>
      </w:r>
      <w:r>
        <w:rPr>
          <w:rtl w:val="0"/>
          <w:lang w:val="en-US"/>
          <w14:textOutline w14:w="12700" w14:cap="flat">
            <w14:noFill/>
            <w14:miter w14:lim="400000"/>
          </w14:textOutline>
        </w:rPr>
        <w:t>s main entrance walls. The azimuthal direction of wall (A) pointed toward the evening rise of Ac</w:t>
      </w:r>
      <w:r>
        <w:rPr>
          <w:rtl w:val="0"/>
          <w:lang w:val="fr-FR"/>
          <w14:textOutline w14:w="12700" w14:cap="flat">
            <w14:noFill/>
            <w14:miter w14:lim="400000"/>
          </w14:textOutline>
        </w:rPr>
        <w:t>rux</w:t>
      </w:r>
      <w:r>
        <w:rPr>
          <w:rtl w:val="0"/>
          <w:lang w:val="en-US"/>
          <w14:textOutline w14:w="12700" w14:cap="flat">
            <w14:noFill/>
            <w14:miter w14:lim="400000"/>
          </w14:textOutline>
        </w:rPr>
        <w:t xml:space="preserve">, in the Southern Cross constellation </w:t>
      </w:r>
      <w:r>
        <w:rPr>
          <w:rtl w:val="0"/>
          <w14:textOutline w14:w="12700" w14:cap="flat">
            <w14:noFill/>
            <w14:miter w14:lim="400000"/>
          </w14:textOutline>
        </w:rPr>
        <w:t>(</w:t>
      </w:r>
      <w:r>
        <w:rPr>
          <w:rtl w:val="0"/>
          <w:lang w:val="en-US"/>
          <w14:textOutline w14:w="12700" w14:cap="flat">
            <w14:noFill/>
            <w14:miter w14:lim="400000"/>
          </w14:textOutline>
        </w:rPr>
        <w:t>C</w:t>
      </w:r>
      <w:r>
        <w:rPr>
          <w:rtl w:val="0"/>
          <w:lang w:val="en-US"/>
          <w14:textOutline w14:w="12700" w14:cap="flat">
            <w14:noFill/>
            <w14:miter w14:lim="400000"/>
          </w14:textOutline>
        </w:rPr>
        <w:t xml:space="preserve">hart </w:t>
      </w:r>
      <w:r>
        <w:rPr>
          <w:rtl w:val="0"/>
          <w:lang w:val="en-US"/>
          <w14:textOutline w14:w="12700" w14:cap="flat">
            <w14:noFill/>
            <w14:miter w14:lim="400000"/>
          </w14:textOutline>
        </w:rPr>
        <w:t>3</w:t>
      </w:r>
      <w:r>
        <w:rPr>
          <w:rtl w:val="0"/>
          <w14:textOutline w14:w="12700" w14:cap="flat">
            <w14:noFill/>
            <w14:miter w14:lim="400000"/>
          </w14:textOutline>
        </w:rPr>
        <w:t>)</w:t>
      </w:r>
      <w:r>
        <w:rPr>
          <w:rtl w:val="0"/>
          <w:lang w:val="en-US"/>
          <w14:textOutline w14:w="12700" w14:cap="flat">
            <w14:noFill/>
            <w14:miter w14:lim="400000"/>
          </w14:textOutline>
        </w:rPr>
        <w:t xml:space="preserve">. The rising of Crux coincided with the Spring Equinox sunset when the path of the sun and moon themselves </w:t>
      </w:r>
      <w:r>
        <w:rPr>
          <w:rtl w:val="0"/>
          <w:lang w:val="en-US"/>
          <w14:textOutline w14:w="12700" w14:cap="flat">
            <w14:noFill/>
            <w14:miter w14:lim="400000"/>
          </w14:textOutline>
        </w:rPr>
        <w:t>‘</w:t>
      </w:r>
      <w:r>
        <w:rPr>
          <w:rtl w:val="0"/>
          <w:lang w:val="en-US"/>
          <w14:textOutline w14:w="12700" w14:cap="flat">
            <w14:noFill/>
            <w14:miter w14:lim="400000"/>
          </w14:textOutline>
        </w:rPr>
        <w:t>crossed</w:t>
      </w:r>
      <w:r>
        <w:rPr>
          <w:rtl w:val="0"/>
          <w:lang w:val="en-US"/>
          <w14:textOutline w14:w="12700" w14:cap="flat">
            <w14:noFill/>
            <w14:miter w14:lim="400000"/>
          </w14:textOutline>
        </w:rPr>
        <w:t>’</w:t>
      </w:r>
      <w:r>
        <w:rPr>
          <w:rtl w:val="0"/>
          <w:lang w:val="en-US"/>
          <w14:textOutline w14:w="12700" w14:cap="flat">
            <w14:noFill/>
            <w14:miter w14:lim="400000"/>
          </w14:textOutline>
        </w:rPr>
        <w:t xml:space="preserve">. </w:t>
      </w:r>
      <w:r>
        <w:rPr>
          <w:rtl w:val="0"/>
          <w14:textOutline w14:w="12700" w14:cap="flat">
            <w14:noFill/>
            <w14:miter w14:lim="400000"/>
          </w14:textOutline>
        </w:rPr>
        <w:t>Blomberg</w:t>
      </w:r>
      <w:r>
        <w:rPr>
          <w:rtl w:val="0"/>
          <w:lang w:val="en-US"/>
          <w14:textOutline w14:w="12700" w14:cap="flat">
            <w14:noFill/>
            <w14:miter w14:lim="400000"/>
          </w14:textOutline>
        </w:rPr>
        <w:t xml:space="preserve"> and </w:t>
      </w:r>
      <w:r>
        <w:rPr>
          <w:rtl w:val="0"/>
          <w14:textOutline w14:w="12700" w14:cap="flat">
            <w14:noFill/>
            <w14:miter w14:lim="400000"/>
          </w14:textOutline>
        </w:rPr>
        <w:t>Henriksson</w:t>
      </w:r>
      <w:r>
        <w:rPr>
          <w:rtl w:val="0"/>
          <w:lang w:val="en-US"/>
          <w14:textOutline w14:w="12700" w14:cap="flat">
            <w14:noFill/>
            <w14:miter w14:lim="400000"/>
          </w14:textOutline>
        </w:rPr>
        <w:t>’</w:t>
      </w:r>
      <w:r>
        <w:rPr>
          <w:rtl w:val="0"/>
          <w:lang w:val="en-US"/>
          <w14:textOutline w14:w="12700" w14:cap="flat">
            <w14:noFill/>
            <w14:miter w14:lim="400000"/>
          </w14:textOutline>
        </w:rPr>
        <w:t>s</w:t>
      </w:r>
      <w:r>
        <w:rPr>
          <w:rtl w:val="0"/>
          <w:lang w:val="en-US"/>
          <w14:textOutline w14:w="12700" w14:cap="flat">
            <w14:noFill/>
            <w14:miter w14:lim="400000"/>
          </w14:textOutline>
        </w:rPr>
        <w:t xml:space="preserve"> measurements throughout Crete</w:t>
      </w:r>
      <w:r>
        <w:rPr>
          <w:rtl w:val="0"/>
          <w:lang w:val="en-US"/>
          <w14:textOutline w14:w="12700" w14:cap="flat">
            <w14:noFill/>
            <w14:miter w14:lim="400000"/>
          </w14:textOutline>
        </w:rPr>
        <w:t xml:space="preserve"> also</w:t>
      </w:r>
      <w:r>
        <w:rPr>
          <w:rtl w:val="0"/>
          <w14:textOutline w14:w="12700" w14:cap="flat">
            <w14:noFill/>
            <w14:miter w14:lim="400000"/>
          </w14:textOutline>
        </w:rPr>
        <w:t xml:space="preserve"> </w:t>
      </w:r>
      <w:r>
        <w:rPr>
          <w:rtl w:val="0"/>
          <w:lang w:val="en-US"/>
          <w14:textOutline w14:w="12700" w14:cap="flat">
            <w14:noFill/>
            <w14:miter w14:lim="400000"/>
          </w14:textOutline>
        </w:rPr>
        <w:t>confirm</w:t>
      </w:r>
      <w:r>
        <w:rPr>
          <w:rtl w:val="0"/>
          <w:lang w:val="en-US"/>
          <w14:textOutline w14:w="12700" w14:cap="flat">
            <w14:noFill/>
            <w14:miter w14:lim="400000"/>
          </w14:textOutline>
        </w:rPr>
        <w:t xml:space="preserve"> that the Minoans </w:t>
      </w:r>
      <w:r>
        <w:rPr>
          <w:rtl w:val="0"/>
          <w:lang w:val="en-US"/>
          <w14:textOutline w14:w="12700" w14:cap="flat">
            <w14:noFill/>
            <w14:miter w14:lim="400000"/>
          </w14:textOutline>
        </w:rPr>
        <w:t>observed</w:t>
      </w:r>
      <w:r>
        <w:rPr>
          <w:rtl w:val="0"/>
          <w:lang w:val="en-US"/>
          <w14:textOutline w14:w="12700" w14:cap="flat">
            <w14:noFill/>
            <w14:miter w14:lim="400000"/>
          </w14:textOutline>
        </w:rPr>
        <w:t xml:space="preserve"> the </w:t>
      </w:r>
      <w:r>
        <w:rPr>
          <w:rtl w:val="0"/>
          <w:lang w:val="en-US"/>
          <w14:textOutline w14:w="12700" w14:cap="flat">
            <w14:noFill/>
            <w14:miter w14:lim="400000"/>
          </w14:textOutline>
        </w:rPr>
        <w:t>e</w:t>
      </w:r>
      <w:r>
        <w:rPr>
          <w:rtl w:val="0"/>
          <w:lang w:val="pt-PT"/>
          <w14:textOutline w14:w="12700" w14:cap="flat">
            <w14:noFill/>
            <w14:miter w14:lim="400000"/>
          </w14:textOutline>
        </w:rPr>
        <w:t>quinoxes.</w:t>
      </w:r>
      <w:r>
        <w:rPr>
          <w:vertAlign w:val="superscript"/>
          <w14:textOutline w14:w="12700" w14:cap="flat">
            <w14:noFill/>
            <w14:miter w14:lim="400000"/>
          </w14:textOutline>
        </w:rPr>
        <w:footnoteReference w:id="64"/>
      </w:r>
      <w:r>
        <w:rPr>
          <w:rtl w:val="0"/>
          <w:lang w:val="en-US"/>
          <w14:textOutline w14:w="12700" w14:cap="flat">
            <w14:noFill/>
            <w14:miter w14:lim="400000"/>
          </w14:textOutline>
        </w:rPr>
        <w:t xml:space="preserve"> Furthermore, during the Winter Solstice sunrise as seen from the main entrance, Crux would set in the opposite horizon (Chart 4). Therefore, </w:t>
      </w:r>
      <w:r>
        <w:rPr>
          <w:rtl w:val="0"/>
          <w:lang w:val="en-US"/>
          <w14:textOutline w14:w="12700" w14:cap="flat">
            <w14:noFill/>
            <w14:miter w14:lim="400000"/>
          </w14:textOutline>
        </w:rPr>
        <w:t xml:space="preserve">the constellation of Crux, if recognized by the Minoans, was well situated to have been a liminal marker </w:t>
      </w:r>
      <w:r>
        <w:rPr>
          <w:rtl w:val="0"/>
          <w:lang w:val="en-US"/>
          <w14:textOutline w14:w="12700" w14:cap="flat">
            <w14:noFill/>
            <w14:miter w14:lim="400000"/>
          </w14:textOutline>
        </w:rPr>
        <w:t>announcing</w:t>
      </w:r>
      <w:r>
        <w:rPr>
          <w:rtl w:val="0"/>
          <w:lang w:val="en-US"/>
          <w14:textOutline w14:w="12700" w14:cap="flat">
            <w14:noFill/>
            <w14:miter w14:lim="400000"/>
          </w14:textOutline>
        </w:rPr>
        <w:t xml:space="preserve"> both the Spring Equinox and the Winter Solstice in Bronze Age Crete.</w:t>
      </w:r>
    </w:p>
    <w:p>
      <w:pPr>
        <w:pStyle w:val="Body"/>
        <w:spacing w:line="360" w:lineRule="auto"/>
        <w:ind w:firstLine="540"/>
        <w:rPr>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5318065" cy="2768954"/>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png"/>
                    <pic:cNvPicPr>
                      <a:picLocks noChangeAspect="1"/>
                    </pic:cNvPicPr>
                  </pic:nvPicPr>
                  <pic:blipFill>
                    <a:blip r:embed="rId19">
                      <a:extLst/>
                    </a:blip>
                    <a:stretch>
                      <a:fillRect/>
                    </a:stretch>
                  </pic:blipFill>
                  <pic:spPr>
                    <a:xfrm>
                      <a:off x="0" y="0"/>
                      <a:ext cx="5318065" cy="2768954"/>
                    </a:xfrm>
                    <a:prstGeom prst="rect">
                      <a:avLst/>
                    </a:prstGeom>
                    <a:ln w="12700" cap="flat">
                      <a:noFill/>
                      <a:miter lim="400000"/>
                    </a:ln>
                    <a:effectLst/>
                  </pic:spPr>
                </pic:pic>
              </a:graphicData>
            </a:graphic>
          </wp:inline>
        </w:drawing>
      </w:r>
    </w:p>
    <w:p>
      <w:pPr>
        <w:pStyle w:val="Image Caption"/>
      </w:pPr>
      <w:r>
        <w:rPr>
          <w:b w:val="1"/>
          <w:bCs w:val="1"/>
          <w:rtl w:val="0"/>
          <w:lang w:val="en-US"/>
        </w:rPr>
        <w:t>Chart 3</w:t>
      </w:r>
      <w:r>
        <w:rPr>
          <w:rtl w:val="0"/>
        </w:rPr>
        <w:t xml:space="preserve">. Acrux rising during Spring Equinox sunset, ca. 2000 </w:t>
      </w:r>
      <w:r>
        <w:rPr>
          <w:smallCaps w:val="1"/>
          <w:rtl w:val="0"/>
          <w:lang w:val="en-US"/>
        </w:rPr>
        <w:t>bce</w:t>
      </w:r>
      <w:r>
        <w:rPr>
          <w:rtl w:val="0"/>
        </w:rPr>
        <w:t>. The s</w:t>
      </w:r>
      <w:r>
        <w:rPr>
          <w:rtl w:val="0"/>
        </w:rPr>
        <w:t xml:space="preserve">un </w:t>
      </w:r>
      <w:r>
        <w:rPr>
          <w:rtl w:val="0"/>
        </w:rPr>
        <w:t xml:space="preserve">was </w:t>
      </w:r>
      <w:r>
        <w:rPr>
          <w:rtl w:val="0"/>
        </w:rPr>
        <w:t xml:space="preserve">at </w:t>
      </w:r>
      <w:r>
        <w:rPr>
          <w:rtl w:val="0"/>
        </w:rPr>
        <w:t>n</w:t>
      </w:r>
      <w:r>
        <w:rPr>
          <w:rtl w:val="0"/>
        </w:rPr>
        <w:t xml:space="preserve">autical </w:t>
      </w:r>
      <w:r>
        <w:rPr>
          <w:rtl w:val="0"/>
        </w:rPr>
        <w:t>t</w:t>
      </w:r>
      <w:r>
        <w:rPr>
          <w:rtl w:val="0"/>
        </w:rPr>
        <w:t>wilight.</w:t>
      </w: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5291011" cy="2635131"/>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png"/>
                    <pic:cNvPicPr>
                      <a:picLocks noChangeAspect="1"/>
                    </pic:cNvPicPr>
                  </pic:nvPicPr>
                  <pic:blipFill>
                    <a:blip r:embed="rId20">
                      <a:extLst/>
                    </a:blip>
                    <a:stretch>
                      <a:fillRect/>
                    </a:stretch>
                  </pic:blipFill>
                  <pic:spPr>
                    <a:xfrm>
                      <a:off x="0" y="0"/>
                      <a:ext cx="5291011" cy="2635131"/>
                    </a:xfrm>
                    <a:prstGeom prst="rect">
                      <a:avLst/>
                    </a:prstGeom>
                    <a:ln w="12700" cap="flat">
                      <a:noFill/>
                      <a:miter lim="400000"/>
                    </a:ln>
                    <a:effectLst/>
                  </pic:spPr>
                </pic:pic>
              </a:graphicData>
            </a:graphic>
          </wp:inline>
        </w:drawing>
      </w:r>
    </w:p>
    <w:p>
      <w:pPr>
        <w:pStyle w:val="Image Caption"/>
      </w:pPr>
      <w:r>
        <w:rPr>
          <w:b w:val="1"/>
          <w:bCs w:val="1"/>
          <w:rtl w:val="0"/>
          <w:lang w:val="en-US"/>
        </w:rPr>
        <w:t>Chart 4</w:t>
      </w:r>
      <w:r>
        <w:rPr>
          <w:rtl w:val="0"/>
        </w:rPr>
        <w:t xml:space="preserve">. Crux setting during Winter Solstice sunrise at Chamaizi, ca. 2000 </w:t>
      </w:r>
      <w:r>
        <w:rPr>
          <w:smallCaps w:val="1"/>
          <w:rtl w:val="0"/>
          <w:lang w:val="en-US"/>
        </w:rPr>
        <w:t>bce</w:t>
      </w:r>
      <w:r>
        <w:rPr>
          <w:rtl w:val="0"/>
        </w:rPr>
        <w:t>.</w:t>
      </w:r>
    </w:p>
    <w:p>
      <w:pPr>
        <w:pStyle w:val="Body"/>
        <w:spacing w:line="360" w:lineRule="auto"/>
        <w:ind w:firstLine="540"/>
        <w:rPr>
          <w14:textOutline w14:w="12700" w14:cap="flat">
            <w14:noFill/>
            <w14:miter w14:lim="400000"/>
          </w14:textOutline>
        </w:rPr>
      </w:pPr>
    </w:p>
    <w:p>
      <w:pPr>
        <w:pStyle w:val="Body"/>
        <w:spacing w:line="360" w:lineRule="auto"/>
        <w:ind w:firstLine="540"/>
        <w:rPr>
          <w14:textOutline w14:w="12700" w14:cap="flat">
            <w14:noFill/>
            <w14:miter w14:lim="400000"/>
          </w14:textOutline>
        </w:rPr>
      </w:pPr>
      <w:r>
        <w:rPr>
          <w:rtl w:val="0"/>
          <w:lang w:val="fr-FR"/>
          <w14:textOutline w14:w="12700" w14:cap="flat">
            <w14:noFill/>
            <w14:miter w14:lim="400000"/>
          </w14:textOutline>
        </w:rPr>
        <w:t xml:space="preserve">Crux, as </w:t>
      </w:r>
      <w:r>
        <w:rPr>
          <w:rtl w:val="0"/>
          <w:lang w:val="en-US"/>
          <w14:textOutline w14:w="12700" w14:cap="flat">
            <w14:noFill/>
            <w14:miter w14:lim="400000"/>
          </w14:textOutline>
        </w:rPr>
        <w:t xml:space="preserve">a </w:t>
      </w:r>
      <w:r>
        <w:rPr>
          <w:rtl w:val="0"/>
          <w:lang w:val="en-US"/>
          <w14:textOutline w14:w="12700" w14:cap="flat">
            <w14:noFill/>
            <w14:miter w14:lim="400000"/>
          </w14:textOutline>
        </w:rPr>
        <w:t xml:space="preserve">seasonal marker embedded in the orientations of Chamaizi, </w:t>
      </w:r>
      <w:r>
        <w:rPr>
          <w:rtl w:val="0"/>
          <w:lang w:val="en-US"/>
          <w14:textOutline w14:w="12700" w14:cap="flat">
            <w14:noFill/>
            <w14:miter w14:lim="400000"/>
          </w14:textOutline>
        </w:rPr>
        <w:t xml:space="preserve">may </w:t>
      </w:r>
      <w:r>
        <w:rPr>
          <w:rtl w:val="0"/>
          <w:lang w:val="en-US"/>
          <w14:textOutline w14:w="12700" w14:cap="flat">
            <w14:noFill/>
            <w14:miter w14:lim="400000"/>
          </w14:textOutline>
        </w:rPr>
        <w:t xml:space="preserve">provide an astronomical interpretation </w:t>
      </w:r>
      <w:r>
        <w:rPr>
          <w:rtl w:val="0"/>
          <w:lang w:val="en-US"/>
          <w14:textOutline w14:w="12700" w14:cap="flat">
            <w14:noFill/>
            <w14:miter w14:lim="400000"/>
          </w14:textOutline>
        </w:rPr>
        <w:t xml:space="preserve">for a </w:t>
      </w:r>
      <w:r>
        <w:rPr>
          <w:rtl w:val="0"/>
          <w14:textOutline w14:w="12700" w14:cap="flat">
            <w14:noFill/>
            <w14:miter w14:lim="400000"/>
          </w14:textOutline>
        </w:rPr>
        <w:t xml:space="preserve">Minoan </w:t>
      </w:r>
      <w:r>
        <w:rPr>
          <w:rtl w:val="0"/>
          <w:lang w:val="en-US"/>
          <w14:textOutline w14:w="12700" w14:cap="flat">
            <w14:noFill/>
            <w14:miter w14:lim="400000"/>
          </w14:textOutline>
        </w:rPr>
        <w:t>glyptic motif</w:t>
      </w:r>
      <w:r>
        <w:rPr>
          <w:rtl w:val="0"/>
          <w14:textOutline w14:w="12700" w14:cap="flat">
            <w14:noFill/>
            <w14:miter w14:lim="400000"/>
          </w14:textOutline>
        </w:rPr>
        <w:t xml:space="preserve">. </w:t>
      </w:r>
      <w:r>
        <w:rPr>
          <w:rtl w:val="0"/>
          <w:lang w:val="en-US"/>
          <w14:textOutline w14:w="12700" w14:cap="flat">
            <w14:noFill/>
            <w14:miter w14:lim="400000"/>
          </w14:textOutline>
        </w:rPr>
        <w:t>T</w:t>
      </w:r>
      <w:r>
        <w:rPr>
          <w:rtl w:val="0"/>
          <w:lang w:val="en-US"/>
          <w14:textOutline w14:w="12700" w14:cap="flat">
            <w14:noFill/>
            <w14:miter w14:lim="400000"/>
          </w14:textOutline>
        </w:rPr>
        <w:t>he encircled cross</w:t>
      </w:r>
      <w:r>
        <w:rPr>
          <w:rtl w:val="0"/>
          <w:lang w:val="en-US"/>
          <w14:textOutline w14:w="12700" w14:cap="flat">
            <w14:noFill/>
            <w14:miter w14:lim="400000"/>
          </w14:textOutline>
        </w:rPr>
        <w:t xml:space="preserve"> is a common image in Minoan seals, where sometimes it takes the form of a solar wheel</w:t>
      </w:r>
      <w:r>
        <w:rPr>
          <w:rtl w:val="0"/>
          <w14:textOutline w14:w="12700" w14:cap="flat">
            <w14:noFill/>
            <w14:miter w14:lim="400000"/>
          </w14:textOutline>
        </w:rPr>
        <w:t>.</w:t>
      </w:r>
      <w:r>
        <w:rPr>
          <w:rtl w:val="0"/>
          <w:lang w:val="en-US"/>
          <w14:textOutline w14:w="12700" w14:cap="flat">
            <w14:noFill/>
            <w14:miter w14:lim="400000"/>
          </w14:textOutline>
        </w:rPr>
        <w:t xml:space="preserve"> An example is engraved on a Mycenean ring where dog-headed Minoan Genii offer libations to a goddess, canopied by a solar wheel, a crescent moon, and the </w:t>
      </w:r>
      <w:r>
        <w:rPr>
          <w:rtl w:val="0"/>
          <w:lang w:val="en-US"/>
          <w14:textOutline w14:w="12700" w14:cap="flat">
            <w14:noFill/>
            <w14:miter w14:lim="400000"/>
          </w14:textOutline>
        </w:rPr>
        <w:t>‘</w:t>
      </w:r>
      <w:r>
        <w:rPr>
          <w:rtl w:val="0"/>
          <w:lang w:val="en-US"/>
          <w14:textOutline w14:w="12700" w14:cap="flat">
            <w14:noFill/>
            <w14:miter w14:lim="400000"/>
          </w14:textOutline>
        </w:rPr>
        <w:t>floating</w:t>
      </w:r>
      <w:r>
        <w:rPr>
          <w:rtl w:val="0"/>
          <w:lang w:val="en-US"/>
          <w14:textOutline w14:w="12700" w14:cap="flat">
            <w14:noFill/>
            <w14:miter w14:lim="400000"/>
          </w14:textOutline>
        </w:rPr>
        <w:t xml:space="preserve">’ </w:t>
      </w:r>
      <w:r>
        <w:rPr>
          <w:rtl w:val="0"/>
          <w:lang w:val="en-US"/>
          <w14:textOutline w14:w="12700" w14:cap="flat">
            <w14:noFill/>
            <w14:miter w14:lim="400000"/>
          </w14:textOutline>
        </w:rPr>
        <w:t xml:space="preserve">spikes of wheat </w:t>
      </w:r>
      <w:r>
        <w:rPr>
          <w:rtl w:val="0"/>
          <w14:textOutline w14:w="12700" w14:cap="flat">
            <w14:noFill/>
            <w14:miter w14:lim="400000"/>
          </w14:textOutline>
        </w:rPr>
        <w:t xml:space="preserve">(fig. </w:t>
      </w:r>
      <w:r>
        <w:rPr>
          <w:rtl w:val="0"/>
          <w:lang w:val="en-US"/>
          <w14:textOutline w14:w="12700" w14:cap="flat">
            <w14:noFill/>
            <w14:miter w14:lim="400000"/>
          </w14:textOutline>
        </w:rPr>
        <w:t>12</w:t>
      </w:r>
      <w:r>
        <w:rPr>
          <w:rtl w:val="0"/>
          <w14:textOutline w14:w="12700" w14:cap="flat">
            <w14:noFill/>
            <w14:miter w14:lim="400000"/>
          </w14:textOutline>
        </w:rPr>
        <w:t>)</w:t>
      </w:r>
      <w:r>
        <w:rPr>
          <w:rtl w:val="0"/>
          <w:lang w:val="en-US"/>
          <w14:textOutline w14:w="12700" w14:cap="flat">
            <w14:noFill/>
            <w14:miter w14:lim="400000"/>
          </w14:textOutline>
        </w:rPr>
        <w:t xml:space="preserve">. Nilsson is skeptical of interpreting these seals purely on religious connotations of the cross: </w:t>
      </w:r>
    </w:p>
    <w:p>
      <w:pPr>
        <w:pStyle w:val="Body"/>
        <w:spacing w:line="360" w:lineRule="auto"/>
        <w:ind w:firstLine="540"/>
        <w:rPr>
          <w14:textOutline w14:w="12700" w14:cap="flat">
            <w14:noFill/>
            <w14:miter w14:lim="400000"/>
          </w14:textOutline>
        </w:rPr>
      </w:pPr>
    </w:p>
    <w:p>
      <w:pPr>
        <w:pStyle w:val="Default"/>
        <w:bidi w:val="0"/>
        <w:spacing w:before="0" w:line="360" w:lineRule="auto"/>
        <w:ind w:left="720" w:right="0" w:firstLine="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Thus it is ver</w:t>
      </w:r>
      <w:r>
        <w:rPr>
          <w:rFonts w:ascii="Times New Roman" w:hAnsi="Times New Roman"/>
          <w:u w:color="000000"/>
          <w:rtl w:val="0"/>
          <w:lang w:val="en-US"/>
          <w14:textOutline w14:w="12700" w14:cap="flat">
            <w14:noFill/>
            <w14:miter w14:lim="400000"/>
          </w14:textOutline>
        </w:rPr>
        <w:t xml:space="preserve">y </w:t>
      </w:r>
      <w:r>
        <w:rPr>
          <w:rFonts w:ascii="Times New Roman" w:hAnsi="Times New Roman"/>
          <w:u w:color="000000"/>
          <w:rtl w:val="0"/>
          <w:lang w:val="en-US"/>
          <w14:textOutline w14:w="12700" w14:cap="flat">
            <w14:noFill/>
            <w14:miter w14:lim="400000"/>
          </w14:textOutline>
        </w:rPr>
        <w:t>doubtful if the star</w:t>
      </w:r>
      <w:r>
        <w:rPr>
          <w:rFonts w:ascii="Times New Roman" w:hAnsi="Times New Roman"/>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like and rayed</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hieroglyphic signs,</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similar to the designs treated here,</w:t>
      </w:r>
      <w:r>
        <w:rPr>
          <w:rFonts w:ascii="Times New Roman" w:hAnsi="Times New Roman"/>
          <w:u w:color="000000"/>
          <w:rtl w:val="0"/>
          <w:lang w:val="en-US"/>
          <w14:textOutline w14:w="12700" w14:cap="flat">
            <w14:noFill/>
            <w14:miter w14:lim="400000"/>
          </w14:textOutline>
        </w:rPr>
        <w:t xml:space="preserve"> r</w:t>
      </w:r>
      <w:r>
        <w:rPr>
          <w:rFonts w:ascii="Times New Roman" w:hAnsi="Times New Roman"/>
          <w:u w:color="000000"/>
          <w:rtl w:val="0"/>
          <w:lang w:val="en-US"/>
          <w14:textOutline w14:w="12700" w14:cap="flat">
            <w14:noFill/>
            <w14:miter w14:lim="400000"/>
          </w14:textOutline>
        </w:rPr>
        <w:t>epresent the sun</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14:textOutline w14:w="12700" w14:cap="flat">
            <w14:noFill/>
            <w14:miter w14:lim="400000"/>
          </w14:textOutline>
        </w:rPr>
        <w:t>or stars</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No evidence can be deduced from the circumstances of their discovery to show that these crosses were more than pieces of jewelry and if any; deeper significance is to be ascribed to them, it must be demonstrated by other evidence</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that the cross was a religious s</w:t>
      </w:r>
      <w:r>
        <w:rPr>
          <w:rFonts w:ascii="Times New Roman" w:hAnsi="Times New Roman"/>
          <w:u w:color="000000"/>
          <w:rtl w:val="0"/>
          <w:lang w:val="en-US"/>
          <w14:textOutline w14:w="12700" w14:cap="flat">
            <w14:noFill/>
            <w14:miter w14:lim="400000"/>
          </w14:textOutline>
        </w:rPr>
        <w:t>y</w:t>
      </w:r>
      <w:r>
        <w:rPr>
          <w:rFonts w:ascii="Times New Roman" w:hAnsi="Times New Roman"/>
          <w:u w:color="000000"/>
          <w:rtl w:val="0"/>
          <w:lang w:val="pt-PT"/>
          <w14:textOutline w14:w="12700" w14:cap="flat">
            <w14:noFill/>
            <w14:miter w14:lim="400000"/>
          </w14:textOutline>
        </w:rPr>
        <w:t>mbol.</w:t>
      </w:r>
      <w:r>
        <w:rPr>
          <w:rFonts w:ascii="Times New Roman" w:hAnsi="Times New Roman" w:hint="default"/>
          <w:u w:color="000000"/>
          <w:rtl w:val="0"/>
          <w:lang w:val="en-US"/>
          <w14:textOutline w14:w="12700" w14:cap="flat">
            <w14:noFill/>
            <w14:miter w14:lim="400000"/>
          </w14:textOutline>
        </w:rPr>
        <w:t>’</w:t>
      </w:r>
      <w:r>
        <w:rPr>
          <w:rFonts w:ascii="Times New Roman" w:cs="Times New Roman" w:hAnsi="Times New Roman" w:eastAsia="Times New Roman"/>
          <w:u w:color="000000"/>
          <w:vertAlign w:val="superscript"/>
          <w:rtl w:val="0"/>
          <w14:textOutline w14:w="12700" w14:cap="flat">
            <w14:noFill/>
            <w14:miter w14:lim="400000"/>
          </w14:textOutline>
        </w:rPr>
        <w:footnoteReference w:id="65"/>
      </w:r>
    </w:p>
    <w:p>
      <w:pPr>
        <w:pStyle w:val="Default"/>
        <w:bidi w:val="0"/>
        <w:spacing w:before="0" w:line="360" w:lineRule="auto"/>
        <w:ind w:left="720" w:right="0" w:firstLine="0"/>
        <w:jc w:val="left"/>
        <w:rPr>
          <w:rFonts w:ascii="Times New Roman" w:cs="Times New Roman" w:hAnsi="Times New Roman" w:eastAsia="Times New Roman"/>
          <w:u w:color="000000"/>
          <w:rtl w:val="0"/>
          <w14:textOutline w14:w="12700" w14:cap="flat">
            <w14:noFill/>
            <w14:miter w14:lim="400000"/>
          </w14:textOutline>
        </w:rPr>
      </w:pPr>
    </w:p>
    <w:p>
      <w:pPr>
        <w:pStyle w:val="Default"/>
        <w:bidi w:val="0"/>
        <w:spacing w:before="0" w:line="360" w:lineRule="auto"/>
        <w:ind w:left="0" w:right="0" w:firstLine="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 Minoan</w:t>
      </w:r>
      <w:r>
        <w:rPr>
          <w:rFonts w:ascii="Times New Roman" w:hAnsi="Times New Roman"/>
          <w:u w:color="000000"/>
          <w:rtl w:val="0"/>
          <w:lang w:val="it-IT"/>
          <w14:textOutline w14:w="12700" w14:cap="flat">
            <w14:noFill/>
            <w14:miter w14:lim="400000"/>
          </w14:textOutline>
        </w:rPr>
        <w:t xml:space="preserve"> cruciform </w:t>
      </w:r>
      <w:r>
        <w:rPr>
          <w:rFonts w:ascii="Times New Roman" w:hAnsi="Times New Roman"/>
          <w:u w:color="000000"/>
          <w:rtl w:val="0"/>
          <w:lang w:val="en-US"/>
          <w14:textOutline w14:w="12700" w14:cap="flat">
            <w14:noFill/>
            <w14:miter w14:lim="400000"/>
          </w14:textOutline>
        </w:rPr>
        <w:t xml:space="preserve">motif </w:t>
      </w:r>
      <w:r>
        <w:rPr>
          <w:rFonts w:ascii="Times New Roman" w:hAnsi="Times New Roman"/>
          <w:u w:color="000000"/>
          <w:rtl w:val="0"/>
          <w:lang w:val="en-US"/>
          <w14:textOutline w14:w="12700" w14:cap="flat">
            <w14:noFill/>
            <w14:miter w14:lim="400000"/>
          </w14:textOutline>
        </w:rPr>
        <w:t xml:space="preserve">would have been an ideal semantic representation of the </w:t>
      </w:r>
      <w:r>
        <w:rPr>
          <w:rFonts w:ascii="Times New Roman" w:hAnsi="Times New Roman"/>
          <w:u w:color="000000"/>
          <w:rtl w:val="0"/>
          <w:lang w:val="en-US"/>
          <w14:textOutline w14:w="12700" w14:cap="flat">
            <w14:noFill/>
            <w14:miter w14:lim="400000"/>
          </w14:textOutline>
        </w:rPr>
        <w:t>e</w:t>
      </w:r>
      <w:r>
        <w:rPr>
          <w:rFonts w:ascii="Times New Roman" w:hAnsi="Times New Roman"/>
          <w:u w:color="000000"/>
          <w:rtl w:val="0"/>
          <w:lang w:val="en-US"/>
          <w14:textOutline w14:w="12700" w14:cap="flat">
            <w14:noFill/>
            <w14:miter w14:lim="400000"/>
          </w14:textOutline>
        </w:rPr>
        <w:t>quinoxes, when daylight and sunlight were equally divided.</w:t>
      </w:r>
      <w:r>
        <w:rPr>
          <w:rFonts w:ascii="Times New Roman" w:hAnsi="Times New Roman"/>
          <w:u w:color="000000"/>
          <w:rtl w:val="0"/>
          <w:lang w:val="en-US"/>
          <w14:textOutline w14:w="12700" w14:cap="flat">
            <w14:noFill/>
            <w14:miter w14:lim="400000"/>
          </w14:textOutline>
        </w:rPr>
        <w:t xml:space="preserve"> This symbol finds a celestial metaphor in the fortuitous location of the asterism, Crux, as a nocturnal marker for the seasons in Minoan Crete.</w:t>
      </w:r>
    </w:p>
    <w:p>
      <w:pPr>
        <w:pStyle w:val="Default"/>
        <w:bidi w:val="0"/>
        <w:spacing w:before="0" w:line="360" w:lineRule="auto"/>
        <w:ind w:left="0" w:right="0" w:firstLine="0"/>
        <w:jc w:val="left"/>
        <w:rPr>
          <w:rFonts w:ascii="Times New Roman" w:cs="Times New Roman" w:hAnsi="Times New Roman" w:eastAsia="Times New Roman"/>
          <w:u w:color="000000"/>
          <w:rtl w:val="0"/>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2941360" cy="1984927"/>
            <wp:effectExtent l="0" t="0" r="0" b="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pasted-image.png"/>
                    <pic:cNvPicPr>
                      <a:picLocks noChangeAspect="1"/>
                    </pic:cNvPicPr>
                  </pic:nvPicPr>
                  <pic:blipFill>
                    <a:blip r:embed="rId21">
                      <a:extLst/>
                    </a:blip>
                    <a:stretch>
                      <a:fillRect/>
                    </a:stretch>
                  </pic:blipFill>
                  <pic:spPr>
                    <a:xfrm>
                      <a:off x="0" y="0"/>
                      <a:ext cx="2941360" cy="1984927"/>
                    </a:xfrm>
                    <a:prstGeom prst="rect">
                      <a:avLst/>
                    </a:prstGeom>
                    <a:ln w="12700" cap="flat">
                      <a:noFill/>
                      <a:miter lim="400000"/>
                    </a:ln>
                    <a:effectLst/>
                  </pic:spPr>
                </pic:pic>
              </a:graphicData>
            </a:graphic>
          </wp:inline>
        </w:drawing>
      </w:r>
    </w:p>
    <w:p>
      <w:pPr>
        <w:pStyle w:val="Image Caption"/>
      </w:pPr>
      <w:r>
        <w:rPr>
          <w:b w:val="1"/>
          <w:bCs w:val="1"/>
          <w:rtl w:val="0"/>
          <w:lang w:val="en-US"/>
        </w:rPr>
        <w:t>Figure 12</w:t>
      </w:r>
      <w:r>
        <w:rPr>
          <w:rtl w:val="0"/>
        </w:rPr>
        <w:t xml:space="preserve">. </w:t>
      </w:r>
      <w:r>
        <w:rPr>
          <w:rtl w:val="0"/>
        </w:rPr>
        <w:t>The sun, moon, and stars</w:t>
      </w:r>
      <w:r>
        <w:rPr>
          <w:rtl w:val="0"/>
        </w:rPr>
        <w:t xml:space="preserve"> </w:t>
      </w:r>
      <w:r>
        <w:rPr>
          <w:rtl w:val="0"/>
        </w:rPr>
        <w:t>on Tiryns</w:t>
      </w:r>
      <w:r>
        <w:rPr>
          <w:rtl w:val="0"/>
        </w:rPr>
        <w:t xml:space="preserve"> </w:t>
      </w:r>
      <w:r>
        <w:rPr>
          <w:rtl w:val="0"/>
        </w:rPr>
        <w:t>ring (CMS</w:t>
      </w:r>
      <w:r>
        <w:rPr>
          <w:rtl w:val="0"/>
        </w:rPr>
        <w:t xml:space="preserve"> </w:t>
      </w:r>
      <w:r>
        <w:rPr>
          <w:rtl w:val="0"/>
        </w:rPr>
        <w:t>l [Xenaki-Sakellariou</w:t>
      </w:r>
      <w:r>
        <w:rPr>
          <w:rtl w:val="0"/>
        </w:rPr>
        <w:t xml:space="preserve"> </w:t>
      </w:r>
      <w:r>
        <w:rPr>
          <w:rtl w:val="0"/>
        </w:rPr>
        <w:t>1964], no. 179</w:t>
      </w:r>
      <w:r>
        <w:rPr>
          <w:rtl w:val="0"/>
        </w:rPr>
        <w:t>)</w:t>
      </w:r>
    </w:p>
    <w:p>
      <w:pPr>
        <w:pStyle w:val="Body"/>
        <w:spacing w:line="360" w:lineRule="auto"/>
        <w:ind w:firstLine="540"/>
        <w:rPr>
          <w14:textOutline w14:w="12700" w14:cap="flat">
            <w14:noFill/>
            <w14:miter w14:lim="400000"/>
          </w14:textOutline>
        </w:rPr>
      </w:pPr>
    </w:p>
    <w:p>
      <w:pPr>
        <w:pStyle w:val="Body"/>
        <w:spacing w:line="360" w:lineRule="auto"/>
        <w:ind w:firstLine="540"/>
        <w:rPr>
          <w14:textOutline w14:w="12700" w14:cap="flat">
            <w14:noFill/>
            <w14:miter w14:lim="400000"/>
          </w14:textOutline>
        </w:rPr>
      </w:pPr>
      <w:r>
        <w:rPr>
          <w:rtl w:val="0"/>
          <w:lang w:val="en-US"/>
          <w14:textOutline w14:w="12700" w14:cap="flat">
            <w14:noFill/>
            <w14:miter w14:lim="400000"/>
          </w14:textOutline>
        </w:rPr>
        <w:t xml:space="preserve">The equinox itself can be envisioned as the union of the sun and moon, </w:t>
      </w:r>
      <w:r>
        <w:rPr>
          <w:rtl w:val="0"/>
          <w:lang w:val="en-US"/>
          <w14:textOutline w14:w="12700" w14:cap="flat">
            <w14:noFill/>
            <w14:miter w14:lim="400000"/>
          </w14:textOutline>
        </w:rPr>
        <w:t>‘</w:t>
      </w:r>
      <w:r>
        <w:rPr>
          <w:rtl w:val="0"/>
          <w:lang w:val="en-US"/>
          <w14:textOutline w14:w="12700" w14:cap="flat">
            <w14:noFill/>
            <w14:miter w14:lim="400000"/>
          </w14:textOutline>
        </w:rPr>
        <w:t xml:space="preserve">crossing' each other in their heavenly dance. In Near Eastern societies, the </w:t>
      </w:r>
      <w:r>
        <w:rPr>
          <w:i w:val="1"/>
          <w:iCs w:val="1"/>
          <w:rtl w:val="0"/>
          <w:lang w:val="en-US"/>
          <w14:textOutline w14:w="12700" w14:cap="flat">
            <w14:noFill/>
            <w14:miter w14:lim="400000"/>
          </w14:textOutline>
        </w:rPr>
        <w:t>hieros gamos</w:t>
      </w:r>
      <w:r>
        <w:rPr>
          <w:rtl w:val="0"/>
          <w:lang w:val="en-US"/>
          <w14:textOutline w14:w="12700" w14:cap="flat">
            <w14:noFill/>
            <w14:miter w14:lim="400000"/>
          </w14:textOutline>
        </w:rPr>
        <w:t xml:space="preserve"> was celebrated during the autumnal equinox, and it is believed that Aegean cultures practiced similar ceremonies until at least 1400 </w:t>
      </w:r>
      <w:r>
        <w:rPr>
          <w:smallCaps w:val="1"/>
          <w:rtl w:val="0"/>
          <w:lang w:val="en-US"/>
          <w14:textOutline w14:w="12700" w14:cap="flat">
            <w14:noFill/>
            <w14:miter w14:lim="400000"/>
          </w14:textOutline>
        </w:rPr>
        <w:t>bce</w:t>
      </w:r>
      <w:r>
        <w:rPr>
          <w:rtl w:val="0"/>
          <w:lang w:val="en-US"/>
          <w14:textOutline w14:w="12700" w14:cap="flat">
            <w14:noFill/>
            <w14:miter w14:lim="400000"/>
          </w14:textOutline>
        </w:rPr>
        <w:t>.</w:t>
      </w:r>
      <w:r>
        <w:rPr>
          <w:vertAlign w:val="superscript"/>
          <w14:textOutline w14:w="12700" w14:cap="flat">
            <w14:noFill/>
            <w14:miter w14:lim="400000"/>
          </w14:textOutline>
        </w:rPr>
        <w:footnoteReference w:id="66"/>
      </w:r>
      <w:r>
        <w:rPr>
          <w:rtl w:val="0"/>
          <w:lang w:val="en-US"/>
          <w14:textOutline w14:w="12700" w14:cap="flat">
            <w14:noFill/>
            <w14:miter w14:lim="400000"/>
          </w14:textOutline>
        </w:rPr>
        <w:t xml:space="preserve"> Strabo records</w:t>
      </w:r>
      <w:r>
        <w:rPr>
          <w:rtl w:val="0"/>
          <w14:textOutline w14:w="12700" w14:cap="flat">
            <w14:noFill/>
            <w14:miter w14:lim="400000"/>
          </w14:textOutline>
        </w:rPr>
        <w:t xml:space="preserve"> </w:t>
      </w:r>
      <w:r>
        <w:rPr>
          <w:rtl w:val="0"/>
          <w:lang w:val="en-US"/>
          <w14:textOutline w14:w="12700" w14:cap="flat">
            <w14:noFill/>
            <w14:miter w14:lim="400000"/>
          </w14:textOutline>
        </w:rPr>
        <w:t xml:space="preserve">that </w:t>
      </w:r>
      <w:r>
        <w:rPr>
          <w:rtl w:val="0"/>
          <w:lang w:val="en-US"/>
          <w14:textOutline w14:w="12700" w14:cap="flat">
            <w14:noFill/>
            <w14:miter w14:lim="400000"/>
          </w14:textOutline>
        </w:rPr>
        <w:t xml:space="preserve">Persian kings would marry their wives </w:t>
      </w:r>
      <w:r>
        <w:rPr>
          <w:rtl w:val="0"/>
          <w:lang w:val="en-US"/>
          <w14:textOutline w14:w="12700" w14:cap="flat">
            <w14:noFill/>
            <w14:miter w14:lim="400000"/>
          </w14:textOutline>
        </w:rPr>
        <w:t>at the beginning of the vernal</w:t>
      </w:r>
      <w:r>
        <w:rPr>
          <w:rtl w:val="0"/>
          <w14:textOutline w14:w="12700" w14:cap="flat">
            <w14:noFill/>
            <w14:miter w14:lim="400000"/>
          </w14:textOutline>
        </w:rPr>
        <w:t xml:space="preserve"> </w:t>
      </w:r>
      <w:r>
        <w:rPr>
          <w:rtl w:val="0"/>
          <w:lang w:val="en-US"/>
          <w14:textOutline w14:w="12700" w14:cap="flat">
            <w14:noFill/>
            <w14:miter w14:lim="400000"/>
          </w14:textOutline>
        </w:rPr>
        <w:t>e</w:t>
      </w:r>
      <w:r>
        <w:rPr>
          <w:rtl w:val="0"/>
          <w:lang w:val="it-IT"/>
          <w14:textOutline w14:w="12700" w14:cap="flat">
            <w14:noFill/>
            <w14:miter w14:lim="400000"/>
          </w14:textOutline>
        </w:rPr>
        <w:t>quinox</w:t>
      </w:r>
      <w:r>
        <w:rPr>
          <w:rtl w:val="0"/>
          <w:lang w:val="en-US"/>
          <w14:textOutline w14:w="12700" w14:cap="flat">
            <w14:noFill/>
            <w14:miter w14:lim="400000"/>
          </w14:textOutline>
        </w:rPr>
        <w:t>.</w:t>
      </w:r>
      <w:r>
        <w:rPr>
          <w:vertAlign w:val="superscript"/>
          <w14:textOutline w14:w="12700" w14:cap="flat">
            <w14:noFill/>
            <w14:miter w14:lim="400000"/>
          </w14:textOutline>
        </w:rPr>
        <w:footnoteReference w:id="67"/>
      </w:r>
      <w:r>
        <w:rPr>
          <w:b w:val="1"/>
          <w:bCs w:val="1"/>
          <w:rtl w:val="0"/>
          <w:lang w:val="en-US"/>
          <w14:textOutline w14:w="12700" w14:cap="flat">
            <w14:noFill/>
            <w14:miter w14:lim="400000"/>
          </w14:textOutline>
        </w:rPr>
        <w:t xml:space="preserve"> </w:t>
      </w:r>
      <w:r>
        <w:rPr>
          <w:rtl w:val="0"/>
          <w:lang w:val="en-US"/>
          <w14:textOutline w14:w="12700" w14:cap="flat">
            <w14:noFill/>
            <w14:miter w14:lim="400000"/>
          </w14:textOutline>
        </w:rPr>
        <w:t xml:space="preserve">In some parts of modern Greece, around the spring equinox, a </w:t>
      </w:r>
      <w:r>
        <w:rPr>
          <w:rtl w:val="0"/>
          <w:lang w:val="en-US"/>
          <w14:textOutline w14:w="12700" w14:cap="flat">
            <w14:noFill/>
            <w14:miter w14:lim="400000"/>
          </w14:textOutline>
        </w:rPr>
        <w:t>‘</w:t>
      </w:r>
      <w:r>
        <w:rPr>
          <w:rtl w:val="0"/>
          <w:lang w:val="en-US"/>
          <w14:textOutline w14:w="12700" w14:cap="flat">
            <w14:noFill/>
            <w14:miter w14:lim="400000"/>
          </w14:textOutline>
        </w:rPr>
        <w:t>mock wedding</w:t>
      </w:r>
      <w:r>
        <w:rPr>
          <w:rtl w:val="0"/>
          <w:lang w:val="en-US"/>
          <w14:textOutline w14:w="12700" w14:cap="flat">
            <w14:noFill/>
            <w14:miter w14:lim="400000"/>
          </w14:textOutline>
        </w:rPr>
        <w:t xml:space="preserve">’ </w:t>
      </w:r>
      <w:r>
        <w:rPr>
          <w:rtl w:val="0"/>
          <w:lang w:val="en-US"/>
          <w14:textOutline w14:w="12700" w14:cap="flat">
            <w14:noFill/>
            <w14:miter w14:lim="400000"/>
          </w14:textOutline>
        </w:rPr>
        <w:t>is celebrated on Clean Monday.</w:t>
      </w:r>
      <w:r>
        <w:rPr>
          <w:vertAlign w:val="superscript"/>
          <w14:textOutline w14:w="12700" w14:cap="flat">
            <w14:noFill/>
            <w14:miter w14:lim="400000"/>
          </w14:textOutline>
        </w:rPr>
        <w:footnoteReference w:id="68"/>
      </w:r>
      <w:r>
        <w:rPr>
          <w:rtl w:val="0"/>
          <w:lang w:val="en-US"/>
          <w14:textOutline w14:w="12700" w14:cap="flat">
            <w14:noFill/>
            <w14:miter w14:lim="400000"/>
          </w14:textOutline>
        </w:rPr>
        <w:t xml:space="preserve"> </w:t>
      </w:r>
      <w:r>
        <w:rPr>
          <w:rtl w:val="0"/>
          <w14:textOutline w14:w="12700" w14:cap="flat">
            <w14:noFill/>
            <w14:miter w14:lim="400000"/>
          </w14:textOutline>
        </w:rPr>
        <w:t>Chamaizi</w:t>
      </w:r>
      <w:r>
        <w:rPr>
          <w:rtl w:val="1"/>
          <w14:textOutline w14:w="12700" w14:cap="flat">
            <w14:noFill/>
            <w14:miter w14:lim="400000"/>
          </w14:textOutline>
        </w:rPr>
        <w:t>’</w:t>
      </w:r>
      <w:r>
        <w:rPr>
          <w:rtl w:val="0"/>
          <w:lang w:val="fr-FR"/>
          <w14:textOutline w14:w="12700" w14:cap="flat">
            <w14:noFill/>
            <w14:miter w14:lim="400000"/>
          </w14:textOutline>
        </w:rPr>
        <w:t xml:space="preserve">s main entrance </w:t>
      </w:r>
      <w:r>
        <w:rPr>
          <w:rtl w:val="0"/>
          <w:lang w:val="en-US"/>
          <w14:textOutline w14:w="12700" w14:cap="flat">
            <w14:noFill/>
            <w14:miter w14:lim="400000"/>
          </w14:textOutline>
        </w:rPr>
        <w:t xml:space="preserve">may have incorporated a similar </w:t>
      </w:r>
      <w:r>
        <w:rPr>
          <w:rtl w:val="0"/>
          <w:lang w:val="pt-PT"/>
          <w14:textOutline w14:w="12700" w14:cap="flat">
            <w14:noFill/>
            <w14:miter w14:lim="400000"/>
          </w14:textOutline>
        </w:rPr>
        <w:t xml:space="preserve">conjugal </w:t>
      </w:r>
      <w:r>
        <w:rPr>
          <w:rtl w:val="0"/>
          <w:lang w:val="en-US"/>
          <w14:textOutline w14:w="12700" w14:cap="flat">
            <w14:noFill/>
            <w14:miter w14:lim="400000"/>
          </w14:textOutline>
        </w:rPr>
        <w:t>symbology. The construction embedded</w:t>
      </w:r>
      <w:r>
        <w:rPr>
          <w:rtl w:val="0"/>
          <w:lang w:val="en-US"/>
          <w14:textOutline w14:w="12700" w14:cap="flat">
            <w14:noFill/>
            <w14:miter w14:lim="400000"/>
          </w14:textOutline>
        </w:rPr>
        <w:t xml:space="preserve"> a solar solstitial alignment while Crux set, a lunar alignment</w:t>
      </w:r>
      <w:r>
        <w:rPr>
          <w:rtl w:val="0"/>
          <w:lang w:val="en-US"/>
          <w14:textOutline w14:w="12700" w14:cap="flat">
            <w14:noFill/>
            <w14:miter w14:lim="400000"/>
          </w14:textOutline>
        </w:rPr>
        <w:t xml:space="preserve"> at Corona Australis</w:t>
      </w:r>
      <w:r>
        <w:rPr>
          <w:rtl w:val="0"/>
          <w:lang w:val="en-US"/>
          <w14:textOutline w14:w="12700" w14:cap="flat">
            <w14:noFill/>
            <w14:miter w14:lim="400000"/>
          </w14:textOutline>
        </w:rPr>
        <w:t>’</w:t>
      </w:r>
      <w:r>
        <w:rPr>
          <w:rtl w:val="0"/>
          <w:lang w:val="en-US"/>
          <w14:textOutline w14:w="12700" w14:cap="flat">
            <w14:noFill/>
            <w14:miter w14:lim="400000"/>
          </w14:textOutline>
        </w:rPr>
        <w:t>s declination</w:t>
      </w:r>
      <w:r>
        <w:rPr>
          <w:rtl w:val="0"/>
          <w:lang w:val="en-US"/>
          <w14:textOutline w14:w="12700" w14:cap="flat">
            <w14:noFill/>
            <w14:miter w14:lim="400000"/>
          </w14:textOutline>
        </w:rPr>
        <w:t xml:space="preserve">, and a </w:t>
      </w:r>
      <w:r>
        <w:rPr>
          <w:rtl w:val="0"/>
          <w:lang w:val="en-US"/>
          <w14:textOutline w14:w="12700" w14:cap="flat">
            <w14:noFill/>
            <w14:miter w14:lim="400000"/>
          </w14:textOutline>
        </w:rPr>
        <w:t>s</w:t>
      </w:r>
      <w:r>
        <w:rPr>
          <w:rtl w:val="0"/>
          <w:lang w:val="en-US"/>
          <w14:textOutline w14:w="12700" w14:cap="flat">
            <w14:noFill/>
            <w14:miter w14:lim="400000"/>
          </w14:textOutline>
        </w:rPr>
        <w:t>pring equinox alignment while Crux rose.</w:t>
      </w:r>
      <w:r>
        <w:rPr>
          <w:b w:val="1"/>
          <w:bCs w:val="1"/>
          <w:rtl w:val="0"/>
          <w:lang w:val="en-US"/>
          <w14:textOutline w14:w="12700" w14:cap="flat">
            <w14:noFill/>
            <w14:miter w14:lim="400000"/>
          </w14:textOutline>
        </w:rPr>
        <w:t xml:space="preserve"> </w:t>
      </w:r>
      <w:r>
        <w:rPr>
          <w:rtl w:val="0"/>
          <w:lang w:val="en-US"/>
          <w14:textOutline w14:w="12700" w14:cap="flat">
            <w14:noFill/>
            <w14:miter w14:lim="400000"/>
          </w14:textOutline>
        </w:rPr>
        <w:t xml:space="preserve">This potential cosmological trinity evokes the </w:t>
      </w:r>
      <w:r>
        <w:rPr>
          <w:i w:val="1"/>
          <w:iCs w:val="1"/>
          <w:rtl w:val="0"/>
          <w:lang w:val="en-US"/>
          <w14:textOutline w14:w="12700" w14:cap="flat">
            <w14:noFill/>
            <w14:miter w14:lim="400000"/>
          </w14:textOutline>
        </w:rPr>
        <w:t xml:space="preserve">hieros gamos, </w:t>
      </w:r>
      <w:r>
        <w:rPr>
          <w:rtl w:val="0"/>
          <w:lang w:val="en-US"/>
          <w14:textOutline w14:w="12700" w14:cap="flat">
            <w14:noFill/>
            <w14:miter w14:lim="400000"/>
          </w14:textOutline>
        </w:rPr>
        <w:t>the solar male as the rain god with the lunar female as the well, giving birth to life-sustaining Spring.</w:t>
      </w:r>
    </w:p>
    <w:p>
      <w:pPr>
        <w:pStyle w:val="Image A"/>
        <w:rPr>
          <w:rFonts w:ascii="Times New Roman" w:cs="Times New Roman" w:hAnsi="Times New Roman" w:eastAsia="Times New Roman"/>
        </w:rPr>
      </w:pPr>
    </w:p>
    <w:p>
      <w:pPr>
        <w:pStyle w:val="Heading Reg"/>
      </w:pPr>
      <w:r>
        <w:rPr>
          <w:rFonts w:cs="Arial Unicode MS" w:eastAsia="Arial Unicode MS"/>
          <w:rtl w:val="0"/>
          <w:lang w:val="en-US"/>
        </w:rPr>
        <w:t>Conclusion</w:t>
      </w:r>
    </w:p>
    <w:p>
      <w:pPr>
        <w:pStyle w:val="Image A"/>
        <w:rPr>
          <w:rFonts w:ascii="Times New Roman" w:cs="Times New Roman" w:hAnsi="Times New Roman" w:eastAsia="Times New Roman"/>
        </w:rPr>
      </w:pPr>
    </w:p>
    <w:p>
      <w:pPr>
        <w:pStyle w:val="Body A"/>
      </w:pPr>
      <w:r>
        <w:rPr>
          <w:rFonts w:ascii="Times New Roman" w:hAnsi="Times New Roman"/>
          <w:rtl w:val="0"/>
          <w:lang w:val="en-US"/>
        </w:rPr>
        <w:t>The orientations to Spica</w:t>
      </w:r>
      <w:r>
        <w:rPr>
          <w:rFonts w:ascii="Times New Roman" w:hAnsi="Times New Roman" w:hint="default"/>
          <w:rtl w:val="0"/>
          <w:lang w:val="en-US"/>
        </w:rPr>
        <w:t>’</w:t>
      </w:r>
      <w:r>
        <w:rPr>
          <w:rFonts w:ascii="Times New Roman" w:hAnsi="Times New Roman"/>
          <w:rtl w:val="0"/>
          <w:lang w:val="en-US"/>
        </w:rPr>
        <w:t xml:space="preserve">s evening rise and the southern major lunar standstill are consistent with </w:t>
      </w:r>
      <w:r>
        <w:rPr>
          <w:rFonts w:ascii="Times New Roman" w:hAnsi="Times New Roman"/>
          <w:rtl w:val="0"/>
          <w:lang w:val="pt-PT"/>
        </w:rPr>
        <w:t xml:space="preserve">lunar identifications </w:t>
      </w:r>
      <w:r>
        <w:rPr>
          <w:rFonts w:ascii="Times New Roman" w:hAnsi="Times New Roman"/>
          <w:rtl w:val="0"/>
          <w:lang w:val="en-US"/>
        </w:rPr>
        <w:t>of</w:t>
      </w:r>
      <w:r>
        <w:rPr>
          <w:rFonts w:ascii="Times New Roman" w:hAnsi="Times New Roman"/>
          <w:rtl w:val="0"/>
          <w:lang w:val="it-IT"/>
        </w:rPr>
        <w:t xml:space="preserve"> Artemis/Britomartis</w:t>
      </w:r>
      <w:r>
        <w:rPr>
          <w:rFonts w:ascii="Times New Roman" w:hAnsi="Times New Roman"/>
          <w:rtl w:val="0"/>
          <w:lang w:val="en-US"/>
        </w:rPr>
        <w:t xml:space="preserve"> and the </w:t>
      </w:r>
      <w:r>
        <w:rPr>
          <w:rFonts w:ascii="Times New Roman" w:hAnsi="Times New Roman" w:hint="default"/>
          <w:rtl w:val="0"/>
          <w:lang w:val="en-US"/>
        </w:rPr>
        <w:t>‘</w:t>
      </w:r>
      <w:r>
        <w:rPr>
          <w:rFonts w:ascii="Times New Roman" w:hAnsi="Times New Roman"/>
          <w:rtl w:val="0"/>
          <w:lang w:val="en-US"/>
        </w:rPr>
        <w:t>floating wheat</w:t>
      </w:r>
      <w:r>
        <w:rPr>
          <w:rFonts w:ascii="Times New Roman" w:hAnsi="Times New Roman" w:hint="default"/>
          <w:rtl w:val="0"/>
          <w:lang w:val="en-US"/>
        </w:rPr>
        <w:t xml:space="preserve">’ </w:t>
      </w:r>
      <w:r>
        <w:rPr>
          <w:rFonts w:ascii="Times New Roman" w:hAnsi="Times New Roman"/>
          <w:rtl w:val="0"/>
          <w:lang w:val="en-US"/>
        </w:rPr>
        <w:t>glyptic iconography. Chamaizi's archetypal</w:t>
      </w:r>
      <w:r>
        <w:rPr>
          <w:rFonts w:ascii="Times New Roman" w:hAnsi="Times New Roman"/>
          <w:rtl w:val="0"/>
        </w:rPr>
        <w:t xml:space="preserve"> </w:t>
      </w:r>
      <w:r>
        <w:rPr>
          <w:rFonts w:ascii="Times New Roman" w:hAnsi="Times New Roman"/>
          <w:rtl w:val="0"/>
          <w:lang w:val="en-US"/>
        </w:rPr>
        <w:t>oval-shaped</w:t>
      </w:r>
      <w:r>
        <w:rPr>
          <w:rFonts w:ascii="Times New Roman" w:hAnsi="Times New Roman"/>
          <w:rtl w:val="0"/>
          <w:lang w:val="en-US"/>
        </w:rPr>
        <w:t xml:space="preserve"> floor plan</w:t>
      </w:r>
      <w:r>
        <w:rPr>
          <w:rFonts w:ascii="Times New Roman" w:hAnsi="Times New Roman"/>
          <w:rtl w:val="0"/>
          <w:lang w:val="en-US"/>
        </w:rPr>
        <w:t xml:space="preserve">, mirroring the curvature of Corona Australis, combined with its centralized cistern finds correspondences with the Greek </w:t>
      </w:r>
      <w:r>
        <w:rPr>
          <w:rFonts w:ascii="Times New Roman" w:hAnsi="Times New Roman"/>
          <w:rtl w:val="0"/>
          <w:lang w:val="en-US"/>
        </w:rPr>
        <w:t xml:space="preserve">myths </w:t>
      </w:r>
      <w:r>
        <w:rPr>
          <w:rFonts w:ascii="Times New Roman" w:hAnsi="Times New Roman"/>
          <w:rtl w:val="0"/>
          <w:lang w:val="en-US"/>
        </w:rPr>
        <w:t xml:space="preserve">of Cretan </w:t>
      </w:r>
      <w:r>
        <w:rPr>
          <w:rFonts w:ascii="Times New Roman" w:hAnsi="Times New Roman"/>
          <w:rtl w:val="0"/>
          <w:lang w:val="de-DE"/>
        </w:rPr>
        <w:t>Zeus</w:t>
      </w:r>
      <w:r>
        <w:rPr>
          <w:rFonts w:ascii="Times New Roman" w:hAnsi="Times New Roman" w:hint="default"/>
          <w:rtl w:val="1"/>
        </w:rPr>
        <w:t xml:space="preserve">’ </w:t>
      </w:r>
      <w:r>
        <w:rPr>
          <w:rFonts w:ascii="Times New Roman" w:hAnsi="Times New Roman"/>
          <w:rtl w:val="0"/>
          <w:lang w:val="en-US"/>
        </w:rPr>
        <w:t>nursing</w:t>
      </w:r>
      <w:r>
        <w:rPr>
          <w:rFonts w:ascii="Times New Roman" w:hAnsi="Times New Roman"/>
          <w:rtl w:val="0"/>
          <w:lang w:val="en-US"/>
        </w:rPr>
        <w:t xml:space="preserve"> in Sitia. The lunisolar and equinoctial alignments, perhaps emblemized as the solar cross, are consistent with ancient Greek pre-nuptial traditions, which were propitiated with water libations at the springs, wells, and baths sacred to Artemis.</w:t>
      </w:r>
      <w:r>
        <w:rPr>
          <w:rFonts w:ascii="Arial Unicode MS" w:cs="Arial Unicode MS" w:hAnsi="Arial Unicode MS" w:eastAsia="Arial Unicode MS"/>
          <w:b w:val="0"/>
          <w:bCs w:val="0"/>
          <w:i w:val="0"/>
          <w:iCs w:val="0"/>
        </w:rPr>
        <w:br w:type="page"/>
      </w:r>
    </w:p>
    <w:p>
      <w:pPr>
        <w:pStyle w:val="Heading Reg"/>
      </w:pPr>
      <w:r>
        <w:rPr>
          <w:rFonts w:cs="Arial Unicode MS" w:eastAsia="Arial Unicode MS"/>
          <w:rtl w:val="0"/>
          <w:lang w:val="en-US"/>
        </w:rPr>
        <w:t>Appendix</w:t>
      </w:r>
    </w:p>
    <w:p>
      <w:pPr>
        <w:pStyle w:val="Image A"/>
        <w:rPr>
          <w:rFonts w:ascii="Times New Roman" w:cs="Times New Roman" w:hAnsi="Times New Roman" w:eastAsia="Times New Roman"/>
        </w:rPr>
      </w:pP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14"/>
        <w:gridCol w:w="1096"/>
        <w:gridCol w:w="1931"/>
        <w:gridCol w:w="1081"/>
        <w:gridCol w:w="1045"/>
        <w:gridCol w:w="1432"/>
        <w:gridCol w:w="2061"/>
      </w:tblGrid>
      <w:tr>
        <w:tblPrEx>
          <w:shd w:val="clear" w:color="auto" w:fill="bdc0bf"/>
        </w:tblPrEx>
        <w:trPr>
          <w:trHeight w:val="268" w:hRule="atLeast"/>
          <w:tblHeader/>
        </w:trPr>
        <w:tc>
          <w:tcPr>
            <w:tcW w:type="dxa" w:w="714"/>
            <w:tcBorders>
              <w:top w:val="nil"/>
              <w:left w:val="nil"/>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Wall</w:t>
            </w:r>
          </w:p>
        </w:tc>
        <w:tc>
          <w:tcPr>
            <w:tcW w:type="dxa" w:w="1095"/>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Azimuth</w:t>
            </w:r>
          </w:p>
        </w:tc>
        <w:tc>
          <w:tcPr>
            <w:tcW w:type="dxa" w:w="1931"/>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Star</w:t>
            </w:r>
          </w:p>
        </w:tc>
        <w:tc>
          <w:tcPr>
            <w:tcW w:type="dxa" w:w="1080"/>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Azimuth</w:t>
            </w:r>
          </w:p>
        </w:tc>
        <w:tc>
          <w:tcPr>
            <w:tcW w:type="dxa" w:w="1044"/>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Altitude</w:t>
            </w:r>
          </w:p>
        </w:tc>
        <w:tc>
          <w:tcPr>
            <w:tcW w:type="dxa" w:w="1432"/>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Declination</w:t>
            </w:r>
          </w:p>
        </w:tc>
        <w:tc>
          <w:tcPr>
            <w:tcW w:type="dxa" w:w="2060"/>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Seasonal Marker</w:t>
            </w:r>
          </w:p>
        </w:tc>
      </w:tr>
      <w:tr>
        <w:tblPrEx>
          <w:shd w:val="clear" w:color="auto" w:fill="auto"/>
        </w:tblPrEx>
        <w:trPr>
          <w:trHeight w:val="531" w:hRule="atLeast"/>
        </w:trPr>
        <w:tc>
          <w:tcPr>
            <w:tcW w:type="dxa" w:w="714"/>
            <w:tcBorders>
              <w:top w:val="single" w:color="000000" w:sz="6"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A</w:t>
            </w:r>
          </w:p>
        </w:tc>
        <w:tc>
          <w:tcPr>
            <w:tcW w:type="dxa" w:w="109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147</w:t>
            </w:r>
            <w:r>
              <w:rPr>
                <w:rFonts w:ascii="Lora Regular" w:hAnsi="Lora Regular" w:hint="default"/>
                <w:rtl w:val="0"/>
              </w:rPr>
              <w:t>°</w:t>
            </w:r>
          </w:p>
        </w:tc>
        <w:tc>
          <w:tcPr>
            <w:tcW w:type="dxa" w:w="1931"/>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lang w:val="fr-FR"/>
              </w:rPr>
              <w:t>Acrux (</w:t>
            </w:r>
            <w:r>
              <w:rPr>
                <w:rFonts w:ascii="Arial Unicode MS" w:cs="Arial Unicode MS" w:hAnsi="Arial Unicode MS" w:eastAsia="Arial Unicode MS" w:hint="default"/>
                <w:b w:val="0"/>
                <w:bCs w:val="0"/>
                <w:i w:val="0"/>
                <w:iCs w:val="0"/>
                <w:rtl w:val="0"/>
              </w:rPr>
              <w:t>α</w:t>
            </w:r>
            <w:r>
              <w:rPr>
                <w:rFonts w:ascii="Lora Regular" w:hAnsi="Lora Regular"/>
                <w:i w:val="1"/>
                <w:iCs w:val="1"/>
                <w:rtl w:val="0"/>
                <w:lang w:val="en-US"/>
              </w:rPr>
              <w:t xml:space="preserve"> </w:t>
            </w:r>
            <w:r>
              <w:rPr>
                <w:rFonts w:ascii="Lora Regular" w:hAnsi="Lora Regular"/>
                <w:rtl w:val="0"/>
                <w:lang w:val="it-IT"/>
              </w:rPr>
              <w:t>Cru) Rising</w:t>
            </w:r>
          </w:p>
        </w:tc>
        <w:tc>
          <w:tcPr>
            <w:tcW w:type="dxa" w:w="108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148</w:t>
            </w:r>
            <w:r>
              <w:rPr>
                <w:rFonts w:ascii="Lora Regular" w:hAnsi="Lora Regular" w:hint="default"/>
                <w:rtl w:val="0"/>
              </w:rPr>
              <w:t>°</w:t>
            </w:r>
            <w:r>
              <w:rPr>
                <w:rFonts w:ascii="Lora Regular" w:hAnsi="Lora Regular"/>
                <w:rtl w:val="0"/>
              </w:rPr>
              <w:t>53</w:t>
            </w:r>
            <w:r>
              <w:rPr>
                <w:rFonts w:ascii="Lora Regular" w:hAnsi="Lora Regular" w:hint="default"/>
                <w:rtl w:val="0"/>
              </w:rPr>
              <w:t>’</w:t>
            </w:r>
          </w:p>
        </w:tc>
        <w:tc>
          <w:tcPr>
            <w:tcW w:type="dxa" w:w="10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w:t>
            </w:r>
            <w:r>
              <w:rPr>
                <w:rFonts w:ascii="Lora Regular" w:hAnsi="Lora Regular" w:hint="default"/>
                <w:rtl w:val="0"/>
              </w:rPr>
              <w:t>°</w:t>
            </w:r>
            <w:r>
              <w:rPr>
                <w:rFonts w:ascii="Lora Regular" w:hAnsi="Lora Regular"/>
                <w:rtl w:val="0"/>
              </w:rPr>
              <w:t>54</w:t>
            </w:r>
            <w:r>
              <w:rPr>
                <w:rFonts w:ascii="Lora Regular" w:hAnsi="Lora Regular" w:hint="default"/>
                <w:rtl w:val="0"/>
              </w:rPr>
              <w:t>’</w:t>
            </w:r>
          </w:p>
        </w:tc>
        <w:tc>
          <w:tcPr>
            <w:tcW w:type="dxa" w:w="1432"/>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-42</w:t>
            </w:r>
            <w:r>
              <w:rPr>
                <w:rFonts w:ascii="Lora Regular" w:hAnsi="Lora Regular" w:hint="default"/>
                <w:rtl w:val="0"/>
              </w:rPr>
              <w:t>°</w:t>
            </w:r>
            <w:r>
              <w:rPr>
                <w:rFonts w:ascii="Lora Regular" w:hAnsi="Lora Regular"/>
                <w:rtl w:val="0"/>
              </w:rPr>
              <w:t>07</w:t>
            </w:r>
            <w:r>
              <w:rPr>
                <w:rFonts w:ascii="Lora Regular" w:hAnsi="Lora Regular" w:hint="default"/>
                <w:rtl w:val="0"/>
              </w:rPr>
              <w:t>’</w:t>
            </w:r>
          </w:p>
        </w:tc>
        <w:tc>
          <w:tcPr>
            <w:tcW w:type="dxa" w:w="206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Spring Equinox Sunset</w:t>
            </w:r>
          </w:p>
        </w:tc>
      </w:tr>
      <w:tr>
        <w:tblPrEx>
          <w:shd w:val="clear" w:color="auto" w:fill="auto"/>
        </w:tblPrEx>
        <w:trPr>
          <w:trHeight w:val="527" w:hRule="atLeast"/>
        </w:trPr>
        <w:tc>
          <w:tcPr>
            <w:tcW w:type="dxa" w:w="714"/>
            <w:tcBorders>
              <w:top w:val="single" w:color="000000" w:sz="2"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B</w:t>
            </w:r>
          </w:p>
        </w:tc>
        <w:tc>
          <w:tcPr>
            <w:tcW w:type="dxa" w:w="10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128</w:t>
            </w:r>
            <w:r>
              <w:rPr>
                <w:rFonts w:ascii="Lora Regular" w:hAnsi="Lora Regular" w:hint="default"/>
                <w:rtl w:val="0"/>
              </w:rPr>
              <w:t>°</w:t>
            </w:r>
          </w:p>
        </w:tc>
        <w:tc>
          <w:tcPr>
            <w:tcW w:type="dxa" w:w="193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hint="default"/>
                <w:rtl w:val="0"/>
              </w:rPr>
              <w:t xml:space="preserve">γ </w:t>
            </w:r>
            <w:r>
              <w:rPr>
                <w:rFonts w:ascii="Lora Regular" w:hAnsi="Lora Regular"/>
                <w:rtl w:val="0"/>
              </w:rPr>
              <w:t>CrA Rising</w:t>
            </w:r>
          </w:p>
        </w:tc>
        <w:tc>
          <w:tcPr>
            <w:tcW w:type="dxa" w:w="10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130</w:t>
            </w:r>
            <w:r>
              <w:rPr>
                <w:rFonts w:ascii="Lora Regular" w:hAnsi="Lora Regular" w:hint="default"/>
                <w:rtl w:val="0"/>
              </w:rPr>
              <w:t>°</w:t>
            </w:r>
          </w:p>
        </w:tc>
        <w:tc>
          <w:tcPr>
            <w:tcW w:type="dxa" w:w="10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w:t>
            </w:r>
            <w:r>
              <w:rPr>
                <w:rFonts w:ascii="Lora Regular" w:hAnsi="Lora Regular" w:hint="default"/>
                <w:rtl w:val="0"/>
              </w:rPr>
              <w:t>°</w:t>
            </w:r>
            <w:r>
              <w:rPr>
                <w:rFonts w:ascii="Lora Regular" w:hAnsi="Lora Regular"/>
                <w:rtl w:val="0"/>
              </w:rPr>
              <w:t>35</w:t>
            </w:r>
            <w:r>
              <w:rPr>
                <w:rFonts w:ascii="Lora Regular" w:hAnsi="Lora Regular" w:hint="default"/>
                <w:rtl w:val="0"/>
              </w:rPr>
              <w:t>’</w:t>
            </w:r>
          </w:p>
        </w:tc>
        <w:tc>
          <w:tcPr>
            <w:tcW w:type="dxa" w:w="143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-30</w:t>
            </w:r>
            <w:r>
              <w:rPr>
                <w:rFonts w:ascii="Lora Regular" w:hAnsi="Lora Regular" w:hint="default"/>
                <w:rtl w:val="0"/>
              </w:rPr>
              <w:t>°</w:t>
            </w:r>
            <w:r>
              <w:rPr>
                <w:rFonts w:ascii="Lora Regular" w:hAnsi="Lora Regular"/>
                <w:rtl w:val="0"/>
              </w:rPr>
              <w:t>32</w:t>
            </w:r>
            <w:r>
              <w:rPr>
                <w:rFonts w:ascii="Lora Regular" w:hAnsi="Lora Regular" w:hint="default"/>
                <w:rtl w:val="0"/>
              </w:rPr>
              <w:t>’</w:t>
            </w:r>
          </w:p>
        </w:tc>
        <w:tc>
          <w:tcPr>
            <w:tcW w:type="dxa" w:w="2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Southern Major Lunar Standstill</w:t>
            </w:r>
          </w:p>
        </w:tc>
      </w:tr>
      <w:tr>
        <w:tblPrEx>
          <w:shd w:val="clear" w:color="auto" w:fill="auto"/>
        </w:tblPrEx>
        <w:trPr>
          <w:trHeight w:val="523" w:hRule="atLeast"/>
        </w:trPr>
        <w:tc>
          <w:tcPr>
            <w:tcW w:type="dxa" w:w="714"/>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C</w:t>
            </w:r>
          </w:p>
        </w:tc>
        <w:tc>
          <w:tcPr>
            <w:tcW w:type="dxa" w:w="1095"/>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77</w:t>
            </w:r>
            <w:r>
              <w:rPr>
                <w:rFonts w:ascii="Lora Regular" w:hAnsi="Lora Regular" w:hint="default"/>
                <w:rtl w:val="0"/>
              </w:rPr>
              <w:t>°</w:t>
            </w:r>
          </w:p>
        </w:tc>
        <w:tc>
          <w:tcPr>
            <w:tcW w:type="dxa" w:w="1931"/>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lang w:val="it-IT"/>
              </w:rPr>
              <w:t xml:space="preserve">Spica </w:t>
            </w:r>
            <w:r>
              <w:rPr>
                <w:rFonts w:ascii="Lora Regular" w:hAnsi="Lora Regular"/>
                <w:rtl w:val="0"/>
                <w:lang w:val="en-US"/>
              </w:rPr>
              <w:t>(</w:t>
            </w:r>
            <w:r>
              <w:rPr>
                <w:rFonts w:ascii="Arial Unicode MS" w:cs="Arial Unicode MS" w:hAnsi="Arial Unicode MS" w:eastAsia="Arial Unicode MS" w:hint="default"/>
                <w:b w:val="0"/>
                <w:bCs w:val="0"/>
                <w:i w:val="0"/>
                <w:iCs w:val="0"/>
                <w:rtl w:val="0"/>
              </w:rPr>
              <w:t>α</w:t>
            </w:r>
            <w:r>
              <w:rPr>
                <w:rFonts w:ascii="Lora Regular" w:hAnsi="Lora Regular"/>
                <w:rtl w:val="0"/>
                <w:lang w:val="en-US"/>
              </w:rPr>
              <w:t xml:space="preserve"> Vir) </w:t>
            </w:r>
            <w:r>
              <w:rPr>
                <w:rFonts w:ascii="Lora Regular" w:hAnsi="Lora Regular"/>
                <w:rtl w:val="0"/>
                <w:lang w:val="en-US"/>
              </w:rPr>
              <w:t>Evening Rising</w:t>
            </w:r>
          </w:p>
        </w:tc>
        <w:tc>
          <w:tcPr>
            <w:tcW w:type="dxa" w:w="108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77</w:t>
            </w:r>
            <w:r>
              <w:rPr>
                <w:rFonts w:ascii="Lora Regular" w:hAnsi="Lora Regular" w:hint="default"/>
                <w:rtl w:val="0"/>
              </w:rPr>
              <w:t>°</w:t>
            </w:r>
            <w:r>
              <w:rPr>
                <w:rFonts w:ascii="Lora Regular" w:hAnsi="Lora Regular"/>
                <w:rtl w:val="0"/>
              </w:rPr>
              <w:t>28</w:t>
            </w:r>
            <w:r>
              <w:rPr>
                <w:rFonts w:ascii="Lora Regular" w:hAnsi="Lora Regular" w:hint="default"/>
                <w:rtl w:val="0"/>
              </w:rPr>
              <w:t>’</w:t>
            </w:r>
          </w:p>
        </w:tc>
        <w:tc>
          <w:tcPr>
            <w:tcW w:type="dxa" w:w="1044"/>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0</w:t>
            </w:r>
            <w:r>
              <w:rPr>
                <w:rFonts w:ascii="Lora Regular" w:hAnsi="Lora Regular" w:hint="default"/>
                <w:rtl w:val="0"/>
              </w:rPr>
              <w:t>°</w:t>
            </w:r>
          </w:p>
        </w:tc>
        <w:tc>
          <w:tcPr>
            <w:tcW w:type="dxa" w:w="143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+10</w:t>
            </w:r>
            <w:r>
              <w:rPr>
                <w:rFonts w:ascii="Lora Regular" w:hAnsi="Lora Regular" w:hint="default"/>
                <w:rtl w:val="0"/>
              </w:rPr>
              <w:t>°</w:t>
            </w:r>
            <w:r>
              <w:rPr>
                <w:rFonts w:ascii="Lora Regular" w:hAnsi="Lora Regular"/>
                <w:rtl w:val="0"/>
              </w:rPr>
              <w:t>31</w:t>
            </w:r>
            <w:r>
              <w:rPr>
                <w:rFonts w:ascii="Lora Regular" w:hAnsi="Lora Regular" w:hint="default"/>
                <w:rtl w:val="0"/>
              </w:rPr>
              <w:t>’</w:t>
            </w:r>
          </w:p>
        </w:tc>
        <w:tc>
          <w:tcPr>
            <w:tcW w:type="dxa" w:w="206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One Month Before Spring Equinox</w:t>
            </w:r>
          </w:p>
        </w:tc>
      </w:tr>
    </w:tbl>
    <w:p>
      <w:pPr>
        <w:pStyle w:val="Body A"/>
        <w:rPr>
          <w:rFonts w:ascii="Times New Roman" w:cs="Times New Roman" w:hAnsi="Times New Roman" w:eastAsia="Times New Roman"/>
        </w:rPr>
      </w:pPr>
    </w:p>
    <w:p>
      <w:pPr>
        <w:pStyle w:val="Image Caption"/>
      </w:pPr>
      <w:r>
        <w:rPr>
          <w:b w:val="1"/>
          <w:bCs w:val="1"/>
          <w:rtl w:val="0"/>
          <w:lang w:val="en-US"/>
        </w:rPr>
        <w:t xml:space="preserve">Table </w:t>
      </w:r>
      <w:r>
        <w:rPr>
          <w:b w:val="1"/>
          <w:bCs w:val="1"/>
          <w:rtl w:val="0"/>
          <w:lang w:val="en-US"/>
        </w:rPr>
        <w:t>2</w:t>
      </w:r>
      <w:r>
        <w:rPr>
          <w:rtl w:val="0"/>
        </w:rPr>
        <w:t>. Astronomical Alignments Chamaizi, Crete (35</w:t>
      </w:r>
      <w:r>
        <w:rPr>
          <w:rtl w:val="0"/>
        </w:rPr>
        <w:t>°</w:t>
      </w:r>
      <w:r>
        <w:rPr>
          <w:rtl w:val="0"/>
        </w:rPr>
        <w:t>10</w:t>
      </w:r>
      <w:r>
        <w:rPr>
          <w:rtl w:val="0"/>
        </w:rPr>
        <w:t>’</w:t>
      </w:r>
      <w:r>
        <w:rPr>
          <w:rtl w:val="0"/>
        </w:rPr>
        <w:t>3.67</w:t>
      </w:r>
      <w:r>
        <w:rPr>
          <w:rtl w:val="0"/>
        </w:rPr>
        <w:t>”</w:t>
      </w:r>
      <w:r>
        <w:rPr>
          <w:rtl w:val="0"/>
        </w:rPr>
        <w:t>N,  26</w:t>
      </w:r>
      <w:r>
        <w:rPr>
          <w:rtl w:val="0"/>
        </w:rPr>
        <w:t xml:space="preserve">° </w:t>
      </w:r>
      <w:r>
        <w:rPr>
          <w:rtl w:val="0"/>
        </w:rPr>
        <w:t>1</w:t>
      </w:r>
      <w:r>
        <w:rPr>
          <w:rtl w:val="0"/>
        </w:rPr>
        <w:t>’</w:t>
      </w:r>
      <w:r>
        <w:rPr>
          <w:rtl w:val="0"/>
        </w:rPr>
        <w:t>6.75</w:t>
      </w:r>
      <w:r>
        <w:rPr>
          <w:rtl w:val="0"/>
        </w:rPr>
        <w:t>”</w:t>
      </w:r>
      <w:r>
        <w:rPr>
          <w:rtl w:val="0"/>
        </w:rPr>
        <w:t>E), 2000 bce</w:t>
      </w:r>
    </w:p>
    <w:p>
      <w:pPr>
        <w:pStyle w:val="Body A"/>
        <w:rPr>
          <w:rFonts w:ascii="Times New Roman" w:cs="Times New Roman" w:hAnsi="Times New Roman" w:eastAsia="Times New Roman"/>
        </w:rPr>
      </w:pPr>
    </w:p>
    <w:tbl>
      <w:tblPr>
        <w:tblW w:w="935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14"/>
        <w:gridCol w:w="1096"/>
        <w:gridCol w:w="1931"/>
        <w:gridCol w:w="2061"/>
        <w:gridCol w:w="1080"/>
        <w:gridCol w:w="1045"/>
        <w:gridCol w:w="1432"/>
      </w:tblGrid>
      <w:tr>
        <w:tblPrEx>
          <w:shd w:val="clear" w:color="auto" w:fill="auto"/>
        </w:tblPrEx>
        <w:trPr>
          <w:trHeight w:val="263" w:hRule="atLeast"/>
        </w:trPr>
        <w:tc>
          <w:tcPr>
            <w:tcW w:type="dxa" w:w="714"/>
            <w:tcBorders>
              <w:top w:val="nil"/>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Door</w:t>
            </w:r>
          </w:p>
        </w:tc>
        <w:tc>
          <w:tcPr>
            <w:tcW w:type="dxa" w:w="1095"/>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Azimuth</w:t>
            </w:r>
          </w:p>
        </w:tc>
        <w:tc>
          <w:tcPr>
            <w:tcW w:type="dxa" w:w="1931"/>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Seasonal Marker</w:t>
            </w:r>
          </w:p>
        </w:tc>
        <w:tc>
          <w:tcPr>
            <w:tcW w:type="dxa" w:w="2060"/>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Star</w:t>
            </w:r>
          </w:p>
        </w:tc>
        <w:tc>
          <w:tcPr>
            <w:tcW w:type="dxa" w:w="1080"/>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Azimuth</w:t>
            </w:r>
          </w:p>
        </w:tc>
        <w:tc>
          <w:tcPr>
            <w:tcW w:type="dxa" w:w="1044"/>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Altitude</w:t>
            </w:r>
          </w:p>
        </w:tc>
        <w:tc>
          <w:tcPr>
            <w:tcW w:type="dxa" w:w="1432"/>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Declination</w:t>
            </w:r>
          </w:p>
        </w:tc>
      </w:tr>
      <w:tr>
        <w:tblPrEx>
          <w:shd w:val="clear" w:color="auto" w:fill="auto"/>
        </w:tblPrEx>
        <w:trPr>
          <w:trHeight w:val="1043" w:hRule="atLeast"/>
        </w:trPr>
        <w:tc>
          <w:tcPr>
            <w:tcW w:type="dxa" w:w="714"/>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D</w:t>
            </w:r>
          </w:p>
        </w:tc>
        <w:tc>
          <w:tcPr>
            <w:tcW w:type="dxa" w:w="1095"/>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119.8</w:t>
            </w:r>
            <w:r>
              <w:rPr>
                <w:rFonts w:ascii="Lora Regular" w:hAnsi="Lora Regular" w:hint="default"/>
                <w:rtl w:val="0"/>
              </w:rPr>
              <w:t>°</w:t>
            </w:r>
          </w:p>
        </w:tc>
        <w:tc>
          <w:tcPr>
            <w:tcW w:type="dxa" w:w="1931"/>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Sunrise Winter Solstice is at -6</w:t>
            </w:r>
            <w:r>
              <w:rPr>
                <w:rFonts w:ascii="Lora Regular" w:hAnsi="Lora Regular" w:hint="default"/>
                <w:rtl w:val="0"/>
              </w:rPr>
              <w:t xml:space="preserve">° </w:t>
            </w:r>
            <w:r>
              <w:rPr>
                <w:rFonts w:ascii="Lora Regular" w:hAnsi="Lora Regular"/>
                <w:rtl w:val="0"/>
              </w:rPr>
              <w:t>alt and occurs at 119.8</w:t>
            </w:r>
            <w:r>
              <w:rPr>
                <w:rFonts w:ascii="Lora Regular" w:hAnsi="Lora Regular" w:hint="default"/>
                <w:rtl w:val="0"/>
              </w:rPr>
              <w:t xml:space="preserve">° </w:t>
            </w:r>
            <w:r>
              <w:rPr>
                <w:rFonts w:ascii="Lora Regular" w:hAnsi="Lora Regular"/>
                <w:rtl w:val="0"/>
              </w:rPr>
              <w:t>as Cru Sets</w:t>
            </w:r>
          </w:p>
        </w:tc>
        <w:tc>
          <w:tcPr>
            <w:tcW w:type="dxa" w:w="206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hint="default"/>
                <w:rtl w:val="0"/>
              </w:rPr>
              <w:t xml:space="preserve">δ </w:t>
            </w:r>
            <w:r>
              <w:rPr>
                <w:rFonts w:ascii="Lora Regular" w:hAnsi="Lora Regular"/>
                <w:rtl w:val="0"/>
              </w:rPr>
              <w:t>Cru Morning Set</w:t>
            </w:r>
          </w:p>
        </w:tc>
        <w:tc>
          <w:tcPr>
            <w:tcW w:type="dxa" w:w="108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213</w:t>
            </w:r>
            <w:r>
              <w:rPr>
                <w:rFonts w:ascii="Lora Regular" w:hAnsi="Lora Regular" w:hint="default"/>
                <w:rtl w:val="0"/>
              </w:rPr>
              <w:t>°</w:t>
            </w:r>
            <w:r>
              <w:rPr>
                <w:rFonts w:ascii="Lora Regular" w:hAnsi="Lora Regular"/>
                <w:rtl w:val="0"/>
              </w:rPr>
              <w:t>38</w:t>
            </w:r>
            <w:r>
              <w:rPr>
                <w:rFonts w:ascii="Lora Regular" w:hAnsi="Lora Regular" w:hint="default"/>
                <w:rtl w:val="0"/>
              </w:rPr>
              <w:t>’</w:t>
            </w:r>
          </w:p>
        </w:tc>
        <w:tc>
          <w:tcPr>
            <w:tcW w:type="dxa" w:w="1044"/>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5</w:t>
            </w:r>
            <w:r>
              <w:rPr>
                <w:rFonts w:ascii="Lora Regular" w:hAnsi="Lora Regular" w:hint="default"/>
                <w:rtl w:val="0"/>
              </w:rPr>
              <w:t>°</w:t>
            </w:r>
            <w:r>
              <w:rPr>
                <w:rFonts w:ascii="Lora Regular" w:hAnsi="Lora Regular"/>
                <w:rtl w:val="0"/>
              </w:rPr>
              <w:t>58</w:t>
            </w:r>
            <w:r>
              <w:rPr>
                <w:rFonts w:ascii="Lora Regular" w:hAnsi="Lora Regular" w:hint="default"/>
                <w:rtl w:val="0"/>
              </w:rPr>
              <w:t>’</w:t>
            </w:r>
          </w:p>
        </w:tc>
        <w:tc>
          <w:tcPr>
            <w:tcW w:type="dxa" w:w="143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-37</w:t>
            </w:r>
            <w:r>
              <w:rPr>
                <w:rFonts w:ascii="Lora Regular" w:hAnsi="Lora Regular" w:hint="default"/>
                <w:rtl w:val="0"/>
              </w:rPr>
              <w:t>°</w:t>
            </w:r>
            <w:r>
              <w:rPr>
                <w:rFonts w:ascii="Lora Regular" w:hAnsi="Lora Regular"/>
                <w:rtl w:val="0"/>
              </w:rPr>
              <w:t>57</w:t>
            </w:r>
            <w:r>
              <w:rPr>
                <w:rFonts w:ascii="Lora Regular" w:hAnsi="Lora Regular" w:hint="default"/>
                <w:rtl w:val="0"/>
              </w:rPr>
              <w:t>’</w:t>
            </w:r>
          </w:p>
        </w:tc>
      </w:tr>
    </w:tbl>
    <w:p>
      <w:pPr>
        <w:pStyle w:val="Body A"/>
        <w:rPr>
          <w:rFonts w:ascii="Times New Roman" w:cs="Times New Roman" w:hAnsi="Times New Roman" w:eastAsia="Times New Roman"/>
        </w:rPr>
      </w:pPr>
    </w:p>
    <w:p>
      <w:pPr>
        <w:pStyle w:val="Image Caption"/>
      </w:pPr>
      <w:r>
        <w:rPr>
          <w:b w:val="1"/>
          <w:bCs w:val="1"/>
          <w:rtl w:val="0"/>
          <w:lang w:val="en-US"/>
        </w:rPr>
        <w:t xml:space="preserve">Table </w:t>
      </w:r>
      <w:r>
        <w:rPr>
          <w:b w:val="1"/>
          <w:bCs w:val="1"/>
          <w:rtl w:val="0"/>
          <w:lang w:val="en-US"/>
        </w:rPr>
        <w:t>2</w:t>
      </w:r>
      <w:r>
        <w:rPr>
          <w:rtl w:val="0"/>
        </w:rPr>
        <w:t>. Astronomical Alignments Chamaizi, Crete (35</w:t>
      </w:r>
      <w:r>
        <w:rPr>
          <w:rtl w:val="0"/>
        </w:rPr>
        <w:t>°</w:t>
      </w:r>
      <w:r>
        <w:rPr>
          <w:rtl w:val="0"/>
        </w:rPr>
        <w:t>10</w:t>
      </w:r>
      <w:r>
        <w:rPr>
          <w:rtl w:val="0"/>
        </w:rPr>
        <w:t>’</w:t>
      </w:r>
      <w:r>
        <w:rPr>
          <w:rtl w:val="0"/>
        </w:rPr>
        <w:t>3.67</w:t>
      </w:r>
      <w:r>
        <w:rPr>
          <w:rtl w:val="0"/>
        </w:rPr>
        <w:t>”</w:t>
      </w:r>
      <w:r>
        <w:rPr>
          <w:rtl w:val="0"/>
        </w:rPr>
        <w:t>N,  26</w:t>
      </w:r>
      <w:r>
        <w:rPr>
          <w:rtl w:val="0"/>
        </w:rPr>
        <w:t xml:space="preserve">° </w:t>
      </w:r>
      <w:r>
        <w:rPr>
          <w:rtl w:val="0"/>
        </w:rPr>
        <w:t>1</w:t>
      </w:r>
      <w:r>
        <w:rPr>
          <w:rtl w:val="0"/>
        </w:rPr>
        <w:t>’</w:t>
      </w:r>
      <w:r>
        <w:rPr>
          <w:rtl w:val="0"/>
        </w:rPr>
        <w:t>6.75</w:t>
      </w:r>
      <w:r>
        <w:rPr>
          <w:rtl w:val="0"/>
        </w:rPr>
        <w:t>”</w:t>
      </w:r>
      <w:r>
        <w:rPr>
          <w:rtl w:val="0"/>
        </w:rPr>
        <w:t>E), 2000 bce</w:t>
      </w:r>
    </w:p>
    <w:p>
      <w:pPr>
        <w:pStyle w:val="Image Caption"/>
      </w:pPr>
    </w:p>
    <w:p>
      <w:pPr>
        <w:pStyle w:val="Image Caption"/>
      </w:pPr>
    </w:p>
    <w:p>
      <w:pPr>
        <w:pStyle w:val="Image Caption"/>
      </w:pPr>
      <w:r>
        <w:rPr>
          <w:rFonts w:ascii="Arial Unicode MS" w:cs="Arial Unicode MS" w:hAnsi="Arial Unicode MS" w:eastAsia="Arial Unicode MS"/>
          <w:b w:val="0"/>
          <w:bCs w:val="0"/>
          <w:i w:val="0"/>
          <w:iCs w:val="0"/>
        </w:rPr>
        <w:br w:type="page"/>
      </w:r>
    </w:p>
    <w:p>
      <w:pPr>
        <w:pStyle w:val="Heading Reg"/>
      </w:pPr>
      <w:r>
        <w:rPr>
          <w:rFonts w:cs="Arial Unicode MS" w:eastAsia="Arial Unicode MS"/>
          <w:rtl w:val="0"/>
          <w:lang w:val="en-US"/>
        </w:rPr>
        <w:t>Primary Sources</w:t>
      </w:r>
    </w:p>
    <w:p>
      <w:pPr>
        <w:pStyle w:val="Heading Reg"/>
      </w:pPr>
    </w:p>
    <w:p>
      <w:pPr>
        <w:pStyle w:val="Body"/>
      </w:pPr>
      <w:r>
        <w:rPr>
          <w:rFonts w:cs="Arial Unicode MS" w:eastAsia="Arial Unicode MS"/>
          <w:rtl w:val="0"/>
          <w:lang w:val="it-IT"/>
        </w:rPr>
        <w:t xml:space="preserve">Apollodorus, </w:t>
      </w:r>
      <w:r>
        <w:rPr>
          <w:rFonts w:cs="Arial Unicode MS" w:eastAsia="Arial Unicode MS"/>
          <w:i w:val="1"/>
          <w:iCs w:val="1"/>
          <w:rtl w:val="0"/>
          <w:lang w:val="en-US"/>
        </w:rPr>
        <w:t>The Library</w:t>
      </w:r>
      <w:r>
        <w:rPr>
          <w:rFonts w:cs="Arial Unicode MS" w:eastAsia="Arial Unicode MS"/>
          <w:rtl w:val="0"/>
          <w:lang w:val="en-US"/>
        </w:rPr>
        <w:t xml:space="preserve"> (W. Heinemann; G. P. Putnam's sons: London New York,, 1921).</w:t>
      </w:r>
    </w:p>
    <w:p>
      <w:pPr>
        <w:pStyle w:val="Body"/>
      </w:pPr>
    </w:p>
    <w:p>
      <w:pPr>
        <w:pStyle w:val="Body"/>
      </w:pPr>
      <w:r>
        <w:rPr>
          <w:rFonts w:cs="Arial Unicode MS" w:eastAsia="Arial Unicode MS"/>
          <w:rtl w:val="0"/>
          <w:lang w:val="en-US"/>
        </w:rPr>
        <w:t xml:space="preserve">Callimachus, Lycophron, Aratus, A. W. Mair, and G. R. Mair, </w:t>
      </w:r>
      <w:r>
        <w:rPr>
          <w:rFonts w:cs="Arial Unicode MS" w:eastAsia="Arial Unicode MS"/>
          <w:i w:val="1"/>
          <w:iCs w:val="1"/>
          <w:rtl w:val="0"/>
          <w:lang w:val="en-US"/>
        </w:rPr>
        <w:t>Callimachus and Lycophron</w:t>
      </w:r>
      <w:r>
        <w:rPr>
          <w:rFonts w:cs="Arial Unicode MS" w:eastAsia="Arial Unicode MS"/>
          <w:rtl w:val="0"/>
          <w:lang w:val="en-US"/>
        </w:rPr>
        <w:t xml:space="preserve"> (W. Heinemann; G.P. Putnam's sons: London, New York,, 1921).</w:t>
      </w:r>
    </w:p>
    <w:p>
      <w:pPr>
        <w:pStyle w:val="Body"/>
      </w:pPr>
    </w:p>
    <w:p>
      <w:pPr>
        <w:pStyle w:val="Body"/>
      </w:pPr>
      <w:r>
        <w:rPr>
          <w:rFonts w:cs="Arial Unicode MS" w:eastAsia="Arial Unicode MS"/>
          <w:rtl w:val="0"/>
          <w:lang w:val="de-DE"/>
        </w:rPr>
        <w:t xml:space="preserve">Homer, </w:t>
      </w:r>
      <w:r>
        <w:rPr>
          <w:rFonts w:cs="Arial Unicode MS" w:eastAsia="Arial Unicode MS"/>
          <w:i w:val="1"/>
          <w:iCs w:val="1"/>
          <w:rtl w:val="0"/>
          <w:lang w:val="en-US"/>
        </w:rPr>
        <w:t>The Odyssey</w:t>
      </w:r>
      <w:r>
        <w:rPr>
          <w:rFonts w:cs="Arial Unicode MS" w:eastAsia="Arial Unicode MS"/>
          <w:rtl w:val="0"/>
          <w:lang w:val="en-US"/>
        </w:rPr>
        <w:t xml:space="preserve"> (Harvard University Press: Cambridge, MA, 1919).</w:t>
      </w:r>
    </w:p>
    <w:p>
      <w:pPr>
        <w:pStyle w:val="Body"/>
      </w:pPr>
    </w:p>
    <w:p>
      <w:pPr>
        <w:pStyle w:val="Body"/>
      </w:pPr>
      <w:r>
        <w:rPr>
          <w:rFonts w:cs="Arial Unicode MS" w:eastAsia="Arial Unicode MS"/>
          <w:rtl w:val="0"/>
          <w:lang w:val="en-US"/>
        </w:rPr>
        <w:t xml:space="preserve">Hunger, H., and D. Pingree, </w:t>
      </w:r>
      <w:r>
        <w:rPr>
          <w:rFonts w:cs="Arial Unicode MS" w:eastAsia="Arial Unicode MS"/>
          <w:i w:val="1"/>
          <w:iCs w:val="1"/>
          <w:rtl w:val="0"/>
        </w:rPr>
        <w:t>Mul.Apin. An Astronomical Compendium in Cuneiform</w:t>
      </w:r>
      <w:r>
        <w:rPr>
          <w:rFonts w:cs="Arial Unicode MS" w:eastAsia="Arial Unicode MS"/>
          <w:rtl w:val="0"/>
          <w:lang w:val="de-DE"/>
        </w:rPr>
        <w:t xml:space="preserve"> (Horn: Verlag Ferdinand Berger &amp; So</w:t>
      </w:r>
      <w:r>
        <w:rPr>
          <w:rFonts w:cs="Arial Unicode MS" w:eastAsia="Arial Unicode MS" w:hint="default"/>
          <w:rtl w:val="0"/>
        </w:rPr>
        <w:t>̈</w:t>
      </w:r>
      <w:r>
        <w:rPr>
          <w:rFonts w:cs="Arial Unicode MS" w:eastAsia="Arial Unicode MS"/>
          <w:rtl w:val="0"/>
        </w:rPr>
        <w:t>hne, 1989).</w:t>
      </w:r>
    </w:p>
    <w:p>
      <w:pPr>
        <w:pStyle w:val="Body"/>
      </w:pPr>
    </w:p>
    <w:p>
      <w:pPr>
        <w:pStyle w:val="Body"/>
      </w:pPr>
      <w:r>
        <w:rPr>
          <w:rFonts w:cs="Arial Unicode MS" w:eastAsia="Arial Unicode MS"/>
          <w:rtl w:val="0"/>
          <w:lang w:val="en-US"/>
        </w:rPr>
        <w:t xml:space="preserve">Jones, William Henry Samuel, </w:t>
      </w:r>
      <w:r>
        <w:rPr>
          <w:rFonts w:cs="Arial Unicode MS" w:eastAsia="Arial Unicode MS"/>
          <w:i w:val="1"/>
          <w:iCs w:val="1"/>
          <w:rtl w:val="0"/>
          <w:lang w:val="en-US"/>
        </w:rPr>
        <w:t>Hippocrates: With an English Translation</w:t>
      </w:r>
      <w:r>
        <w:rPr>
          <w:rFonts w:cs="Arial Unicode MS" w:eastAsia="Arial Unicode MS"/>
          <w:rtl w:val="0"/>
          <w:lang w:val="en-US"/>
        </w:rPr>
        <w:t xml:space="preserve"> (Harvard University Press, 1952).</w:t>
      </w:r>
    </w:p>
    <w:p>
      <w:pPr>
        <w:pStyle w:val="Body"/>
      </w:pPr>
    </w:p>
    <w:p>
      <w:pPr>
        <w:pStyle w:val="Body"/>
      </w:pPr>
      <w:r>
        <w:rPr>
          <w:rFonts w:cs="Arial Unicode MS" w:eastAsia="Arial Unicode MS"/>
          <w:rtl w:val="0"/>
          <w:lang w:val="it-IT"/>
        </w:rPr>
        <w:t xml:space="preserve">Solinus, C Julius, Bartolinus Atriensis, and Giacomo Britannico, </w:t>
      </w:r>
      <w:r>
        <w:rPr>
          <w:rFonts w:cs="Arial Unicode MS" w:eastAsia="Arial Unicode MS"/>
          <w:i w:val="1"/>
          <w:iCs w:val="1"/>
          <w:rtl w:val="0"/>
          <w:lang w:val="pt-PT"/>
        </w:rPr>
        <w:t>De Mirabilibus Mundi</w:t>
      </w:r>
      <w:r>
        <w:rPr>
          <w:rFonts w:cs="Arial Unicode MS" w:eastAsia="Arial Unicode MS"/>
          <w:rtl w:val="0"/>
          <w:lang w:val="es-ES_tradnl"/>
        </w:rPr>
        <w:t xml:space="preserve"> (Andreas Portilia, 1983)</w:t>
      </w:r>
    </w:p>
    <w:p>
      <w:pPr>
        <w:pStyle w:val="Body"/>
      </w:pPr>
    </w:p>
    <w:p>
      <w:pPr>
        <w:pStyle w:val="Body"/>
      </w:pPr>
      <w:r>
        <w:rPr>
          <w:rFonts w:cs="Arial Unicode MS" w:eastAsia="Arial Unicode MS"/>
          <w:rtl w:val="0"/>
          <w:lang w:val="en-US"/>
        </w:rPr>
        <w:t xml:space="preserve">Jones, Horace Leonard, and John Robert Sitlington Sterrett, </w:t>
      </w:r>
      <w:r>
        <w:rPr>
          <w:rFonts w:cs="Arial Unicode MS" w:eastAsia="Arial Unicode MS"/>
          <w:i w:val="1"/>
          <w:iCs w:val="1"/>
          <w:rtl w:val="0"/>
          <w:lang w:val="en-US"/>
        </w:rPr>
        <w:t>Strabo. The Geography of Strabo</w:t>
      </w:r>
      <w:r>
        <w:rPr>
          <w:rFonts w:cs="Arial Unicode MS" w:eastAsia="Arial Unicode MS"/>
          <w:rtl w:val="0"/>
          <w:lang w:val="en-US"/>
        </w:rPr>
        <w:t xml:space="preserve"> (W. Heinemann; G. P. Putnam's sons: London, New York,, 1917).</w:t>
      </w:r>
    </w:p>
    <w:p>
      <w:pPr>
        <w:pStyle w:val="Body"/>
      </w:pPr>
    </w:p>
    <w:p>
      <w:pPr>
        <w:pStyle w:val="Body"/>
      </w:pPr>
      <w:r>
        <w:rPr>
          <w:rFonts w:cs="Arial Unicode MS" w:eastAsia="Arial Unicode MS"/>
          <w:rtl w:val="0"/>
          <w:lang w:val="en-US"/>
        </w:rPr>
        <w:t xml:space="preserve">Wycherley, Richard Ernest, </w:t>
      </w:r>
      <w:r>
        <w:rPr>
          <w:rFonts w:cs="Arial Unicode MS" w:eastAsia="Arial Unicode MS"/>
          <w:i w:val="1"/>
          <w:iCs w:val="1"/>
          <w:rtl w:val="0"/>
          <w:lang w:val="en-US"/>
        </w:rPr>
        <w:t>Pausanias Description of Greece</w:t>
      </w:r>
      <w:r>
        <w:rPr>
          <w:rFonts w:cs="Arial Unicode MS" w:eastAsia="Arial Unicode MS"/>
          <w:rtl w:val="0"/>
          <w:lang w:val="en-US"/>
        </w:rPr>
        <w:t xml:space="preserve"> (Harvard University Press, 1918).</w:t>
      </w:r>
    </w:p>
    <w:p>
      <w:pPr>
        <w:pStyle w:val="Body"/>
      </w:pPr>
    </w:p>
    <w:p>
      <w:pPr>
        <w:pStyle w:val="Body"/>
      </w:pPr>
    </w:p>
    <w:p>
      <w:pPr>
        <w:pStyle w:val="Heading Reg"/>
      </w:pPr>
      <w:r>
        <w:rPr>
          <w:rFonts w:cs="Arial Unicode MS" w:eastAsia="Arial Unicode MS"/>
          <w:rtl w:val="0"/>
          <w:lang w:val="en-US"/>
        </w:rPr>
        <w:t>Secondary Sources</w:t>
      </w:r>
    </w:p>
    <w:p>
      <w:pPr>
        <w:pStyle w:val="Body"/>
      </w:pPr>
    </w:p>
    <w:p>
      <w:pPr>
        <w:pStyle w:val="Body"/>
      </w:pPr>
      <w:r>
        <w:rPr>
          <w:rFonts w:cs="Arial Unicode MS" w:eastAsia="Arial Unicode MS"/>
          <w:rtl w:val="0"/>
          <w:lang w:val="it-IT"/>
        </w:rPr>
        <w:t xml:space="preserve">Barrie, Thomas. </w:t>
      </w:r>
      <w:r>
        <w:rPr>
          <w:rFonts w:cs="Arial Unicode MS" w:eastAsia="Arial Unicode MS" w:hint="default"/>
          <w:rtl w:val="0"/>
          <w:lang w:val="en-US"/>
        </w:rPr>
        <w:t>‘</w:t>
      </w:r>
      <w:r>
        <w:rPr>
          <w:rFonts w:cs="Arial Unicode MS" w:eastAsia="Arial Unicode MS"/>
          <w:rtl w:val="0"/>
          <w:lang w:val="en-US"/>
        </w:rPr>
        <w:t>Sacred Domesticities: The Ontology of Home.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Architecture, Culture, and Spirituality Symposium</w:t>
      </w:r>
      <w:r>
        <w:rPr>
          <w:rFonts w:cs="Arial Unicode MS" w:eastAsia="Arial Unicode MS"/>
          <w:rtl w:val="0"/>
        </w:rPr>
        <w:t>. 2001.</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rPr>
        <w:t xml:space="preserve">ran Henriksson, </w:t>
      </w:r>
      <w:r>
        <w:rPr>
          <w:rFonts w:cs="Arial Unicode MS" w:eastAsia="Arial Unicode MS" w:hint="default"/>
          <w:rtl w:val="0"/>
          <w:lang w:val="en-US"/>
        </w:rPr>
        <w:t>‘</w:t>
      </w:r>
      <w:r>
        <w:rPr>
          <w:rFonts w:cs="Arial Unicode MS" w:eastAsia="Arial Unicode MS"/>
          <w:rtl w:val="0"/>
          <w:lang w:val="en-US"/>
        </w:rPr>
        <w:t>Evidence for the Minoan Origins of Stellar Navigation in the Aegean</w:t>
      </w:r>
      <w:r>
        <w:rPr>
          <w:rFonts w:cs="Arial Unicode MS" w:eastAsia="Arial Unicode MS" w:hint="default"/>
          <w:rtl w:val="0"/>
          <w:lang w:val="en-US"/>
        </w:rPr>
        <w:t>’</w:t>
      </w:r>
      <w:r>
        <w:rPr>
          <w:rFonts w:cs="Arial Unicode MS" w:eastAsia="Arial Unicode MS"/>
          <w:rtl w:val="0"/>
        </w:rPr>
        <w:t>: (1999).</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lang w:val="en-US"/>
        </w:rPr>
        <w:t>ran Henriksson, 'Minoan Astronomy', Handbook of Archaeoastronomy and Ethnoastronomy: (2015), 1431.</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lang w:val="en-US"/>
        </w:rPr>
        <w:t xml:space="preserve">ran Henriksson, 'The Function of the Minoan Oval House at Chamaizi', </w:t>
      </w:r>
      <w:r>
        <w:rPr>
          <w:rFonts w:cs="Arial Unicode MS" w:eastAsia="Arial Unicode MS"/>
          <w:i w:val="1"/>
          <w:iCs w:val="1"/>
          <w:rtl w:val="0"/>
          <w:lang w:val="en-US"/>
        </w:rPr>
        <w:t>British Archaeological Reports-International series</w:t>
      </w:r>
      <w:r>
        <w:rPr>
          <w:rFonts w:cs="Arial Unicode MS" w:eastAsia="Arial Unicode MS"/>
          <w:rtl w:val="0"/>
        </w:rPr>
        <w:t>, 1647: (2007), 15-18.</w:t>
      </w:r>
    </w:p>
    <w:p>
      <w:pPr>
        <w:pStyle w:val="Body"/>
      </w:pPr>
    </w:p>
    <w:p>
      <w:pPr>
        <w:pStyle w:val="Body"/>
      </w:pPr>
      <w:r>
        <w:rPr>
          <w:rFonts w:cs="Arial Unicode MS" w:eastAsia="Arial Unicode MS"/>
          <w:rtl w:val="0"/>
          <w:lang w:val="nl-NL"/>
        </w:rPr>
        <w:t xml:space="preserve">Burkert, Walter, </w:t>
      </w:r>
      <w:r>
        <w:rPr>
          <w:rFonts w:cs="Arial Unicode MS" w:eastAsia="Arial Unicode MS"/>
          <w:i w:val="1"/>
          <w:iCs w:val="1"/>
          <w:rtl w:val="0"/>
          <w:lang w:val="en-US"/>
        </w:rPr>
        <w:t>Greek Religion</w:t>
      </w:r>
      <w:r>
        <w:rPr>
          <w:rFonts w:cs="Arial Unicode MS" w:eastAsia="Arial Unicode MS"/>
          <w:rtl w:val="0"/>
          <w:lang w:val="en-US"/>
        </w:rPr>
        <w:t xml:space="preserve"> (Harvard University Press, 1985).</w:t>
      </w:r>
    </w:p>
    <w:p>
      <w:pPr>
        <w:pStyle w:val="Body"/>
      </w:pPr>
    </w:p>
    <w:p>
      <w:pPr>
        <w:pStyle w:val="Body"/>
      </w:pPr>
      <w:r>
        <w:rPr>
          <w:rFonts w:cs="Arial Unicode MS" w:eastAsia="Arial Unicode MS"/>
          <w:rtl w:val="0"/>
          <w:lang w:val="en-US"/>
        </w:rPr>
        <w:t xml:space="preserve">Davaras, C, 'The Oval House at Chamaizi Reconsidered', </w:t>
      </w:r>
      <w:r>
        <w:rPr>
          <w:rFonts w:cs="Arial Unicode MS" w:eastAsia="Arial Unicode MS"/>
          <w:i w:val="1"/>
          <w:iCs w:val="1"/>
          <w:rtl w:val="0"/>
          <w:lang w:val="en-US"/>
        </w:rPr>
        <w:t>Athens Annals of Archaeology</w:t>
      </w:r>
      <w:r>
        <w:rPr>
          <w:rFonts w:cs="Arial Unicode MS" w:eastAsia="Arial Unicode MS"/>
          <w:rtl w:val="0"/>
        </w:rPr>
        <w:t>, 5: (1972), 283-88.</w:t>
      </w:r>
    </w:p>
    <w:p>
      <w:pPr>
        <w:pStyle w:val="Body"/>
      </w:pPr>
    </w:p>
    <w:p>
      <w:pPr>
        <w:pStyle w:val="Body"/>
      </w:pPr>
      <w:r>
        <w:rPr>
          <w:rFonts w:cs="Arial Unicode MS" w:eastAsia="Arial Unicode MS"/>
          <w:rtl w:val="0"/>
          <w:lang w:val="de-DE"/>
        </w:rPr>
        <w:t xml:space="preserve">Dietrich, Bernard Clive, </w:t>
      </w:r>
      <w:r>
        <w:rPr>
          <w:rFonts w:cs="Arial Unicode MS" w:eastAsia="Arial Unicode MS"/>
          <w:i w:val="1"/>
          <w:iCs w:val="1"/>
          <w:rtl w:val="0"/>
          <w:lang w:val="en-US"/>
        </w:rPr>
        <w:t>The Origins of Greek Religion</w:t>
      </w:r>
      <w:r>
        <w:rPr>
          <w:rFonts w:cs="Arial Unicode MS" w:eastAsia="Arial Unicode MS"/>
          <w:rtl w:val="0"/>
          <w:lang w:val="en-US"/>
        </w:rPr>
        <w:t xml:space="preserve"> (Bristol Phoenix Press, 2004).</w:t>
      </w:r>
    </w:p>
    <w:p>
      <w:pPr>
        <w:pStyle w:val="Body"/>
      </w:pPr>
    </w:p>
    <w:p>
      <w:pPr>
        <w:pStyle w:val="Body"/>
      </w:pPr>
    </w:p>
    <w:p>
      <w:pPr>
        <w:pStyle w:val="Body"/>
      </w:pPr>
      <w:r>
        <w:rPr>
          <w:rFonts w:cs="Arial Unicode MS" w:eastAsia="Arial Unicode MS"/>
          <w:rtl w:val="0"/>
          <w:lang w:val="pt-PT"/>
        </w:rPr>
        <w:t xml:space="preserve">Evans, Arthur, 'The Palace of Minos at Knossos, I. 1928', </w:t>
      </w:r>
      <w:r>
        <w:rPr>
          <w:rFonts w:cs="Arial Unicode MS" w:eastAsia="Arial Unicode MS"/>
          <w:i w:val="1"/>
          <w:iCs w:val="1"/>
          <w:rtl w:val="0"/>
          <w:lang w:val="en-US"/>
        </w:rPr>
        <w:t>The Palace of Minos at Knossos</w:t>
      </w:r>
      <w:r>
        <w:rPr>
          <w:rFonts w:cs="Arial Unicode MS" w:eastAsia="Arial Unicode MS"/>
          <w:rtl w:val="0"/>
        </w:rPr>
        <w:t>: (1921).</w:t>
      </w:r>
    </w:p>
    <w:p>
      <w:pPr>
        <w:pStyle w:val="Body"/>
      </w:pPr>
    </w:p>
    <w:p>
      <w:pPr>
        <w:pStyle w:val="Body"/>
      </w:pPr>
      <w:r>
        <w:rPr>
          <w:rFonts w:cs="Arial Unicode MS" w:eastAsia="Arial Unicode MS"/>
          <w:rtl w:val="0"/>
          <w:lang w:val="en-US"/>
        </w:rPr>
        <w:t>Evans, Arthur, ''The Ring of Nestor': A Glimpse into the Minoan after-World and a Sepulchral Treasure of Gold Signet-Rings and Bead-Seals from Thisb</w:t>
      </w:r>
      <w:r>
        <w:rPr>
          <w:rFonts w:cs="Arial Unicode MS" w:eastAsia="Arial Unicode MS" w:hint="default"/>
          <w:rtl w:val="0"/>
        </w:rPr>
        <w:t>ê</w:t>
      </w:r>
      <w:r>
        <w:rPr>
          <w:rFonts w:cs="Arial Unicode MS" w:eastAsia="Arial Unicode MS"/>
          <w:rtl w:val="0"/>
          <w:lang w:val="nl-NL"/>
        </w:rPr>
        <w:t xml:space="preserve">, Boeotia', </w:t>
      </w:r>
      <w:r>
        <w:rPr>
          <w:rFonts w:cs="Arial Unicode MS" w:eastAsia="Arial Unicode MS"/>
          <w:i w:val="1"/>
          <w:iCs w:val="1"/>
          <w:rtl w:val="0"/>
          <w:lang w:val="en-US"/>
        </w:rPr>
        <w:t>Journal of Hellenic Studies</w:t>
      </w:r>
      <w:r>
        <w:rPr>
          <w:rFonts w:cs="Arial Unicode MS" w:eastAsia="Arial Unicode MS"/>
          <w:rtl w:val="0"/>
        </w:rPr>
        <w:t>: (1925), 1-75.</w:t>
      </w:r>
    </w:p>
    <w:p>
      <w:pPr>
        <w:pStyle w:val="Body"/>
      </w:pPr>
    </w:p>
    <w:p>
      <w:pPr>
        <w:pStyle w:val="Body"/>
      </w:pPr>
      <w:r>
        <w:rPr>
          <w:rFonts w:cs="Arial Unicode MS" w:eastAsia="Arial Unicode MS"/>
          <w:rtl w:val="0"/>
          <w:lang w:val="nl-NL"/>
        </w:rPr>
        <w:t xml:space="preserve">Flinterman, Jaap-Jan. 'Apollonius Ascension.' in, </w:t>
      </w:r>
      <w:r>
        <w:rPr>
          <w:rFonts w:cs="Arial Unicode MS" w:eastAsia="Arial Unicode MS"/>
          <w:i w:val="1"/>
          <w:iCs w:val="1"/>
          <w:rtl w:val="0"/>
          <w:lang w:val="pt-PT"/>
        </w:rPr>
        <w:t>Theios Sophist</w:t>
      </w:r>
      <w:r>
        <w:rPr>
          <w:rFonts w:cs="Arial Unicode MS" w:eastAsia="Arial Unicode MS" w:hint="default"/>
          <w:i w:val="1"/>
          <w:iCs w:val="1"/>
          <w:rtl w:val="0"/>
          <w:lang w:val="it-IT"/>
        </w:rPr>
        <w:t>è</w:t>
      </w:r>
      <w:r>
        <w:rPr>
          <w:rFonts w:cs="Arial Unicode MS" w:eastAsia="Arial Unicode MS"/>
          <w:i w:val="1"/>
          <w:iCs w:val="1"/>
          <w:rtl w:val="0"/>
        </w:rPr>
        <w:t>s</w:t>
      </w:r>
      <w:r>
        <w:rPr>
          <w:rFonts w:cs="Arial Unicode MS" w:eastAsia="Arial Unicode MS"/>
          <w:rtl w:val="0"/>
        </w:rPr>
        <w:t xml:space="preserve"> (Brill, 2009).</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 xml:space="preserve">land, Evy Johanne, 'The Life-Giving Spring: Water in Greek Religion, Ancient and Modern, a Comparison', </w:t>
      </w:r>
      <w:r>
        <w:rPr>
          <w:rFonts w:cs="Arial Unicode MS" w:eastAsia="Arial Unicode MS"/>
          <w:i w:val="1"/>
          <w:iCs w:val="1"/>
          <w:rtl w:val="0"/>
          <w:lang w:val="fr-FR"/>
        </w:rPr>
        <w:t>Proteus</w:t>
      </w:r>
      <w:r>
        <w:rPr>
          <w:rFonts w:cs="Arial Unicode MS" w:eastAsia="Arial Unicode MS"/>
          <w:rtl w:val="0"/>
        </w:rPr>
        <w:t>, 26: (2009), 45-54.</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 xml:space="preserve">land, Evy Johanne, 'Rituals of Magical Rain-Making in Modern and Ancient Greece: A Comparative Approach', </w:t>
      </w:r>
      <w:r>
        <w:rPr>
          <w:rFonts w:cs="Arial Unicode MS" w:eastAsia="Arial Unicode MS"/>
          <w:i w:val="1"/>
          <w:iCs w:val="1"/>
          <w:rtl w:val="0"/>
          <w:lang w:val="en-US"/>
        </w:rPr>
        <w:t>Cosmos: The Journal of the Traditional Cosmology Society</w:t>
      </w:r>
      <w:r>
        <w:rPr>
          <w:rFonts w:cs="Arial Unicode MS" w:eastAsia="Arial Unicode MS"/>
          <w:rtl w:val="0"/>
        </w:rPr>
        <w:t>, 17: (2005), 197-251.</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da-DK"/>
        </w:rPr>
        <w:t xml:space="preserve">land, Evy Johanne, </w:t>
      </w:r>
      <w:r>
        <w:rPr>
          <w:rFonts w:cs="Arial Unicode MS" w:eastAsia="Arial Unicode MS"/>
          <w:i w:val="1"/>
          <w:iCs w:val="1"/>
          <w:rtl w:val="0"/>
          <w:lang w:val="en-US"/>
        </w:rPr>
        <w:t>Rituals of Death and Dying in Modern and Ancient Greece: Writing History from a Female Perspective</w:t>
      </w:r>
      <w:r>
        <w:rPr>
          <w:rFonts w:cs="Arial Unicode MS" w:eastAsia="Arial Unicode MS"/>
          <w:rtl w:val="0"/>
          <w:lang w:val="en-US"/>
        </w:rPr>
        <w:t xml:space="preserve"> (Cambridge Scholars Publishing, 2014).</w:t>
      </w:r>
    </w:p>
    <w:p>
      <w:pPr>
        <w:pStyle w:val="Body"/>
      </w:pPr>
    </w:p>
    <w:p>
      <w:pPr>
        <w:pStyle w:val="Body"/>
      </w:pP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da-DK"/>
        </w:rPr>
        <w:t>land, Evy Johanne. '</w:t>
      </w:r>
      <w:r>
        <w:rPr>
          <w:rFonts w:cs="Arial Unicode MS" w:eastAsia="Arial Unicode MS" w:hint="default"/>
          <w:rtl w:val="1"/>
          <w:lang w:val="ar-SA" w:bidi="ar-SA"/>
        </w:rPr>
        <w:t>“</w:t>
      </w:r>
      <w:r>
        <w:rPr>
          <w:rFonts w:cs="Arial Unicode MS" w:eastAsia="Arial Unicode MS"/>
          <w:rtl w:val="0"/>
          <w:lang w:val="da-DK"/>
        </w:rPr>
        <w:t>Take, Skamandros, My Virginity</w:t>
      </w:r>
      <w:r>
        <w:rPr>
          <w:rFonts w:cs="Arial Unicode MS" w:eastAsia="Arial Unicode MS" w:hint="default"/>
          <w:rtl w:val="0"/>
        </w:rPr>
        <w:t>”</w:t>
      </w:r>
      <w:r>
        <w:rPr>
          <w:rFonts w:cs="Arial Unicode MS" w:eastAsia="Arial Unicode MS"/>
          <w:rtl w:val="0"/>
          <w:lang w:val="en-US"/>
        </w:rPr>
        <w:t xml:space="preserve">: Ideas of Water in Connection with Rites of Passage in Greece, Modern and Ancient.' in, </w:t>
      </w:r>
      <w:r>
        <w:rPr>
          <w:rFonts w:cs="Arial Unicode MS" w:eastAsia="Arial Unicode MS"/>
          <w:i w:val="1"/>
          <w:iCs w:val="1"/>
          <w:rtl w:val="0"/>
          <w:lang w:val="en-US"/>
        </w:rPr>
        <w:t>The Nature and Function of Water, Baths, Bathing and Hygiene from Antiquity through the Renaissance</w:t>
      </w:r>
      <w:r>
        <w:rPr>
          <w:rFonts w:cs="Arial Unicode MS" w:eastAsia="Arial Unicode MS"/>
          <w:rtl w:val="0"/>
        </w:rPr>
        <w:t xml:space="preserve"> (Brill, 2009).</w:t>
      </w:r>
    </w:p>
    <w:p>
      <w:pPr>
        <w:pStyle w:val="Body"/>
      </w:pPr>
    </w:p>
    <w:p>
      <w:pPr>
        <w:pStyle w:val="Body"/>
      </w:pPr>
      <w:r>
        <w:rPr>
          <w:rFonts w:cs="Arial Unicode MS" w:eastAsia="Arial Unicode MS"/>
          <w:rtl w:val="0"/>
          <w:lang w:val="de-DE"/>
        </w:rPr>
        <w:t xml:space="preserve">Koehl, Robert B. "The </w:t>
      </w:r>
      <w:r>
        <w:rPr>
          <w:rFonts w:cs="Arial Unicode MS" w:eastAsia="Arial Unicode MS" w:hint="default"/>
          <w:rtl w:val="1"/>
        </w:rPr>
        <w:t>‘</w:t>
      </w:r>
      <w:r>
        <w:rPr>
          <w:rFonts w:cs="Arial Unicode MS" w:eastAsia="Arial Unicode MS"/>
          <w:rtl w:val="0"/>
          <w:lang w:val="en-US"/>
        </w:rPr>
        <w:t>Sacred Marriage</w:t>
      </w:r>
      <w:r>
        <w:rPr>
          <w:rFonts w:cs="Arial Unicode MS" w:eastAsia="Arial Unicode MS" w:hint="default"/>
          <w:rtl w:val="1"/>
        </w:rPr>
        <w:t>’</w:t>
      </w:r>
      <w:r>
        <w:rPr>
          <w:rFonts w:cs="Arial Unicode MS" w:eastAsia="Arial Unicode MS"/>
          <w:rtl w:val="0"/>
          <w:lang w:val="en-US"/>
        </w:rPr>
        <w:t>in Minoan Religion and Ritual." In Potnia: Deities and religion in the Aegean Bronze Age, Proceedings of the 8th International Aegean Conference, 237-43. 2001.</w:t>
      </w:r>
    </w:p>
    <w:p>
      <w:pPr>
        <w:pStyle w:val="Body"/>
      </w:pPr>
    </w:p>
    <w:p>
      <w:pPr>
        <w:pStyle w:val="Body"/>
      </w:pPr>
      <w:r>
        <w:rPr>
          <w:rFonts w:cs="Arial Unicode MS" w:eastAsia="Arial Unicode MS"/>
          <w:rtl w:val="0"/>
          <w:lang w:val="en-US"/>
        </w:rPr>
        <w:t xml:space="preserve">Kyriakidis, Evangelos, 'Unidentified Floating Objects on Minoan Seals', </w:t>
      </w:r>
      <w:r>
        <w:rPr>
          <w:rFonts w:cs="Arial Unicode MS" w:eastAsia="Arial Unicode MS"/>
          <w:i w:val="1"/>
          <w:iCs w:val="1"/>
          <w:rtl w:val="0"/>
          <w:lang w:val="en-US"/>
        </w:rPr>
        <w:t>American Journal of Archaeology</w:t>
      </w:r>
      <w:r>
        <w:rPr>
          <w:rFonts w:cs="Arial Unicode MS" w:eastAsia="Arial Unicode MS"/>
          <w:rtl w:val="0"/>
        </w:rPr>
        <w:t>: (2005), 137-54.</w:t>
      </w:r>
    </w:p>
    <w:p>
      <w:pPr>
        <w:pStyle w:val="Body"/>
      </w:pPr>
    </w:p>
    <w:p>
      <w:pPr>
        <w:pStyle w:val="Body"/>
      </w:pPr>
      <w:r>
        <w:rPr>
          <w:rFonts w:cs="Arial Unicode MS" w:eastAsia="Arial Unicode MS"/>
          <w:rtl w:val="0"/>
          <w:lang w:val="en-US"/>
        </w:rPr>
        <w:t xml:space="preserve">Lenuzza, Valeria, '" The Whole Is a Freak": A Reassessment of the Spatial Organization of the Oval House at Chamaizi, Siteia', </w:t>
      </w:r>
      <w:r>
        <w:rPr>
          <w:rFonts w:cs="Arial Unicode MS" w:eastAsia="Arial Unicode MS"/>
          <w:i w:val="1"/>
          <w:iCs w:val="1"/>
          <w:rtl w:val="0"/>
          <w:lang w:val="en-US"/>
        </w:rPr>
        <w:t>Hesperia Supplements</w:t>
      </w:r>
      <w:r>
        <w:rPr>
          <w:rFonts w:cs="Arial Unicode MS" w:eastAsia="Arial Unicode MS"/>
          <w:rtl w:val="0"/>
        </w:rPr>
        <w:t>, 44: (2011), 59-70.</w:t>
      </w:r>
    </w:p>
    <w:p>
      <w:pPr>
        <w:pStyle w:val="Body"/>
      </w:pPr>
    </w:p>
    <w:p>
      <w:pPr>
        <w:pStyle w:val="Body"/>
      </w:pPr>
      <w:r>
        <w:rPr>
          <w:rFonts w:cs="Arial Unicode MS" w:eastAsia="Arial Unicode MS"/>
          <w:rtl w:val="0"/>
          <w:lang w:val="it-IT"/>
        </w:rPr>
        <w:t xml:space="preserve">Marinatos, Nanno,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p>
    <w:p>
      <w:pPr>
        <w:pStyle w:val="Body"/>
      </w:pPr>
    </w:p>
    <w:p>
      <w:pPr>
        <w:pStyle w:val="Body"/>
      </w:pPr>
      <w:r>
        <w:rPr>
          <w:rFonts w:cs="Arial Unicode MS" w:eastAsia="Arial Unicode MS"/>
          <w:rtl w:val="0"/>
          <w:lang w:val="sv-SE"/>
        </w:rPr>
        <w:t xml:space="preserve">Nilsson, Martin Persson, </w:t>
      </w:r>
      <w:r>
        <w:rPr>
          <w:rFonts w:cs="Arial Unicode MS" w:eastAsia="Arial Unicode MS"/>
          <w:i w:val="1"/>
          <w:iCs w:val="1"/>
          <w:rtl w:val="0"/>
          <w:lang w:val="en-US"/>
        </w:rPr>
        <w:t>The Minoan-Mycenaean Religion and Its Survival in Greek Religion</w:t>
      </w:r>
      <w:r>
        <w:rPr>
          <w:rFonts w:cs="Arial Unicode MS" w:eastAsia="Arial Unicode MS"/>
          <w:rtl w:val="0"/>
          <w:lang w:val="en-US"/>
        </w:rPr>
        <w:t xml:space="preserve"> (Biblo &amp; Tannen Publishers, 1971).</w:t>
      </w:r>
    </w:p>
    <w:p>
      <w:pPr>
        <w:pStyle w:val="Body"/>
      </w:pPr>
    </w:p>
    <w:p>
      <w:pPr>
        <w:pStyle w:val="Body"/>
      </w:pPr>
      <w:r>
        <w:rPr>
          <w:rFonts w:cs="Arial Unicode MS" w:eastAsia="Arial Unicode MS"/>
          <w:rtl w:val="0"/>
        </w:rPr>
        <w:t xml:space="preserve">Nowicki, Krzysztof, 'When the House Becomes a Fortress', </w:t>
      </w:r>
      <w:r>
        <w:rPr>
          <w:rFonts w:cs="Arial Unicode MS" w:eastAsia="Arial Unicode MS"/>
          <w:i w:val="1"/>
          <w:iCs w:val="1"/>
          <w:rtl w:val="0"/>
          <w:lang w:val="en-US"/>
        </w:rPr>
        <w:t>Hesperia Supplements</w:t>
      </w:r>
      <w:r>
        <w:rPr>
          <w:rFonts w:cs="Arial Unicode MS" w:eastAsia="Arial Unicode MS"/>
          <w:rtl w:val="0"/>
        </w:rPr>
        <w:t>, 44: (2011), 349-65.</w:t>
      </w:r>
    </w:p>
    <w:p>
      <w:pPr>
        <w:pStyle w:val="Body"/>
      </w:pPr>
    </w:p>
    <w:p>
      <w:pPr>
        <w:pStyle w:val="Body"/>
      </w:pPr>
      <w:r>
        <w:rPr>
          <w:rFonts w:cs="Arial Unicode MS" w:eastAsia="Arial Unicode MS"/>
          <w:rtl w:val="0"/>
          <w:lang w:val="en-US"/>
        </w:rPr>
        <w:t xml:space="preserve">Poursat, Jean-Claude, 'Cult Activity at Malia in the Protopalatial Period', </w:t>
      </w:r>
      <w:r>
        <w:rPr>
          <w:rFonts w:cs="Arial Unicode MS" w:eastAsia="Arial Unicode MS"/>
          <w:i w:val="1"/>
          <w:iCs w:val="1"/>
          <w:rtl w:val="0"/>
          <w:lang w:val="en-US"/>
        </w:rPr>
        <w:t>Hesperia Supplements</w:t>
      </w:r>
      <w:r>
        <w:rPr>
          <w:rFonts w:cs="Arial Unicode MS" w:eastAsia="Arial Unicode MS"/>
          <w:rtl w:val="0"/>
        </w:rPr>
        <w:t>, 42: (2009), 71-78.</w:t>
      </w:r>
    </w:p>
    <w:p>
      <w:pPr>
        <w:pStyle w:val="Body"/>
      </w:pPr>
    </w:p>
    <w:p>
      <w:pPr>
        <w:pStyle w:val="Body"/>
      </w:pPr>
      <w:r>
        <w:rPr>
          <w:rFonts w:cs="Arial Unicode MS" w:eastAsia="Arial Unicode MS"/>
          <w:rtl w:val="0"/>
          <w:lang w:val="en-US"/>
        </w:rPr>
        <w:t xml:space="preserve">Rogers, J. H., 'Origins of the Ancient Constellations: Ii. The Mediterranean Traditions', </w:t>
      </w:r>
      <w:r>
        <w:rPr>
          <w:rFonts w:cs="Arial Unicode MS" w:eastAsia="Arial Unicode MS"/>
          <w:i w:val="1"/>
          <w:iCs w:val="1"/>
          <w:rtl w:val="0"/>
          <w:lang w:val="en-US"/>
        </w:rPr>
        <w:t>Journal of the British Astronomical Association</w:t>
      </w:r>
      <w:r>
        <w:rPr>
          <w:rFonts w:cs="Arial Unicode MS" w:eastAsia="Arial Unicode MS"/>
          <w:rtl w:val="0"/>
        </w:rPr>
        <w:t>, 108: (1998), p.79-89.</w:t>
      </w:r>
    </w:p>
    <w:p>
      <w:pPr>
        <w:pStyle w:val="Body"/>
      </w:pPr>
    </w:p>
    <w:p>
      <w:pPr>
        <w:pStyle w:val="Body"/>
      </w:pPr>
      <w:r>
        <w:rPr>
          <w:rFonts w:cs="Arial Unicode MS" w:eastAsia="Arial Unicode MS"/>
          <w:rtl w:val="0"/>
          <w:lang w:val="en-US"/>
        </w:rPr>
        <w:t xml:space="preserve">Ruggles, Clive L. N., 'Pushing Back the Frontiers or Still Running around the Same Circles? </w:t>
      </w:r>
      <w:r>
        <w:rPr>
          <w:rFonts w:cs="Arial Unicode MS" w:eastAsia="Arial Unicode MS" w:hint="default"/>
          <w:rtl w:val="1"/>
        </w:rPr>
        <w:t>‘</w:t>
      </w:r>
      <w:r>
        <w:rPr>
          <w:rFonts w:cs="Arial Unicode MS" w:eastAsia="Arial Unicode MS"/>
          <w:rtl w:val="0"/>
        </w:rPr>
        <w:t>Interpretative Archaeoastronomy</w:t>
      </w:r>
      <w:r>
        <w:rPr>
          <w:rFonts w:cs="Arial Unicode MS" w:eastAsia="Arial Unicode MS" w:hint="default"/>
          <w:rtl w:val="1"/>
        </w:rPr>
        <w:t xml:space="preserve">’ </w:t>
      </w:r>
      <w:r>
        <w:rPr>
          <w:rFonts w:cs="Arial Unicode MS" w:eastAsia="Arial Unicode MS"/>
          <w:rtl w:val="0"/>
          <w:lang w:val="en-US"/>
        </w:rPr>
        <w:t xml:space="preserve">Thirty Years On', </w:t>
      </w:r>
      <w:r>
        <w:rPr>
          <w:rFonts w:cs="Arial Unicode MS" w:eastAsia="Arial Unicode MS"/>
          <w:i w:val="1"/>
          <w:iCs w:val="1"/>
          <w:rtl w:val="0"/>
          <w:lang w:val="en-US"/>
        </w:rPr>
        <w:t>Proceedings of the International Astronomical Union</w:t>
      </w:r>
      <w:r>
        <w:rPr>
          <w:rFonts w:cs="Arial Unicode MS" w:eastAsia="Arial Unicode MS"/>
          <w:rtl w:val="0"/>
        </w:rPr>
        <w:t>, 7: (2011), 1-18.</w:t>
      </w:r>
    </w:p>
    <w:p>
      <w:pPr>
        <w:pStyle w:val="Body"/>
      </w:pPr>
    </w:p>
    <w:p>
      <w:pPr>
        <w:pStyle w:val="Body"/>
      </w:pPr>
      <w:r>
        <w:rPr>
          <w:rFonts w:cs="Arial Unicode MS" w:eastAsia="Arial Unicode MS"/>
          <w:rtl w:val="0"/>
          <w:lang w:val="en-US"/>
        </w:rPr>
        <w:t xml:space="preserve">Schaeffer, Bradley E., 'The Origin of the Greek Constellations', </w:t>
      </w:r>
      <w:r>
        <w:rPr>
          <w:rFonts w:cs="Arial Unicode MS" w:eastAsia="Arial Unicode MS"/>
          <w:i w:val="1"/>
          <w:iCs w:val="1"/>
          <w:rtl w:val="0"/>
          <w:lang w:val="en-US"/>
        </w:rPr>
        <w:t>Scientific American</w:t>
      </w:r>
      <w:r>
        <w:rPr>
          <w:rFonts w:cs="Arial Unicode MS" w:eastAsia="Arial Unicode MS"/>
          <w:rtl w:val="0"/>
        </w:rPr>
        <w:t>: (2006), 96 - 101.</w:t>
      </w:r>
    </w:p>
    <w:p>
      <w:pPr>
        <w:pStyle w:val="Body"/>
      </w:pPr>
    </w:p>
    <w:p>
      <w:pPr>
        <w:pStyle w:val="Body"/>
      </w:pPr>
      <w:r>
        <w:rPr>
          <w:rFonts w:cs="Arial Unicode MS" w:eastAsia="Arial Unicode MS"/>
          <w:rtl w:val="0"/>
          <w:lang w:val="en-US"/>
        </w:rPr>
        <w:t xml:space="preserve">Smith, William, </w:t>
      </w:r>
      <w:r>
        <w:rPr>
          <w:rFonts w:cs="Arial Unicode MS" w:eastAsia="Arial Unicode MS"/>
          <w:i w:val="1"/>
          <w:iCs w:val="1"/>
          <w:rtl w:val="0"/>
          <w:lang w:val="en-US"/>
        </w:rPr>
        <w:t>Dictionary of Greek and Roman Biography and Mythology</w:t>
      </w:r>
      <w:r>
        <w:rPr>
          <w:rFonts w:cs="Arial Unicode MS" w:eastAsia="Arial Unicode MS"/>
          <w:rtl w:val="0"/>
          <w:lang w:val="en-US"/>
        </w:rPr>
        <w:t xml:space="preserve"> (CC Little and J. Brown, 1849).</w:t>
      </w:r>
    </w:p>
    <w:p>
      <w:pPr>
        <w:pStyle w:val="Body"/>
      </w:pPr>
    </w:p>
    <w:p>
      <w:pPr>
        <w:pStyle w:val="Body"/>
      </w:pPr>
      <w:r>
        <w:rPr>
          <w:rFonts w:cs="Arial Unicode MS" w:eastAsia="Arial Unicode MS"/>
          <w:rtl w:val="0"/>
          <w:lang w:val="en-US"/>
        </w:rPr>
        <w:t>Stevens, Kathryn. 2013. ''</w:t>
      </w:r>
      <w:r>
        <w:rPr>
          <w:rFonts w:cs="Arial Unicode MS" w:eastAsia="Arial Unicode MS" w:hint="default"/>
          <w:rtl w:val="0"/>
        </w:rPr>
        <w:t>Š</w:t>
      </w:r>
      <w:r>
        <w:rPr>
          <w:rFonts w:cs="Arial Unicode MS" w:eastAsia="Arial Unicode MS"/>
          <w:rtl w:val="0"/>
          <w:lang w:val="en-US"/>
        </w:rPr>
        <w:t>ala (Goddess)'', Oracc and the UK Higher Education Academy. http://oracc.museum.upenn.edu/amgg/listofdeities/ala/.</w:t>
      </w:r>
    </w:p>
    <w:p>
      <w:pPr>
        <w:pStyle w:val="Body"/>
      </w:pPr>
    </w:p>
    <w:p>
      <w:pPr>
        <w:pStyle w:val="Body"/>
      </w:pPr>
      <w:r>
        <w:rPr>
          <w:rFonts w:cs="Arial Unicode MS" w:eastAsia="Arial Unicode MS"/>
          <w:rtl w:val="0"/>
          <w:lang w:val="en-US"/>
        </w:rPr>
        <w:t xml:space="preserve">Tzoraki, O, M Kritsotakis, and E Baltas, 'Spatial Water Use Efficiency Index Towards Resource Sustainability: Application in the Island of Crete, Greece', </w:t>
      </w:r>
      <w:r>
        <w:rPr>
          <w:rFonts w:cs="Arial Unicode MS" w:eastAsia="Arial Unicode MS"/>
          <w:i w:val="1"/>
          <w:iCs w:val="1"/>
          <w:rtl w:val="0"/>
          <w:lang w:val="en-US"/>
        </w:rPr>
        <w:t>International Journal of Water Resources Development</w:t>
      </w:r>
      <w:r>
        <w:rPr>
          <w:rFonts w:cs="Arial Unicode MS" w:eastAsia="Arial Unicode MS"/>
          <w:rtl w:val="0"/>
        </w:rPr>
        <w:t>, 31: (2015), 669-81.</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r/>
    </w:p>
    <w:sectPr>
      <w:headerReference w:type="default" r:id="rId22"/>
      <w:footerReference w:type="default" r:id="rId23"/>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Transliteration Italic">
    <w:charset w:val="00"/>
    <w:family w:val="roman"/>
    <w:pitch w:val="default"/>
  </w:font>
  <w:font w:name="Lora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 xml:space="preserve">ran Henriksson, 'The Function of the Minoan Oval House at Chamaizi', </w:t>
      </w:r>
      <w:r>
        <w:rPr>
          <w:rFonts w:cs="Arial Unicode MS" w:eastAsia="Arial Unicode MS"/>
          <w:i w:val="1"/>
          <w:iCs w:val="1"/>
          <w:rtl w:val="0"/>
          <w:lang w:val="en-US"/>
        </w:rPr>
        <w:t>British Archaeological Reports-International series</w:t>
      </w:r>
      <w:r>
        <w:rPr>
          <w:rFonts w:cs="Arial Unicode MS" w:eastAsia="Arial Unicode MS"/>
          <w:rtl w:val="0"/>
        </w:rPr>
        <w:t xml:space="preserve">, 1647: (2007), </w:t>
      </w:r>
      <w:r>
        <w:rPr>
          <w:rFonts w:cs="Arial Unicode MS" w:eastAsia="Arial Unicode MS"/>
          <w:rtl w:val="0"/>
          <w:lang w:val="en-US"/>
        </w:rPr>
        <w:t>p. 17</w:t>
      </w:r>
    </w:p>
  </w:footnote>
  <w:footnote w:id="2">
    <w:p>
      <w:pPr>
        <w:pStyle w:val="Footnote"/>
      </w:pPr>
      <w:r>
        <w:rPr>
          <w:vertAlign w:val="superscript"/>
        </w:rPr>
        <w:footnoteRef/>
      </w:r>
      <w:r>
        <w:rPr>
          <w:rFonts w:cs="Arial Unicode MS" w:eastAsia="Arial Unicode MS"/>
          <w:rtl w:val="0"/>
          <w:lang w:val="en-US"/>
        </w:rPr>
        <w:t xml:space="preserve"> Lenuzza, Valeria, '" The Whole Is a Freak": A Reassessment of the Spatial Organization of the Oval House at Chamaizi, Siteia', </w:t>
      </w:r>
      <w:r>
        <w:rPr>
          <w:rFonts w:cs="Arial Unicode MS" w:eastAsia="Arial Unicode MS"/>
          <w:i w:val="1"/>
          <w:iCs w:val="1"/>
          <w:rtl w:val="0"/>
          <w:lang w:val="en-US"/>
        </w:rPr>
        <w:t>Hesperia Supplements</w:t>
      </w:r>
      <w:r>
        <w:rPr>
          <w:rFonts w:cs="Arial Unicode MS" w:eastAsia="Arial Unicode MS"/>
          <w:rtl w:val="0"/>
        </w:rPr>
        <w:t xml:space="preserve">, 44: (2011), </w:t>
      </w:r>
      <w:r>
        <w:rPr>
          <w:rFonts w:cs="Arial Unicode MS" w:eastAsia="Arial Unicode MS"/>
          <w:rtl w:val="0"/>
          <w:lang w:val="en-US"/>
        </w:rPr>
        <w:t xml:space="preserve">p. 49; and </w:t>
      </w:r>
      <w:r>
        <w:rPr>
          <w:rFonts w:cs="Arial Unicode MS" w:eastAsia="Arial Unicode MS"/>
          <w:rtl w:val="0"/>
          <w:lang w:val="it-IT"/>
        </w:rPr>
        <w:t>Nanno</w:t>
      </w:r>
      <w:r>
        <w:rPr>
          <w:rFonts w:cs="Arial Unicode MS" w:eastAsia="Arial Unicode MS"/>
          <w:rtl w:val="0"/>
          <w:lang w:val="en-US"/>
        </w:rPr>
        <w:t xml:space="preserve"> </w:t>
      </w:r>
      <w:r>
        <w:rPr>
          <w:rFonts w:cs="Arial Unicode MS" w:eastAsia="Arial Unicode MS"/>
          <w:rtl w:val="0"/>
          <w:lang w:val="pt-PT"/>
        </w:rPr>
        <w:t xml:space="preserve">Marinatos,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r>
        <w:rPr>
          <w:rFonts w:cs="Arial Unicode MS" w:eastAsia="Arial Unicode MS"/>
          <w:rtl w:val="0"/>
          <w:lang w:val="en-US"/>
        </w:rPr>
        <w:t xml:space="preserve"> p. 113</w:t>
      </w:r>
    </w:p>
  </w:footnote>
  <w:footnote w:id="3">
    <w:p>
      <w:pPr>
        <w:pStyle w:val="Footnote"/>
      </w:pPr>
      <w:r>
        <w:rPr>
          <w:vertAlign w:val="superscript"/>
        </w:rPr>
        <w:footnoteRef/>
      </w:r>
      <w:r>
        <w:rPr>
          <w:rFonts w:cs="Arial Unicode MS" w:eastAsia="Arial Unicode MS"/>
          <w:rtl w:val="0"/>
          <w:lang w:val="it-IT"/>
        </w:rPr>
        <w:t xml:space="preserve"> Lenuzza</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Whole</w:t>
      </w:r>
      <w:r>
        <w:rPr>
          <w:rFonts w:cs="Arial Unicode MS" w:eastAsia="Arial Unicode MS" w:hint="default"/>
          <w:rtl w:val="0"/>
          <w:lang w:val="en-US"/>
        </w:rPr>
        <w:t>’</w:t>
      </w:r>
      <w:r>
        <w:rPr>
          <w:rFonts w:cs="Arial Unicode MS" w:eastAsia="Arial Unicode MS"/>
          <w:rtl w:val="0"/>
          <w:lang w:val="en-US"/>
        </w:rPr>
        <w:t>, p. 60</w:t>
      </w:r>
    </w:p>
  </w:footnote>
  <w:footnote w:id="4">
    <w:p>
      <w:pPr>
        <w:pStyle w:val="Footnote"/>
      </w:pPr>
      <w:r>
        <w:rPr>
          <w:vertAlign w:val="superscript"/>
        </w:rPr>
        <w:footnoteRef/>
      </w:r>
      <w:r>
        <w:rPr>
          <w:rFonts w:cs="Arial Unicode MS" w:eastAsia="Arial Unicode MS"/>
          <w:rtl w:val="0"/>
          <w:lang w:val="it-IT"/>
        </w:rPr>
        <w:t xml:space="preserve"> Lenuzza, </w:t>
      </w:r>
      <w:r>
        <w:rPr>
          <w:rFonts w:cs="Arial Unicode MS" w:eastAsia="Arial Unicode MS" w:hint="default"/>
          <w:rtl w:val="1"/>
        </w:rPr>
        <w:t>‘</w:t>
      </w:r>
      <w:r>
        <w:rPr>
          <w:rFonts w:cs="Arial Unicode MS" w:eastAsia="Arial Unicode MS"/>
          <w:rtl w:val="0"/>
          <w:lang w:val="en-US"/>
        </w:rPr>
        <w:t>Whole</w:t>
      </w:r>
      <w:r>
        <w:rPr>
          <w:rFonts w:cs="Arial Unicode MS" w:eastAsia="Arial Unicode MS" w:hint="default"/>
          <w:rtl w:val="1"/>
        </w:rPr>
        <w:t>’</w:t>
      </w:r>
      <w:r>
        <w:rPr>
          <w:rFonts w:cs="Arial Unicode MS" w:eastAsia="Arial Unicode MS"/>
          <w:rtl w:val="0"/>
        </w:rPr>
        <w:t>, p. 6</w:t>
      </w:r>
      <w:r>
        <w:rPr>
          <w:rFonts w:cs="Arial Unicode MS" w:eastAsia="Arial Unicode MS"/>
          <w:rtl w:val="0"/>
          <w:lang w:val="en-US"/>
        </w:rPr>
        <w:t xml:space="preserve">3; and </w:t>
      </w:r>
      <w:r>
        <w:rPr>
          <w:rFonts w:cs="Arial Unicode MS" w:eastAsia="Arial Unicode MS"/>
          <w:rtl w:val="0"/>
          <w:lang w:val="fr-FR"/>
        </w:rPr>
        <w:t>Jean-Claude</w:t>
      </w:r>
      <w:r>
        <w:rPr>
          <w:rFonts w:cs="Arial Unicode MS" w:eastAsia="Arial Unicode MS"/>
          <w:rtl w:val="0"/>
          <w:lang w:val="en-US"/>
        </w:rPr>
        <w:t xml:space="preserve"> </w:t>
      </w:r>
      <w:r>
        <w:rPr>
          <w:rFonts w:cs="Arial Unicode MS" w:eastAsia="Arial Unicode MS"/>
          <w:rtl w:val="0"/>
          <w:lang w:val="en-US"/>
        </w:rPr>
        <w:t xml:space="preserve">Poursat, 'Cult Activity at Malia in the Protopalatial Period', </w:t>
      </w:r>
      <w:r>
        <w:rPr>
          <w:rFonts w:cs="Arial Unicode MS" w:eastAsia="Arial Unicode MS"/>
          <w:i w:val="1"/>
          <w:iCs w:val="1"/>
          <w:rtl w:val="0"/>
          <w:lang w:val="en-US"/>
        </w:rPr>
        <w:t>Hesperia Supplements</w:t>
      </w:r>
      <w:r>
        <w:rPr>
          <w:rFonts w:cs="Arial Unicode MS" w:eastAsia="Arial Unicode MS"/>
          <w:rtl w:val="0"/>
        </w:rPr>
        <w:t xml:space="preserve">, 42: (2009), </w:t>
      </w:r>
      <w:r>
        <w:rPr>
          <w:rFonts w:cs="Arial Unicode MS" w:eastAsia="Arial Unicode MS"/>
          <w:rtl w:val="0"/>
          <w:lang w:val="en-US"/>
        </w:rPr>
        <w:t xml:space="preserve">p. </w:t>
      </w:r>
      <w:r>
        <w:rPr>
          <w:rFonts w:cs="Arial Unicode MS" w:eastAsia="Arial Unicode MS"/>
          <w:rtl w:val="0"/>
        </w:rPr>
        <w:t>7</w:t>
      </w:r>
      <w:r>
        <w:rPr>
          <w:rFonts w:cs="Arial Unicode MS" w:eastAsia="Arial Unicode MS"/>
          <w:rtl w:val="0"/>
          <w:lang w:val="en-US"/>
        </w:rPr>
        <w:t>6</w:t>
      </w:r>
    </w:p>
  </w:footnote>
  <w:footnote w:id="5">
    <w:p>
      <w:pPr>
        <w:pStyle w:val="Footnote"/>
      </w:pPr>
      <w:r>
        <w:rPr>
          <w:vertAlign w:val="superscript"/>
        </w:rPr>
        <w:footnoteRef/>
      </w:r>
      <w:r>
        <w:rPr>
          <w:rFonts w:cs="Arial Unicode MS" w:eastAsia="Arial Unicode MS"/>
          <w:rtl w:val="0"/>
          <w:lang w:val="en-US"/>
        </w:rPr>
        <w:t xml:space="preserve"> Arthur</w:t>
      </w:r>
      <w:r>
        <w:rPr>
          <w:rFonts w:cs="Arial Unicode MS" w:eastAsia="Arial Unicode MS"/>
          <w:rtl w:val="0"/>
          <w:lang w:val="en-US"/>
        </w:rPr>
        <w:t xml:space="preserve"> </w:t>
      </w:r>
      <w:r>
        <w:rPr>
          <w:rFonts w:cs="Arial Unicode MS" w:eastAsia="Arial Unicode MS"/>
          <w:rtl w:val="0"/>
          <w:lang w:val="pt-PT"/>
        </w:rPr>
        <w:t xml:space="preserve">Evans, 'The Palace of Minos at Knossos, I. 1928', </w:t>
      </w:r>
      <w:r>
        <w:rPr>
          <w:rFonts w:cs="Arial Unicode MS" w:eastAsia="Arial Unicode MS"/>
          <w:i w:val="1"/>
          <w:iCs w:val="1"/>
          <w:rtl w:val="0"/>
          <w:lang w:val="en-US"/>
        </w:rPr>
        <w:t>The Palace of Minos at Knossos</w:t>
      </w:r>
      <w:r>
        <w:rPr>
          <w:rFonts w:cs="Arial Unicode MS" w:eastAsia="Arial Unicode MS"/>
          <w:rtl w:val="0"/>
        </w:rPr>
        <w:t>: (1921)</w:t>
      </w:r>
      <w:r>
        <w:rPr>
          <w:rFonts w:cs="Arial Unicode MS" w:eastAsia="Arial Unicode MS"/>
          <w:rtl w:val="0"/>
          <w:lang w:val="en-US"/>
        </w:rPr>
        <w:t>, p. 147</w:t>
      </w:r>
    </w:p>
  </w:footnote>
  <w:footnote w:id="6">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Evans, </w:t>
      </w:r>
      <w:r>
        <w:rPr>
          <w:rFonts w:cs="Arial Unicode MS" w:eastAsia="Arial Unicode MS" w:hint="default"/>
          <w:rtl w:val="0"/>
          <w:lang w:val="en-US"/>
        </w:rPr>
        <w:t>‘</w:t>
      </w:r>
      <w:r>
        <w:rPr>
          <w:rFonts w:cs="Arial Unicode MS" w:eastAsia="Arial Unicode MS"/>
          <w:rtl w:val="0"/>
          <w:lang w:val="en-US"/>
        </w:rPr>
        <w:t>Palace</w:t>
      </w:r>
      <w:r>
        <w:rPr>
          <w:rFonts w:cs="Arial Unicode MS" w:eastAsia="Arial Unicode MS" w:hint="default"/>
          <w:rtl w:val="0"/>
          <w:lang w:val="en-US"/>
        </w:rPr>
        <w:t>’</w:t>
      </w:r>
      <w:r>
        <w:rPr>
          <w:rFonts w:cs="Arial Unicode MS" w:eastAsia="Arial Unicode MS"/>
          <w:rtl w:val="0"/>
          <w:lang w:val="en-US"/>
        </w:rPr>
        <w:t>, p. 148</w:t>
      </w:r>
    </w:p>
  </w:footnote>
  <w:footnote w:id="7">
    <w:p>
      <w:pPr>
        <w:pStyle w:val="Footnote"/>
      </w:pPr>
      <w:r>
        <w:rPr>
          <w:vertAlign w:val="superscript"/>
        </w:rPr>
        <w:footnoteRef/>
      </w:r>
      <w:r>
        <w:rPr>
          <w:rFonts w:cs="Arial Unicode MS" w:eastAsia="Arial Unicode MS"/>
          <w:rtl w:val="0"/>
        </w:rPr>
        <w:t xml:space="preserve"> Krzysztof</w:t>
      </w:r>
      <w:r>
        <w:rPr>
          <w:rFonts w:cs="Arial Unicode MS" w:eastAsia="Arial Unicode MS"/>
          <w:rtl w:val="0"/>
          <w:lang w:val="en-US"/>
        </w:rPr>
        <w:t xml:space="preserve"> </w:t>
      </w:r>
      <w:r>
        <w:rPr>
          <w:rFonts w:cs="Arial Unicode MS" w:eastAsia="Arial Unicode MS"/>
          <w:rtl w:val="0"/>
          <w:lang w:val="en-US"/>
        </w:rPr>
        <w:t xml:space="preserve">Nowicki, 'When the House Becomes a Fortress', </w:t>
      </w:r>
      <w:r>
        <w:rPr>
          <w:rFonts w:cs="Arial Unicode MS" w:eastAsia="Arial Unicode MS"/>
          <w:i w:val="1"/>
          <w:iCs w:val="1"/>
          <w:rtl w:val="0"/>
          <w:lang w:val="en-US"/>
        </w:rPr>
        <w:t>Hesperia Supplements</w:t>
      </w:r>
      <w:r>
        <w:rPr>
          <w:rFonts w:cs="Arial Unicode MS" w:eastAsia="Arial Unicode MS"/>
          <w:rtl w:val="0"/>
        </w:rPr>
        <w:t xml:space="preserve">, 44: (2011), </w:t>
      </w:r>
      <w:r>
        <w:rPr>
          <w:rFonts w:cs="Arial Unicode MS" w:eastAsia="Arial Unicode MS"/>
          <w:rtl w:val="0"/>
          <w:lang w:val="en-US"/>
        </w:rPr>
        <w:t xml:space="preserve">p. 354; Blomberg, </w:t>
      </w:r>
      <w:r>
        <w:rPr>
          <w:rFonts w:cs="Arial Unicode MS" w:eastAsia="Arial Unicode MS" w:hint="default"/>
          <w:rtl w:val="0"/>
          <w:lang w:val="en-US"/>
        </w:rPr>
        <w:t>‘</w:t>
      </w:r>
      <w:r>
        <w:rPr>
          <w:rFonts w:cs="Arial Unicode MS" w:eastAsia="Arial Unicode MS"/>
          <w:rtl w:val="0"/>
          <w:lang w:val="en-US"/>
        </w:rPr>
        <w:t xml:space="preserve">Function, p. 15; and Lenuzza, </w:t>
      </w:r>
      <w:r>
        <w:rPr>
          <w:rFonts w:cs="Arial Unicode MS" w:eastAsia="Arial Unicode MS" w:hint="default"/>
          <w:rtl w:val="0"/>
          <w:lang w:val="en-US"/>
        </w:rPr>
        <w:t>‘</w:t>
      </w:r>
      <w:r>
        <w:rPr>
          <w:rFonts w:cs="Arial Unicode MS" w:eastAsia="Arial Unicode MS"/>
          <w:rtl w:val="0"/>
          <w:lang w:val="en-US"/>
        </w:rPr>
        <w:t>Whole</w:t>
      </w:r>
      <w:r>
        <w:rPr>
          <w:rFonts w:cs="Arial Unicode MS" w:eastAsia="Arial Unicode MS" w:hint="default"/>
          <w:rtl w:val="0"/>
          <w:lang w:val="en-US"/>
        </w:rPr>
        <w:t>’</w:t>
      </w:r>
      <w:r>
        <w:rPr>
          <w:rFonts w:cs="Arial Unicode MS" w:eastAsia="Arial Unicode MS"/>
          <w:rtl w:val="0"/>
          <w:lang w:val="en-US"/>
        </w:rPr>
        <w:t>, p. 64</w:t>
      </w:r>
    </w:p>
  </w:footnote>
  <w:footnote w:id="8">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rPr>
        <w:t>O</w:t>
      </w:r>
      <w:r>
        <w:rPr>
          <w:rFonts w:cs="Arial Unicode MS" w:eastAsia="Arial Unicode MS"/>
          <w:rtl w:val="0"/>
          <w:lang w:val="en-US"/>
        </w:rPr>
        <w:t xml:space="preserve">. </w:t>
      </w:r>
      <w:r>
        <w:rPr>
          <w:rFonts w:cs="Arial Unicode MS" w:eastAsia="Arial Unicode MS"/>
          <w:rtl w:val="0"/>
          <w:lang w:val="en-US"/>
        </w:rPr>
        <w:t xml:space="preserve">Tzoraki, M Kritsotakis, and E Baltas, 'Spatial Water Use Efficiency Index Towards Resource Sustainability: Application in the Island of Crete, Greece', </w:t>
      </w:r>
      <w:r>
        <w:rPr>
          <w:rFonts w:cs="Arial Unicode MS" w:eastAsia="Arial Unicode MS"/>
          <w:i w:val="1"/>
          <w:iCs w:val="1"/>
          <w:rtl w:val="0"/>
          <w:lang w:val="en-US"/>
        </w:rPr>
        <w:t>International Journal of Water Resources Development</w:t>
      </w:r>
      <w:r>
        <w:rPr>
          <w:rFonts w:cs="Arial Unicode MS" w:eastAsia="Arial Unicode MS"/>
          <w:rtl w:val="0"/>
        </w:rPr>
        <w:t xml:space="preserve">, 31: (2015), </w:t>
      </w:r>
      <w:r>
        <w:rPr>
          <w:rFonts w:cs="Arial Unicode MS" w:eastAsia="Arial Unicode MS"/>
          <w:rtl w:val="0"/>
          <w:lang w:val="en-US"/>
        </w:rPr>
        <w:t xml:space="preserve">p. </w:t>
      </w:r>
      <w:r>
        <w:rPr>
          <w:rFonts w:cs="Arial Unicode MS" w:eastAsia="Arial Unicode MS"/>
          <w:rtl w:val="0"/>
        </w:rPr>
        <w:t>6</w:t>
      </w:r>
      <w:r>
        <w:rPr>
          <w:rFonts w:cs="Arial Unicode MS" w:eastAsia="Arial Unicode MS"/>
          <w:rtl w:val="0"/>
          <w:lang w:val="en-US"/>
        </w:rPr>
        <w:t>73</w:t>
      </w:r>
    </w:p>
  </w:footnote>
  <w:footnote w:id="9">
    <w:p>
      <w:pPr>
        <w:pStyle w:val="Footnote"/>
      </w:pPr>
      <w:r>
        <w:rPr>
          <w:vertAlign w:val="superscript"/>
        </w:rPr>
        <w:footnoteRef/>
      </w:r>
      <w:r>
        <w:rPr>
          <w:rFonts w:cs="Arial Unicode MS" w:eastAsia="Arial Unicode MS"/>
          <w:rtl w:val="0"/>
          <w:lang w:val="it-IT"/>
        </w:rPr>
        <w:t xml:space="preserve"> Lenuzza, </w:t>
      </w:r>
      <w:r>
        <w:rPr>
          <w:rFonts w:cs="Arial Unicode MS" w:eastAsia="Arial Unicode MS" w:hint="default"/>
          <w:rtl w:val="1"/>
        </w:rPr>
        <w:t>‘</w:t>
      </w:r>
      <w:r>
        <w:rPr>
          <w:rFonts w:cs="Arial Unicode MS" w:eastAsia="Arial Unicode MS"/>
          <w:rtl w:val="0"/>
          <w:lang w:val="en-US"/>
        </w:rPr>
        <w:t>Whole</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59, 66; and </w:t>
      </w:r>
      <w:r>
        <w:rPr>
          <w:rFonts w:cs="Arial Unicode MS" w:eastAsia="Arial Unicode MS"/>
          <w:rtl w:val="0"/>
        </w:rPr>
        <w:t>C</w:t>
      </w:r>
      <w:r>
        <w:rPr>
          <w:rFonts w:cs="Arial Unicode MS" w:eastAsia="Arial Unicode MS"/>
          <w:rtl w:val="0"/>
          <w:lang w:val="en-US"/>
        </w:rPr>
        <w:t xml:space="preserve">. </w:t>
      </w:r>
      <w:r>
        <w:rPr>
          <w:rFonts w:cs="Arial Unicode MS" w:eastAsia="Arial Unicode MS"/>
          <w:rtl w:val="0"/>
        </w:rPr>
        <w:t>Davara</w:t>
      </w:r>
      <w:r>
        <w:rPr>
          <w:rFonts w:cs="Arial Unicode MS" w:eastAsia="Arial Unicode MS"/>
          <w:rtl w:val="0"/>
          <w:lang w:val="en-US"/>
        </w:rPr>
        <w:t>s</w:t>
      </w:r>
      <w:r>
        <w:rPr>
          <w:rFonts w:cs="Arial Unicode MS" w:eastAsia="Arial Unicode MS"/>
          <w:rtl w:val="0"/>
          <w:lang w:val="en-US"/>
        </w:rPr>
        <w:t xml:space="preserve">, 'The Oval House at Chamaizi Reconsidered', </w:t>
      </w:r>
      <w:r>
        <w:rPr>
          <w:rFonts w:cs="Arial Unicode MS" w:eastAsia="Arial Unicode MS"/>
          <w:i w:val="1"/>
          <w:iCs w:val="1"/>
          <w:rtl w:val="0"/>
          <w:lang w:val="en-US"/>
        </w:rPr>
        <w:t>Athens Annals of Archaeology</w:t>
      </w:r>
      <w:r>
        <w:rPr>
          <w:rFonts w:cs="Arial Unicode MS" w:eastAsia="Arial Unicode MS"/>
          <w:rtl w:val="0"/>
        </w:rPr>
        <w:t xml:space="preserve">, 5: (1972), </w:t>
      </w:r>
      <w:r>
        <w:rPr>
          <w:rFonts w:cs="Arial Unicode MS" w:eastAsia="Arial Unicode MS"/>
          <w:rtl w:val="0"/>
          <w:lang w:val="en-US"/>
        </w:rPr>
        <w:t>p. 287</w:t>
      </w:r>
    </w:p>
  </w:footnote>
  <w:footnote w:id="10">
    <w:p>
      <w:pPr>
        <w:pStyle w:val="Footnote"/>
      </w:pPr>
      <w:r>
        <w:rPr>
          <w:vertAlign w:val="superscript"/>
        </w:rPr>
        <w:footnoteRef/>
      </w:r>
      <w:r>
        <w:rPr>
          <w:rFonts w:cs="Arial Unicode MS" w:eastAsia="Arial Unicode MS"/>
          <w:rtl w:val="0"/>
          <w:lang w:val="it-IT"/>
        </w:rPr>
        <w:t xml:space="preserve"> Nanno</w:t>
      </w:r>
      <w:r>
        <w:rPr>
          <w:rFonts w:cs="Arial Unicode MS" w:eastAsia="Arial Unicode MS"/>
          <w:rtl w:val="0"/>
          <w:lang w:val="en-US"/>
        </w:rPr>
        <w:t xml:space="preserve"> </w:t>
      </w:r>
      <w:r>
        <w:rPr>
          <w:rFonts w:cs="Arial Unicode MS" w:eastAsia="Arial Unicode MS"/>
          <w:rtl w:val="0"/>
          <w:lang w:val="pt-PT"/>
        </w:rPr>
        <w:t xml:space="preserve">Marinatos,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r>
        <w:rPr>
          <w:rFonts w:cs="Arial Unicode MS" w:eastAsia="Arial Unicode MS"/>
          <w:rtl w:val="0"/>
          <w:lang w:val="en-US"/>
        </w:rPr>
        <w:t>, p. 113</w:t>
      </w:r>
    </w:p>
  </w:footnote>
  <w:footnote w:id="11">
    <w:p>
      <w:pPr>
        <w:pStyle w:val="Footnote"/>
      </w:pPr>
      <w:r>
        <w:rPr>
          <w:vertAlign w:val="superscript"/>
        </w:rPr>
        <w:footnoteRef/>
      </w:r>
      <w:r>
        <w:rPr>
          <w:rFonts w:cs="Arial Unicode MS" w:eastAsia="Arial Unicode MS"/>
          <w:rtl w:val="0"/>
          <w:lang w:val="pt-PT"/>
        </w:rPr>
        <w:t xml:space="preserve"> Marinatos, </w:t>
      </w:r>
      <w:r>
        <w:rPr>
          <w:rFonts w:cs="Arial Unicode MS" w:eastAsia="Arial Unicode MS"/>
          <w:i w:val="1"/>
          <w:iCs w:val="1"/>
          <w:rtl w:val="0"/>
        </w:rPr>
        <w:t>Minoan</w:t>
      </w:r>
      <w:r>
        <w:rPr>
          <w:rFonts w:cs="Arial Unicode MS" w:eastAsia="Arial Unicode MS"/>
          <w:rtl w:val="0"/>
          <w:lang w:val="en-US"/>
        </w:rPr>
        <w:t>, p. 113</w:t>
      </w:r>
    </w:p>
  </w:footnote>
  <w:footnote w:id="12">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w:t>
      </w:r>
      <w:r>
        <w:rPr>
          <w:rFonts w:cs="Arial Unicode MS" w:eastAsia="Arial Unicode MS" w:hint="default"/>
          <w:rtl w:val="1"/>
        </w:rPr>
        <w:t>’</w:t>
      </w:r>
      <w:r>
        <w:rPr>
          <w:rFonts w:cs="Arial Unicode MS" w:eastAsia="Arial Unicode MS"/>
          <w:rtl w:val="0"/>
        </w:rPr>
        <w:t>, p. 1</w:t>
      </w:r>
      <w:r>
        <w:rPr>
          <w:rFonts w:cs="Arial Unicode MS" w:eastAsia="Arial Unicode MS"/>
          <w:rtl w:val="0"/>
          <w:lang w:val="en-US"/>
        </w:rPr>
        <w:t>6</w:t>
      </w:r>
    </w:p>
  </w:footnote>
  <w:footnote w:id="13">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w:t>
      </w:r>
      <w:r>
        <w:rPr>
          <w:rFonts w:cs="Arial Unicode MS" w:eastAsia="Arial Unicode MS" w:hint="default"/>
          <w:rtl w:val="0"/>
          <w:lang w:val="en-US"/>
        </w:rPr>
        <w:t>’</w:t>
      </w:r>
      <w:r>
        <w:rPr>
          <w:rFonts w:cs="Arial Unicode MS" w:eastAsia="Arial Unicode MS"/>
          <w:rtl w:val="0"/>
        </w:rPr>
        <w:t>, p.</w:t>
      </w:r>
      <w:r>
        <w:rPr>
          <w:rFonts w:cs="Arial Unicode MS" w:eastAsia="Arial Unicode MS"/>
          <w:rtl w:val="0"/>
          <w:lang w:val="en-US"/>
        </w:rPr>
        <w:t xml:space="preserve"> 15</w:t>
      </w:r>
    </w:p>
  </w:footnote>
  <w:footnote w:id="14">
    <w:p>
      <w:pPr>
        <w:pStyle w:val="Footnote"/>
      </w:pPr>
      <w:r>
        <w:rPr>
          <w:vertAlign w:val="superscript"/>
        </w:rPr>
        <w:footnoteRef/>
      </w:r>
      <w:r>
        <w:rPr>
          <w:rFonts w:cs="Arial Unicode MS" w:eastAsia="Arial Unicode MS"/>
          <w:rtl w:val="0"/>
          <w:lang w:val="sv-SE"/>
        </w:rPr>
        <w:t xml:space="preserve"> Martin Persson</w:t>
      </w:r>
      <w:r>
        <w:rPr>
          <w:rFonts w:cs="Arial Unicode MS" w:eastAsia="Arial Unicode MS"/>
          <w:rtl w:val="0"/>
          <w:lang w:val="en-US"/>
        </w:rPr>
        <w:t xml:space="preserve"> </w:t>
      </w:r>
      <w:r>
        <w:rPr>
          <w:rFonts w:cs="Arial Unicode MS" w:eastAsia="Arial Unicode MS"/>
          <w:rtl w:val="0"/>
          <w:lang w:val="sv-SE"/>
        </w:rPr>
        <w:t xml:space="preserve">Nilsson, </w:t>
      </w:r>
      <w:r>
        <w:rPr>
          <w:rFonts w:cs="Arial Unicode MS" w:eastAsia="Arial Unicode MS"/>
          <w:i w:val="1"/>
          <w:iCs w:val="1"/>
          <w:rtl w:val="0"/>
          <w:lang w:val="en-US"/>
        </w:rPr>
        <w:t>The Minoan-Mycenaean Religion and Its Survival in Greek Religion</w:t>
      </w:r>
      <w:r>
        <w:rPr>
          <w:rFonts w:cs="Arial Unicode MS" w:eastAsia="Arial Unicode MS"/>
          <w:rtl w:val="0"/>
          <w:lang w:val="en-US"/>
        </w:rPr>
        <w:t xml:space="preserve"> (Biblo &amp; Tannen Publishers, 1971)</w:t>
      </w:r>
      <w:r>
        <w:rPr>
          <w:rFonts w:cs="Arial Unicode MS" w:eastAsia="Arial Unicode MS"/>
          <w:rtl w:val="0"/>
          <w:lang w:val="en-US"/>
        </w:rPr>
        <w:t>, p.</w:t>
      </w:r>
      <w:r>
        <w:rPr>
          <w:rFonts w:cs="Arial Unicode MS" w:eastAsia="Arial Unicode MS"/>
          <w:rtl w:val="0"/>
        </w:rPr>
        <w:t xml:space="preserve"> </w:t>
      </w:r>
      <w:r>
        <w:rPr>
          <w:rFonts w:cs="Arial Unicode MS" w:eastAsia="Arial Unicode MS"/>
          <w:rtl w:val="0"/>
          <w:lang w:val="en-US"/>
        </w:rPr>
        <w:t>2</w:t>
      </w:r>
    </w:p>
  </w:footnote>
  <w:footnote w:id="15">
    <w:p>
      <w:pPr>
        <w:pStyle w:val="Footnote"/>
      </w:pPr>
      <w:r>
        <w:rPr>
          <w:vertAlign w:val="superscript"/>
        </w:rPr>
        <w:footnoteRef/>
      </w:r>
      <w:r>
        <w:rPr>
          <w:rFonts w:cs="Arial Unicode MS" w:eastAsia="Arial Unicode MS"/>
          <w:rtl w:val="0"/>
          <w:lang w:val="en-US"/>
        </w:rPr>
        <w:t xml:space="preserve"> J. H. Rogers, 'Origins of the Ancient Constellations: II. The Mediterranean Traditions', Journal of the British Astronomical Association, 108: (1998), p.79</w:t>
      </w:r>
    </w:p>
  </w:footnote>
  <w:footnote w:id="16">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Bradley E. </w:t>
      </w:r>
      <w:r>
        <w:rPr>
          <w:rFonts w:cs="Arial Unicode MS" w:eastAsia="Arial Unicode MS"/>
          <w:rtl w:val="0"/>
          <w:lang w:val="en-US"/>
        </w:rPr>
        <w:t xml:space="preserve">Schaeffer, 'The Origin of the Greek Constellations', Scientific American: (2006), </w:t>
      </w:r>
      <w:r>
        <w:rPr>
          <w:rFonts w:cs="Arial Unicode MS" w:eastAsia="Arial Unicode MS"/>
          <w:rtl w:val="0"/>
          <w:lang w:val="en-US"/>
        </w:rPr>
        <w:t xml:space="preserve">p. </w:t>
      </w:r>
      <w:r>
        <w:rPr>
          <w:rFonts w:cs="Arial Unicode MS" w:eastAsia="Arial Unicode MS"/>
          <w:rtl w:val="0"/>
        </w:rPr>
        <w:t>96</w:t>
      </w:r>
    </w:p>
  </w:footnote>
  <w:footnote w:id="17">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w:t>
      </w:r>
      <w:r>
        <w:rPr>
          <w:rFonts w:cs="Arial Unicode MS" w:eastAsia="Arial Unicode MS"/>
          <w:rtl w:val="0"/>
          <w:lang w:val="en-US"/>
        </w:rPr>
        <w:t xml:space="preserve"> 16, 17</w:t>
      </w:r>
    </w:p>
  </w:footnote>
  <w:footnote w:id="18">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 16, 17</w:t>
      </w:r>
    </w:p>
  </w:footnote>
  <w:footnote w:id="19">
    <w:p>
      <w:pPr>
        <w:pStyle w:val="Footnote"/>
      </w:pPr>
      <w:r>
        <w:rPr>
          <w:vertAlign w:val="superscript"/>
        </w:rPr>
        <w:footnoteRef/>
      </w:r>
      <w:r>
        <w:rPr>
          <w:rFonts w:cs="Arial Unicode MS" w:eastAsia="Arial Unicode MS"/>
          <w:rtl w:val="0"/>
          <w:lang w:val="nl-NL"/>
        </w:rPr>
        <w:t xml:space="preserve"> Evangelos</w:t>
      </w:r>
      <w:r>
        <w:rPr>
          <w:rFonts w:cs="Arial Unicode MS" w:eastAsia="Arial Unicode MS"/>
          <w:rtl w:val="0"/>
          <w:lang w:val="en-US"/>
        </w:rPr>
        <w:t xml:space="preserve"> </w:t>
      </w:r>
      <w:r>
        <w:rPr>
          <w:rFonts w:cs="Arial Unicode MS" w:eastAsia="Arial Unicode MS"/>
          <w:rtl w:val="0"/>
          <w:lang w:val="en-US"/>
        </w:rPr>
        <w:t xml:space="preserve">Kyriakidis, 'Unidentified Floating Objects on Minoan Seals', </w:t>
      </w:r>
      <w:r>
        <w:rPr>
          <w:rFonts w:cs="Arial Unicode MS" w:eastAsia="Arial Unicode MS"/>
          <w:i w:val="1"/>
          <w:iCs w:val="1"/>
          <w:rtl w:val="0"/>
          <w:lang w:val="en-US"/>
        </w:rPr>
        <w:t>American Journal of Archaeology</w:t>
      </w:r>
      <w:r>
        <w:rPr>
          <w:rFonts w:cs="Arial Unicode MS" w:eastAsia="Arial Unicode MS"/>
          <w:rtl w:val="0"/>
        </w:rPr>
        <w:t xml:space="preserve">: (2005), </w:t>
      </w:r>
      <w:r>
        <w:rPr>
          <w:rFonts w:cs="Arial Unicode MS" w:eastAsia="Arial Unicode MS"/>
          <w:rtl w:val="0"/>
          <w:lang w:val="en-US"/>
        </w:rPr>
        <w:t>p. 150</w:t>
      </w:r>
    </w:p>
  </w:footnote>
  <w:footnote w:id="20">
    <w:p>
      <w:pPr>
        <w:pStyle w:val="Footnote"/>
      </w:pPr>
      <w:r>
        <w:rPr>
          <w:vertAlign w:val="superscript"/>
        </w:rPr>
        <w:footnoteRef/>
      </w:r>
      <w:r>
        <w:rPr>
          <w:rFonts w:cs="Arial Unicode MS" w:eastAsia="Arial Unicode MS"/>
          <w:rtl w:val="0"/>
        </w:rPr>
        <w:t xml:space="preserve"> Kyriakidis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Unidentified</w:t>
      </w:r>
      <w:r>
        <w:rPr>
          <w:rFonts w:cs="Arial Unicode MS" w:eastAsia="Arial Unicode MS" w:hint="default"/>
          <w:rtl w:val="0"/>
          <w:lang w:val="en-US"/>
        </w:rPr>
        <w:t>’</w:t>
      </w:r>
      <w:r>
        <w:rPr>
          <w:rFonts w:cs="Arial Unicode MS" w:eastAsia="Arial Unicode MS"/>
          <w:rtl w:val="0"/>
          <w:lang w:val="en-US"/>
        </w:rPr>
        <w:t>, p. 143</w:t>
      </w:r>
    </w:p>
  </w:footnote>
  <w:footnote w:id="21">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w:t>
      </w:r>
      <w:r>
        <w:rPr>
          <w:rFonts w:cs="Arial Unicode MS" w:eastAsia="Arial Unicode MS"/>
          <w:rtl w:val="0"/>
          <w:lang w:val="en-US"/>
        </w:rPr>
        <w:t>4</w:t>
      </w:r>
    </w:p>
  </w:footnote>
  <w:footnote w:id="22">
    <w:p>
      <w:pPr>
        <w:pStyle w:val="Footnote"/>
      </w:pPr>
      <w:r>
        <w:rPr>
          <w:vertAlign w:val="superscript"/>
        </w:rPr>
        <w:footnoteRef/>
      </w:r>
      <w:r>
        <w:rPr>
          <w:rFonts w:cs="Arial Unicode MS" w:eastAsia="Arial Unicode MS"/>
          <w:rtl w:val="0"/>
        </w:rPr>
        <w:t xml:space="preserve"> Kyriakidis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Unidentified</w:t>
      </w:r>
      <w:r>
        <w:rPr>
          <w:rFonts w:cs="Arial Unicode MS" w:eastAsia="Arial Unicode MS" w:hint="default"/>
          <w:rtl w:val="0"/>
          <w:lang w:val="en-US"/>
        </w:rPr>
        <w:t>’</w:t>
      </w:r>
      <w:r>
        <w:rPr>
          <w:rFonts w:cs="Arial Unicode MS" w:eastAsia="Arial Unicode MS"/>
          <w:rtl w:val="0"/>
          <w:lang w:val="en-US"/>
        </w:rPr>
        <w:t>, p. 148</w:t>
      </w:r>
    </w:p>
  </w:footnote>
  <w:footnote w:id="23">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w:t>
      </w:r>
      <w:r>
        <w:rPr>
          <w:rFonts w:cs="Arial Unicode MS" w:eastAsia="Arial Unicode MS"/>
          <w:rtl w:val="0"/>
          <w:lang w:val="en-US"/>
        </w:rPr>
        <w:t>9</w:t>
      </w:r>
    </w:p>
  </w:footnote>
  <w:footnote w:id="24">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w:t>
      </w:r>
      <w:r>
        <w:rPr>
          <w:rFonts w:cs="Arial Unicode MS" w:eastAsia="Arial Unicode MS"/>
          <w:rtl w:val="0"/>
        </w:rPr>
        <w:t>152</w:t>
      </w:r>
    </w:p>
  </w:footnote>
  <w:footnote w:id="25">
    <w:p>
      <w:pPr>
        <w:pStyle w:val="Footnote"/>
      </w:pPr>
      <w:r>
        <w:rPr>
          <w:shd w:val="clear" w:color="auto" w:fill="ffffff"/>
          <w:vertAlign w:val="superscript"/>
        </w:rPr>
        <w:footnoteRef/>
      </w:r>
      <w:r>
        <w:rPr>
          <w:rFonts w:cs="Arial Unicode MS" w:eastAsia="Arial Unicode MS"/>
          <w:rtl w:val="0"/>
        </w:rPr>
        <w:t xml:space="preserve"> </w:t>
      </w:r>
      <w:r>
        <w:rPr>
          <w:rFonts w:cs="Arial Unicode MS" w:eastAsia="Arial Unicode MS"/>
          <w:rtl w:val="0"/>
          <w:lang w:val="en-US"/>
        </w:rPr>
        <w:t xml:space="preserve">Clive L. N. Ruggles, 'Pushing Back the Frontiers or Still Running around the Same Circles? </w:t>
      </w:r>
      <w:r>
        <w:rPr>
          <w:rFonts w:cs="Arial Unicode MS" w:eastAsia="Arial Unicode MS" w:hint="default"/>
          <w:rtl w:val="0"/>
          <w:lang w:val="en-US"/>
        </w:rPr>
        <w:t>‘</w:t>
      </w:r>
      <w:r>
        <w:rPr>
          <w:rFonts w:cs="Arial Unicode MS" w:eastAsia="Arial Unicode MS"/>
          <w:rtl w:val="0"/>
          <w:lang w:val="en-US"/>
        </w:rPr>
        <w:t>Interpretative Archaeoastronomy</w:t>
      </w:r>
      <w:r>
        <w:rPr>
          <w:rFonts w:cs="Arial Unicode MS" w:eastAsia="Arial Unicode MS" w:hint="default"/>
          <w:rtl w:val="0"/>
          <w:lang w:val="en-US"/>
        </w:rPr>
        <w:t xml:space="preserve">’ </w:t>
      </w:r>
      <w:r>
        <w:rPr>
          <w:rFonts w:cs="Arial Unicode MS" w:eastAsia="Arial Unicode MS"/>
          <w:rtl w:val="0"/>
          <w:lang w:val="en-US"/>
        </w:rPr>
        <w:t>Thirty Years On', Proceedings of the International Astronomical Union, 7: (2011), p. 10</w:t>
      </w:r>
    </w:p>
  </w:footnote>
  <w:footnote w:id="26">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 xml:space="preserve">ran Henriksson, 'Minoan Astronomy', Handbook of Archaeoastronomy and Ethnoastronomy: (2015), </w:t>
      </w:r>
      <w:r>
        <w:rPr>
          <w:rFonts w:cs="Arial Unicode MS" w:eastAsia="Arial Unicode MS"/>
          <w:rtl w:val="0"/>
          <w:lang w:val="en-US"/>
        </w:rPr>
        <w:t>p. 1434</w:t>
      </w:r>
    </w:p>
  </w:footnote>
  <w:footnote w:id="27">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ran Henriksson, 'Evidence for the Minoan Origins of Stellar Navigation in the Aegean': (1999)</w:t>
      </w:r>
      <w:r>
        <w:rPr>
          <w:rFonts w:cs="Arial Unicode MS" w:eastAsia="Arial Unicode MS"/>
          <w:rtl w:val="0"/>
          <w:lang w:val="en-US"/>
        </w:rPr>
        <w:t>, p. 76</w:t>
      </w:r>
    </w:p>
  </w:footnote>
  <w:footnote w:id="28">
    <w:p>
      <w:pPr>
        <w:pStyle w:val="Footnote"/>
      </w:pPr>
      <w:r>
        <w:rPr>
          <w:vertAlign w:val="superscript"/>
        </w:rPr>
        <w:footnoteRef/>
      </w:r>
      <w:r>
        <w:rPr>
          <w:rFonts w:cs="Arial Unicode MS" w:eastAsia="Arial Unicode MS"/>
          <w:rtl w:val="0"/>
          <w:lang w:val="da-DK"/>
        </w:rPr>
        <w:t xml:space="preserve"> William Henry Samuel</w:t>
      </w:r>
      <w:r>
        <w:rPr>
          <w:rFonts w:cs="Arial Unicode MS" w:eastAsia="Arial Unicode MS"/>
          <w:rtl w:val="0"/>
          <w:lang w:val="en-US"/>
        </w:rPr>
        <w:t xml:space="preserve"> </w:t>
      </w:r>
      <w:r>
        <w:rPr>
          <w:rFonts w:cs="Arial Unicode MS" w:eastAsia="Arial Unicode MS"/>
          <w:rtl w:val="0"/>
          <w:lang w:val="en-US"/>
        </w:rPr>
        <w:t>Jones, Hippocrates: With an English Translation (Harvard University Press, 1952)</w:t>
      </w:r>
      <w:r>
        <w:rPr>
          <w:rFonts w:cs="Arial Unicode MS" w:eastAsia="Arial Unicode MS"/>
          <w:rtl w:val="0"/>
          <w:lang w:val="en-US"/>
        </w:rPr>
        <w:t xml:space="preserve">, </w:t>
      </w:r>
      <w:r>
        <w:rPr>
          <w:rFonts w:cs="Arial Unicode MS" w:eastAsia="Arial Unicode MS"/>
          <w:rtl w:val="0"/>
          <w:lang w:val="en-US"/>
        </w:rPr>
        <w:t>On the Regimen, 3.68.</w:t>
      </w:r>
      <w:r>
        <w:rPr>
          <w:rFonts w:cs="Arial Unicode MS" w:eastAsia="Arial Unicode MS"/>
          <w:rtl w:val="0"/>
          <w:lang w:val="en-US"/>
        </w:rPr>
        <w:t>2</w:t>
      </w:r>
    </w:p>
  </w:footnote>
  <w:footnote w:id="29">
    <w:p>
      <w:pPr>
        <w:pStyle w:val="Footnote"/>
      </w:pPr>
      <w:r>
        <w:rPr>
          <w:vertAlign w:val="superscript"/>
        </w:rPr>
        <w:footnoteRef/>
      </w:r>
      <w:r>
        <w:rPr>
          <w:rFonts w:cs="Arial Unicode MS" w:eastAsia="Arial Unicode MS"/>
          <w:rtl w:val="0"/>
          <w:lang w:val="en-US"/>
        </w:rPr>
        <w:t xml:space="preserve"> Kathryn</w:t>
      </w:r>
      <w:r>
        <w:rPr>
          <w:rFonts w:cs="Arial Unicode MS" w:eastAsia="Arial Unicode MS"/>
          <w:rtl w:val="0"/>
          <w:lang w:val="en-US"/>
        </w:rPr>
        <w:t xml:space="preserve"> </w:t>
      </w:r>
      <w:r>
        <w:rPr>
          <w:rFonts w:cs="Arial Unicode MS" w:eastAsia="Arial Unicode MS"/>
          <w:rtl w:val="0"/>
          <w:lang w:val="en-US"/>
        </w:rPr>
        <w:t xml:space="preserve">Stevens, 2013. </w:t>
      </w:r>
      <w:r>
        <w:rPr>
          <w:rFonts w:cs="Arial Unicode MS" w:eastAsia="Arial Unicode MS" w:hint="default"/>
          <w:rtl w:val="0"/>
          <w:lang w:val="en-US"/>
        </w:rPr>
        <w:t>‘</w:t>
      </w:r>
      <w:r>
        <w:rPr>
          <w:rFonts w:cs="Arial Unicode MS" w:eastAsia="Arial Unicode MS" w:hint="default"/>
          <w:rtl w:val="0"/>
        </w:rPr>
        <w:t>Š</w:t>
      </w:r>
      <w:r>
        <w:rPr>
          <w:rFonts w:cs="Arial Unicode MS" w:eastAsia="Arial Unicode MS"/>
          <w:rtl w:val="0"/>
          <w:lang w:val="sv-SE"/>
        </w:rPr>
        <w:t>ala (Goddess)</w:t>
      </w:r>
      <w:r>
        <w:rPr>
          <w:rFonts w:cs="Arial Unicode MS" w:eastAsia="Arial Unicode MS" w:hint="default"/>
          <w:rtl w:val="0"/>
          <w:lang w:val="en-US"/>
        </w:rPr>
        <w:t>’</w:t>
      </w:r>
      <w:r>
        <w:rPr>
          <w:rFonts w:cs="Arial Unicode MS" w:eastAsia="Arial Unicode MS"/>
          <w:rtl w:val="0"/>
          <w:lang w:val="en-US"/>
        </w:rPr>
        <w:t>, Oracc and the UK Higher Education Academy. http://oracc.museum.upenn.edu/amgg/listofdeities/ala/</w:t>
      </w:r>
      <w:r>
        <w:rPr>
          <w:rFonts w:cs="Arial Unicode MS" w:eastAsia="Arial Unicode MS"/>
          <w:rtl w:val="0"/>
          <w:lang w:val="en-US"/>
        </w:rPr>
        <w:t xml:space="preserve"> ; and </w:t>
      </w:r>
      <w:r>
        <w:rPr>
          <w:rFonts w:cs="Arial Unicode MS" w:eastAsia="Arial Unicode MS"/>
          <w:rtl w:val="0"/>
          <w:lang w:val="en-US"/>
        </w:rPr>
        <w:t>Mul-Apin, Tablet I line 52</w:t>
      </w:r>
    </w:p>
  </w:footnote>
  <w:footnote w:id="30">
    <w:p>
      <w:pPr>
        <w:pStyle w:val="Footnote"/>
      </w:pPr>
      <w:r>
        <w:rPr>
          <w:vertAlign w:val="superscript"/>
        </w:rPr>
        <w:footnoteRef/>
      </w:r>
      <w:r>
        <w:rPr>
          <w:rFonts w:cs="Arial Unicode MS" w:eastAsia="Arial Unicode MS"/>
          <w:rtl w:val="0"/>
        </w:rPr>
        <w:t xml:space="preserve"> Blomberg</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Minoan</w:t>
      </w:r>
      <w:r>
        <w:rPr>
          <w:rFonts w:cs="Arial Unicode MS" w:eastAsia="Arial Unicode MS" w:hint="default"/>
          <w:rtl w:val="0"/>
          <w:lang w:val="en-US"/>
        </w:rPr>
        <w:t>’</w:t>
      </w:r>
      <w:r>
        <w:rPr>
          <w:rFonts w:cs="Arial Unicode MS" w:eastAsia="Arial Unicode MS"/>
          <w:rtl w:val="0"/>
          <w:lang w:val="en-US"/>
        </w:rPr>
        <w:t>, p. 1434</w:t>
      </w:r>
    </w:p>
  </w:footnote>
  <w:footnote w:id="31">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 xml:space="preserve">land, 'Rituals of Magical Rain-Making in Modern and Ancient Greece: A Comparative Approach', </w:t>
      </w:r>
      <w:r>
        <w:rPr>
          <w:rFonts w:cs="Arial Unicode MS" w:eastAsia="Arial Unicode MS"/>
          <w:i w:val="1"/>
          <w:iCs w:val="1"/>
          <w:rtl w:val="0"/>
          <w:lang w:val="en-US"/>
        </w:rPr>
        <w:t>Cosmos: The Journal of the Traditional Cosmology Society</w:t>
      </w:r>
      <w:r>
        <w:rPr>
          <w:rFonts w:cs="Arial Unicode MS" w:eastAsia="Arial Unicode MS"/>
          <w:rtl w:val="0"/>
        </w:rPr>
        <w:t xml:space="preserve">, 17: (2005), </w:t>
      </w:r>
      <w:r>
        <w:rPr>
          <w:rFonts w:cs="Arial Unicode MS" w:eastAsia="Arial Unicode MS"/>
          <w:rtl w:val="0"/>
          <w:lang w:val="en-US"/>
        </w:rPr>
        <w:t>p. 207</w:t>
      </w:r>
    </w:p>
  </w:footnote>
  <w:footnote w:id="32">
    <w:p>
      <w:pPr>
        <w:pStyle w:val="Footnote"/>
      </w:pPr>
      <w:r>
        <w:rPr>
          <w:vertAlign w:val="superscript"/>
        </w:rPr>
        <w:footnoteRef/>
      </w:r>
      <w:r>
        <w:rPr>
          <w:rFonts w:cs="Arial Unicode MS" w:eastAsia="Arial Unicode MS"/>
          <w:rtl w:val="0"/>
          <w:lang w:val="en-US"/>
        </w:rPr>
        <w:t xml:space="preserve"> Arthur</w:t>
      </w:r>
      <w:r>
        <w:rPr>
          <w:rFonts w:cs="Arial Unicode MS" w:eastAsia="Arial Unicode MS"/>
          <w:rtl w:val="0"/>
          <w:lang w:val="en-US"/>
        </w:rPr>
        <w:t xml:space="preserve"> </w:t>
      </w:r>
      <w:r>
        <w:rPr>
          <w:rFonts w:cs="Arial Unicode MS" w:eastAsia="Arial Unicode MS"/>
          <w:rtl w:val="0"/>
          <w:lang w:val="en-US"/>
        </w:rPr>
        <w:t>Evans, ''The Ring of Nestor': A Glimpse into the Minoan after-World and a Sepulchral Treasure of Gold Signet-Rings and Bead-Seals from Thisb</w:t>
      </w:r>
      <w:r>
        <w:rPr>
          <w:rFonts w:cs="Arial Unicode MS" w:eastAsia="Arial Unicode MS" w:hint="default"/>
          <w:rtl w:val="0"/>
        </w:rPr>
        <w:t>ê</w:t>
      </w:r>
      <w:r>
        <w:rPr>
          <w:rFonts w:cs="Arial Unicode MS" w:eastAsia="Arial Unicode MS"/>
          <w:rtl w:val="0"/>
          <w:lang w:val="nl-NL"/>
        </w:rPr>
        <w:t xml:space="preserve">, Boeotia', </w:t>
      </w:r>
      <w:r>
        <w:rPr>
          <w:rFonts w:cs="Arial Unicode MS" w:eastAsia="Arial Unicode MS"/>
          <w:i w:val="1"/>
          <w:iCs w:val="1"/>
          <w:rtl w:val="0"/>
          <w:lang w:val="en-US"/>
        </w:rPr>
        <w:t>Journal of Hellenic Studies</w:t>
      </w:r>
      <w:r>
        <w:rPr>
          <w:rFonts w:cs="Arial Unicode MS" w:eastAsia="Arial Unicode MS"/>
          <w:rtl w:val="0"/>
        </w:rPr>
        <w:t xml:space="preserve">: (1925), </w:t>
      </w:r>
      <w:r>
        <w:rPr>
          <w:rFonts w:cs="Arial Unicode MS" w:eastAsia="Arial Unicode MS"/>
          <w:rtl w:val="0"/>
          <w:lang w:val="en-US"/>
        </w:rPr>
        <w:t xml:space="preserve">p. </w:t>
      </w:r>
      <w:r>
        <w:rPr>
          <w:rFonts w:cs="Arial Unicode MS" w:eastAsia="Arial Unicode MS"/>
          <w:rtl w:val="0"/>
        </w:rPr>
        <w:t>16</w:t>
      </w:r>
    </w:p>
  </w:footnote>
  <w:footnote w:id="33">
    <w:p>
      <w:pPr>
        <w:pStyle w:val="Footnote"/>
      </w:pPr>
      <w:r>
        <w:rPr>
          <w:vertAlign w:val="superscript"/>
        </w:rPr>
        <w:footnoteRef/>
      </w:r>
      <w:r>
        <w:rPr>
          <w:rFonts w:cs="Arial Unicode MS" w:eastAsia="Arial Unicode MS"/>
          <w:rtl w:val="0"/>
          <w:lang w:val="nl-NL"/>
        </w:rPr>
        <w:t xml:space="preserve"> Evans, </w:t>
      </w:r>
      <w:r>
        <w:rPr>
          <w:rFonts w:cs="Arial Unicode MS" w:eastAsia="Arial Unicode MS"/>
          <w:rtl w:val="0"/>
          <w:lang w:val="en-US"/>
        </w:rPr>
        <w:t>'</w:t>
      </w:r>
      <w:r>
        <w:rPr>
          <w:rFonts w:cs="Arial Unicode MS" w:eastAsia="Arial Unicode MS"/>
          <w:rtl w:val="0"/>
          <w:lang w:val="nl-NL"/>
        </w:rPr>
        <w:t xml:space="preserve">Nestor', </w:t>
      </w:r>
      <w:r>
        <w:rPr>
          <w:rFonts w:cs="Arial Unicode MS" w:eastAsia="Arial Unicode MS"/>
          <w:rtl w:val="0"/>
          <w:lang w:val="en-US"/>
        </w:rPr>
        <w:t xml:space="preserve">p. </w:t>
      </w:r>
      <w:r>
        <w:rPr>
          <w:rFonts w:cs="Arial Unicode MS" w:eastAsia="Arial Unicode MS"/>
          <w:rtl w:val="0"/>
        </w:rPr>
        <w:t>16</w:t>
      </w:r>
    </w:p>
  </w:footnote>
  <w:footnote w:id="34">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Evans, </w:t>
      </w:r>
      <w:r>
        <w:rPr>
          <w:rFonts w:cs="Arial Unicode MS" w:eastAsia="Arial Unicode MS" w:hint="default"/>
          <w:rtl w:val="0"/>
          <w:lang w:val="en-US"/>
        </w:rPr>
        <w:t>‘</w:t>
      </w:r>
      <w:r>
        <w:rPr>
          <w:rFonts w:cs="Arial Unicode MS" w:eastAsia="Arial Unicode MS"/>
          <w:rtl w:val="0"/>
          <w:lang w:val="en-US"/>
        </w:rPr>
        <w:t>Nestor</w:t>
      </w:r>
      <w:r>
        <w:rPr>
          <w:rFonts w:cs="Arial Unicode MS" w:eastAsia="Arial Unicode MS" w:hint="default"/>
          <w:rtl w:val="0"/>
          <w:lang w:val="en-US"/>
        </w:rPr>
        <w:t>’</w:t>
      </w:r>
      <w:r>
        <w:rPr>
          <w:rFonts w:cs="Arial Unicode MS" w:eastAsia="Arial Unicode MS"/>
          <w:rtl w:val="0"/>
          <w:lang w:val="en-US"/>
        </w:rPr>
        <w:t>, p. 15</w:t>
      </w:r>
    </w:p>
  </w:footnote>
  <w:footnote w:id="35">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it-IT"/>
        </w:rPr>
        <w:t>Bernard Clive</w:t>
      </w:r>
      <w:r>
        <w:rPr>
          <w:rFonts w:cs="Arial Unicode MS" w:eastAsia="Arial Unicode MS"/>
          <w:rtl w:val="0"/>
          <w:lang w:val="en-US"/>
        </w:rPr>
        <w:t xml:space="preserve"> </w:t>
      </w:r>
      <w:r>
        <w:rPr>
          <w:rFonts w:cs="Arial Unicode MS" w:eastAsia="Arial Unicode MS"/>
          <w:rtl w:val="0"/>
          <w:lang w:val="de-DE"/>
        </w:rPr>
        <w:t xml:space="preserve">Dietrich, </w:t>
      </w:r>
      <w:r>
        <w:rPr>
          <w:rFonts w:cs="Arial Unicode MS" w:eastAsia="Arial Unicode MS"/>
          <w:i w:val="1"/>
          <w:iCs w:val="1"/>
          <w:rtl w:val="0"/>
          <w:lang w:val="en-US"/>
        </w:rPr>
        <w:t>The Origins of Greek Religion</w:t>
      </w:r>
      <w:r>
        <w:rPr>
          <w:rFonts w:cs="Arial Unicode MS" w:eastAsia="Arial Unicode MS"/>
          <w:rtl w:val="0"/>
          <w:lang w:val="en-US"/>
        </w:rPr>
        <w:t xml:space="preserve"> (Bristol Phoenix Press, 2004)</w:t>
      </w:r>
      <w:r>
        <w:rPr>
          <w:rFonts w:cs="Arial Unicode MS" w:eastAsia="Arial Unicode MS"/>
          <w:rtl w:val="0"/>
          <w:lang w:val="en-US"/>
        </w:rPr>
        <w:t>, p. 169, 170</w:t>
      </w:r>
    </w:p>
  </w:footnote>
  <w:footnote w:id="36">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140</w:t>
      </w:r>
    </w:p>
  </w:footnote>
  <w:footnote w:id="37">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140</w:t>
      </w:r>
    </w:p>
  </w:footnote>
  <w:footnote w:id="38">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Blomberg, </w:t>
      </w:r>
      <w:r>
        <w:rPr>
          <w:rFonts w:cs="Arial Unicode MS" w:eastAsia="Arial Unicode MS" w:hint="default"/>
          <w:rtl w:val="0"/>
          <w:lang w:val="en-US"/>
        </w:rPr>
        <w:t>‘</w:t>
      </w:r>
      <w:r>
        <w:rPr>
          <w:rFonts w:cs="Arial Unicode MS" w:eastAsia="Arial Unicode MS"/>
          <w:rtl w:val="0"/>
          <w:lang w:val="en-US"/>
        </w:rPr>
        <w:t>Minoan</w:t>
      </w:r>
      <w:r>
        <w:rPr>
          <w:rFonts w:cs="Arial Unicode MS" w:eastAsia="Arial Unicode MS" w:hint="default"/>
          <w:rtl w:val="0"/>
          <w:lang w:val="en-US"/>
        </w:rPr>
        <w:t>’</w:t>
      </w:r>
      <w:r>
        <w:rPr>
          <w:rFonts w:cs="Arial Unicode MS" w:eastAsia="Arial Unicode MS"/>
          <w:rtl w:val="0"/>
          <w:lang w:val="en-US"/>
        </w:rPr>
        <w:t>, p. 1434</w:t>
      </w:r>
    </w:p>
  </w:footnote>
  <w:footnote w:id="39">
    <w:p>
      <w:pPr>
        <w:pStyle w:val="Footnote"/>
      </w:pPr>
      <w:r>
        <w:rPr>
          <w:vertAlign w:val="superscript"/>
        </w:rPr>
        <w:footnoteRef/>
      </w:r>
      <w:r>
        <w:rPr>
          <w:rFonts w:cs="Arial Unicode MS" w:eastAsia="Arial Unicode MS"/>
          <w:rtl w:val="0"/>
          <w:lang w:val="de-DE"/>
        </w:rPr>
        <w:t xml:space="preserve"> Richard Ernest</w:t>
      </w:r>
      <w:r>
        <w:rPr>
          <w:rFonts w:cs="Arial Unicode MS" w:eastAsia="Arial Unicode MS"/>
          <w:rtl w:val="0"/>
          <w:lang w:val="en-US"/>
        </w:rPr>
        <w:t xml:space="preserve"> </w:t>
      </w:r>
      <w:r>
        <w:rPr>
          <w:rFonts w:cs="Arial Unicode MS" w:eastAsia="Arial Unicode MS"/>
          <w:rtl w:val="0"/>
          <w:lang w:val="en-US"/>
        </w:rPr>
        <w:t xml:space="preserve">Wycherley, </w:t>
      </w:r>
      <w:r>
        <w:rPr>
          <w:rFonts w:cs="Arial Unicode MS" w:eastAsia="Arial Unicode MS"/>
          <w:i w:val="1"/>
          <w:iCs w:val="1"/>
          <w:rtl w:val="0"/>
          <w:lang w:val="en-US"/>
        </w:rPr>
        <w:t>Pausanias Description of Greece</w:t>
      </w:r>
      <w:r>
        <w:rPr>
          <w:rFonts w:cs="Arial Unicode MS" w:eastAsia="Arial Unicode MS"/>
          <w:rtl w:val="0"/>
          <w:lang w:val="en-US"/>
        </w:rPr>
        <w:t xml:space="preserve"> (Harvard University Press, 1918)</w:t>
      </w:r>
      <w:r>
        <w:rPr>
          <w:rFonts w:cs="Arial Unicode MS" w:eastAsia="Arial Unicode MS"/>
          <w:rtl w:val="0"/>
          <w:lang w:val="en-US"/>
        </w:rPr>
        <w:t xml:space="preserve">, </w:t>
      </w:r>
      <w:r>
        <w:rPr>
          <w:rFonts w:cs="Arial Unicode MS" w:eastAsia="Arial Unicode MS"/>
          <w:rtl w:val="0"/>
          <w:lang w:val="de-DE"/>
        </w:rPr>
        <w:t>Paus</w:t>
      </w:r>
      <w:r>
        <w:rPr>
          <w:rFonts w:cs="Arial Unicode MS" w:eastAsia="Arial Unicode MS"/>
          <w:rtl w:val="0"/>
          <w:lang w:val="en-US"/>
        </w:rPr>
        <w:t>anias</w:t>
      </w:r>
      <w:r>
        <w:rPr>
          <w:rFonts w:cs="Arial Unicode MS" w:eastAsia="Arial Unicode MS"/>
          <w:rtl w:val="0"/>
        </w:rPr>
        <w:t xml:space="preserve"> </w:t>
      </w:r>
      <w:r>
        <w:rPr>
          <w:rFonts w:cs="Arial Unicode MS" w:eastAsia="Arial Unicode MS"/>
          <w:rtl w:val="0"/>
          <w:lang w:val="en-US"/>
        </w:rPr>
        <w:t>III</w:t>
      </w:r>
      <w:r>
        <w:rPr>
          <w:rFonts w:cs="Arial Unicode MS" w:eastAsia="Arial Unicode MS"/>
          <w:rtl w:val="0"/>
        </w:rPr>
        <w:t xml:space="preserve">. 24. </w:t>
      </w:r>
      <w:r>
        <w:rPr>
          <w:rFonts w:cs="Arial Unicode MS" w:eastAsia="Arial Unicode MS" w:hint="default"/>
          <w:rtl w:val="0"/>
        </w:rPr>
        <w:t xml:space="preserve">§ </w:t>
      </w:r>
      <w:r>
        <w:rPr>
          <w:rFonts w:cs="Arial Unicode MS" w:eastAsia="Arial Unicode MS"/>
          <w:rtl w:val="0"/>
        </w:rPr>
        <w:t>6</w:t>
      </w:r>
    </w:p>
  </w:footnote>
  <w:footnote w:id="40">
    <w:p>
      <w:pPr>
        <w:pStyle w:val="Footnote"/>
      </w:pPr>
      <w:r>
        <w:rPr>
          <w:vertAlign w:val="superscript"/>
        </w:rPr>
        <w:footnoteRef/>
      </w:r>
      <w:r>
        <w:rPr>
          <w:rFonts w:cs="Arial Unicode MS" w:eastAsia="Arial Unicode MS"/>
          <w:rtl w:val="0"/>
        </w:rPr>
        <w:t xml:space="preserve"> Jaap-Jan</w:t>
      </w:r>
      <w:r>
        <w:rPr>
          <w:rFonts w:cs="Arial Unicode MS" w:eastAsia="Arial Unicode MS"/>
          <w:rtl w:val="0"/>
          <w:lang w:val="en-US"/>
        </w:rPr>
        <w:t xml:space="preserve"> </w:t>
      </w:r>
      <w:r>
        <w:rPr>
          <w:rFonts w:cs="Arial Unicode MS" w:eastAsia="Arial Unicode MS"/>
          <w:rtl w:val="0"/>
          <w:lang w:val="it-IT"/>
        </w:rPr>
        <w:t xml:space="preserve">Flinterman. 'Apollonius Ascension.' in, </w:t>
      </w:r>
      <w:r>
        <w:rPr>
          <w:rFonts w:cs="Arial Unicode MS" w:eastAsia="Arial Unicode MS"/>
          <w:i w:val="1"/>
          <w:iCs w:val="1"/>
          <w:rtl w:val="0"/>
          <w:lang w:val="pt-PT"/>
        </w:rPr>
        <w:t>Theios Sophist</w:t>
      </w:r>
      <w:r>
        <w:rPr>
          <w:rFonts w:cs="Arial Unicode MS" w:eastAsia="Arial Unicode MS" w:hint="default"/>
          <w:i w:val="1"/>
          <w:iCs w:val="1"/>
          <w:rtl w:val="0"/>
          <w:lang w:val="it-IT"/>
        </w:rPr>
        <w:t>è</w:t>
      </w:r>
      <w:r>
        <w:rPr>
          <w:rFonts w:cs="Arial Unicode MS" w:eastAsia="Arial Unicode MS"/>
          <w:i w:val="1"/>
          <w:iCs w:val="1"/>
          <w:rtl w:val="0"/>
        </w:rPr>
        <w:t>s</w:t>
      </w:r>
      <w:r>
        <w:rPr>
          <w:rFonts w:cs="Arial Unicode MS" w:eastAsia="Arial Unicode MS"/>
          <w:rtl w:val="0"/>
        </w:rPr>
        <w:t xml:space="preserve"> (Brill, 2009).</w:t>
      </w:r>
      <w:r>
        <w:rPr>
          <w:rFonts w:cs="Arial Unicode MS" w:eastAsia="Arial Unicode MS"/>
          <w:rtl w:val="0"/>
          <w:lang w:val="en-US"/>
        </w:rPr>
        <w:t xml:space="preserve"> p, 243, footnote 79</w:t>
      </w:r>
    </w:p>
  </w:footnote>
  <w:footnote w:id="41">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 p.</w:t>
      </w:r>
      <w:r>
        <w:rPr>
          <w:rFonts w:cs="Arial Unicode MS" w:eastAsia="Arial Unicode MS"/>
          <w:rtl w:val="0"/>
          <w:lang w:val="en-US"/>
        </w:rPr>
        <w:t xml:space="preserve"> 439, 440</w:t>
      </w:r>
    </w:p>
  </w:footnote>
  <w:footnote w:id="42">
    <w:p>
      <w:pPr>
        <w:pStyle w:val="Footnote"/>
      </w:pPr>
      <w:r>
        <w:rPr>
          <w:vertAlign w:val="superscript"/>
        </w:rPr>
        <w:footnoteRef/>
      </w:r>
      <w:r>
        <w:rPr>
          <w:rFonts w:cs="Arial Unicode MS" w:eastAsia="Arial Unicode MS"/>
          <w:rtl w:val="0"/>
        </w:rPr>
        <w:t xml:space="preserve"> C</w:t>
      </w:r>
      <w:r>
        <w:rPr>
          <w:rFonts w:cs="Arial Unicode MS" w:eastAsia="Arial Unicode MS"/>
          <w:rtl w:val="0"/>
          <w:lang w:val="en-US"/>
        </w:rPr>
        <w:t>.</w:t>
      </w:r>
      <w:r>
        <w:rPr>
          <w:rFonts w:cs="Arial Unicode MS" w:eastAsia="Arial Unicode MS"/>
          <w:rtl w:val="0"/>
        </w:rPr>
        <w:t xml:space="preserve"> Julius</w:t>
      </w:r>
      <w:r>
        <w:rPr>
          <w:rFonts w:cs="Arial Unicode MS" w:eastAsia="Arial Unicode MS"/>
          <w:rtl w:val="0"/>
          <w:lang w:val="en-US"/>
        </w:rPr>
        <w:t xml:space="preserve"> </w:t>
      </w:r>
      <w:r>
        <w:rPr>
          <w:rFonts w:cs="Arial Unicode MS" w:eastAsia="Arial Unicode MS"/>
          <w:rtl w:val="0"/>
          <w:lang w:val="it-IT"/>
        </w:rPr>
        <w:t xml:space="preserve">Solinus, Bartolinus Atriensis, and Giacomo Britannico, </w:t>
      </w:r>
      <w:r>
        <w:rPr>
          <w:rFonts w:cs="Arial Unicode MS" w:eastAsia="Arial Unicode MS"/>
          <w:i w:val="1"/>
          <w:iCs w:val="1"/>
          <w:rtl w:val="0"/>
          <w:lang w:val="pt-PT"/>
        </w:rPr>
        <w:t>De Mirabilibus Mundi</w:t>
      </w:r>
      <w:r>
        <w:rPr>
          <w:rFonts w:cs="Arial Unicode MS" w:eastAsia="Arial Unicode MS"/>
          <w:rtl w:val="0"/>
          <w:lang w:val="es-ES_tradnl"/>
        </w:rPr>
        <w:t xml:space="preserve"> (Andreas Portilia, 1983)</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IX</w:t>
      </w:r>
      <w:r>
        <w:rPr>
          <w:rFonts w:cs="Arial Unicode MS" w:eastAsia="Arial Unicode MS"/>
          <w:rtl w:val="0"/>
        </w:rPr>
        <w:t>.8.</w:t>
      </w:r>
    </w:p>
  </w:footnote>
  <w:footnote w:id="43">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Callimachus, Lycophron, Aratus, A. W. Mair, and G. R. Mair, </w:t>
      </w:r>
      <w:r>
        <w:rPr>
          <w:rFonts w:cs="Arial Unicode MS" w:eastAsia="Arial Unicode MS"/>
          <w:i w:val="1"/>
          <w:iCs w:val="1"/>
          <w:rtl w:val="0"/>
          <w:lang w:val="en-US"/>
        </w:rPr>
        <w:t>Callimachus and Lycophron</w:t>
      </w:r>
      <w:r>
        <w:rPr>
          <w:rFonts w:cs="Arial Unicode MS" w:eastAsia="Arial Unicode MS"/>
          <w:rtl w:val="0"/>
          <w:lang w:val="en-US"/>
        </w:rPr>
        <w:t xml:space="preserve"> (W. Heinemann; G.P. Putnam's sons: London, New York,, 1921)</w:t>
      </w:r>
      <w:r>
        <w:rPr>
          <w:rFonts w:cs="Arial Unicode MS" w:eastAsia="Arial Unicode MS"/>
          <w:rtl w:val="0"/>
          <w:lang w:val="en-US"/>
        </w:rPr>
        <w:t>, Hymn 3 to Artemis 190-1</w:t>
      </w:r>
    </w:p>
  </w:footnote>
  <w:footnote w:id="44">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it-IT"/>
        </w:rPr>
        <w:t>William</w:t>
      </w:r>
      <w:r>
        <w:rPr>
          <w:rFonts w:cs="Arial Unicode MS" w:eastAsia="Arial Unicode MS"/>
          <w:rtl w:val="0"/>
          <w:lang w:val="en-US"/>
        </w:rPr>
        <w:t xml:space="preserve"> </w:t>
      </w:r>
      <w:r>
        <w:rPr>
          <w:rFonts w:cs="Arial Unicode MS" w:eastAsia="Arial Unicode MS"/>
          <w:rtl w:val="0"/>
          <w:lang w:val="en-US"/>
        </w:rPr>
        <w:t xml:space="preserve">Smith, </w:t>
      </w:r>
      <w:r>
        <w:rPr>
          <w:rFonts w:cs="Arial Unicode MS" w:eastAsia="Arial Unicode MS"/>
          <w:i w:val="1"/>
          <w:iCs w:val="1"/>
          <w:rtl w:val="0"/>
          <w:lang w:val="en-US"/>
        </w:rPr>
        <w:t>Dictionary of Greek and Roman Biography and Mythology</w:t>
      </w:r>
      <w:r>
        <w:rPr>
          <w:rFonts w:cs="Arial Unicode MS" w:eastAsia="Arial Unicode MS"/>
          <w:rtl w:val="0"/>
          <w:lang w:val="en-US"/>
        </w:rPr>
        <w:t xml:space="preserve"> (CC Little and J. Brown, 1849)</w:t>
      </w:r>
      <w:r>
        <w:rPr>
          <w:rFonts w:cs="Arial Unicode MS" w:eastAsia="Arial Unicode MS"/>
          <w:rtl w:val="0"/>
          <w:lang w:val="en-US"/>
        </w:rPr>
        <w:t xml:space="preserve">, </w:t>
      </w:r>
      <w:r>
        <w:rPr>
          <w:rFonts w:cs="Arial Unicode MS" w:eastAsia="Arial Unicode MS"/>
          <w:rtl w:val="0"/>
        </w:rPr>
        <w:t>B.9.britomartis</w:t>
      </w:r>
    </w:p>
  </w:footnote>
  <w:footnote w:id="45">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Marinatos, </w:t>
      </w:r>
      <w:r>
        <w:rPr>
          <w:rFonts w:cs="Arial Unicode MS" w:eastAsia="Arial Unicode MS" w:hint="default"/>
          <w:rtl w:val="0"/>
          <w:lang w:val="en-US"/>
        </w:rPr>
        <w:t>‘</w:t>
      </w:r>
      <w:r>
        <w:rPr>
          <w:rFonts w:cs="Arial Unicode MS" w:eastAsia="Arial Unicode MS"/>
          <w:rtl w:val="0"/>
          <w:lang w:val="en-US"/>
        </w:rPr>
        <w:t>Ritual</w:t>
      </w:r>
      <w:r>
        <w:rPr>
          <w:rFonts w:cs="Arial Unicode MS" w:eastAsia="Arial Unicode MS" w:hint="default"/>
          <w:rtl w:val="0"/>
          <w:lang w:val="en-US"/>
        </w:rPr>
        <w:t>’</w:t>
      </w:r>
      <w:r>
        <w:rPr>
          <w:rFonts w:cs="Arial Unicode MS" w:eastAsia="Arial Unicode MS"/>
          <w:rtl w:val="0"/>
          <w:lang w:val="en-US"/>
        </w:rPr>
        <w:t>, p. 147, 165</w:t>
      </w:r>
    </w:p>
  </w:footnote>
  <w:footnote w:id="46">
    <w:p>
      <w:pPr>
        <w:pStyle w:val="Footnote"/>
      </w:pPr>
      <w:r>
        <w:rPr>
          <w:vertAlign w:val="superscript"/>
        </w:rPr>
        <w:footnoteRef/>
      </w:r>
      <w:r>
        <w:rPr>
          <w:rFonts w:cs="Arial Unicode MS" w:eastAsia="Arial Unicode MS"/>
          <w:rtl w:val="0"/>
          <w:lang w:val="it-IT"/>
        </w:rPr>
        <w:t xml:space="preserve"> Flinterman. 'Apollonius'</w:t>
      </w:r>
      <w:r>
        <w:rPr>
          <w:rFonts w:cs="Arial Unicode MS" w:eastAsia="Arial Unicode MS"/>
          <w:rtl w:val="0"/>
          <w:lang w:val="en-US"/>
        </w:rPr>
        <w:t>, p. 243</w:t>
      </w:r>
    </w:p>
  </w:footnote>
  <w:footnote w:id="47">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Nilsson</w:t>
      </w:r>
      <w:r>
        <w:rPr>
          <w:rFonts w:cs="Arial Unicode MS" w:eastAsia="Arial Unicode MS"/>
          <w:rtl w:val="0"/>
        </w:rPr>
        <w:t xml:space="preserve">, </w:t>
      </w:r>
      <w:r>
        <w:rPr>
          <w:rFonts w:cs="Arial Unicode MS" w:eastAsia="Arial Unicode MS"/>
          <w:i w:val="1"/>
          <w:iCs w:val="1"/>
          <w:rtl w:val="0"/>
          <w:lang w:val="it-IT"/>
        </w:rPr>
        <w:t>Religion</w:t>
      </w:r>
      <w:r>
        <w:rPr>
          <w:rFonts w:cs="Arial Unicode MS" w:eastAsia="Arial Unicode MS"/>
          <w:rtl w:val="0"/>
        </w:rPr>
        <w:t>,</w:t>
      </w:r>
      <w:r>
        <w:rPr>
          <w:rFonts w:cs="Arial Unicode MS" w:eastAsia="Arial Unicode MS"/>
          <w:rtl w:val="0"/>
          <w:lang w:val="en-US"/>
        </w:rPr>
        <w:t xml:space="preserve"> p. 395; and Homer, </w:t>
      </w:r>
      <w:r>
        <w:rPr>
          <w:rFonts w:cs="Arial Unicode MS" w:eastAsia="Arial Unicode MS"/>
          <w:i w:val="1"/>
          <w:iCs w:val="1"/>
          <w:rtl w:val="0"/>
          <w:lang w:val="en-US"/>
        </w:rPr>
        <w:t>Odyssey,</w:t>
      </w:r>
      <w:r>
        <w:rPr>
          <w:rFonts w:cs="Arial Unicode MS" w:eastAsia="Arial Unicode MS"/>
          <w:rtl w:val="0"/>
          <w:lang w:val="en-US"/>
        </w:rPr>
        <w:t xml:space="preserve"> </w:t>
      </w:r>
      <w:r>
        <w:rPr>
          <w:rFonts w:cs="Arial Unicode MS" w:eastAsia="Arial Unicode MS"/>
          <w:rtl w:val="0"/>
        </w:rPr>
        <w:t>19.188</w:t>
      </w:r>
    </w:p>
  </w:footnote>
  <w:footnote w:id="48">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 p.</w:t>
      </w:r>
      <w:r>
        <w:rPr>
          <w:rFonts w:cs="Arial Unicode MS" w:eastAsia="Arial Unicode MS"/>
          <w:rtl w:val="0"/>
          <w:lang w:val="en-US"/>
        </w:rPr>
        <w:t xml:space="preserve"> 395</w:t>
      </w:r>
    </w:p>
  </w:footnote>
  <w:footnote w:id="49">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 p.</w:t>
      </w:r>
      <w:r>
        <w:rPr>
          <w:rFonts w:cs="Arial Unicode MS" w:eastAsia="Arial Unicode MS"/>
          <w:rtl w:val="0"/>
          <w:lang w:val="en-US"/>
        </w:rPr>
        <w:t xml:space="preserve"> 449</w:t>
      </w:r>
    </w:p>
  </w:footnote>
  <w:footnote w:id="50">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 p.</w:t>
      </w:r>
      <w:r>
        <w:rPr>
          <w:rFonts w:cs="Arial Unicode MS" w:eastAsia="Arial Unicode MS"/>
          <w:rtl w:val="0"/>
          <w:lang w:val="en-US"/>
        </w:rPr>
        <w:t xml:space="preserve"> 446</w:t>
      </w:r>
    </w:p>
  </w:footnote>
  <w:footnote w:id="51">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 p. 446</w:t>
      </w:r>
    </w:p>
  </w:footnote>
  <w:footnote w:id="52">
    <w:p>
      <w:pPr>
        <w:pStyle w:val="Footnote"/>
      </w:pPr>
      <w:r>
        <w:rPr>
          <w:vertAlign w:val="superscript"/>
        </w:rPr>
        <w:footnoteRef/>
      </w:r>
      <w:r>
        <w:rPr>
          <w:rFonts w:cs="Arial Unicode MS" w:eastAsia="Arial Unicode MS"/>
          <w:rtl w:val="0"/>
          <w:lang w:val="da-DK"/>
        </w:rPr>
        <w:t xml:space="preserve"> Thomas</w:t>
      </w:r>
      <w:r>
        <w:rPr>
          <w:rFonts w:cs="Arial Unicode MS" w:eastAsia="Arial Unicode MS"/>
          <w:rtl w:val="0"/>
          <w:lang w:val="en-US"/>
        </w:rPr>
        <w:t xml:space="preserve"> </w:t>
      </w:r>
      <w:r>
        <w:rPr>
          <w:rFonts w:cs="Arial Unicode MS" w:eastAsia="Arial Unicode MS"/>
          <w:rtl w:val="0"/>
          <w:lang w:val="en-US"/>
        </w:rPr>
        <w:t>Barrie</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Sacred Domesticities: The Ontology of Home.</w:t>
      </w:r>
      <w:r>
        <w:rPr>
          <w:rFonts w:cs="Arial Unicode MS" w:eastAsia="Arial Unicode MS"/>
          <w:rtl w:val="0"/>
          <w:lang w:val="en-US"/>
        </w:rPr>
        <w:t>'</w:t>
      </w:r>
      <w:r>
        <w:rPr>
          <w:rFonts w:cs="Arial Unicode MS" w:eastAsia="Arial Unicode MS"/>
          <w:rtl w:val="0"/>
          <w:lang w:val="en-US"/>
        </w:rPr>
        <w:t xml:space="preserve"> In </w:t>
      </w:r>
      <w:r>
        <w:rPr>
          <w:rFonts w:cs="Arial Unicode MS" w:eastAsia="Arial Unicode MS"/>
          <w:i w:val="1"/>
          <w:iCs w:val="1"/>
          <w:rtl w:val="0"/>
          <w:lang w:val="en-US"/>
        </w:rPr>
        <w:t>Architecture, Culture, and Spirituality Symposium</w:t>
      </w:r>
      <w:r>
        <w:rPr>
          <w:rFonts w:cs="Arial Unicode MS" w:eastAsia="Arial Unicode MS"/>
          <w:rtl w:val="0"/>
        </w:rPr>
        <w:t>. 2001.</w:t>
      </w:r>
      <w:r>
        <w:rPr>
          <w:rFonts w:cs="Arial Unicode MS" w:eastAsia="Arial Unicode MS"/>
          <w:rtl w:val="0"/>
          <w:lang w:val="en-US"/>
        </w:rPr>
        <w:t xml:space="preserve"> p. 65</w:t>
      </w:r>
    </w:p>
  </w:footnote>
  <w:footnote w:id="53">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 xml:space="preserve">, </w:t>
      </w:r>
      <w:r>
        <w:rPr>
          <w:rFonts w:cs="Arial Unicode MS" w:eastAsia="Arial Unicode MS"/>
          <w:rtl w:val="0"/>
          <w:lang w:val="en-US"/>
        </w:rPr>
        <w:t>p. 394</w:t>
      </w:r>
    </w:p>
  </w:footnote>
  <w:footnote w:id="54">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nl-NL"/>
        </w:rPr>
        <w:t>Flinterman. 'Apollonius', p. 244</w:t>
      </w:r>
    </w:p>
  </w:footnote>
  <w:footnote w:id="55">
    <w:p>
      <w:pPr>
        <w:pStyle w:val="Footnote"/>
      </w:pPr>
      <w:r>
        <w:rPr>
          <w:vertAlign w:val="superscript"/>
        </w:rPr>
        <w:footnoteRef/>
      </w:r>
      <w:r>
        <w:rPr>
          <w:rFonts w:cs="Arial Unicode MS" w:eastAsia="Arial Unicode MS"/>
          <w:rtl w:val="0"/>
          <w:lang w:val="pt-PT"/>
        </w:rPr>
        <w:t xml:space="preserve"> Marinatos, </w:t>
      </w:r>
      <w:r>
        <w:rPr>
          <w:rFonts w:cs="Arial Unicode MS" w:eastAsia="Arial Unicode MS" w:hint="default"/>
          <w:rtl w:val="1"/>
        </w:rPr>
        <w:t>‘</w:t>
      </w:r>
      <w:r>
        <w:rPr>
          <w:rFonts w:cs="Arial Unicode MS" w:eastAsia="Arial Unicode MS"/>
          <w:rtl w:val="0"/>
          <w:lang w:val="it-IT"/>
        </w:rPr>
        <w:t>Ritual</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141</w:t>
      </w:r>
    </w:p>
  </w:footnote>
  <w:footnote w:id="56">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w:t>
      </w:r>
      <w:r>
        <w:rPr>
          <w:rFonts w:cs="Arial Unicode MS" w:eastAsia="Arial Unicode MS"/>
          <w:rtl w:val="0"/>
          <w:lang w:val="en-US"/>
        </w:rPr>
        <w:t xml:space="preserve"> p. 394</w:t>
      </w:r>
    </w:p>
  </w:footnote>
  <w:footnote w:id="57">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 p. 39</w:t>
      </w:r>
      <w:r>
        <w:rPr>
          <w:rFonts w:cs="Arial Unicode MS" w:eastAsia="Arial Unicode MS"/>
          <w:rtl w:val="0"/>
          <w:lang w:val="en-US"/>
        </w:rPr>
        <w:t xml:space="preserve">3 </w:t>
      </w:r>
    </w:p>
  </w:footnote>
  <w:footnote w:id="58">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nl-NL"/>
        </w:rPr>
        <w:t>land, '</w:t>
      </w:r>
      <w:r>
        <w:rPr>
          <w:rFonts w:cs="Arial Unicode MS" w:eastAsia="Arial Unicode MS" w:hint="default"/>
          <w:rtl w:val="1"/>
          <w:lang w:val="ar-SA" w:bidi="ar-SA"/>
        </w:rPr>
        <w:t>“</w:t>
      </w:r>
      <w:r>
        <w:rPr>
          <w:rFonts w:cs="Arial Unicode MS" w:eastAsia="Arial Unicode MS"/>
          <w:rtl w:val="0"/>
          <w:lang w:val="da-DK"/>
        </w:rPr>
        <w:t>Take, Skamandros, My Virginity</w:t>
      </w:r>
      <w:r>
        <w:rPr>
          <w:rFonts w:cs="Arial Unicode MS" w:eastAsia="Arial Unicode MS" w:hint="default"/>
          <w:rtl w:val="0"/>
        </w:rPr>
        <w:t>”</w:t>
      </w:r>
      <w:r>
        <w:rPr>
          <w:rFonts w:cs="Arial Unicode MS" w:eastAsia="Arial Unicode MS"/>
          <w:rtl w:val="0"/>
          <w:lang w:val="en-US"/>
        </w:rPr>
        <w:t xml:space="preserve">: Ideas of Water in Connection with Rites of Passage in Greece, Modern and Ancient.' in, </w:t>
      </w:r>
      <w:r>
        <w:rPr>
          <w:rFonts w:cs="Arial Unicode MS" w:eastAsia="Arial Unicode MS"/>
          <w:i w:val="1"/>
          <w:iCs w:val="1"/>
          <w:rtl w:val="0"/>
          <w:lang w:val="en-US"/>
        </w:rPr>
        <w:t>The Nature and Function of Water, Baths, Bathing and Hygiene from Antiquity through the Renaissance</w:t>
      </w:r>
      <w:r>
        <w:rPr>
          <w:rFonts w:cs="Arial Unicode MS" w:eastAsia="Arial Unicode MS"/>
          <w:rtl w:val="0"/>
        </w:rPr>
        <w:t xml:space="preserve"> (Brill, 2009). </w:t>
      </w:r>
      <w:r>
        <w:rPr>
          <w:rFonts w:cs="Arial Unicode MS" w:eastAsia="Arial Unicode MS"/>
          <w:rtl w:val="0"/>
          <w:lang w:val="en-US"/>
        </w:rPr>
        <w:t xml:space="preserve">p. </w:t>
      </w:r>
      <w:r>
        <w:rPr>
          <w:rFonts w:cs="Arial Unicode MS" w:eastAsia="Arial Unicode MS"/>
          <w:rtl w:val="0"/>
        </w:rPr>
        <w:t>129</w:t>
      </w:r>
      <w:r>
        <w:rPr>
          <w:rFonts w:cs="Arial Unicode MS" w:eastAsia="Arial Unicode MS"/>
          <w:rtl w:val="0"/>
          <w:lang w:val="en-US"/>
        </w:rPr>
        <w:t>, 132</w:t>
      </w:r>
    </w:p>
  </w:footnote>
  <w:footnote w:id="59">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nl-NL"/>
        </w:rPr>
        <w:t>Flinterman. 'Apollonius', p. 243, 244</w:t>
      </w:r>
    </w:p>
  </w:footnote>
  <w:footnote w:id="60">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rPr>
        <w:t>land</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Rain-Making</w:t>
      </w:r>
      <w:r>
        <w:rPr>
          <w:rFonts w:cs="Arial Unicode MS" w:eastAsia="Arial Unicode MS" w:hint="default"/>
          <w:rtl w:val="0"/>
          <w:lang w:val="en-US"/>
        </w:rPr>
        <w:t>’</w:t>
      </w:r>
      <w:r>
        <w:rPr>
          <w:rFonts w:cs="Arial Unicode MS" w:eastAsia="Arial Unicode MS"/>
          <w:rtl w:val="0"/>
          <w:lang w:val="en-US"/>
        </w:rPr>
        <w:t>, p. 242</w:t>
      </w:r>
    </w:p>
  </w:footnote>
  <w:footnote w:id="61">
    <w:p>
      <w:pPr>
        <w:pStyle w:val="Footnote"/>
      </w:pPr>
      <w:r>
        <w:rPr>
          <w:vertAlign w:val="superscript"/>
        </w:rPr>
        <w:footnoteRef/>
      </w:r>
      <w:r>
        <w:rPr>
          <w:rFonts w:cs="Arial Unicode MS" w:eastAsia="Arial Unicode MS"/>
          <w:rtl w:val="0"/>
          <w:lang w:val="de-DE"/>
        </w:rPr>
        <w:t xml:space="preserve"> Pseudo-Apollodorus, </w:t>
      </w:r>
      <w:r>
        <w:rPr>
          <w:rFonts w:cs="Arial Unicode MS" w:eastAsia="Arial Unicode MS"/>
          <w:i w:val="1"/>
          <w:iCs w:val="1"/>
          <w:rtl w:val="0"/>
          <w:lang w:val="en-US"/>
        </w:rPr>
        <w:t>Bibliotheca</w:t>
      </w:r>
      <w:r>
        <w:rPr>
          <w:rFonts w:cs="Arial Unicode MS" w:eastAsia="Arial Unicode MS"/>
          <w:rtl w:val="0"/>
          <w:lang w:val="en-US"/>
        </w:rPr>
        <w:t>,</w:t>
      </w:r>
      <w:r>
        <w:rPr>
          <w:rFonts w:cs="Arial Unicode MS" w:eastAsia="Arial Unicode MS"/>
          <w:rtl w:val="0"/>
        </w:rPr>
        <w:t xml:space="preserve"> 2.26</w:t>
      </w:r>
      <w:r>
        <w:rPr>
          <w:rFonts w:cs="Arial Unicode MS" w:eastAsia="Arial Unicode MS"/>
          <w:rtl w:val="0"/>
          <w:lang w:val="en-US"/>
        </w:rPr>
        <w:t xml:space="preserve"> and 2.</w:t>
      </w:r>
      <w:r>
        <w:rPr>
          <w:rFonts w:cs="Arial Unicode MS" w:eastAsia="Arial Unicode MS"/>
          <w:rtl w:val="0"/>
          <w:lang w:val="ru-RU"/>
        </w:rPr>
        <w:t>34</w:t>
      </w:r>
    </w:p>
  </w:footnote>
  <w:footnote w:id="62">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lang w:val="nl-NL"/>
        </w:rPr>
        <w:t xml:space="preserve">land, 'Rain-Making', </w:t>
      </w:r>
      <w:r>
        <w:rPr>
          <w:rFonts w:cs="Arial Unicode MS" w:eastAsia="Arial Unicode MS"/>
          <w:rtl w:val="0"/>
          <w:lang w:val="en-US"/>
        </w:rPr>
        <w:t>p. 240</w:t>
      </w:r>
    </w:p>
  </w:footnote>
  <w:footnote w:id="63">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lang w:val="nl-NL"/>
        </w:rPr>
        <w:t xml:space="preserve">land, </w:t>
      </w:r>
      <w:r>
        <w:rPr>
          <w:rFonts w:cs="Arial Unicode MS" w:eastAsia="Arial Unicode MS" w:hint="default"/>
          <w:rtl w:val="0"/>
          <w:lang w:val="en-US"/>
        </w:rPr>
        <w:t>‘</w:t>
      </w:r>
      <w:r>
        <w:rPr>
          <w:rFonts w:cs="Arial Unicode MS" w:eastAsia="Arial Unicode MS"/>
          <w:rtl w:val="0"/>
          <w:lang w:val="nl-NL"/>
        </w:rPr>
        <w:t>Rain-Making',</w:t>
      </w:r>
      <w:r>
        <w:rPr>
          <w:rFonts w:cs="Arial Unicode MS" w:eastAsia="Arial Unicode MS"/>
          <w:rtl w:val="0"/>
          <w:lang w:val="en-US"/>
        </w:rPr>
        <w:t xml:space="preserve"> p. 206</w:t>
      </w:r>
    </w:p>
  </w:footnote>
  <w:footnote w:id="64">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rPr>
        <w:t>Minoan</w:t>
      </w:r>
      <w:r>
        <w:rPr>
          <w:rFonts w:cs="Arial Unicode MS" w:eastAsia="Arial Unicode MS" w:hint="default"/>
          <w:rtl w:val="1"/>
        </w:rPr>
        <w:t>’</w:t>
      </w:r>
      <w:r>
        <w:rPr>
          <w:rFonts w:cs="Arial Unicode MS" w:eastAsia="Arial Unicode MS"/>
          <w:rtl w:val="0"/>
        </w:rPr>
        <w:t>, p. 1434</w:t>
      </w:r>
    </w:p>
  </w:footnote>
  <w:footnote w:id="65">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i w:val="1"/>
          <w:iCs w:val="1"/>
          <w:rtl w:val="0"/>
          <w:lang w:val="it-IT"/>
        </w:rPr>
        <w:t>Religion</w:t>
      </w:r>
      <w:r>
        <w:rPr>
          <w:rFonts w:cs="Arial Unicode MS" w:eastAsia="Arial Unicode MS"/>
          <w:rtl w:val="0"/>
        </w:rPr>
        <w:t>,</w:t>
      </w:r>
      <w:r>
        <w:rPr>
          <w:rFonts w:cs="Arial Unicode MS" w:eastAsia="Arial Unicode MS"/>
          <w:rtl w:val="0"/>
          <w:lang w:val="en-US"/>
        </w:rPr>
        <w:t xml:space="preserve"> p. 365</w:t>
      </w:r>
    </w:p>
  </w:footnote>
  <w:footnote w:id="66">
    <w:p>
      <w:pPr>
        <w:pStyle w:val="Footnote"/>
      </w:pPr>
      <w:r>
        <w:rPr>
          <w:vertAlign w:val="superscript"/>
        </w:rPr>
        <w:footnoteRef/>
      </w:r>
      <w:r>
        <w:rPr>
          <w:rFonts w:cs="Arial Unicode MS" w:eastAsia="Arial Unicode MS"/>
          <w:rtl w:val="0"/>
          <w:lang w:val="de-DE"/>
        </w:rPr>
        <w:t xml:space="preserve"> Robert B. Koehl, </w:t>
      </w:r>
      <w:r>
        <w:rPr>
          <w:rFonts w:cs="Arial Unicode MS" w:eastAsia="Arial Unicode MS" w:hint="default"/>
          <w:rtl w:val="0"/>
          <w:lang w:val="en-US"/>
        </w:rPr>
        <w:t>‘</w:t>
      </w:r>
      <w:r>
        <w:rPr>
          <w:rFonts w:cs="Arial Unicode MS" w:eastAsia="Arial Unicode MS"/>
          <w:rtl w:val="0"/>
          <w:lang w:val="en-US"/>
        </w:rPr>
        <w:t xml:space="preserve">The </w:t>
      </w:r>
      <w:r>
        <w:rPr>
          <w:rFonts w:cs="Arial Unicode MS" w:eastAsia="Arial Unicode MS" w:hint="default"/>
          <w:rtl w:val="0"/>
          <w:lang w:val="en-US"/>
        </w:rPr>
        <w:t>“</w:t>
      </w:r>
      <w:r>
        <w:rPr>
          <w:rFonts w:cs="Arial Unicode MS" w:eastAsia="Arial Unicode MS"/>
          <w:rtl w:val="0"/>
          <w:lang w:val="en-US"/>
        </w:rPr>
        <w:t>Sacred Marriage</w:t>
      </w:r>
      <w:r>
        <w:rPr>
          <w:rFonts w:cs="Arial Unicode MS" w:eastAsia="Arial Unicode MS" w:hint="default"/>
          <w:rtl w:val="0"/>
          <w:lang w:val="en-US"/>
        </w:rPr>
        <w:t xml:space="preserve">” </w:t>
      </w:r>
      <w:r>
        <w:rPr>
          <w:rFonts w:cs="Arial Unicode MS" w:eastAsia="Arial Unicode MS"/>
          <w:rtl w:val="0"/>
          <w:lang w:val="en-US"/>
        </w:rPr>
        <w:t>in Minoan Religion and Ritual.</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Potnia: Deities and religion in the Aegean Bronze Age, Proceedings of the 8th International Aegean Conference</w:t>
      </w:r>
      <w:r>
        <w:rPr>
          <w:rFonts w:cs="Arial Unicode MS" w:eastAsia="Arial Unicode MS"/>
          <w:rtl w:val="0"/>
        </w:rPr>
        <w:t>, 237-43. 2001</w:t>
      </w:r>
      <w:r>
        <w:rPr>
          <w:rFonts w:cs="Arial Unicode MS" w:eastAsia="Arial Unicode MS"/>
          <w:rtl w:val="0"/>
          <w:lang w:val="en-US"/>
        </w:rPr>
        <w:t>, p. 237</w:t>
      </w:r>
    </w:p>
  </w:footnote>
  <w:footnote w:id="67">
    <w:p>
      <w:pPr>
        <w:pStyle w:val="Footnote"/>
      </w:pPr>
      <w:r>
        <w:rPr>
          <w:vertAlign w:val="superscript"/>
        </w:rPr>
        <w:footnoteRef/>
      </w:r>
      <w:r>
        <w:rPr>
          <w:rFonts w:cs="Arial Unicode MS" w:eastAsia="Arial Unicode MS"/>
          <w:rtl w:val="0"/>
          <w:lang w:val="it-IT"/>
        </w:rPr>
        <w:t xml:space="preserve"> Horace Leonard</w:t>
      </w:r>
      <w:r>
        <w:rPr>
          <w:rFonts w:cs="Arial Unicode MS" w:eastAsia="Arial Unicode MS"/>
          <w:rtl w:val="0"/>
          <w:lang w:val="en-US"/>
        </w:rPr>
        <w:t xml:space="preserve"> </w:t>
      </w:r>
      <w:r>
        <w:rPr>
          <w:rFonts w:cs="Arial Unicode MS" w:eastAsia="Arial Unicode MS"/>
          <w:rtl w:val="0"/>
          <w:lang w:val="es-ES_tradnl"/>
        </w:rPr>
        <w:t>Jones</w:t>
      </w:r>
      <w:r>
        <w:rPr>
          <w:rFonts w:cs="Arial Unicode MS" w:eastAsia="Arial Unicode MS"/>
          <w:rtl w:val="0"/>
          <w:lang w:val="en-US"/>
        </w:rPr>
        <w:t xml:space="preserve"> </w:t>
      </w:r>
      <w:r>
        <w:rPr>
          <w:rFonts w:cs="Arial Unicode MS" w:eastAsia="Arial Unicode MS"/>
          <w:rtl w:val="0"/>
          <w:lang w:val="de-DE"/>
        </w:rPr>
        <w:t xml:space="preserve">and John Robert Sitlington Sterrett, Strabo. </w:t>
      </w:r>
      <w:r>
        <w:rPr>
          <w:rFonts w:cs="Arial Unicode MS" w:eastAsia="Arial Unicode MS"/>
          <w:i w:val="1"/>
          <w:iCs w:val="1"/>
          <w:rtl w:val="0"/>
          <w:lang w:val="en-US"/>
        </w:rPr>
        <w:t>The Geography of Strabo</w:t>
      </w:r>
      <w:r>
        <w:rPr>
          <w:rFonts w:cs="Arial Unicode MS" w:eastAsia="Arial Unicode MS"/>
          <w:rtl w:val="0"/>
          <w:lang w:val="en-US"/>
        </w:rPr>
        <w:t xml:space="preserve"> (W. Heinemann; G. P. Putnam's sons: London, New York,, 1917)</w:t>
      </w:r>
      <w:r>
        <w:rPr>
          <w:rFonts w:cs="Arial Unicode MS" w:eastAsia="Arial Unicode MS"/>
          <w:rtl w:val="0"/>
          <w:lang w:val="en-US"/>
        </w:rPr>
        <w:t xml:space="preserve">, </w:t>
      </w:r>
      <w:r>
        <w:rPr>
          <w:rFonts w:cs="Arial Unicode MS" w:eastAsia="Arial Unicode MS"/>
          <w:rtl w:val="0"/>
          <w:lang w:val="nl-NL"/>
        </w:rPr>
        <w:t>Book XV. Chapter III. 17</w:t>
      </w:r>
    </w:p>
  </w:footnote>
  <w:footnote w:id="68">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nl-NL"/>
        </w:rPr>
        <w:t xml:space="preserve">land, </w:t>
      </w:r>
      <w:r>
        <w:rPr>
          <w:rFonts w:cs="Arial Unicode MS" w:eastAsia="Arial Unicode MS"/>
          <w:i w:val="1"/>
          <w:iCs w:val="1"/>
          <w:rtl w:val="0"/>
          <w:lang w:val="en-US"/>
        </w:rPr>
        <w:t>Rituals of Death and Dying in Modern and Ancient Greece: Writing History from a Female Perspective</w:t>
      </w:r>
      <w:r>
        <w:rPr>
          <w:rFonts w:cs="Arial Unicode MS" w:eastAsia="Arial Unicode MS"/>
          <w:rtl w:val="0"/>
          <w:lang w:val="en-US"/>
        </w:rPr>
        <w:t xml:space="preserve"> (Cambridge Scholars Publishing, 2014)</w:t>
      </w:r>
      <w:r>
        <w:rPr>
          <w:rFonts w:cs="Arial Unicode MS" w:eastAsia="Arial Unicode MS"/>
          <w:rtl w:val="0"/>
          <w:lang w:val="en-US"/>
        </w:rPr>
        <w:t>, p. 185</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40"/>
      </w:tabs>
    </w:pPr>
    <w:r>
      <w:rPr>
        <w:outline w:val="0"/>
        <w:color w:val="7a7a7a"/>
        <w:u w:color="7a7a7a"/>
        <w:rtl w:val="0"/>
        <w:lang w:val="en-US"/>
        <w14:textFill>
          <w14:solidFill>
            <w14:srgbClr w14:val="7A7A7A"/>
          </w14:solidFill>
        </w14:textFill>
      </w:rPr>
      <w:t>Alessandro berio 1907991</w:t>
      <w:tab/>
      <w:tab/>
    </w:r>
    <w:r>
      <w:rPr>
        <w:outline w:val="0"/>
        <w:color w:val="444444"/>
        <w:u w:color="444444"/>
        <w:rtl w:val="0"/>
        <w:lang w:val="en-US"/>
        <w14:textFill>
          <w14:solidFill>
            <w14:srgbClr w14:val="444444"/>
          </w14:solidFill>
        </w14:textFill>
      </w:rPr>
      <w:t xml:space="preserve">Page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PAGE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r>
      <w:rPr>
        <w:outline w:val="0"/>
        <w:color w:val="444444"/>
        <w:u w:color="444444"/>
        <w:rtl w:val="0"/>
        <w:lang w:val="en-US"/>
        <w14:textFill>
          <w14:solidFill>
            <w14:srgbClr w14:val="444444"/>
          </w14:solidFill>
        </w14:textFill>
      </w:rPr>
      <w:t xml:space="preserve"> of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NUMPAGES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4"/>
      <w:szCs w:val="24"/>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dc5922"/>
      <w:spacing w:val="6"/>
      <w:kern w:val="0"/>
      <w:position w:val="0"/>
      <w:sz w:val="64"/>
      <w:szCs w:val="64"/>
      <w:u w:val="none" w:color="dc5922"/>
      <w:shd w:val="nil" w:color="auto" w:fill="auto"/>
      <w:vertAlign w:val="baseline"/>
      <w14:textOutline w14:w="12700" w14:cap="flat">
        <w14:noFill/>
        <w14:miter w14:lim="400000"/>
      </w14:textOutline>
      <w14:textFill>
        <w14:solidFill>
          <w14:srgbClr w14:val="DC5922"/>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14:textFill>
        <w14:no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c432b"/>
      <w:spacing w:val="0"/>
      <w:kern w:val="0"/>
      <w:position w:val="0"/>
      <w:sz w:val="36"/>
      <w:szCs w:val="36"/>
      <w:u w:val="none" w:color="5c432b"/>
      <w:shd w:val="nil" w:color="auto" w:fill="auto"/>
      <w:vertAlign w:val="baseline"/>
      <w:lang w:val="en-US"/>
      <w14:textOutline w14:w="12700" w14:cap="flat">
        <w14:noFill/>
        <w14:miter w14:lim="400000"/>
      </w14:textOutline>
      <w14:textFill>
        <w14:solidFill>
          <w14:srgbClr w14:val="5C432B"/>
        </w14:solidFill>
      </w14:textFill>
    </w:rPr>
  </w:style>
  <w:style w:type="paragraph" w:styleId="Heading Reg">
    <w:name w:val="Heading Reg"/>
    <w:next w:val="Heading Reg"/>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32"/>
      <w:szCs w:val="32"/>
      <w:u w:val="none" w:color="7a7a7a"/>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0"/>
      <w:szCs w:val="20"/>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Image A">
    <w:name w:val="Image A"/>
    <w:next w:val="Image A"/>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Image Caption">
    <w:name w:val="Image Caption"/>
    <w:next w:val="Image Caption"/>
    <w:pPr>
      <w:keepNext w:val="0"/>
      <w:keepLines w:val="0"/>
      <w:pageBreakBefore w:val="0"/>
      <w:widowControl w:val="1"/>
      <w:shd w:val="clear" w:color="auto" w:fill="auto"/>
      <w:suppressAutoHyphens w:val="0"/>
      <w:bidi w:val="0"/>
      <w:spacing w:before="0" w:after="200" w:line="240" w:lineRule="auto"/>
      <w:ind w:left="567" w:right="567"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444444"/>
      <w:shd w:val="nil" w:color="auto" w:fill="auto"/>
      <w:vertAlign w:val="baseline"/>
      <w:lang w:val="en-US"/>
      <w14:textOutline w14:w="12700" w14:cap="flat">
        <w14:noFill/>
        <w14:miter w14:lim="400000"/>
      </w14:textOutline>
      <w14:textFill>
        <w14:solidFill>
          <w14:srgbClr w14:val="000000"/>
        </w14:solidFill>
      </w14:textFill>
    </w:rPr>
  </w:style>
  <w:style w:type="paragraph" w:styleId="Quote">
    <w:name w:val="Quote"/>
    <w:next w:val="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2.jpe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3.jpeg"/><Relationship Id="rId17" Type="http://schemas.openxmlformats.org/officeDocument/2006/relationships/image" Target="media/image11.png"/><Relationship Id="rId18" Type="http://schemas.openxmlformats.org/officeDocument/2006/relationships/image" Target="media/image1.tif"/><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notes" Target="footnotes.xml"/><Relationship Id="rId2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Helvetica Neue"/>
        <a:ea typeface="Helvetica Neue"/>
        <a:cs typeface="Helvetica Neue"/>
      </a:majorFont>
      <a:minorFont>
        <a:latin typeface="Lora Regular"/>
        <a:ea typeface="Lora Regular"/>
        <a:cs typeface="Lora Regular"/>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