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466864766"/>
        <w:docPartObj>
          <w:docPartGallery w:val="Cover Pages"/>
          <w:docPartUnique/>
        </w:docPartObj>
      </w:sdtPr>
      <w:sdtEndPr>
        <w:rPr>
          <w:rFonts w:ascii="Arial" w:hAnsi="Arial" w:cs="Arial"/>
        </w:rPr>
      </w:sdtEndPr>
      <w:sdtContent>
        <w:p w14:paraId="41CC027E" w14:textId="60CA1AA9" w:rsidR="00D8037E" w:rsidRDefault="00D11155">
          <w:r>
            <w:rPr>
              <w:rFonts w:ascii="Arial" w:hAnsi="Arial" w:cs="Arial"/>
              <w:noProof/>
            </w:rPr>
            <w:drawing>
              <wp:anchor distT="0" distB="0" distL="114300" distR="114300" simplePos="0" relativeHeight="251663360" behindDoc="0" locked="0" layoutInCell="1" allowOverlap="1" wp14:anchorId="446DA767" wp14:editId="6A0245AE">
                <wp:simplePos x="0" y="0"/>
                <wp:positionH relativeFrom="column">
                  <wp:posOffset>0</wp:posOffset>
                </wp:positionH>
                <wp:positionV relativeFrom="paragraph">
                  <wp:posOffset>0</wp:posOffset>
                </wp:positionV>
                <wp:extent cx="2619375" cy="1743075"/>
                <wp:effectExtent l="0" t="0" r="9525" b="9525"/>
                <wp:wrapThrough wrapText="bothSides">
                  <wp:wrapPolygon edited="0">
                    <wp:start x="0" y="0"/>
                    <wp:lineTo x="0" y="21482"/>
                    <wp:lineTo x="21521" y="21482"/>
                    <wp:lineTo x="21521" y="0"/>
                    <wp:lineTo x="0" y="0"/>
                  </wp:wrapPolygon>
                </wp:wrapThrough>
                <wp:docPr id="423220436" name="Picture 1" descr="A logo with text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220436" name="Picture 1" descr="A logo with text and black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619375" cy="1743075"/>
                        </a:xfrm>
                        <a:prstGeom prst="rect">
                          <a:avLst/>
                        </a:prstGeom>
                      </pic:spPr>
                    </pic:pic>
                  </a:graphicData>
                </a:graphic>
              </wp:anchor>
            </w:drawing>
          </w:r>
          <w:r w:rsidR="00D8037E">
            <w:rPr>
              <w:noProof/>
            </w:rPr>
            <mc:AlternateContent>
              <mc:Choice Requires="wpg">
                <w:drawing>
                  <wp:anchor distT="0" distB="0" distL="114300" distR="114300" simplePos="0" relativeHeight="251662336" behindDoc="0" locked="0" layoutInCell="1" allowOverlap="1" wp14:anchorId="4A887ADB" wp14:editId="70DE10A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80B95E6"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00D8037E">
            <w:rPr>
              <w:noProof/>
            </w:rPr>
            <mc:AlternateContent>
              <mc:Choice Requires="wps">
                <w:drawing>
                  <wp:anchor distT="0" distB="0" distL="114300" distR="114300" simplePos="0" relativeHeight="251660288" behindDoc="0" locked="0" layoutInCell="1" allowOverlap="1" wp14:anchorId="1231C27E" wp14:editId="19FF1DF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720AAFE" w14:textId="4E605984" w:rsidR="00D8037E" w:rsidRDefault="00372EFE">
                                    <w:pPr>
                                      <w:pStyle w:val="NoSpacing"/>
                                      <w:jc w:val="right"/>
                                      <w:rPr>
                                        <w:color w:val="595959" w:themeColor="text1" w:themeTint="A6"/>
                                        <w:sz w:val="28"/>
                                        <w:szCs w:val="28"/>
                                      </w:rPr>
                                    </w:pPr>
                                    <w:r>
                                      <w:rPr>
                                        <w:color w:val="595959" w:themeColor="text1" w:themeTint="A6"/>
                                        <w:sz w:val="28"/>
                                        <w:szCs w:val="28"/>
                                      </w:rPr>
                                      <w:t xml:space="preserve">Velislava </w:t>
                                    </w:r>
                                    <w:proofErr w:type="spellStart"/>
                                    <w:r>
                                      <w:rPr>
                                        <w:color w:val="595959" w:themeColor="text1" w:themeTint="A6"/>
                                        <w:sz w:val="28"/>
                                        <w:szCs w:val="28"/>
                                      </w:rPr>
                                      <w:t>Stoycheva</w:t>
                                    </w:r>
                                    <w:proofErr w:type="spellEnd"/>
                                    <w:r>
                                      <w:rPr>
                                        <w:color w:val="595959" w:themeColor="text1" w:themeTint="A6"/>
                                        <w:sz w:val="28"/>
                                        <w:szCs w:val="28"/>
                                      </w:rPr>
                                      <w:t xml:space="preserve"> Hristova</w:t>
                                    </w:r>
                                  </w:p>
                                </w:sdtContent>
                              </w:sdt>
                              <w:p w14:paraId="0B4C841B" w14:textId="5D9F5D4D" w:rsidR="00D8037E" w:rsidRDefault="00D8037E" w:rsidP="00372EFE">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372EFE">
                                      <w:rPr>
                                        <w:color w:val="595959" w:themeColor="text1" w:themeTint="A6"/>
                                        <w:sz w:val="18"/>
                                        <w:szCs w:val="18"/>
                                      </w:rPr>
                                      <w:t xml:space="preserve">     </w:t>
                                    </w:r>
                                  </w:sdtContent>
                                </w:sdt>
                                <w:r w:rsidR="00372EFE" w:rsidRPr="00372EFE">
                                  <w:rPr>
                                    <w:rFonts w:ascii="Segoe UI Variable Text" w:eastAsiaTheme="minorHAnsi" w:hAnsi="Segoe UI Variable Text"/>
                                    <w:color w:val="323130"/>
                                    <w:kern w:val="2"/>
                                    <w:sz w:val="21"/>
                                    <w:szCs w:val="21"/>
                                    <w:shd w:val="clear" w:color="auto" w:fill="FFFFFF"/>
                                    <w:lang w:val="en-GB"/>
                                    <w14:ligatures w14:val="standardContextual"/>
                                  </w:rPr>
                                  <w:t xml:space="preserve"> </w:t>
                                </w:r>
                                <w:r w:rsidR="00372EFE">
                                  <w:rPr>
                                    <w:rFonts w:ascii="Segoe UI Variable Text" w:eastAsiaTheme="minorHAnsi" w:hAnsi="Segoe UI Variable Text"/>
                                    <w:color w:val="323130"/>
                                    <w:kern w:val="2"/>
                                    <w:sz w:val="21"/>
                                    <w:szCs w:val="21"/>
                                    <w:shd w:val="clear" w:color="auto" w:fill="FFFFFF"/>
                                    <w:lang w:val="en-GB"/>
                                    <w14:ligatures w14:val="standardContextual"/>
                                  </w:rPr>
                                  <w:t xml:space="preserve">                                                                                     </w:t>
                                </w:r>
                                <w:r w:rsidR="00372EFE" w:rsidRPr="00372EFE">
                                  <w:rPr>
                                    <w:color w:val="595959" w:themeColor="text1" w:themeTint="A6"/>
                                    <w:sz w:val="24"/>
                                    <w:szCs w:val="24"/>
                                    <w:lang w:val="en-GB"/>
                                  </w:rPr>
                                  <w:t>2233502</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231C27E"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720AAFE" w14:textId="4E605984" w:rsidR="00D8037E" w:rsidRDefault="00372EFE">
                              <w:pPr>
                                <w:pStyle w:val="NoSpacing"/>
                                <w:jc w:val="right"/>
                                <w:rPr>
                                  <w:color w:val="595959" w:themeColor="text1" w:themeTint="A6"/>
                                  <w:sz w:val="28"/>
                                  <w:szCs w:val="28"/>
                                </w:rPr>
                              </w:pPr>
                              <w:r>
                                <w:rPr>
                                  <w:color w:val="595959" w:themeColor="text1" w:themeTint="A6"/>
                                  <w:sz w:val="28"/>
                                  <w:szCs w:val="28"/>
                                </w:rPr>
                                <w:t xml:space="preserve">Velislava </w:t>
                              </w:r>
                              <w:proofErr w:type="spellStart"/>
                              <w:r>
                                <w:rPr>
                                  <w:color w:val="595959" w:themeColor="text1" w:themeTint="A6"/>
                                  <w:sz w:val="28"/>
                                  <w:szCs w:val="28"/>
                                </w:rPr>
                                <w:t>Stoycheva</w:t>
                              </w:r>
                              <w:proofErr w:type="spellEnd"/>
                              <w:r>
                                <w:rPr>
                                  <w:color w:val="595959" w:themeColor="text1" w:themeTint="A6"/>
                                  <w:sz w:val="28"/>
                                  <w:szCs w:val="28"/>
                                </w:rPr>
                                <w:t xml:space="preserve"> Hristova</w:t>
                              </w:r>
                            </w:p>
                          </w:sdtContent>
                        </w:sdt>
                        <w:p w14:paraId="0B4C841B" w14:textId="5D9F5D4D" w:rsidR="00D8037E" w:rsidRDefault="00D8037E" w:rsidP="00372EFE">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372EFE">
                                <w:rPr>
                                  <w:color w:val="595959" w:themeColor="text1" w:themeTint="A6"/>
                                  <w:sz w:val="18"/>
                                  <w:szCs w:val="18"/>
                                </w:rPr>
                                <w:t xml:space="preserve">     </w:t>
                              </w:r>
                            </w:sdtContent>
                          </w:sdt>
                          <w:r w:rsidR="00372EFE" w:rsidRPr="00372EFE">
                            <w:rPr>
                              <w:rFonts w:ascii="Segoe UI Variable Text" w:eastAsiaTheme="minorHAnsi" w:hAnsi="Segoe UI Variable Text"/>
                              <w:color w:val="323130"/>
                              <w:kern w:val="2"/>
                              <w:sz w:val="21"/>
                              <w:szCs w:val="21"/>
                              <w:shd w:val="clear" w:color="auto" w:fill="FFFFFF"/>
                              <w:lang w:val="en-GB"/>
                              <w14:ligatures w14:val="standardContextual"/>
                            </w:rPr>
                            <w:t xml:space="preserve"> </w:t>
                          </w:r>
                          <w:r w:rsidR="00372EFE">
                            <w:rPr>
                              <w:rFonts w:ascii="Segoe UI Variable Text" w:eastAsiaTheme="minorHAnsi" w:hAnsi="Segoe UI Variable Text"/>
                              <w:color w:val="323130"/>
                              <w:kern w:val="2"/>
                              <w:sz w:val="21"/>
                              <w:szCs w:val="21"/>
                              <w:shd w:val="clear" w:color="auto" w:fill="FFFFFF"/>
                              <w:lang w:val="en-GB"/>
                              <w14:ligatures w14:val="standardContextual"/>
                            </w:rPr>
                            <w:t xml:space="preserve">                                                                                     </w:t>
                          </w:r>
                          <w:r w:rsidR="00372EFE" w:rsidRPr="00372EFE">
                            <w:rPr>
                              <w:color w:val="595959" w:themeColor="text1" w:themeTint="A6"/>
                              <w:sz w:val="24"/>
                              <w:szCs w:val="24"/>
                              <w:lang w:val="en-GB"/>
                            </w:rPr>
                            <w:t>2233502</w:t>
                          </w:r>
                        </w:p>
                      </w:txbxContent>
                    </v:textbox>
                    <w10:wrap type="square" anchorx="page" anchory="page"/>
                  </v:shape>
                </w:pict>
              </mc:Fallback>
            </mc:AlternateContent>
          </w:r>
          <w:r w:rsidR="00D8037E">
            <w:rPr>
              <w:noProof/>
            </w:rPr>
            <mc:AlternateContent>
              <mc:Choice Requires="wps">
                <w:drawing>
                  <wp:anchor distT="0" distB="0" distL="114300" distR="114300" simplePos="0" relativeHeight="251661312" behindDoc="0" locked="0" layoutInCell="1" allowOverlap="1" wp14:anchorId="6B2C4292" wp14:editId="1C02D8B2">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DB3708" w14:textId="36CF800F" w:rsidR="00D8037E" w:rsidRDefault="006F5712">
                                <w:pPr>
                                  <w:pStyle w:val="NoSpacing"/>
                                  <w:jc w:val="right"/>
                                  <w:rPr>
                                    <w:color w:val="156082" w:themeColor="accent1"/>
                                    <w:sz w:val="28"/>
                                    <w:szCs w:val="28"/>
                                    <w:lang w:val="en-GB"/>
                                  </w:rPr>
                                </w:pPr>
                                <w:r>
                                  <w:rPr>
                                    <w:color w:val="156082" w:themeColor="accent1"/>
                                    <w:sz w:val="28"/>
                                    <w:szCs w:val="28"/>
                                  </w:rPr>
                                  <w:t>Module:</w:t>
                                </w:r>
                                <w:r w:rsidR="00372EFE">
                                  <w:rPr>
                                    <w:color w:val="156082" w:themeColor="accent1"/>
                                    <w:sz w:val="28"/>
                                    <w:szCs w:val="28"/>
                                  </w:rPr>
                                  <w:t xml:space="preserve"> </w:t>
                                </w:r>
                                <w:r w:rsidR="00D11155" w:rsidRPr="00D11155">
                                  <w:rPr>
                                    <w:color w:val="156082" w:themeColor="accent1"/>
                                    <w:sz w:val="28"/>
                                    <w:szCs w:val="28"/>
                                    <w:lang w:val="en-GB"/>
                                  </w:rPr>
                                  <w:t>Management &amp; Organisational Behaviour</w:t>
                                </w:r>
                              </w:p>
                              <w:p w14:paraId="738CA208" w14:textId="79585455" w:rsidR="00D11155" w:rsidRDefault="00D11155">
                                <w:pPr>
                                  <w:pStyle w:val="NoSpacing"/>
                                  <w:jc w:val="right"/>
                                  <w:rPr>
                                    <w:color w:val="156082" w:themeColor="accent1"/>
                                    <w:sz w:val="28"/>
                                    <w:szCs w:val="28"/>
                                    <w:lang w:val="en-GB"/>
                                  </w:rPr>
                                </w:pPr>
                                <w:r w:rsidRPr="00D11155">
                                  <w:rPr>
                                    <w:color w:val="156082" w:themeColor="accent1"/>
                                    <w:sz w:val="28"/>
                                    <w:szCs w:val="28"/>
                                    <w:lang w:val="en-GB"/>
                                  </w:rPr>
                                  <w:t>Module code: BMIH5004</w:t>
                                </w:r>
                              </w:p>
                              <w:p w14:paraId="4B1EBAB8" w14:textId="71434120" w:rsidR="00D11155" w:rsidRDefault="00D11155">
                                <w:pPr>
                                  <w:pStyle w:val="NoSpacing"/>
                                  <w:jc w:val="right"/>
                                  <w:rPr>
                                    <w:color w:val="156082" w:themeColor="accent1"/>
                                    <w:sz w:val="28"/>
                                    <w:szCs w:val="28"/>
                                    <w:lang w:val="en-GB"/>
                                  </w:rPr>
                                </w:pPr>
                                <w:r>
                                  <w:rPr>
                                    <w:color w:val="156082" w:themeColor="accent1"/>
                                    <w:sz w:val="28"/>
                                    <w:szCs w:val="28"/>
                                    <w:lang w:val="en-GB"/>
                                  </w:rPr>
                                  <w:t>Module Lecturer:</w:t>
                                </w:r>
                                <w:r w:rsidRPr="00D11155">
                                  <w:rPr>
                                    <w:rFonts w:eastAsiaTheme="minorHAnsi"/>
                                    <w:kern w:val="2"/>
                                    <w:sz w:val="24"/>
                                    <w:szCs w:val="24"/>
                                    <w:lang w:val="en-GB"/>
                                    <w14:ligatures w14:val="standardContextual"/>
                                  </w:rPr>
                                  <w:t xml:space="preserve"> </w:t>
                                </w:r>
                                <w:r w:rsidRPr="00D11155">
                                  <w:rPr>
                                    <w:color w:val="156082" w:themeColor="accent1"/>
                                    <w:sz w:val="28"/>
                                    <w:szCs w:val="28"/>
                                    <w:lang w:val="en-GB"/>
                                  </w:rPr>
                                  <w:t>Lola Villard</w:t>
                                </w:r>
                                <w:r>
                                  <w:rPr>
                                    <w:color w:val="156082" w:themeColor="accent1"/>
                                    <w:sz w:val="28"/>
                                    <w:szCs w:val="28"/>
                                    <w:lang w:val="en-GB"/>
                                  </w:rPr>
                                  <w:t xml:space="preserve"> </w:t>
                                </w:r>
                                <w:r w:rsidRPr="00D11155">
                                  <w:rPr>
                                    <w:color w:val="156082" w:themeColor="accent1"/>
                                    <w:sz w:val="28"/>
                                    <w:szCs w:val="28"/>
                                    <w:lang w:val="en-GB"/>
                                  </w:rPr>
                                  <w:t>Coles</w:t>
                                </w:r>
                              </w:p>
                              <w:p w14:paraId="287DCC52" w14:textId="0C8F51D6" w:rsidR="00D11155" w:rsidRDefault="00D11155">
                                <w:pPr>
                                  <w:pStyle w:val="NoSpacing"/>
                                  <w:jc w:val="right"/>
                                  <w:rPr>
                                    <w:color w:val="156082" w:themeColor="accent1"/>
                                    <w:sz w:val="28"/>
                                    <w:szCs w:val="28"/>
                                  </w:rPr>
                                </w:pPr>
                                <w:r>
                                  <w:rPr>
                                    <w:color w:val="156082" w:themeColor="accent1"/>
                                    <w:sz w:val="28"/>
                                    <w:szCs w:val="28"/>
                                    <w:lang w:val="en-GB"/>
                                  </w:rPr>
                                  <w:t>Date:</w:t>
                                </w:r>
                                <w:r w:rsidRPr="00D11155">
                                  <w:rPr>
                                    <w:rFonts w:eastAsiaTheme="minorHAnsi"/>
                                    <w:kern w:val="2"/>
                                    <w:sz w:val="24"/>
                                    <w:szCs w:val="24"/>
                                    <w:lang w:val="en-GB"/>
                                    <w14:ligatures w14:val="standardContextual"/>
                                  </w:rPr>
                                  <w:t xml:space="preserve"> </w:t>
                                </w:r>
                                <w:r w:rsidRPr="00D11155">
                                  <w:rPr>
                                    <w:color w:val="156082" w:themeColor="accent1"/>
                                    <w:sz w:val="28"/>
                                    <w:szCs w:val="28"/>
                                    <w:lang w:val="en-GB"/>
                                  </w:rPr>
                                  <w:t>8</w:t>
                                </w:r>
                                <w:r>
                                  <w:rPr>
                                    <w:color w:val="156082" w:themeColor="accent1"/>
                                    <w:sz w:val="28"/>
                                    <w:szCs w:val="28"/>
                                    <w:lang w:val="en-GB"/>
                                  </w:rPr>
                                  <w:t>/11/</w:t>
                                </w:r>
                                <w:r w:rsidRPr="00D11155">
                                  <w:rPr>
                                    <w:color w:val="156082" w:themeColor="accent1"/>
                                    <w:sz w:val="28"/>
                                    <w:szCs w:val="28"/>
                                    <w:lang w:val="en-GB"/>
                                  </w:rPr>
                                  <w:t>2024</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4BDAF3E4" w14:textId="66489280" w:rsidR="00D8037E" w:rsidRDefault="00372EFE">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B2C4292"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43DB3708" w14:textId="36CF800F" w:rsidR="00D8037E" w:rsidRDefault="006F5712">
                          <w:pPr>
                            <w:pStyle w:val="NoSpacing"/>
                            <w:jc w:val="right"/>
                            <w:rPr>
                              <w:color w:val="156082" w:themeColor="accent1"/>
                              <w:sz w:val="28"/>
                              <w:szCs w:val="28"/>
                              <w:lang w:val="en-GB"/>
                            </w:rPr>
                          </w:pPr>
                          <w:r>
                            <w:rPr>
                              <w:color w:val="156082" w:themeColor="accent1"/>
                              <w:sz w:val="28"/>
                              <w:szCs w:val="28"/>
                            </w:rPr>
                            <w:t>Module:</w:t>
                          </w:r>
                          <w:r w:rsidR="00372EFE">
                            <w:rPr>
                              <w:color w:val="156082" w:themeColor="accent1"/>
                              <w:sz w:val="28"/>
                              <w:szCs w:val="28"/>
                            </w:rPr>
                            <w:t xml:space="preserve"> </w:t>
                          </w:r>
                          <w:r w:rsidR="00D11155" w:rsidRPr="00D11155">
                            <w:rPr>
                              <w:color w:val="156082" w:themeColor="accent1"/>
                              <w:sz w:val="28"/>
                              <w:szCs w:val="28"/>
                              <w:lang w:val="en-GB"/>
                            </w:rPr>
                            <w:t>Management &amp; Organisational Behaviour</w:t>
                          </w:r>
                        </w:p>
                        <w:p w14:paraId="738CA208" w14:textId="79585455" w:rsidR="00D11155" w:rsidRDefault="00D11155">
                          <w:pPr>
                            <w:pStyle w:val="NoSpacing"/>
                            <w:jc w:val="right"/>
                            <w:rPr>
                              <w:color w:val="156082" w:themeColor="accent1"/>
                              <w:sz w:val="28"/>
                              <w:szCs w:val="28"/>
                              <w:lang w:val="en-GB"/>
                            </w:rPr>
                          </w:pPr>
                          <w:r w:rsidRPr="00D11155">
                            <w:rPr>
                              <w:color w:val="156082" w:themeColor="accent1"/>
                              <w:sz w:val="28"/>
                              <w:szCs w:val="28"/>
                              <w:lang w:val="en-GB"/>
                            </w:rPr>
                            <w:t>Module code: BMIH5004</w:t>
                          </w:r>
                        </w:p>
                        <w:p w14:paraId="4B1EBAB8" w14:textId="71434120" w:rsidR="00D11155" w:rsidRDefault="00D11155">
                          <w:pPr>
                            <w:pStyle w:val="NoSpacing"/>
                            <w:jc w:val="right"/>
                            <w:rPr>
                              <w:color w:val="156082" w:themeColor="accent1"/>
                              <w:sz w:val="28"/>
                              <w:szCs w:val="28"/>
                              <w:lang w:val="en-GB"/>
                            </w:rPr>
                          </w:pPr>
                          <w:r>
                            <w:rPr>
                              <w:color w:val="156082" w:themeColor="accent1"/>
                              <w:sz w:val="28"/>
                              <w:szCs w:val="28"/>
                              <w:lang w:val="en-GB"/>
                            </w:rPr>
                            <w:t>Module Lecturer:</w:t>
                          </w:r>
                          <w:r w:rsidRPr="00D11155">
                            <w:rPr>
                              <w:rFonts w:eastAsiaTheme="minorHAnsi"/>
                              <w:kern w:val="2"/>
                              <w:sz w:val="24"/>
                              <w:szCs w:val="24"/>
                              <w:lang w:val="en-GB"/>
                              <w14:ligatures w14:val="standardContextual"/>
                            </w:rPr>
                            <w:t xml:space="preserve"> </w:t>
                          </w:r>
                          <w:r w:rsidRPr="00D11155">
                            <w:rPr>
                              <w:color w:val="156082" w:themeColor="accent1"/>
                              <w:sz w:val="28"/>
                              <w:szCs w:val="28"/>
                              <w:lang w:val="en-GB"/>
                            </w:rPr>
                            <w:t>Lola Villard</w:t>
                          </w:r>
                          <w:r>
                            <w:rPr>
                              <w:color w:val="156082" w:themeColor="accent1"/>
                              <w:sz w:val="28"/>
                              <w:szCs w:val="28"/>
                              <w:lang w:val="en-GB"/>
                            </w:rPr>
                            <w:t xml:space="preserve"> </w:t>
                          </w:r>
                          <w:r w:rsidRPr="00D11155">
                            <w:rPr>
                              <w:color w:val="156082" w:themeColor="accent1"/>
                              <w:sz w:val="28"/>
                              <w:szCs w:val="28"/>
                              <w:lang w:val="en-GB"/>
                            </w:rPr>
                            <w:t>Coles</w:t>
                          </w:r>
                        </w:p>
                        <w:p w14:paraId="287DCC52" w14:textId="0C8F51D6" w:rsidR="00D11155" w:rsidRDefault="00D11155">
                          <w:pPr>
                            <w:pStyle w:val="NoSpacing"/>
                            <w:jc w:val="right"/>
                            <w:rPr>
                              <w:color w:val="156082" w:themeColor="accent1"/>
                              <w:sz w:val="28"/>
                              <w:szCs w:val="28"/>
                            </w:rPr>
                          </w:pPr>
                          <w:r>
                            <w:rPr>
                              <w:color w:val="156082" w:themeColor="accent1"/>
                              <w:sz w:val="28"/>
                              <w:szCs w:val="28"/>
                              <w:lang w:val="en-GB"/>
                            </w:rPr>
                            <w:t>Date:</w:t>
                          </w:r>
                          <w:r w:rsidRPr="00D11155">
                            <w:rPr>
                              <w:rFonts w:eastAsiaTheme="minorHAnsi"/>
                              <w:kern w:val="2"/>
                              <w:sz w:val="24"/>
                              <w:szCs w:val="24"/>
                              <w:lang w:val="en-GB"/>
                              <w14:ligatures w14:val="standardContextual"/>
                            </w:rPr>
                            <w:t xml:space="preserve"> </w:t>
                          </w:r>
                          <w:r w:rsidRPr="00D11155">
                            <w:rPr>
                              <w:color w:val="156082" w:themeColor="accent1"/>
                              <w:sz w:val="28"/>
                              <w:szCs w:val="28"/>
                              <w:lang w:val="en-GB"/>
                            </w:rPr>
                            <w:t>8</w:t>
                          </w:r>
                          <w:r>
                            <w:rPr>
                              <w:color w:val="156082" w:themeColor="accent1"/>
                              <w:sz w:val="28"/>
                              <w:szCs w:val="28"/>
                              <w:lang w:val="en-GB"/>
                            </w:rPr>
                            <w:t>/11/</w:t>
                          </w:r>
                          <w:r w:rsidRPr="00D11155">
                            <w:rPr>
                              <w:color w:val="156082" w:themeColor="accent1"/>
                              <w:sz w:val="28"/>
                              <w:szCs w:val="28"/>
                              <w:lang w:val="en-GB"/>
                            </w:rPr>
                            <w:t>2024</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4BDAF3E4" w14:textId="66489280" w:rsidR="00D8037E" w:rsidRDefault="00372EFE">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sidR="00D8037E">
            <w:rPr>
              <w:noProof/>
            </w:rPr>
            <mc:AlternateContent>
              <mc:Choice Requires="wps">
                <w:drawing>
                  <wp:anchor distT="0" distB="0" distL="114300" distR="114300" simplePos="0" relativeHeight="251659264" behindDoc="0" locked="0" layoutInCell="1" allowOverlap="1" wp14:anchorId="343FEFAB" wp14:editId="13DA462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2307CF" w14:textId="36A747F2" w:rsidR="00D8037E" w:rsidRDefault="00372EFE">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372EFE">
                                      <w:rPr>
                                        <w:caps/>
                                        <w:color w:val="156082" w:themeColor="accent1"/>
                                        <w:sz w:val="64"/>
                                        <w:szCs w:val="64"/>
                                      </w:rPr>
                                      <w:t>Hyatt Hotels Corporation - Analysis of Structure, Culture, Goals, and Strategic Direction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BEF9499" w14:textId="62419A53" w:rsidR="00D8037E" w:rsidRDefault="007C22A4">
                                    <w:pPr>
                                      <w:jc w:val="right"/>
                                      <w:rPr>
                                        <w:smallCaps/>
                                        <w:color w:val="404040" w:themeColor="text1" w:themeTint="BF"/>
                                        <w:sz w:val="36"/>
                                        <w:szCs w:val="36"/>
                                      </w:rPr>
                                    </w:pPr>
                                    <w:r>
                                      <w:rPr>
                                        <w:color w:val="404040" w:themeColor="text1" w:themeTint="BF"/>
                                        <w:sz w:val="36"/>
                                        <w:szCs w:val="36"/>
                                      </w:rPr>
                                      <w:t>Organisational Report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43FEFAB"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752307CF" w14:textId="36A747F2" w:rsidR="00D8037E" w:rsidRDefault="00372EFE">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372EFE">
                                <w:rPr>
                                  <w:caps/>
                                  <w:color w:val="156082" w:themeColor="accent1"/>
                                  <w:sz w:val="64"/>
                                  <w:szCs w:val="64"/>
                                </w:rPr>
                                <w:t>Hyatt Hotels Corporation - Analysis of Structure, Culture, Goals, and Strategic Direction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BEF9499" w14:textId="62419A53" w:rsidR="00D8037E" w:rsidRDefault="007C22A4">
                              <w:pPr>
                                <w:jc w:val="right"/>
                                <w:rPr>
                                  <w:smallCaps/>
                                  <w:color w:val="404040" w:themeColor="text1" w:themeTint="BF"/>
                                  <w:sz w:val="36"/>
                                  <w:szCs w:val="36"/>
                                </w:rPr>
                              </w:pPr>
                              <w:r>
                                <w:rPr>
                                  <w:color w:val="404040" w:themeColor="text1" w:themeTint="BF"/>
                                  <w:sz w:val="36"/>
                                  <w:szCs w:val="36"/>
                                </w:rPr>
                                <w:t>Organisational Report</w:t>
                              </w:r>
                            </w:p>
                          </w:sdtContent>
                        </w:sdt>
                      </w:txbxContent>
                    </v:textbox>
                    <w10:wrap type="square" anchorx="page" anchory="page"/>
                  </v:shape>
                </w:pict>
              </mc:Fallback>
            </mc:AlternateContent>
          </w:r>
        </w:p>
        <w:p w14:paraId="36B1DF87" w14:textId="060EAE00" w:rsidR="00D8037E" w:rsidRDefault="00D8037E">
          <w:pPr>
            <w:rPr>
              <w:rFonts w:ascii="Arial" w:hAnsi="Arial" w:cs="Arial"/>
            </w:rPr>
          </w:pPr>
          <w:r>
            <w:rPr>
              <w:rFonts w:ascii="Arial" w:hAnsi="Arial" w:cs="Arial"/>
            </w:rPr>
            <w:br w:type="page"/>
          </w:r>
        </w:p>
      </w:sdtContent>
    </w:sdt>
    <w:p w14:paraId="31690C9D" w14:textId="43BB54C3" w:rsidR="000A7B1B" w:rsidRPr="00D8779D" w:rsidRDefault="00D8779D" w:rsidP="00D8779D">
      <w:pPr>
        <w:spacing w:line="360" w:lineRule="auto"/>
        <w:jc w:val="both"/>
        <w:rPr>
          <w:rFonts w:ascii="Arial" w:hAnsi="Arial" w:cs="Arial"/>
          <w:b/>
          <w:bCs/>
        </w:rPr>
      </w:pPr>
      <w:r w:rsidRPr="00D8779D">
        <w:rPr>
          <w:rFonts w:ascii="Arial" w:hAnsi="Arial" w:cs="Arial"/>
          <w:b/>
          <w:bCs/>
        </w:rPr>
        <w:lastRenderedPageBreak/>
        <w:t>Executive Summary</w:t>
      </w:r>
    </w:p>
    <w:p w14:paraId="7040EC9E" w14:textId="77777777" w:rsidR="00D8779D" w:rsidRPr="00D8779D" w:rsidRDefault="00D8779D" w:rsidP="00D8779D">
      <w:pPr>
        <w:spacing w:line="360" w:lineRule="auto"/>
        <w:jc w:val="both"/>
        <w:rPr>
          <w:rFonts w:ascii="Arial" w:hAnsi="Arial" w:cs="Arial"/>
        </w:rPr>
      </w:pPr>
      <w:r w:rsidRPr="00D8779D">
        <w:rPr>
          <w:rFonts w:ascii="Arial" w:hAnsi="Arial" w:cs="Arial"/>
        </w:rPr>
        <w:t>This report provides a comprehensive analysis of Hyatt Hotels Corporation, evaluating its organizational structure, culture, goals, recent change initiatives, and strategic direction. It critically assesses the company's corporate and individual hotel-level performance through relevant management theories and industry frameworks. Key findings highlight Hyatt's strong focus on sustainability, growth through acquisitions, and emphasis on employee well-being. Recent initiatives, such as the acquisition of Apple Leisure Group and sustainability programs, are discussed, along with the impact on operational efficiency and brand positioning. The report concludes with recommendations for Hyatt to further enhance its strategic goals, such as leveraging technology for personalized guest experiences and expanding sustainable practices. The strategic recommendations aim to improve Hyatt's competitive position in the global hospitality industry and foster long-term success.</w:t>
      </w:r>
    </w:p>
    <w:p w14:paraId="3E677622" w14:textId="7DE77CDC" w:rsidR="008D2A54" w:rsidRDefault="008D2A54" w:rsidP="00D8037E">
      <w:pPr>
        <w:spacing w:line="360" w:lineRule="auto"/>
        <w:jc w:val="both"/>
        <w:rPr>
          <w:rFonts w:ascii="Arial" w:hAnsi="Arial" w:cs="Arial"/>
        </w:rPr>
      </w:pPr>
    </w:p>
    <w:p w14:paraId="34AE0F37" w14:textId="77777777" w:rsidR="008D2A54" w:rsidRDefault="008D2A54">
      <w:pPr>
        <w:rPr>
          <w:rFonts w:ascii="Arial" w:hAnsi="Arial" w:cs="Arial"/>
        </w:rPr>
      </w:pPr>
      <w:r>
        <w:rPr>
          <w:rFonts w:ascii="Arial" w:hAnsi="Arial" w:cs="Arial"/>
        </w:rPr>
        <w:br w:type="page"/>
      </w:r>
    </w:p>
    <w:p w14:paraId="1093AF53" w14:textId="04AFA54B" w:rsidR="000A7B1B" w:rsidRPr="008D2A54" w:rsidRDefault="008D2A54" w:rsidP="008D2A54">
      <w:pPr>
        <w:spacing w:line="360" w:lineRule="auto"/>
        <w:jc w:val="both"/>
        <w:rPr>
          <w:rFonts w:ascii="Arial" w:hAnsi="Arial" w:cs="Arial"/>
          <w:b/>
          <w:bCs/>
        </w:rPr>
      </w:pPr>
      <w:r w:rsidRPr="008D2A54">
        <w:rPr>
          <w:rFonts w:ascii="Arial" w:hAnsi="Arial" w:cs="Arial"/>
          <w:b/>
          <w:bCs/>
        </w:rPr>
        <w:lastRenderedPageBreak/>
        <w:t>Table of Contents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611"/>
        <w:gridCol w:w="342"/>
      </w:tblGrid>
      <w:tr w:rsidR="008D2A54" w:rsidRPr="008D2A54" w14:paraId="55A7F420" w14:textId="77777777" w:rsidTr="008D2A54">
        <w:trPr>
          <w:tblCellSpacing w:w="15" w:type="dxa"/>
        </w:trPr>
        <w:tc>
          <w:tcPr>
            <w:tcW w:w="0" w:type="auto"/>
            <w:vAlign w:val="center"/>
            <w:hideMark/>
          </w:tcPr>
          <w:p w14:paraId="6B6F5D17" w14:textId="77777777" w:rsidR="008D2A54" w:rsidRPr="008D2A54" w:rsidRDefault="008D2A54" w:rsidP="008D2A54">
            <w:pPr>
              <w:spacing w:line="360" w:lineRule="auto"/>
              <w:jc w:val="both"/>
              <w:rPr>
                <w:rFonts w:ascii="Arial" w:hAnsi="Arial" w:cs="Arial"/>
              </w:rPr>
            </w:pPr>
            <w:r w:rsidRPr="008D2A54">
              <w:rPr>
                <w:rFonts w:ascii="Arial" w:hAnsi="Arial" w:cs="Arial"/>
              </w:rPr>
              <w:t>Executive Summary</w:t>
            </w:r>
          </w:p>
        </w:tc>
        <w:tc>
          <w:tcPr>
            <w:tcW w:w="0" w:type="auto"/>
            <w:vAlign w:val="center"/>
            <w:hideMark/>
          </w:tcPr>
          <w:p w14:paraId="2A53386A" w14:textId="77777777" w:rsidR="008D2A54" w:rsidRPr="008D2A54" w:rsidRDefault="008D2A54" w:rsidP="008D2A54">
            <w:pPr>
              <w:spacing w:line="360" w:lineRule="auto"/>
              <w:jc w:val="both"/>
              <w:rPr>
                <w:rFonts w:ascii="Arial" w:hAnsi="Arial" w:cs="Arial"/>
              </w:rPr>
            </w:pPr>
            <w:r w:rsidRPr="008D2A54">
              <w:rPr>
                <w:rFonts w:ascii="Arial" w:hAnsi="Arial" w:cs="Arial"/>
              </w:rPr>
              <w:t>1</w:t>
            </w:r>
          </w:p>
        </w:tc>
      </w:tr>
      <w:tr w:rsidR="008D2A54" w:rsidRPr="008D2A54" w14:paraId="39877226" w14:textId="77777777" w:rsidTr="008D2A54">
        <w:trPr>
          <w:tblCellSpacing w:w="15" w:type="dxa"/>
        </w:trPr>
        <w:tc>
          <w:tcPr>
            <w:tcW w:w="0" w:type="auto"/>
            <w:vAlign w:val="center"/>
            <w:hideMark/>
          </w:tcPr>
          <w:p w14:paraId="274D639E" w14:textId="77777777" w:rsidR="008D2A54" w:rsidRPr="008D2A54" w:rsidRDefault="008D2A54" w:rsidP="008D2A54">
            <w:pPr>
              <w:spacing w:line="360" w:lineRule="auto"/>
              <w:jc w:val="both"/>
              <w:rPr>
                <w:rFonts w:ascii="Arial" w:hAnsi="Arial" w:cs="Arial"/>
              </w:rPr>
            </w:pPr>
            <w:r w:rsidRPr="008D2A54">
              <w:rPr>
                <w:rFonts w:ascii="Arial" w:hAnsi="Arial" w:cs="Arial"/>
              </w:rPr>
              <w:t>Table of Contents</w:t>
            </w:r>
          </w:p>
        </w:tc>
        <w:tc>
          <w:tcPr>
            <w:tcW w:w="0" w:type="auto"/>
            <w:vAlign w:val="center"/>
            <w:hideMark/>
          </w:tcPr>
          <w:p w14:paraId="5EF35EC4" w14:textId="77777777" w:rsidR="008D2A54" w:rsidRPr="008D2A54" w:rsidRDefault="008D2A54" w:rsidP="008D2A54">
            <w:pPr>
              <w:spacing w:line="360" w:lineRule="auto"/>
              <w:jc w:val="both"/>
              <w:rPr>
                <w:rFonts w:ascii="Arial" w:hAnsi="Arial" w:cs="Arial"/>
              </w:rPr>
            </w:pPr>
            <w:r w:rsidRPr="008D2A54">
              <w:rPr>
                <w:rFonts w:ascii="Arial" w:hAnsi="Arial" w:cs="Arial"/>
              </w:rPr>
              <w:t>2</w:t>
            </w:r>
          </w:p>
        </w:tc>
      </w:tr>
      <w:tr w:rsidR="008D2A54" w:rsidRPr="008D2A54" w14:paraId="5B279285" w14:textId="77777777" w:rsidTr="008D2A54">
        <w:trPr>
          <w:tblCellSpacing w:w="15" w:type="dxa"/>
        </w:trPr>
        <w:tc>
          <w:tcPr>
            <w:tcW w:w="0" w:type="auto"/>
            <w:vAlign w:val="center"/>
            <w:hideMark/>
          </w:tcPr>
          <w:p w14:paraId="1C32F9B1" w14:textId="3A7536E6" w:rsidR="008D2A54" w:rsidRPr="008D2A54" w:rsidRDefault="008D2A54" w:rsidP="008D2A54">
            <w:pPr>
              <w:spacing w:line="360" w:lineRule="auto"/>
              <w:jc w:val="both"/>
              <w:rPr>
                <w:rFonts w:ascii="Arial" w:hAnsi="Arial" w:cs="Arial"/>
              </w:rPr>
            </w:pPr>
            <w:r w:rsidRPr="008D2A54">
              <w:rPr>
                <w:rFonts w:ascii="Arial" w:hAnsi="Arial" w:cs="Arial"/>
              </w:rPr>
              <w:t>Introduction</w:t>
            </w:r>
          </w:p>
        </w:tc>
        <w:tc>
          <w:tcPr>
            <w:tcW w:w="0" w:type="auto"/>
            <w:vAlign w:val="center"/>
            <w:hideMark/>
          </w:tcPr>
          <w:p w14:paraId="6AA1C5A1" w14:textId="77777777" w:rsidR="008D2A54" w:rsidRPr="008D2A54" w:rsidRDefault="008D2A54" w:rsidP="008D2A54">
            <w:pPr>
              <w:spacing w:line="360" w:lineRule="auto"/>
              <w:jc w:val="both"/>
              <w:rPr>
                <w:rFonts w:ascii="Arial" w:hAnsi="Arial" w:cs="Arial"/>
              </w:rPr>
            </w:pPr>
            <w:r w:rsidRPr="008D2A54">
              <w:rPr>
                <w:rFonts w:ascii="Arial" w:hAnsi="Arial" w:cs="Arial"/>
              </w:rPr>
              <w:t>3</w:t>
            </w:r>
          </w:p>
        </w:tc>
      </w:tr>
      <w:tr w:rsidR="008D2A54" w:rsidRPr="008D2A54" w14:paraId="05A6A7B6" w14:textId="77777777" w:rsidTr="008D2A54">
        <w:trPr>
          <w:tblCellSpacing w:w="15" w:type="dxa"/>
        </w:trPr>
        <w:tc>
          <w:tcPr>
            <w:tcW w:w="0" w:type="auto"/>
            <w:vAlign w:val="center"/>
            <w:hideMark/>
          </w:tcPr>
          <w:p w14:paraId="182CDAC6" w14:textId="2CF6D1EE" w:rsidR="008D2A54" w:rsidRPr="008D2A54" w:rsidRDefault="008D2A54" w:rsidP="008D2A54">
            <w:pPr>
              <w:spacing w:line="360" w:lineRule="auto"/>
              <w:jc w:val="both"/>
              <w:rPr>
                <w:rFonts w:ascii="Arial" w:hAnsi="Arial" w:cs="Arial"/>
              </w:rPr>
            </w:pPr>
            <w:r w:rsidRPr="008D2A54">
              <w:rPr>
                <w:rFonts w:ascii="Arial" w:hAnsi="Arial" w:cs="Arial"/>
              </w:rPr>
              <w:t>Organisation Structure, Culture, and Goals</w:t>
            </w:r>
          </w:p>
        </w:tc>
        <w:tc>
          <w:tcPr>
            <w:tcW w:w="0" w:type="auto"/>
            <w:vAlign w:val="center"/>
            <w:hideMark/>
          </w:tcPr>
          <w:p w14:paraId="0BD1AB56" w14:textId="280A90EF" w:rsidR="008D2A54" w:rsidRPr="008D2A54" w:rsidRDefault="000A7B1B" w:rsidP="008D2A54">
            <w:pPr>
              <w:spacing w:line="360" w:lineRule="auto"/>
              <w:jc w:val="both"/>
              <w:rPr>
                <w:rFonts w:ascii="Arial" w:hAnsi="Arial" w:cs="Arial"/>
              </w:rPr>
            </w:pPr>
            <w:r>
              <w:rPr>
                <w:rFonts w:ascii="Arial" w:hAnsi="Arial" w:cs="Arial"/>
              </w:rPr>
              <w:t>3</w:t>
            </w:r>
          </w:p>
        </w:tc>
      </w:tr>
      <w:tr w:rsidR="008D2A54" w:rsidRPr="008D2A54" w14:paraId="2E4FF247" w14:textId="77777777" w:rsidTr="008D2A54">
        <w:trPr>
          <w:tblCellSpacing w:w="15" w:type="dxa"/>
        </w:trPr>
        <w:tc>
          <w:tcPr>
            <w:tcW w:w="0" w:type="auto"/>
            <w:vAlign w:val="center"/>
            <w:hideMark/>
          </w:tcPr>
          <w:p w14:paraId="657C9DB3" w14:textId="1CB119D7" w:rsidR="008D2A54" w:rsidRPr="008D2A54" w:rsidRDefault="008D2A54" w:rsidP="008D2A54">
            <w:pPr>
              <w:spacing w:line="360" w:lineRule="auto"/>
              <w:jc w:val="both"/>
              <w:rPr>
                <w:rFonts w:ascii="Arial" w:hAnsi="Arial" w:cs="Arial"/>
              </w:rPr>
            </w:pPr>
            <w:r w:rsidRPr="008D2A54">
              <w:rPr>
                <w:rFonts w:ascii="Arial" w:hAnsi="Arial" w:cs="Arial"/>
              </w:rPr>
              <w:t>Organisational Structure</w:t>
            </w:r>
          </w:p>
        </w:tc>
        <w:tc>
          <w:tcPr>
            <w:tcW w:w="0" w:type="auto"/>
            <w:vAlign w:val="center"/>
            <w:hideMark/>
          </w:tcPr>
          <w:p w14:paraId="78BAB8C9" w14:textId="6ECAF933" w:rsidR="008D2A54" w:rsidRPr="008D2A54" w:rsidRDefault="000A7B1B" w:rsidP="008D2A54">
            <w:pPr>
              <w:spacing w:line="360" w:lineRule="auto"/>
              <w:jc w:val="both"/>
              <w:rPr>
                <w:rFonts w:ascii="Arial" w:hAnsi="Arial" w:cs="Arial"/>
              </w:rPr>
            </w:pPr>
            <w:r>
              <w:rPr>
                <w:rFonts w:ascii="Arial" w:hAnsi="Arial" w:cs="Arial"/>
              </w:rPr>
              <w:t>3</w:t>
            </w:r>
          </w:p>
        </w:tc>
      </w:tr>
      <w:tr w:rsidR="008D2A54" w:rsidRPr="008D2A54" w14:paraId="3B765439" w14:textId="77777777" w:rsidTr="008D2A54">
        <w:trPr>
          <w:tblCellSpacing w:w="15" w:type="dxa"/>
        </w:trPr>
        <w:tc>
          <w:tcPr>
            <w:tcW w:w="0" w:type="auto"/>
            <w:vAlign w:val="center"/>
            <w:hideMark/>
          </w:tcPr>
          <w:p w14:paraId="4C0E5FFD" w14:textId="0EF57E86" w:rsidR="008D2A54" w:rsidRPr="008D2A54" w:rsidRDefault="008D2A54" w:rsidP="008D2A54">
            <w:pPr>
              <w:spacing w:line="360" w:lineRule="auto"/>
              <w:jc w:val="both"/>
              <w:rPr>
                <w:rFonts w:ascii="Arial" w:hAnsi="Arial" w:cs="Arial"/>
              </w:rPr>
            </w:pPr>
            <w:r w:rsidRPr="008D2A54">
              <w:rPr>
                <w:rFonts w:ascii="Arial" w:hAnsi="Arial" w:cs="Arial"/>
              </w:rPr>
              <w:t>Corporate Culture</w:t>
            </w:r>
          </w:p>
        </w:tc>
        <w:tc>
          <w:tcPr>
            <w:tcW w:w="0" w:type="auto"/>
            <w:vAlign w:val="center"/>
            <w:hideMark/>
          </w:tcPr>
          <w:p w14:paraId="5E8550B7" w14:textId="3741364F" w:rsidR="008D2A54" w:rsidRPr="008D2A54" w:rsidRDefault="000A7B1B" w:rsidP="008D2A54">
            <w:pPr>
              <w:spacing w:line="360" w:lineRule="auto"/>
              <w:jc w:val="both"/>
              <w:rPr>
                <w:rFonts w:ascii="Arial" w:hAnsi="Arial" w:cs="Arial"/>
              </w:rPr>
            </w:pPr>
            <w:r>
              <w:rPr>
                <w:rFonts w:ascii="Arial" w:hAnsi="Arial" w:cs="Arial"/>
              </w:rPr>
              <w:t>4</w:t>
            </w:r>
          </w:p>
        </w:tc>
      </w:tr>
      <w:tr w:rsidR="008D2A54" w:rsidRPr="008D2A54" w14:paraId="142A3587" w14:textId="77777777" w:rsidTr="008D2A54">
        <w:trPr>
          <w:tblCellSpacing w:w="15" w:type="dxa"/>
        </w:trPr>
        <w:tc>
          <w:tcPr>
            <w:tcW w:w="0" w:type="auto"/>
            <w:vAlign w:val="center"/>
            <w:hideMark/>
          </w:tcPr>
          <w:p w14:paraId="4589DD15" w14:textId="4E55450D" w:rsidR="008D2A54" w:rsidRPr="008D2A54" w:rsidRDefault="008D2A54" w:rsidP="008D2A54">
            <w:pPr>
              <w:spacing w:line="360" w:lineRule="auto"/>
              <w:jc w:val="both"/>
              <w:rPr>
                <w:rFonts w:ascii="Arial" w:hAnsi="Arial" w:cs="Arial"/>
              </w:rPr>
            </w:pPr>
            <w:r w:rsidRPr="008D2A54">
              <w:rPr>
                <w:rFonts w:ascii="Arial" w:hAnsi="Arial" w:cs="Arial"/>
              </w:rPr>
              <w:t>Goals at Corporate and Hotel Levels</w:t>
            </w:r>
          </w:p>
        </w:tc>
        <w:tc>
          <w:tcPr>
            <w:tcW w:w="0" w:type="auto"/>
            <w:vAlign w:val="center"/>
            <w:hideMark/>
          </w:tcPr>
          <w:p w14:paraId="54F34851" w14:textId="6E6D5440" w:rsidR="008D2A54" w:rsidRPr="008D2A54" w:rsidRDefault="000A7B1B" w:rsidP="008D2A54">
            <w:pPr>
              <w:spacing w:line="360" w:lineRule="auto"/>
              <w:jc w:val="both"/>
              <w:rPr>
                <w:rFonts w:ascii="Arial" w:hAnsi="Arial" w:cs="Arial"/>
              </w:rPr>
            </w:pPr>
            <w:r>
              <w:rPr>
                <w:rFonts w:ascii="Arial" w:hAnsi="Arial" w:cs="Arial"/>
              </w:rPr>
              <w:t>4</w:t>
            </w:r>
          </w:p>
        </w:tc>
      </w:tr>
      <w:tr w:rsidR="008D2A54" w:rsidRPr="008D2A54" w14:paraId="5AD911ED" w14:textId="77777777" w:rsidTr="008D2A54">
        <w:trPr>
          <w:tblCellSpacing w:w="15" w:type="dxa"/>
        </w:trPr>
        <w:tc>
          <w:tcPr>
            <w:tcW w:w="0" w:type="auto"/>
            <w:vAlign w:val="center"/>
            <w:hideMark/>
          </w:tcPr>
          <w:p w14:paraId="32543750" w14:textId="2513062E" w:rsidR="008D2A54" w:rsidRPr="008D2A54" w:rsidRDefault="008D2A54" w:rsidP="008D2A54">
            <w:pPr>
              <w:spacing w:line="360" w:lineRule="auto"/>
              <w:jc w:val="both"/>
              <w:rPr>
                <w:rFonts w:ascii="Arial" w:hAnsi="Arial" w:cs="Arial"/>
              </w:rPr>
            </w:pPr>
            <w:r w:rsidRPr="008D2A54">
              <w:rPr>
                <w:rFonts w:ascii="Arial" w:hAnsi="Arial" w:cs="Arial"/>
              </w:rPr>
              <w:t>Recent Change Initiatives</w:t>
            </w:r>
          </w:p>
        </w:tc>
        <w:tc>
          <w:tcPr>
            <w:tcW w:w="0" w:type="auto"/>
            <w:vAlign w:val="center"/>
            <w:hideMark/>
          </w:tcPr>
          <w:p w14:paraId="63DAC589" w14:textId="61DD56CD" w:rsidR="008D2A54" w:rsidRPr="008D2A54" w:rsidRDefault="000A7B1B" w:rsidP="008D2A54">
            <w:pPr>
              <w:spacing w:line="360" w:lineRule="auto"/>
              <w:jc w:val="both"/>
              <w:rPr>
                <w:rFonts w:ascii="Arial" w:hAnsi="Arial" w:cs="Arial"/>
              </w:rPr>
            </w:pPr>
            <w:r>
              <w:rPr>
                <w:rFonts w:ascii="Arial" w:hAnsi="Arial" w:cs="Arial"/>
              </w:rPr>
              <w:t>5</w:t>
            </w:r>
          </w:p>
        </w:tc>
      </w:tr>
      <w:tr w:rsidR="008D2A54" w:rsidRPr="008D2A54" w14:paraId="4322CD67" w14:textId="77777777" w:rsidTr="008D2A54">
        <w:trPr>
          <w:tblCellSpacing w:w="15" w:type="dxa"/>
        </w:trPr>
        <w:tc>
          <w:tcPr>
            <w:tcW w:w="0" w:type="auto"/>
            <w:vAlign w:val="center"/>
            <w:hideMark/>
          </w:tcPr>
          <w:p w14:paraId="5491A649" w14:textId="1358F338" w:rsidR="008D2A54" w:rsidRPr="008D2A54" w:rsidRDefault="008D2A54" w:rsidP="008D2A54">
            <w:pPr>
              <w:spacing w:line="360" w:lineRule="auto"/>
              <w:jc w:val="both"/>
              <w:rPr>
                <w:rFonts w:ascii="Arial" w:hAnsi="Arial" w:cs="Arial"/>
              </w:rPr>
            </w:pPr>
            <w:r w:rsidRPr="008D2A54">
              <w:rPr>
                <w:rFonts w:ascii="Arial" w:hAnsi="Arial" w:cs="Arial"/>
              </w:rPr>
              <w:t>Change Initiatives Undertaken</w:t>
            </w:r>
          </w:p>
        </w:tc>
        <w:tc>
          <w:tcPr>
            <w:tcW w:w="0" w:type="auto"/>
            <w:vAlign w:val="center"/>
            <w:hideMark/>
          </w:tcPr>
          <w:p w14:paraId="72A51BA7" w14:textId="5EFB6F66" w:rsidR="008D2A54" w:rsidRPr="008D2A54" w:rsidRDefault="000A7B1B" w:rsidP="008D2A54">
            <w:pPr>
              <w:spacing w:line="360" w:lineRule="auto"/>
              <w:jc w:val="both"/>
              <w:rPr>
                <w:rFonts w:ascii="Arial" w:hAnsi="Arial" w:cs="Arial"/>
              </w:rPr>
            </w:pPr>
            <w:r>
              <w:rPr>
                <w:rFonts w:ascii="Arial" w:hAnsi="Arial" w:cs="Arial"/>
              </w:rPr>
              <w:t>5</w:t>
            </w:r>
          </w:p>
        </w:tc>
      </w:tr>
      <w:tr w:rsidR="008D2A54" w:rsidRPr="008D2A54" w14:paraId="7F9C0DD2" w14:textId="77777777" w:rsidTr="008D2A54">
        <w:trPr>
          <w:tblCellSpacing w:w="15" w:type="dxa"/>
        </w:trPr>
        <w:tc>
          <w:tcPr>
            <w:tcW w:w="0" w:type="auto"/>
            <w:vAlign w:val="center"/>
            <w:hideMark/>
          </w:tcPr>
          <w:p w14:paraId="292ECC73" w14:textId="33819859" w:rsidR="008D2A54" w:rsidRPr="008D2A54" w:rsidRDefault="008D2A54" w:rsidP="008D2A54">
            <w:pPr>
              <w:spacing w:line="360" w:lineRule="auto"/>
              <w:jc w:val="both"/>
              <w:rPr>
                <w:rFonts w:ascii="Arial" w:hAnsi="Arial" w:cs="Arial"/>
              </w:rPr>
            </w:pPr>
            <w:r w:rsidRPr="008D2A54">
              <w:rPr>
                <w:rFonts w:ascii="Arial" w:hAnsi="Arial" w:cs="Arial"/>
              </w:rPr>
              <w:t>Impact of Change Initiatives</w:t>
            </w:r>
          </w:p>
        </w:tc>
        <w:tc>
          <w:tcPr>
            <w:tcW w:w="0" w:type="auto"/>
            <w:vAlign w:val="center"/>
            <w:hideMark/>
          </w:tcPr>
          <w:p w14:paraId="03661E10" w14:textId="2AAD7760" w:rsidR="008D2A54" w:rsidRPr="008D2A54" w:rsidRDefault="000A7B1B" w:rsidP="008D2A54">
            <w:pPr>
              <w:spacing w:line="360" w:lineRule="auto"/>
              <w:jc w:val="both"/>
              <w:rPr>
                <w:rFonts w:ascii="Arial" w:hAnsi="Arial" w:cs="Arial"/>
              </w:rPr>
            </w:pPr>
            <w:r>
              <w:rPr>
                <w:rFonts w:ascii="Arial" w:hAnsi="Arial" w:cs="Arial"/>
              </w:rPr>
              <w:t>5</w:t>
            </w:r>
          </w:p>
        </w:tc>
      </w:tr>
      <w:tr w:rsidR="008D2A54" w:rsidRPr="008D2A54" w14:paraId="40A6B470" w14:textId="77777777" w:rsidTr="008D2A54">
        <w:trPr>
          <w:tblCellSpacing w:w="15" w:type="dxa"/>
        </w:trPr>
        <w:tc>
          <w:tcPr>
            <w:tcW w:w="0" w:type="auto"/>
            <w:vAlign w:val="center"/>
            <w:hideMark/>
          </w:tcPr>
          <w:p w14:paraId="1689B5B3" w14:textId="23661EDE" w:rsidR="008D2A54" w:rsidRPr="008D2A54" w:rsidRDefault="008D2A54" w:rsidP="008D2A54">
            <w:pPr>
              <w:spacing w:line="360" w:lineRule="auto"/>
              <w:jc w:val="both"/>
              <w:rPr>
                <w:rFonts w:ascii="Arial" w:hAnsi="Arial" w:cs="Arial"/>
              </w:rPr>
            </w:pPr>
            <w:r w:rsidRPr="008D2A54">
              <w:rPr>
                <w:rFonts w:ascii="Arial" w:hAnsi="Arial" w:cs="Arial"/>
              </w:rPr>
              <w:t>Strategic Direction</w:t>
            </w:r>
          </w:p>
        </w:tc>
        <w:tc>
          <w:tcPr>
            <w:tcW w:w="0" w:type="auto"/>
            <w:vAlign w:val="center"/>
            <w:hideMark/>
          </w:tcPr>
          <w:p w14:paraId="3C0C585D" w14:textId="266EEC5F" w:rsidR="008D2A54" w:rsidRPr="008D2A54" w:rsidRDefault="000A7B1B" w:rsidP="008D2A54">
            <w:pPr>
              <w:spacing w:line="360" w:lineRule="auto"/>
              <w:jc w:val="both"/>
              <w:rPr>
                <w:rFonts w:ascii="Arial" w:hAnsi="Arial" w:cs="Arial"/>
              </w:rPr>
            </w:pPr>
            <w:r>
              <w:rPr>
                <w:rFonts w:ascii="Arial" w:hAnsi="Arial" w:cs="Arial"/>
              </w:rPr>
              <w:t>6</w:t>
            </w:r>
          </w:p>
        </w:tc>
      </w:tr>
      <w:tr w:rsidR="008D2A54" w:rsidRPr="008D2A54" w14:paraId="331CE00A" w14:textId="77777777" w:rsidTr="008D2A54">
        <w:trPr>
          <w:tblCellSpacing w:w="15" w:type="dxa"/>
        </w:trPr>
        <w:tc>
          <w:tcPr>
            <w:tcW w:w="0" w:type="auto"/>
            <w:vAlign w:val="center"/>
            <w:hideMark/>
          </w:tcPr>
          <w:p w14:paraId="5664FF8F" w14:textId="549C9348" w:rsidR="008D2A54" w:rsidRPr="008D2A54" w:rsidRDefault="008D2A54" w:rsidP="008D2A54">
            <w:pPr>
              <w:spacing w:line="360" w:lineRule="auto"/>
              <w:jc w:val="both"/>
              <w:rPr>
                <w:rFonts w:ascii="Arial" w:hAnsi="Arial" w:cs="Arial"/>
              </w:rPr>
            </w:pPr>
            <w:r w:rsidRPr="008D2A54">
              <w:rPr>
                <w:rFonts w:ascii="Arial" w:hAnsi="Arial" w:cs="Arial"/>
              </w:rPr>
              <w:t>Analysis of Strategic Direction</w:t>
            </w:r>
          </w:p>
        </w:tc>
        <w:tc>
          <w:tcPr>
            <w:tcW w:w="0" w:type="auto"/>
            <w:vAlign w:val="center"/>
            <w:hideMark/>
          </w:tcPr>
          <w:p w14:paraId="7BACE6BD" w14:textId="18DB6A8B" w:rsidR="008D2A54" w:rsidRPr="008D2A54" w:rsidRDefault="000A7B1B" w:rsidP="008D2A54">
            <w:pPr>
              <w:spacing w:line="360" w:lineRule="auto"/>
              <w:jc w:val="both"/>
              <w:rPr>
                <w:rFonts w:ascii="Arial" w:hAnsi="Arial" w:cs="Arial"/>
              </w:rPr>
            </w:pPr>
            <w:r>
              <w:rPr>
                <w:rFonts w:ascii="Arial" w:hAnsi="Arial" w:cs="Arial"/>
              </w:rPr>
              <w:t>7</w:t>
            </w:r>
          </w:p>
        </w:tc>
      </w:tr>
      <w:tr w:rsidR="008D2A54" w:rsidRPr="008D2A54" w14:paraId="7349D5D5" w14:textId="77777777" w:rsidTr="008D2A54">
        <w:trPr>
          <w:tblCellSpacing w:w="15" w:type="dxa"/>
        </w:trPr>
        <w:tc>
          <w:tcPr>
            <w:tcW w:w="0" w:type="auto"/>
            <w:vAlign w:val="center"/>
            <w:hideMark/>
          </w:tcPr>
          <w:p w14:paraId="75CBB160" w14:textId="0DDDE71C" w:rsidR="008D2A54" w:rsidRPr="008D2A54" w:rsidRDefault="008D2A54" w:rsidP="008D2A54">
            <w:pPr>
              <w:spacing w:line="360" w:lineRule="auto"/>
              <w:jc w:val="both"/>
              <w:rPr>
                <w:rFonts w:ascii="Arial" w:hAnsi="Arial" w:cs="Arial"/>
              </w:rPr>
            </w:pPr>
            <w:r w:rsidRPr="008D2A54">
              <w:rPr>
                <w:rFonts w:ascii="Arial" w:hAnsi="Arial" w:cs="Arial"/>
              </w:rPr>
              <w:t>Strategies for Long-term Objectives</w:t>
            </w:r>
          </w:p>
        </w:tc>
        <w:tc>
          <w:tcPr>
            <w:tcW w:w="0" w:type="auto"/>
            <w:vAlign w:val="center"/>
            <w:hideMark/>
          </w:tcPr>
          <w:p w14:paraId="2260B699" w14:textId="2EF00FE9" w:rsidR="008D2A54" w:rsidRPr="008D2A54" w:rsidRDefault="000A7B1B" w:rsidP="008D2A54">
            <w:pPr>
              <w:spacing w:line="360" w:lineRule="auto"/>
              <w:jc w:val="both"/>
              <w:rPr>
                <w:rFonts w:ascii="Arial" w:hAnsi="Arial" w:cs="Arial"/>
              </w:rPr>
            </w:pPr>
            <w:r>
              <w:rPr>
                <w:rFonts w:ascii="Arial" w:hAnsi="Arial" w:cs="Arial"/>
              </w:rPr>
              <w:t>7</w:t>
            </w:r>
          </w:p>
        </w:tc>
      </w:tr>
      <w:tr w:rsidR="008D2A54" w:rsidRPr="008D2A54" w14:paraId="4BE3AC5A" w14:textId="77777777" w:rsidTr="008D2A54">
        <w:trPr>
          <w:tblCellSpacing w:w="15" w:type="dxa"/>
        </w:trPr>
        <w:tc>
          <w:tcPr>
            <w:tcW w:w="0" w:type="auto"/>
            <w:vAlign w:val="center"/>
            <w:hideMark/>
          </w:tcPr>
          <w:p w14:paraId="729D4CCE" w14:textId="6C9CB68F" w:rsidR="008D2A54" w:rsidRPr="008D2A54" w:rsidRDefault="008D2A54" w:rsidP="008D2A54">
            <w:pPr>
              <w:spacing w:line="360" w:lineRule="auto"/>
              <w:jc w:val="both"/>
              <w:rPr>
                <w:rFonts w:ascii="Arial" w:hAnsi="Arial" w:cs="Arial"/>
              </w:rPr>
            </w:pPr>
            <w:r w:rsidRPr="008D2A54">
              <w:rPr>
                <w:rFonts w:ascii="Arial" w:hAnsi="Arial" w:cs="Arial"/>
              </w:rPr>
              <w:t>Conclusion</w:t>
            </w:r>
          </w:p>
        </w:tc>
        <w:tc>
          <w:tcPr>
            <w:tcW w:w="0" w:type="auto"/>
            <w:vAlign w:val="center"/>
            <w:hideMark/>
          </w:tcPr>
          <w:p w14:paraId="17986191" w14:textId="3CE24FAE" w:rsidR="008D2A54" w:rsidRPr="008D2A54" w:rsidRDefault="000A7B1B" w:rsidP="008D2A54">
            <w:pPr>
              <w:spacing w:line="360" w:lineRule="auto"/>
              <w:jc w:val="both"/>
              <w:rPr>
                <w:rFonts w:ascii="Arial" w:hAnsi="Arial" w:cs="Arial"/>
              </w:rPr>
            </w:pPr>
            <w:r>
              <w:rPr>
                <w:rFonts w:ascii="Arial" w:hAnsi="Arial" w:cs="Arial"/>
              </w:rPr>
              <w:t>7</w:t>
            </w:r>
          </w:p>
        </w:tc>
      </w:tr>
      <w:tr w:rsidR="008D2A54" w:rsidRPr="008D2A54" w14:paraId="49400EAE" w14:textId="77777777" w:rsidTr="008D2A54">
        <w:trPr>
          <w:tblCellSpacing w:w="15" w:type="dxa"/>
        </w:trPr>
        <w:tc>
          <w:tcPr>
            <w:tcW w:w="0" w:type="auto"/>
            <w:vAlign w:val="center"/>
            <w:hideMark/>
          </w:tcPr>
          <w:p w14:paraId="7857C6C4" w14:textId="2E2FCC94" w:rsidR="008D2A54" w:rsidRPr="008D2A54" w:rsidRDefault="008D2A54" w:rsidP="008D2A54">
            <w:pPr>
              <w:spacing w:line="360" w:lineRule="auto"/>
              <w:jc w:val="both"/>
              <w:rPr>
                <w:rFonts w:ascii="Arial" w:hAnsi="Arial" w:cs="Arial"/>
              </w:rPr>
            </w:pPr>
            <w:r w:rsidRPr="008D2A54">
              <w:rPr>
                <w:rFonts w:ascii="Arial" w:hAnsi="Arial" w:cs="Arial"/>
              </w:rPr>
              <w:t>Recommendations</w:t>
            </w:r>
          </w:p>
        </w:tc>
        <w:tc>
          <w:tcPr>
            <w:tcW w:w="0" w:type="auto"/>
            <w:vAlign w:val="center"/>
            <w:hideMark/>
          </w:tcPr>
          <w:p w14:paraId="5A7157BF" w14:textId="2F16834C" w:rsidR="008D2A54" w:rsidRPr="008D2A54" w:rsidRDefault="000A7B1B" w:rsidP="008D2A54">
            <w:pPr>
              <w:spacing w:line="360" w:lineRule="auto"/>
              <w:jc w:val="both"/>
              <w:rPr>
                <w:rFonts w:ascii="Arial" w:hAnsi="Arial" w:cs="Arial"/>
              </w:rPr>
            </w:pPr>
            <w:r>
              <w:rPr>
                <w:rFonts w:ascii="Arial" w:hAnsi="Arial" w:cs="Arial"/>
              </w:rPr>
              <w:t>8</w:t>
            </w:r>
          </w:p>
        </w:tc>
      </w:tr>
      <w:tr w:rsidR="008D2A54" w:rsidRPr="008D2A54" w14:paraId="43F9C1BA" w14:textId="77777777" w:rsidTr="008D2A54">
        <w:trPr>
          <w:tblCellSpacing w:w="15" w:type="dxa"/>
        </w:trPr>
        <w:tc>
          <w:tcPr>
            <w:tcW w:w="0" w:type="auto"/>
            <w:vAlign w:val="center"/>
            <w:hideMark/>
          </w:tcPr>
          <w:p w14:paraId="39801050" w14:textId="77777777" w:rsidR="008D2A54" w:rsidRPr="008D2A54" w:rsidRDefault="008D2A54" w:rsidP="008D2A54">
            <w:pPr>
              <w:spacing w:line="360" w:lineRule="auto"/>
              <w:jc w:val="both"/>
              <w:rPr>
                <w:rFonts w:ascii="Arial" w:hAnsi="Arial" w:cs="Arial"/>
              </w:rPr>
            </w:pPr>
            <w:r w:rsidRPr="008D2A54">
              <w:rPr>
                <w:rFonts w:ascii="Arial" w:hAnsi="Arial" w:cs="Arial"/>
              </w:rPr>
              <w:t>Reference List</w:t>
            </w:r>
          </w:p>
        </w:tc>
        <w:tc>
          <w:tcPr>
            <w:tcW w:w="0" w:type="auto"/>
            <w:vAlign w:val="center"/>
            <w:hideMark/>
          </w:tcPr>
          <w:p w14:paraId="00FEA482" w14:textId="60ABADF5" w:rsidR="008D2A54" w:rsidRPr="008D2A54" w:rsidRDefault="008D2A54" w:rsidP="008D2A54">
            <w:pPr>
              <w:spacing w:line="360" w:lineRule="auto"/>
              <w:jc w:val="both"/>
              <w:rPr>
                <w:rFonts w:ascii="Arial" w:hAnsi="Arial" w:cs="Arial"/>
              </w:rPr>
            </w:pPr>
            <w:r w:rsidRPr="008D2A54">
              <w:rPr>
                <w:rFonts w:ascii="Arial" w:hAnsi="Arial" w:cs="Arial"/>
              </w:rPr>
              <w:t>1</w:t>
            </w:r>
            <w:r w:rsidR="000A7B1B">
              <w:rPr>
                <w:rFonts w:ascii="Arial" w:hAnsi="Arial" w:cs="Arial"/>
              </w:rPr>
              <w:t>0</w:t>
            </w:r>
          </w:p>
        </w:tc>
      </w:tr>
    </w:tbl>
    <w:p w14:paraId="615B12A7" w14:textId="0037EF17" w:rsidR="000A7B1B" w:rsidRDefault="000A7B1B" w:rsidP="00D8037E">
      <w:pPr>
        <w:spacing w:line="360" w:lineRule="auto"/>
        <w:jc w:val="both"/>
        <w:rPr>
          <w:rFonts w:ascii="Arial" w:hAnsi="Arial" w:cs="Arial"/>
        </w:rPr>
      </w:pPr>
    </w:p>
    <w:p w14:paraId="7CDBFC20" w14:textId="77777777" w:rsidR="000A7B1B" w:rsidRDefault="000A7B1B">
      <w:pPr>
        <w:rPr>
          <w:rFonts w:ascii="Arial" w:hAnsi="Arial" w:cs="Arial"/>
        </w:rPr>
      </w:pPr>
      <w:r>
        <w:rPr>
          <w:rFonts w:ascii="Arial" w:hAnsi="Arial" w:cs="Arial"/>
        </w:rPr>
        <w:br w:type="page"/>
      </w:r>
    </w:p>
    <w:p w14:paraId="4C8325F1" w14:textId="5E537BA5" w:rsidR="000A7B1B" w:rsidRPr="000A7B1B" w:rsidRDefault="000A7B1B" w:rsidP="000A7B1B">
      <w:pPr>
        <w:spacing w:line="360" w:lineRule="auto"/>
        <w:jc w:val="both"/>
        <w:rPr>
          <w:rFonts w:ascii="Arial" w:hAnsi="Arial" w:cs="Arial"/>
          <w:b/>
          <w:bCs/>
        </w:rPr>
      </w:pPr>
      <w:r w:rsidRPr="000A7B1B">
        <w:rPr>
          <w:rFonts w:ascii="Arial" w:hAnsi="Arial" w:cs="Arial"/>
          <w:b/>
          <w:bCs/>
        </w:rPr>
        <w:lastRenderedPageBreak/>
        <w:t>Introduction</w:t>
      </w:r>
    </w:p>
    <w:p w14:paraId="07C4A25C" w14:textId="77777777" w:rsidR="000A7B1B" w:rsidRPr="000A7B1B" w:rsidRDefault="000A7B1B" w:rsidP="000A7B1B">
      <w:pPr>
        <w:spacing w:line="360" w:lineRule="auto"/>
        <w:jc w:val="both"/>
        <w:rPr>
          <w:rFonts w:ascii="Arial" w:hAnsi="Arial" w:cs="Arial"/>
        </w:rPr>
      </w:pPr>
      <w:r w:rsidRPr="000A7B1B">
        <w:rPr>
          <w:rFonts w:ascii="Arial" w:hAnsi="Arial" w:cs="Arial"/>
        </w:rPr>
        <w:t>Hyatt Hotels Corporation, founded in 1957, is one of the world’s leading global hospitality brands. With over 1,150 properties spread across more than 70 countries, Hyatt is known for providing personalized and luxurious experiences to its guests. The company’s portfolio includes a range of brands, from budget-friendly options like Hyatt Place to high-end luxury brands such as Park Hyatt and Andaz (Hyatt Hotels Corporation, 2023). Hyatt’s success stems not only from its high standards of service but also from its ability to adapt to changing market conditions and maintain its commitment to sustainability and corporate social responsibility (CSR).</w:t>
      </w:r>
    </w:p>
    <w:p w14:paraId="1D9558FF" w14:textId="14C98A15" w:rsidR="000A7B1B" w:rsidRPr="000A7B1B" w:rsidRDefault="000A7B1B" w:rsidP="000A7B1B">
      <w:pPr>
        <w:spacing w:line="360" w:lineRule="auto"/>
        <w:jc w:val="both"/>
        <w:rPr>
          <w:rFonts w:ascii="Arial" w:hAnsi="Arial" w:cs="Arial"/>
        </w:rPr>
      </w:pPr>
      <w:r w:rsidRPr="000A7B1B">
        <w:rPr>
          <w:rFonts w:ascii="Arial" w:hAnsi="Arial" w:cs="Arial"/>
        </w:rPr>
        <w:t xml:space="preserve">This report aims to critically assess and </w:t>
      </w:r>
      <w:r w:rsidRPr="000A7B1B">
        <w:rPr>
          <w:rFonts w:ascii="Arial" w:hAnsi="Arial" w:cs="Arial"/>
        </w:rPr>
        <w:t>analyse</w:t>
      </w:r>
      <w:r w:rsidRPr="000A7B1B">
        <w:rPr>
          <w:rFonts w:ascii="Arial" w:hAnsi="Arial" w:cs="Arial"/>
        </w:rPr>
        <w:t xml:space="preserve"> Hyatt Hotels Corporation’s organi</w:t>
      </w:r>
      <w:r>
        <w:rPr>
          <w:rFonts w:ascii="Arial" w:hAnsi="Arial" w:cs="Arial"/>
        </w:rPr>
        <w:t>s</w:t>
      </w:r>
      <w:r w:rsidRPr="000A7B1B">
        <w:rPr>
          <w:rFonts w:ascii="Arial" w:hAnsi="Arial" w:cs="Arial"/>
        </w:rPr>
        <w:t>ational structure, culture, goals, recent change initiatives, and strategic direction. In doing so, the report will apply relevant management theories to evaluate how well Hyatt adapts to the dynamic hospitality market and provide strategic recommendations for improvement.</w:t>
      </w:r>
    </w:p>
    <w:p w14:paraId="0584039C" w14:textId="7A213B62" w:rsidR="000A7B1B" w:rsidRPr="000A7B1B" w:rsidRDefault="000A7B1B" w:rsidP="000A7B1B">
      <w:pPr>
        <w:spacing w:line="360" w:lineRule="auto"/>
        <w:jc w:val="both"/>
        <w:rPr>
          <w:rFonts w:ascii="Arial" w:hAnsi="Arial" w:cs="Arial"/>
        </w:rPr>
      </w:pPr>
    </w:p>
    <w:p w14:paraId="348B2A66" w14:textId="229261C9" w:rsidR="000A7B1B" w:rsidRPr="000A7B1B" w:rsidRDefault="000A7B1B" w:rsidP="000A7B1B">
      <w:pPr>
        <w:spacing w:line="360" w:lineRule="auto"/>
        <w:jc w:val="both"/>
        <w:rPr>
          <w:rFonts w:ascii="Arial" w:hAnsi="Arial" w:cs="Arial"/>
          <w:b/>
          <w:bCs/>
        </w:rPr>
      </w:pPr>
      <w:r w:rsidRPr="000A7B1B">
        <w:rPr>
          <w:rFonts w:ascii="Arial" w:hAnsi="Arial" w:cs="Arial"/>
          <w:b/>
          <w:bCs/>
        </w:rPr>
        <w:t>Organi</w:t>
      </w:r>
      <w:r>
        <w:rPr>
          <w:rFonts w:ascii="Arial" w:hAnsi="Arial" w:cs="Arial"/>
          <w:b/>
          <w:bCs/>
        </w:rPr>
        <w:t>s</w:t>
      </w:r>
      <w:r w:rsidRPr="000A7B1B">
        <w:rPr>
          <w:rFonts w:ascii="Arial" w:hAnsi="Arial" w:cs="Arial"/>
          <w:b/>
          <w:bCs/>
        </w:rPr>
        <w:t>ational Structure, Culture, and Goals</w:t>
      </w:r>
    </w:p>
    <w:p w14:paraId="59E663C5" w14:textId="6AE3C71E" w:rsidR="000A7B1B" w:rsidRPr="000A7B1B" w:rsidRDefault="000A7B1B" w:rsidP="000A7B1B">
      <w:pPr>
        <w:spacing w:line="360" w:lineRule="auto"/>
        <w:jc w:val="both"/>
        <w:rPr>
          <w:rFonts w:ascii="Arial" w:hAnsi="Arial" w:cs="Arial"/>
          <w:b/>
          <w:bCs/>
        </w:rPr>
      </w:pPr>
      <w:r w:rsidRPr="000A7B1B">
        <w:rPr>
          <w:rFonts w:ascii="Arial" w:hAnsi="Arial" w:cs="Arial"/>
          <w:b/>
          <w:bCs/>
        </w:rPr>
        <w:t>Organi</w:t>
      </w:r>
      <w:r>
        <w:rPr>
          <w:rFonts w:ascii="Arial" w:hAnsi="Arial" w:cs="Arial"/>
          <w:b/>
          <w:bCs/>
        </w:rPr>
        <w:t>s</w:t>
      </w:r>
      <w:r w:rsidRPr="000A7B1B">
        <w:rPr>
          <w:rFonts w:ascii="Arial" w:hAnsi="Arial" w:cs="Arial"/>
          <w:b/>
          <w:bCs/>
        </w:rPr>
        <w:t>ational Structure</w:t>
      </w:r>
    </w:p>
    <w:p w14:paraId="768E58CD" w14:textId="482233CF" w:rsidR="000A7B1B" w:rsidRPr="000A7B1B" w:rsidRDefault="000A7B1B" w:rsidP="000A7B1B">
      <w:pPr>
        <w:spacing w:line="360" w:lineRule="auto"/>
        <w:jc w:val="both"/>
        <w:rPr>
          <w:rFonts w:ascii="Arial" w:hAnsi="Arial" w:cs="Arial"/>
        </w:rPr>
      </w:pPr>
      <w:r w:rsidRPr="000A7B1B">
        <w:rPr>
          <w:rFonts w:ascii="Arial" w:hAnsi="Arial" w:cs="Arial"/>
        </w:rPr>
        <w:t>Hyatt operates with a divisional organi</w:t>
      </w:r>
      <w:r>
        <w:rPr>
          <w:rFonts w:ascii="Arial" w:hAnsi="Arial" w:cs="Arial"/>
        </w:rPr>
        <w:t>s</w:t>
      </w:r>
      <w:r w:rsidRPr="000A7B1B">
        <w:rPr>
          <w:rFonts w:ascii="Arial" w:hAnsi="Arial" w:cs="Arial"/>
        </w:rPr>
        <w:t>ational structure, organi</w:t>
      </w:r>
      <w:r>
        <w:rPr>
          <w:rFonts w:ascii="Arial" w:hAnsi="Arial" w:cs="Arial"/>
        </w:rPr>
        <w:t>s</w:t>
      </w:r>
      <w:r w:rsidRPr="000A7B1B">
        <w:rPr>
          <w:rFonts w:ascii="Arial" w:hAnsi="Arial" w:cs="Arial"/>
        </w:rPr>
        <w:t>ing its operations by geographic region and brand category. This structure is effective for a multinational corporation that needs to adapt to local market conditions while maintaining a strong, unified brand (Mullins, 2019). Hyatt's geographic divisions enable it to tailor operations to specific cultural preferences and local market conditions. For instance, Hyatt’s operations in Asia focus on high-end luxury services and culturally specific amenities, while in North America, the company prioritizes modern, accessible luxury and business-friendly services.</w:t>
      </w:r>
    </w:p>
    <w:p w14:paraId="4DF1A150" w14:textId="6DB032C2" w:rsidR="000A7B1B" w:rsidRPr="000A7B1B" w:rsidRDefault="000A7B1B" w:rsidP="000A7B1B">
      <w:pPr>
        <w:spacing w:line="360" w:lineRule="auto"/>
        <w:jc w:val="both"/>
        <w:rPr>
          <w:rFonts w:ascii="Arial" w:hAnsi="Arial" w:cs="Arial"/>
        </w:rPr>
      </w:pPr>
      <w:r w:rsidRPr="000A7B1B">
        <w:rPr>
          <w:rFonts w:ascii="Arial" w:hAnsi="Arial" w:cs="Arial"/>
        </w:rPr>
        <w:t>Despite its effectiveness in regional responsiveness, the divisional structure may lead to inconsistencies across properties, which can affect guest experience and operational efficiency (Robbins and Judge, 2019). A key challenge Hyatt faces is ensuring that all hotels, regardless of location, adhere to corporate standards. One potential solution would be implementing more standardi</w:t>
      </w:r>
      <w:r>
        <w:rPr>
          <w:rFonts w:ascii="Arial" w:hAnsi="Arial" w:cs="Arial"/>
        </w:rPr>
        <w:t>s</w:t>
      </w:r>
      <w:r w:rsidRPr="000A7B1B">
        <w:rPr>
          <w:rFonts w:ascii="Arial" w:hAnsi="Arial" w:cs="Arial"/>
        </w:rPr>
        <w:t xml:space="preserve">ed training programs across </w:t>
      </w:r>
      <w:r w:rsidRPr="000A7B1B">
        <w:rPr>
          <w:rFonts w:ascii="Arial" w:hAnsi="Arial" w:cs="Arial"/>
        </w:rPr>
        <w:lastRenderedPageBreak/>
        <w:t>regions to ensure consistency in service delivery, a strategy that has been successfully employed by competitors such as Marriott (Marriott International, 2022).</w:t>
      </w:r>
    </w:p>
    <w:p w14:paraId="49C6692E" w14:textId="77777777" w:rsidR="000A7B1B" w:rsidRPr="000A7B1B" w:rsidRDefault="000A7B1B" w:rsidP="000A7B1B">
      <w:pPr>
        <w:spacing w:line="360" w:lineRule="auto"/>
        <w:jc w:val="both"/>
        <w:rPr>
          <w:rFonts w:ascii="Arial" w:hAnsi="Arial" w:cs="Arial"/>
        </w:rPr>
      </w:pPr>
      <w:r w:rsidRPr="000A7B1B">
        <w:rPr>
          <w:rFonts w:ascii="Arial" w:hAnsi="Arial" w:cs="Arial"/>
        </w:rPr>
        <w:t>In terms of corporate governance, Hyatt employs a hierarchical structure that supports a top-down approach for decision-making at the corporate level. However, individual hotel managers are granted significant autonomy to adapt to local conditions, fostering a balance between corporate directives and local market needs.</w:t>
      </w:r>
    </w:p>
    <w:p w14:paraId="5BBDF1DC" w14:textId="77777777" w:rsidR="000A7B1B" w:rsidRPr="000A7B1B" w:rsidRDefault="000A7B1B" w:rsidP="000A7B1B">
      <w:pPr>
        <w:spacing w:line="360" w:lineRule="auto"/>
        <w:jc w:val="both"/>
        <w:rPr>
          <w:rFonts w:ascii="Arial" w:hAnsi="Arial" w:cs="Arial"/>
          <w:b/>
          <w:bCs/>
        </w:rPr>
      </w:pPr>
      <w:r w:rsidRPr="000A7B1B">
        <w:rPr>
          <w:rFonts w:ascii="Arial" w:hAnsi="Arial" w:cs="Arial"/>
          <w:b/>
          <w:bCs/>
        </w:rPr>
        <w:t>Corporate Culture</w:t>
      </w:r>
    </w:p>
    <w:p w14:paraId="20F47132" w14:textId="77777777" w:rsidR="000A7B1B" w:rsidRPr="000A7B1B" w:rsidRDefault="000A7B1B" w:rsidP="000A7B1B">
      <w:pPr>
        <w:spacing w:line="360" w:lineRule="auto"/>
        <w:jc w:val="both"/>
        <w:rPr>
          <w:rFonts w:ascii="Arial" w:hAnsi="Arial" w:cs="Arial"/>
        </w:rPr>
      </w:pPr>
      <w:r w:rsidRPr="000A7B1B">
        <w:rPr>
          <w:rFonts w:ascii="Arial" w:hAnsi="Arial" w:cs="Arial"/>
        </w:rPr>
        <w:t>Hyatt’s culture is defined by its focus on inclusivity, care, and sustainability. The company’s World of Care program demonstrates its commitment to supporting its employees, fostering community well-being, and minimizing its environmental footprint (Hyatt Hotels Corporation, 2023). Hyatt’s culture places a strong emphasis on employee well-being, which is critical in the hospitality industry, where employee turnover rates are often high. The company’s focus on inclusivity is also reinforced by its diversity and inclusion initiatives, which aim to create an open, supportive environment for all staff members.</w:t>
      </w:r>
    </w:p>
    <w:p w14:paraId="5CA750B2" w14:textId="37E16D9D" w:rsidR="000A7B1B" w:rsidRPr="000A7B1B" w:rsidRDefault="000A7B1B" w:rsidP="000A7B1B">
      <w:pPr>
        <w:spacing w:line="360" w:lineRule="auto"/>
        <w:jc w:val="both"/>
        <w:rPr>
          <w:rFonts w:ascii="Arial" w:hAnsi="Arial" w:cs="Arial"/>
        </w:rPr>
      </w:pPr>
      <w:r w:rsidRPr="000A7B1B">
        <w:rPr>
          <w:rFonts w:ascii="Arial" w:hAnsi="Arial" w:cs="Arial"/>
        </w:rPr>
        <w:t>As outlined by Hofstede (2001), Hyatt’s culture reflects a high degree of individualism and long-term orientation. Hyatt’s organi</w:t>
      </w:r>
      <w:r>
        <w:rPr>
          <w:rFonts w:ascii="Arial" w:hAnsi="Arial" w:cs="Arial"/>
        </w:rPr>
        <w:t>s</w:t>
      </w:r>
      <w:r w:rsidRPr="000A7B1B">
        <w:rPr>
          <w:rFonts w:ascii="Arial" w:hAnsi="Arial" w:cs="Arial"/>
        </w:rPr>
        <w:t>ational culture fosters individuality within its workforce while also encouraging long-term growth through initiatives that promote sustainability and employee engagement. This approach to culture helps enhance employee satisfaction and retention, which is vital in a sector with high employee turnover rates. Additionally, Hyatt’s culture positively impacts its brand, creating an authentic, welcoming environment that resonates with its guests.</w:t>
      </w:r>
    </w:p>
    <w:p w14:paraId="19CFAC16" w14:textId="7EA3F1F7" w:rsidR="000A7B1B" w:rsidRPr="000A7B1B" w:rsidRDefault="000A7B1B" w:rsidP="000A7B1B">
      <w:pPr>
        <w:spacing w:line="360" w:lineRule="auto"/>
        <w:jc w:val="both"/>
        <w:rPr>
          <w:rFonts w:ascii="Arial" w:hAnsi="Arial" w:cs="Arial"/>
          <w:b/>
          <w:bCs/>
        </w:rPr>
      </w:pPr>
      <w:r w:rsidRPr="000A7B1B">
        <w:rPr>
          <w:rFonts w:ascii="Arial" w:hAnsi="Arial" w:cs="Arial"/>
          <w:b/>
          <w:bCs/>
        </w:rPr>
        <w:t>Goals of the Organi</w:t>
      </w:r>
      <w:r>
        <w:rPr>
          <w:rFonts w:ascii="Arial" w:hAnsi="Arial" w:cs="Arial"/>
          <w:b/>
          <w:bCs/>
        </w:rPr>
        <w:t>s</w:t>
      </w:r>
      <w:r w:rsidRPr="000A7B1B">
        <w:rPr>
          <w:rFonts w:ascii="Arial" w:hAnsi="Arial" w:cs="Arial"/>
          <w:b/>
          <w:bCs/>
        </w:rPr>
        <w:t>ation</w:t>
      </w:r>
    </w:p>
    <w:p w14:paraId="4F097F4A" w14:textId="77777777" w:rsidR="000A7B1B" w:rsidRPr="000A7B1B" w:rsidRDefault="000A7B1B" w:rsidP="000A7B1B">
      <w:pPr>
        <w:spacing w:line="360" w:lineRule="auto"/>
        <w:jc w:val="both"/>
        <w:rPr>
          <w:rFonts w:ascii="Arial" w:hAnsi="Arial" w:cs="Arial"/>
        </w:rPr>
      </w:pPr>
      <w:r w:rsidRPr="000A7B1B">
        <w:rPr>
          <w:rFonts w:ascii="Arial" w:hAnsi="Arial" w:cs="Arial"/>
        </w:rPr>
        <w:t>At the corporate level, Hyatt’s primary goals include global expansion, luxury brand development, and a strong focus on sustainability. The company has made significant strides in expanding its global presence by acquiring luxury hotel groups such as Apple Leisure Group in 2021, which has significantly bolstered its presence in the all-inclusive resort market in regions like Mexico and the Caribbean (Hyatt Hotels Corporation, 2023). Hyatt’s goal to grow its market share in these regions is aligned with the broader hospitality industry trend of increasing demand for leisure and all-inclusive travel post-pandemic.</w:t>
      </w:r>
    </w:p>
    <w:p w14:paraId="3A6515AC" w14:textId="77777777" w:rsidR="000A7B1B" w:rsidRPr="000A7B1B" w:rsidRDefault="000A7B1B" w:rsidP="000A7B1B">
      <w:pPr>
        <w:spacing w:line="360" w:lineRule="auto"/>
        <w:jc w:val="both"/>
        <w:rPr>
          <w:rFonts w:ascii="Arial" w:hAnsi="Arial" w:cs="Arial"/>
        </w:rPr>
      </w:pPr>
      <w:r w:rsidRPr="000A7B1B">
        <w:rPr>
          <w:rFonts w:ascii="Arial" w:hAnsi="Arial" w:cs="Arial"/>
        </w:rPr>
        <w:lastRenderedPageBreak/>
        <w:t>At the property level, Hyatt’s goals revolve around providing exceptional guest experiences, maintaining high service standards, and incorporating sustainability initiatives into operations. The company’s decentralized structure allows individual hotels to set operational goals aligned with both corporate directives and local demands. This structure enables Hyatt to balance global strategies with regional customization, ensuring that each property can adapt to the needs of its clientele while maintaining the overarching brand values.</w:t>
      </w:r>
    </w:p>
    <w:p w14:paraId="52FD2E84" w14:textId="67F02013" w:rsidR="000A7B1B" w:rsidRPr="000A7B1B" w:rsidRDefault="000A7B1B" w:rsidP="000A7B1B">
      <w:pPr>
        <w:spacing w:line="360" w:lineRule="auto"/>
        <w:jc w:val="both"/>
        <w:rPr>
          <w:rFonts w:ascii="Arial" w:hAnsi="Arial" w:cs="Arial"/>
        </w:rPr>
      </w:pPr>
    </w:p>
    <w:p w14:paraId="55EE5F49" w14:textId="77777777" w:rsidR="000A7B1B" w:rsidRPr="000A7B1B" w:rsidRDefault="000A7B1B" w:rsidP="000A7B1B">
      <w:pPr>
        <w:spacing w:line="360" w:lineRule="auto"/>
        <w:jc w:val="both"/>
        <w:rPr>
          <w:rFonts w:ascii="Arial" w:hAnsi="Arial" w:cs="Arial"/>
          <w:b/>
          <w:bCs/>
        </w:rPr>
      </w:pPr>
      <w:r w:rsidRPr="000A7B1B">
        <w:rPr>
          <w:rFonts w:ascii="Arial" w:hAnsi="Arial" w:cs="Arial"/>
          <w:b/>
          <w:bCs/>
        </w:rPr>
        <w:t>Recent Change Initiatives</w:t>
      </w:r>
    </w:p>
    <w:p w14:paraId="34CA4B7D" w14:textId="77777777" w:rsidR="000A7B1B" w:rsidRPr="000A7B1B" w:rsidRDefault="000A7B1B" w:rsidP="000A7B1B">
      <w:pPr>
        <w:spacing w:line="360" w:lineRule="auto"/>
        <w:jc w:val="both"/>
        <w:rPr>
          <w:rFonts w:ascii="Arial" w:hAnsi="Arial" w:cs="Arial"/>
          <w:b/>
          <w:bCs/>
        </w:rPr>
      </w:pPr>
      <w:r w:rsidRPr="000A7B1B">
        <w:rPr>
          <w:rFonts w:ascii="Arial" w:hAnsi="Arial" w:cs="Arial"/>
          <w:b/>
          <w:bCs/>
        </w:rPr>
        <w:t>Identifying Initiatives</w:t>
      </w:r>
    </w:p>
    <w:p w14:paraId="4FBEB754" w14:textId="2F19D682" w:rsidR="000A7B1B" w:rsidRPr="000A7B1B" w:rsidRDefault="000A7B1B" w:rsidP="000A7B1B">
      <w:pPr>
        <w:spacing w:line="360" w:lineRule="auto"/>
        <w:jc w:val="both"/>
        <w:rPr>
          <w:rFonts w:ascii="Arial" w:hAnsi="Arial" w:cs="Arial"/>
        </w:rPr>
      </w:pPr>
      <w:r w:rsidRPr="000A7B1B">
        <w:rPr>
          <w:rFonts w:ascii="Arial" w:hAnsi="Arial" w:cs="Arial"/>
        </w:rPr>
        <w:t>A major recent initiative undertaken by Hyatt is its acquisition of Apple Leisure Group. This acquisition, which was finali</w:t>
      </w:r>
      <w:r>
        <w:rPr>
          <w:rFonts w:ascii="Arial" w:hAnsi="Arial" w:cs="Arial"/>
        </w:rPr>
        <w:t>s</w:t>
      </w:r>
      <w:r w:rsidRPr="000A7B1B">
        <w:rPr>
          <w:rFonts w:ascii="Arial" w:hAnsi="Arial" w:cs="Arial"/>
        </w:rPr>
        <w:t>ed in 2021, allows Hyatt to expand its presence in the luxury all-inclusive resort market, a high-growth sector in hospitality. By integrating Apple Leisure’s portfolio of luxury resorts into its own, Hyatt can leverage synergies in marketing, distribution, and customer loyalty programs. This strategic move represents a vertical integration strategy, which helps Hyatt reduce its reliance on third-party brands and enhances its control over the guest experience.</w:t>
      </w:r>
    </w:p>
    <w:p w14:paraId="628BDED7" w14:textId="77777777" w:rsidR="000A7B1B" w:rsidRPr="000A7B1B" w:rsidRDefault="000A7B1B" w:rsidP="000A7B1B">
      <w:pPr>
        <w:spacing w:line="360" w:lineRule="auto"/>
        <w:jc w:val="both"/>
        <w:rPr>
          <w:rFonts w:ascii="Arial" w:hAnsi="Arial" w:cs="Arial"/>
        </w:rPr>
      </w:pPr>
      <w:r w:rsidRPr="000A7B1B">
        <w:rPr>
          <w:rFonts w:ascii="Arial" w:hAnsi="Arial" w:cs="Arial"/>
        </w:rPr>
        <w:t>In addition to acquisitions, Hyatt has introduced the World of Care program, which focuses on integrating sustainable practices into the company's operations. This includes reducing water and energy usage, minimizing waste, and promoting sustainable sourcing. Hyatt has also committed to carbon neutrality in its operations by 2030, aligning with the growing demand for eco-friendly and responsible travel options among consumers (Jones and Comfort, 2021).</w:t>
      </w:r>
    </w:p>
    <w:p w14:paraId="2AF0C954" w14:textId="77777777" w:rsidR="000A7B1B" w:rsidRPr="000A7B1B" w:rsidRDefault="000A7B1B" w:rsidP="000A7B1B">
      <w:pPr>
        <w:spacing w:line="360" w:lineRule="auto"/>
        <w:jc w:val="both"/>
        <w:rPr>
          <w:rFonts w:ascii="Arial" w:hAnsi="Arial" w:cs="Arial"/>
          <w:b/>
          <w:bCs/>
        </w:rPr>
      </w:pPr>
      <w:r w:rsidRPr="000A7B1B">
        <w:rPr>
          <w:rFonts w:ascii="Arial" w:hAnsi="Arial" w:cs="Arial"/>
          <w:b/>
          <w:bCs/>
        </w:rPr>
        <w:t>Impact and Evaluation</w:t>
      </w:r>
    </w:p>
    <w:p w14:paraId="72687294" w14:textId="76CAF1DA" w:rsidR="000A7B1B" w:rsidRPr="000A7B1B" w:rsidRDefault="000A7B1B" w:rsidP="000A7B1B">
      <w:pPr>
        <w:spacing w:line="360" w:lineRule="auto"/>
        <w:jc w:val="both"/>
        <w:rPr>
          <w:rFonts w:ascii="Arial" w:hAnsi="Arial" w:cs="Arial"/>
        </w:rPr>
      </w:pPr>
      <w:r w:rsidRPr="000A7B1B">
        <w:rPr>
          <w:rFonts w:ascii="Arial" w:hAnsi="Arial" w:cs="Arial"/>
        </w:rPr>
        <w:t>The integration of Apple Leisure Group has allowed Hyatt to capitali</w:t>
      </w:r>
      <w:r>
        <w:rPr>
          <w:rFonts w:ascii="Arial" w:hAnsi="Arial" w:cs="Arial"/>
        </w:rPr>
        <w:t>s</w:t>
      </w:r>
      <w:r w:rsidRPr="000A7B1B">
        <w:rPr>
          <w:rFonts w:ascii="Arial" w:hAnsi="Arial" w:cs="Arial"/>
        </w:rPr>
        <w:t xml:space="preserve">e on the expanding leisure travel market, particularly in high-demand vacation destinations. By combining Hyatt’s luxury brand reputation with Apple Leisure’s all-inclusive offerings, Hyatt has been able to create a broader portfolio of services that appeal to diverse customer segments. However, this acquisition also poses significant challenges in terms of cultural integration, operational alignment, and maintaining service quality across a larger, more diverse portfolio. To effectively manage this change, Hyatt could </w:t>
      </w:r>
      <w:r w:rsidRPr="000A7B1B">
        <w:rPr>
          <w:rFonts w:ascii="Arial" w:hAnsi="Arial" w:cs="Arial"/>
        </w:rPr>
        <w:lastRenderedPageBreak/>
        <w:t>implement Kotter’s (1996) 8-Step Change Model, which includes establishing a sense of urgency, forming guiding coalitions, and generating short-term wins to demonstrate the benefits of the integration to both employees and customers.</w:t>
      </w:r>
    </w:p>
    <w:p w14:paraId="2C009A84" w14:textId="1E78C2EF" w:rsidR="000A7B1B" w:rsidRPr="000A7B1B" w:rsidRDefault="000A7B1B" w:rsidP="000A7B1B">
      <w:pPr>
        <w:spacing w:line="360" w:lineRule="auto"/>
        <w:jc w:val="both"/>
        <w:rPr>
          <w:rFonts w:ascii="Arial" w:hAnsi="Arial" w:cs="Arial"/>
        </w:rPr>
      </w:pPr>
      <w:r w:rsidRPr="000A7B1B">
        <w:rPr>
          <w:rFonts w:ascii="Arial" w:hAnsi="Arial" w:cs="Arial"/>
        </w:rPr>
        <w:t xml:space="preserve">The World of Care program, on the other hand, has had a positive impact on Hyatt’s brand image, helping to differentiate it as an environmentally responsible company. Hyatt’s focus on sustainability resonates with today’s eco-conscious </w:t>
      </w:r>
      <w:r w:rsidRPr="000A7B1B">
        <w:rPr>
          <w:rFonts w:ascii="Arial" w:hAnsi="Arial" w:cs="Arial"/>
        </w:rPr>
        <w:t>travellers</w:t>
      </w:r>
      <w:r w:rsidRPr="000A7B1B">
        <w:rPr>
          <w:rFonts w:ascii="Arial" w:hAnsi="Arial" w:cs="Arial"/>
        </w:rPr>
        <w:t xml:space="preserve">, as demonstrated by the growing demand for sustainable hospitality options. However, Hyatt needs to ensure that the sustainability initiatives are consistently implemented across all properties. This requires robust monitoring systems, as well as comprehensive training for staff on sustainability best practices. The company could benefit from Lewin’s (1947) change model, which emphasizes unfreezing existing practices, implementing new </w:t>
      </w:r>
      <w:r w:rsidRPr="000A7B1B">
        <w:rPr>
          <w:rFonts w:ascii="Arial" w:hAnsi="Arial" w:cs="Arial"/>
        </w:rPr>
        <w:t>behaviours</w:t>
      </w:r>
      <w:r w:rsidRPr="000A7B1B">
        <w:rPr>
          <w:rFonts w:ascii="Arial" w:hAnsi="Arial" w:cs="Arial"/>
        </w:rPr>
        <w:t>, and refreezing them as standard operating procedures.</w:t>
      </w:r>
    </w:p>
    <w:p w14:paraId="2E349272" w14:textId="020B7450" w:rsidR="000A7B1B" w:rsidRPr="000A7B1B" w:rsidRDefault="000A7B1B" w:rsidP="000A7B1B">
      <w:pPr>
        <w:spacing w:line="360" w:lineRule="auto"/>
        <w:jc w:val="both"/>
        <w:rPr>
          <w:rFonts w:ascii="Arial" w:hAnsi="Arial" w:cs="Arial"/>
        </w:rPr>
      </w:pPr>
    </w:p>
    <w:p w14:paraId="31E2E6BF" w14:textId="77777777" w:rsidR="000A7B1B" w:rsidRPr="000A7B1B" w:rsidRDefault="000A7B1B" w:rsidP="000A7B1B">
      <w:pPr>
        <w:spacing w:line="360" w:lineRule="auto"/>
        <w:jc w:val="both"/>
        <w:rPr>
          <w:rFonts w:ascii="Arial" w:hAnsi="Arial" w:cs="Arial"/>
          <w:b/>
          <w:bCs/>
        </w:rPr>
      </w:pPr>
      <w:r w:rsidRPr="000A7B1B">
        <w:rPr>
          <w:rFonts w:ascii="Arial" w:hAnsi="Arial" w:cs="Arial"/>
          <w:b/>
          <w:bCs/>
        </w:rPr>
        <w:t>Strategic Direction</w:t>
      </w:r>
    </w:p>
    <w:p w14:paraId="68BB043A" w14:textId="77777777" w:rsidR="000A7B1B" w:rsidRPr="000A7B1B" w:rsidRDefault="000A7B1B" w:rsidP="000A7B1B">
      <w:pPr>
        <w:spacing w:line="360" w:lineRule="auto"/>
        <w:jc w:val="both"/>
        <w:rPr>
          <w:rFonts w:ascii="Arial" w:hAnsi="Arial" w:cs="Arial"/>
          <w:b/>
          <w:bCs/>
        </w:rPr>
      </w:pPr>
      <w:r w:rsidRPr="000A7B1B">
        <w:rPr>
          <w:rFonts w:ascii="Arial" w:hAnsi="Arial" w:cs="Arial"/>
          <w:b/>
          <w:bCs/>
        </w:rPr>
        <w:t>Examination of Strategic Direction</w:t>
      </w:r>
    </w:p>
    <w:p w14:paraId="699E12EA" w14:textId="22F72333" w:rsidR="000A7B1B" w:rsidRPr="000A7B1B" w:rsidRDefault="000A7B1B" w:rsidP="000A7B1B">
      <w:pPr>
        <w:spacing w:line="360" w:lineRule="auto"/>
        <w:jc w:val="both"/>
        <w:rPr>
          <w:rFonts w:ascii="Arial" w:hAnsi="Arial" w:cs="Arial"/>
        </w:rPr>
      </w:pPr>
      <w:r w:rsidRPr="000A7B1B">
        <w:rPr>
          <w:rFonts w:ascii="Arial" w:hAnsi="Arial" w:cs="Arial"/>
        </w:rPr>
        <w:t>Hyatt’s current strategic direction is focused on expanding its footprint in the luxury and all-inclusive resort markets, leveraging acquisitions like the Apple Leisure Group purchase. Additionally, Hyatt is heavily investing in digital transformation to enhance guest experiences. This includes adopting AI-driven technologies for personali</w:t>
      </w:r>
      <w:r>
        <w:rPr>
          <w:rFonts w:ascii="Arial" w:hAnsi="Arial" w:cs="Arial"/>
        </w:rPr>
        <w:t>z</w:t>
      </w:r>
      <w:r w:rsidRPr="000A7B1B">
        <w:rPr>
          <w:rFonts w:ascii="Arial" w:hAnsi="Arial" w:cs="Arial"/>
        </w:rPr>
        <w:t>ed guest services, as well as using data analytics to tailor marketing and loyalty programs. Hyatt’s strategic direction is closely aligned with Porter’s (1985) competitive advantage theory, where differentiation through unique customer experiences, personalized services, and luxury offerings serves as the core competitive strategy.</w:t>
      </w:r>
    </w:p>
    <w:p w14:paraId="70487FC9" w14:textId="77777777" w:rsidR="000A7B1B" w:rsidRPr="000A7B1B" w:rsidRDefault="000A7B1B" w:rsidP="000A7B1B">
      <w:pPr>
        <w:spacing w:line="360" w:lineRule="auto"/>
        <w:jc w:val="both"/>
        <w:rPr>
          <w:rFonts w:ascii="Arial" w:hAnsi="Arial" w:cs="Arial"/>
        </w:rPr>
      </w:pPr>
      <w:r w:rsidRPr="000A7B1B">
        <w:rPr>
          <w:rFonts w:ascii="Arial" w:hAnsi="Arial" w:cs="Arial"/>
        </w:rPr>
        <w:t>Furthermore, Hyatt has focused on sustainability as a key strategic pillar, aiming to reduce its environmental impact and become a leader in responsible hospitality. This is in response to growing consumer demand for sustainable travel and aligns with the broader industry trend of adopting eco-friendly practices.</w:t>
      </w:r>
    </w:p>
    <w:p w14:paraId="1DEA7F7C" w14:textId="77777777" w:rsidR="000A7B1B" w:rsidRDefault="000A7B1B" w:rsidP="000A7B1B">
      <w:pPr>
        <w:spacing w:line="360" w:lineRule="auto"/>
        <w:jc w:val="both"/>
        <w:rPr>
          <w:rFonts w:ascii="Arial" w:hAnsi="Arial" w:cs="Arial"/>
          <w:b/>
          <w:bCs/>
        </w:rPr>
      </w:pPr>
    </w:p>
    <w:p w14:paraId="77766C34" w14:textId="77777777" w:rsidR="000A7B1B" w:rsidRDefault="000A7B1B" w:rsidP="000A7B1B">
      <w:pPr>
        <w:spacing w:line="360" w:lineRule="auto"/>
        <w:jc w:val="both"/>
        <w:rPr>
          <w:rFonts w:ascii="Arial" w:hAnsi="Arial" w:cs="Arial"/>
          <w:b/>
          <w:bCs/>
        </w:rPr>
      </w:pPr>
    </w:p>
    <w:p w14:paraId="285B27A0" w14:textId="4829678D" w:rsidR="000A7B1B" w:rsidRPr="000A7B1B" w:rsidRDefault="000A7B1B" w:rsidP="000A7B1B">
      <w:pPr>
        <w:spacing w:line="360" w:lineRule="auto"/>
        <w:jc w:val="both"/>
        <w:rPr>
          <w:rFonts w:ascii="Arial" w:hAnsi="Arial" w:cs="Arial"/>
          <w:b/>
          <w:bCs/>
        </w:rPr>
      </w:pPr>
      <w:r w:rsidRPr="000A7B1B">
        <w:rPr>
          <w:rFonts w:ascii="Arial" w:hAnsi="Arial" w:cs="Arial"/>
          <w:b/>
          <w:bCs/>
        </w:rPr>
        <w:lastRenderedPageBreak/>
        <w:t>Strategic Analysis</w:t>
      </w:r>
    </w:p>
    <w:p w14:paraId="4C0BE44A" w14:textId="77777777" w:rsidR="000A7B1B" w:rsidRPr="000A7B1B" w:rsidRDefault="000A7B1B" w:rsidP="000A7B1B">
      <w:pPr>
        <w:spacing w:line="360" w:lineRule="auto"/>
        <w:jc w:val="both"/>
        <w:rPr>
          <w:rFonts w:ascii="Arial" w:hAnsi="Arial" w:cs="Arial"/>
        </w:rPr>
      </w:pPr>
      <w:r w:rsidRPr="000A7B1B">
        <w:rPr>
          <w:rFonts w:ascii="Arial" w:hAnsi="Arial" w:cs="Arial"/>
        </w:rPr>
        <w:t xml:space="preserve">Hyatt’s strategy of pursuing acquisitions in the luxury and all-inclusive sectors allows it to capitalize on growth in high-demand leisure destinations. This strategy is differentiation-focused, </w:t>
      </w:r>
      <w:proofErr w:type="gramStart"/>
      <w:r w:rsidRPr="000A7B1B">
        <w:rPr>
          <w:rFonts w:ascii="Arial" w:hAnsi="Arial" w:cs="Arial"/>
        </w:rPr>
        <w:t>similar to</w:t>
      </w:r>
      <w:proofErr w:type="gramEnd"/>
      <w:r w:rsidRPr="000A7B1B">
        <w:rPr>
          <w:rFonts w:ascii="Arial" w:hAnsi="Arial" w:cs="Arial"/>
        </w:rPr>
        <w:t xml:space="preserve"> its competitor Marriott International, which has also expanded its luxury portfolio and adopted digital innovations to attract high-end customers (Marriott International, 2022). However, Hyatt’s approach to personalized guest experiences sets it apart from Marriott’s more standardized service offerings, aligning with Schilling’s (2020) theory of technological innovation and competitive advantage.</w:t>
      </w:r>
    </w:p>
    <w:p w14:paraId="7F41C970" w14:textId="42C17103" w:rsidR="000A7B1B" w:rsidRDefault="000A7B1B" w:rsidP="000A7B1B">
      <w:pPr>
        <w:spacing w:line="360" w:lineRule="auto"/>
        <w:jc w:val="both"/>
        <w:rPr>
          <w:rFonts w:ascii="Arial" w:hAnsi="Arial" w:cs="Arial"/>
        </w:rPr>
      </w:pPr>
      <w:r w:rsidRPr="000A7B1B">
        <w:rPr>
          <w:rFonts w:ascii="Arial" w:hAnsi="Arial" w:cs="Arial"/>
        </w:rPr>
        <w:t xml:space="preserve">The company’s focus on sustainability helps Hyatt maintain its competitive advantage, particularly among environmentally conscious </w:t>
      </w:r>
      <w:r w:rsidRPr="000A7B1B">
        <w:rPr>
          <w:rFonts w:ascii="Arial" w:hAnsi="Arial" w:cs="Arial"/>
        </w:rPr>
        <w:t>travellers</w:t>
      </w:r>
      <w:r w:rsidRPr="000A7B1B">
        <w:rPr>
          <w:rFonts w:ascii="Arial" w:hAnsi="Arial" w:cs="Arial"/>
        </w:rPr>
        <w:t>. However, operational efficiency remains a key challenge, particularly when it comes to ensuring that sustainability goals are met across diverse regions. Hyatt could implement Slack et al.'s (2010) operational management theories to standardize sustainability practices across its properties, ensuring consistency and reducing inefficiencies.</w:t>
      </w:r>
    </w:p>
    <w:p w14:paraId="3FCDA193" w14:textId="50A08EB0" w:rsidR="000A7B1B" w:rsidRPr="000A7B1B" w:rsidRDefault="000A7B1B" w:rsidP="000A7B1B">
      <w:pPr>
        <w:spacing w:line="360" w:lineRule="auto"/>
        <w:jc w:val="both"/>
        <w:rPr>
          <w:rFonts w:ascii="Arial" w:hAnsi="Arial" w:cs="Arial"/>
          <w:b/>
          <w:bCs/>
        </w:rPr>
      </w:pPr>
      <w:r w:rsidRPr="000A7B1B">
        <w:rPr>
          <w:rFonts w:ascii="Arial" w:hAnsi="Arial" w:cs="Arial"/>
          <w:b/>
          <w:bCs/>
        </w:rPr>
        <w:t>Conclusion</w:t>
      </w:r>
    </w:p>
    <w:p w14:paraId="3E389AA7" w14:textId="64039514" w:rsidR="000A7B1B" w:rsidRPr="000A7B1B" w:rsidRDefault="000A7B1B" w:rsidP="000A7B1B">
      <w:pPr>
        <w:spacing w:line="360" w:lineRule="auto"/>
        <w:jc w:val="both"/>
        <w:rPr>
          <w:rFonts w:ascii="Arial" w:hAnsi="Arial" w:cs="Arial"/>
        </w:rPr>
      </w:pPr>
      <w:r w:rsidRPr="000A7B1B">
        <w:rPr>
          <w:rFonts w:ascii="Arial" w:hAnsi="Arial" w:cs="Arial"/>
        </w:rPr>
        <w:t>In summary, Hyatt Hotels Corporation demonstrates a strong commitment to maintaining a competitive edge in the global hospitality industry through strategic acquisitions, a focus on corporate social responsibility (CSR), and the prioriti</w:t>
      </w:r>
      <w:r>
        <w:rPr>
          <w:rFonts w:ascii="Arial" w:hAnsi="Arial" w:cs="Arial"/>
        </w:rPr>
        <w:t>z</w:t>
      </w:r>
      <w:r w:rsidRPr="000A7B1B">
        <w:rPr>
          <w:rFonts w:ascii="Arial" w:hAnsi="Arial" w:cs="Arial"/>
        </w:rPr>
        <w:t>ation of guest experience and employee well-being. By adopting a decentralized organi</w:t>
      </w:r>
      <w:r>
        <w:rPr>
          <w:rFonts w:ascii="Arial" w:hAnsi="Arial" w:cs="Arial"/>
        </w:rPr>
        <w:t>s</w:t>
      </w:r>
      <w:r w:rsidRPr="000A7B1B">
        <w:rPr>
          <w:rFonts w:ascii="Arial" w:hAnsi="Arial" w:cs="Arial"/>
        </w:rPr>
        <w:t>ational structure, Hyatt enables greater flexibility at the hotel level, allowing individual hotels to tailor their approaches to local markets. This flexibility, paired with a cohesive corporate culture centred on care and inclusion, supports the company’s goals of delivering exceptional service and maintaining a high standard of operational excellence across its properties.</w:t>
      </w:r>
    </w:p>
    <w:p w14:paraId="1C91D6EE" w14:textId="77777777" w:rsidR="000A7B1B" w:rsidRPr="000A7B1B" w:rsidRDefault="000A7B1B" w:rsidP="000A7B1B">
      <w:pPr>
        <w:spacing w:line="360" w:lineRule="auto"/>
        <w:jc w:val="both"/>
        <w:rPr>
          <w:rFonts w:ascii="Arial" w:hAnsi="Arial" w:cs="Arial"/>
        </w:rPr>
      </w:pPr>
      <w:r w:rsidRPr="000A7B1B">
        <w:rPr>
          <w:rFonts w:ascii="Arial" w:hAnsi="Arial" w:cs="Arial"/>
        </w:rPr>
        <w:t xml:space="preserve">Hyatt's recent change initiatives, particularly its acquisition of Apple Leisure Group, reflect the company’s ambition to expand its portfolio and improve market positioning. This acquisition allows Hyatt to penetrate the luxury all-inclusive resort market, appealing to a broader demographic while leveraging economies of scale. Moreover, Hyatt’s </w:t>
      </w:r>
      <w:r w:rsidRPr="000A7B1B">
        <w:rPr>
          <w:rFonts w:ascii="Arial" w:hAnsi="Arial" w:cs="Arial"/>
          <w:i/>
          <w:iCs/>
        </w:rPr>
        <w:t>World of Care</w:t>
      </w:r>
      <w:r w:rsidRPr="000A7B1B">
        <w:rPr>
          <w:rFonts w:ascii="Arial" w:hAnsi="Arial" w:cs="Arial"/>
        </w:rPr>
        <w:t xml:space="preserve"> CSR initiative exemplifies its commitment to sustainability and social impact, aligning with the increasing consumer demand for environmentally responsible practices. These change initiatives not only contribute to Hyatt’s financial </w:t>
      </w:r>
      <w:r w:rsidRPr="000A7B1B">
        <w:rPr>
          <w:rFonts w:ascii="Arial" w:hAnsi="Arial" w:cs="Arial"/>
        </w:rPr>
        <w:lastRenderedPageBreak/>
        <w:t>growth but also enhance its brand image, appealing to socially conscious guests and investors alike.</w:t>
      </w:r>
    </w:p>
    <w:p w14:paraId="21EF2F45" w14:textId="77777777" w:rsidR="000A7B1B" w:rsidRPr="000A7B1B" w:rsidRDefault="000A7B1B" w:rsidP="000A7B1B">
      <w:pPr>
        <w:spacing w:line="360" w:lineRule="auto"/>
        <w:jc w:val="both"/>
        <w:rPr>
          <w:rFonts w:ascii="Arial" w:hAnsi="Arial" w:cs="Arial"/>
        </w:rPr>
      </w:pPr>
      <w:r w:rsidRPr="000A7B1B">
        <w:rPr>
          <w:rFonts w:ascii="Arial" w:hAnsi="Arial" w:cs="Arial"/>
        </w:rPr>
        <w:t>However, despite these successes, Hyatt faces challenges in sustaining its competitive advantage. The hospitality industry is highly dynamic and subject to fluctuations in consumer preferences, technological advancements, and regulatory changes. Furthermore, while Hyatt has made notable strides in implementing sustainable practices, there is room for improvement in setting measurable goals and ensuring consistent environmental practices across all properties.</w:t>
      </w:r>
    </w:p>
    <w:p w14:paraId="6FF5367E" w14:textId="77777777" w:rsidR="000A7B1B" w:rsidRPr="000A7B1B" w:rsidRDefault="000A7B1B" w:rsidP="000A7B1B">
      <w:pPr>
        <w:spacing w:line="360" w:lineRule="auto"/>
        <w:jc w:val="both"/>
        <w:rPr>
          <w:rFonts w:ascii="Arial" w:hAnsi="Arial" w:cs="Arial"/>
        </w:rPr>
      </w:pPr>
      <w:r w:rsidRPr="000A7B1B">
        <w:rPr>
          <w:rFonts w:ascii="Arial" w:hAnsi="Arial" w:cs="Arial"/>
        </w:rPr>
        <w:t>Moving forward, Hyatt should focus on deepening its commitment to sustainability, which could include expanding carbon-neutral initiatives, investing in renewable energy sources, and engaging guests in sustainability efforts. Embracing more advanced technology, such as AI-driven customer service tools and data analytics, would enhance personalization and operational efficiency, further distinguishing Hyatt’s brand in the luxury hospitality market.</w:t>
      </w:r>
    </w:p>
    <w:p w14:paraId="2D38641B" w14:textId="77777777" w:rsidR="000A7B1B" w:rsidRPr="000A7B1B" w:rsidRDefault="000A7B1B" w:rsidP="000A7B1B">
      <w:pPr>
        <w:spacing w:line="360" w:lineRule="auto"/>
        <w:jc w:val="both"/>
        <w:rPr>
          <w:rFonts w:ascii="Arial" w:hAnsi="Arial" w:cs="Arial"/>
        </w:rPr>
      </w:pPr>
      <w:r w:rsidRPr="000A7B1B">
        <w:rPr>
          <w:rFonts w:ascii="Arial" w:hAnsi="Arial" w:cs="Arial"/>
        </w:rPr>
        <w:t>In conclusion, Hyatt’s strategic direction has been largely successful, yet continuous adaptation and refinement of its initiatives are essential for sustained growth. By reinforcing its sustainable practices, leveraging technology, and investing in employee development, Hyatt can maintain its leadership in the hospitality industry and achieve long-term success, aligning with both corporate objectives and stakeholder expectations.</w:t>
      </w:r>
    </w:p>
    <w:p w14:paraId="534D61D4" w14:textId="77777777" w:rsidR="000A7B1B" w:rsidRPr="000A7B1B" w:rsidRDefault="000A7B1B" w:rsidP="000A7B1B">
      <w:pPr>
        <w:spacing w:line="360" w:lineRule="auto"/>
        <w:jc w:val="both"/>
        <w:rPr>
          <w:rFonts w:ascii="Arial" w:hAnsi="Arial" w:cs="Arial"/>
          <w:b/>
          <w:bCs/>
        </w:rPr>
      </w:pPr>
      <w:r w:rsidRPr="000A7B1B">
        <w:rPr>
          <w:rFonts w:ascii="Arial" w:hAnsi="Arial" w:cs="Arial"/>
          <w:b/>
          <w:bCs/>
        </w:rPr>
        <w:t>Recommendations</w:t>
      </w:r>
    </w:p>
    <w:p w14:paraId="5AAEDB8E" w14:textId="77777777" w:rsidR="000A7B1B" w:rsidRPr="000A7B1B" w:rsidRDefault="000A7B1B" w:rsidP="000A7B1B">
      <w:pPr>
        <w:numPr>
          <w:ilvl w:val="0"/>
          <w:numId w:val="3"/>
        </w:numPr>
        <w:spacing w:line="360" w:lineRule="auto"/>
        <w:jc w:val="both"/>
        <w:rPr>
          <w:rFonts w:ascii="Arial" w:hAnsi="Arial" w:cs="Arial"/>
        </w:rPr>
      </w:pPr>
      <w:r w:rsidRPr="000A7B1B">
        <w:rPr>
          <w:rFonts w:ascii="Arial" w:hAnsi="Arial" w:cs="Arial"/>
        </w:rPr>
        <w:t>Enhance Post-Acquisition Integration: Hyatt should continue to strengthen its integration strategies for acquisitions. By applying Kotter’s (1996) change model, Hyatt can manage cultural differences and operational alignments more effectively, ensuring that new acquisitions align with the company’s values and brand standards.</w:t>
      </w:r>
    </w:p>
    <w:p w14:paraId="0129B2C0" w14:textId="77777777" w:rsidR="000A7B1B" w:rsidRPr="000A7B1B" w:rsidRDefault="000A7B1B" w:rsidP="000A7B1B">
      <w:pPr>
        <w:numPr>
          <w:ilvl w:val="0"/>
          <w:numId w:val="3"/>
        </w:numPr>
        <w:spacing w:line="360" w:lineRule="auto"/>
        <w:jc w:val="both"/>
        <w:rPr>
          <w:rFonts w:ascii="Arial" w:hAnsi="Arial" w:cs="Arial"/>
        </w:rPr>
      </w:pPr>
      <w:r w:rsidRPr="000A7B1B">
        <w:rPr>
          <w:rFonts w:ascii="Arial" w:hAnsi="Arial" w:cs="Arial"/>
        </w:rPr>
        <w:t xml:space="preserve">Standardize Sustainability Metrics: Hyatt should implement a comprehensive sustainability metric system that is standardized across all properties. This could include energy usage targets, waste reduction goals, and water conservation metrics. Properties that achieve these targets could be rewarded </w:t>
      </w:r>
      <w:r w:rsidRPr="000A7B1B">
        <w:rPr>
          <w:rFonts w:ascii="Arial" w:hAnsi="Arial" w:cs="Arial"/>
        </w:rPr>
        <w:lastRenderedPageBreak/>
        <w:t>with incentives, motivating staff and improving Hyatt’s reputation as an environmentally responsible brand.</w:t>
      </w:r>
    </w:p>
    <w:p w14:paraId="37BB3343" w14:textId="77777777" w:rsidR="000A7B1B" w:rsidRPr="000A7B1B" w:rsidRDefault="000A7B1B" w:rsidP="000A7B1B">
      <w:pPr>
        <w:numPr>
          <w:ilvl w:val="0"/>
          <w:numId w:val="3"/>
        </w:numPr>
        <w:spacing w:line="360" w:lineRule="auto"/>
        <w:jc w:val="both"/>
        <w:rPr>
          <w:rFonts w:ascii="Arial" w:hAnsi="Arial" w:cs="Arial"/>
        </w:rPr>
      </w:pPr>
      <w:r w:rsidRPr="000A7B1B">
        <w:rPr>
          <w:rFonts w:ascii="Arial" w:hAnsi="Arial" w:cs="Arial"/>
        </w:rPr>
        <w:t>Leverage Technology for Personalized Guest Experiences: Hyatt should invest further in AI-driven customer service tools and data analytics to provide personalized experiences. These tools can offer guests tailored recommendations and seamless services, enhancing customer loyalty and providing a competitive edge over other luxury brands.</w:t>
      </w:r>
    </w:p>
    <w:p w14:paraId="23AA5E12" w14:textId="77777777" w:rsidR="000A7B1B" w:rsidRPr="000A7B1B" w:rsidRDefault="000A7B1B" w:rsidP="000A7B1B">
      <w:pPr>
        <w:numPr>
          <w:ilvl w:val="0"/>
          <w:numId w:val="3"/>
        </w:numPr>
        <w:spacing w:line="360" w:lineRule="auto"/>
        <w:jc w:val="both"/>
        <w:rPr>
          <w:rFonts w:ascii="Arial" w:hAnsi="Arial" w:cs="Arial"/>
        </w:rPr>
      </w:pPr>
      <w:r w:rsidRPr="000A7B1B">
        <w:rPr>
          <w:rFonts w:ascii="Arial" w:hAnsi="Arial" w:cs="Arial"/>
        </w:rPr>
        <w:t>Foster Employee Engagement: Hyatt should continue its focus on employee well-being, ensuring that training programs are standardized across regions to provide a consistent service. Additionally, creating more career development opportunities within the company can help reduce turnover rates and improve customer service.</w:t>
      </w:r>
    </w:p>
    <w:p w14:paraId="2102B71F" w14:textId="58E594B7" w:rsidR="000A7B1B" w:rsidRDefault="000A7B1B" w:rsidP="00D8037E">
      <w:pPr>
        <w:spacing w:line="360" w:lineRule="auto"/>
        <w:jc w:val="both"/>
        <w:rPr>
          <w:rFonts w:ascii="Arial" w:hAnsi="Arial" w:cs="Arial"/>
        </w:rPr>
      </w:pPr>
    </w:p>
    <w:p w14:paraId="7A871C4D" w14:textId="77777777" w:rsidR="000A7B1B" w:rsidRDefault="000A7B1B">
      <w:pPr>
        <w:rPr>
          <w:rFonts w:ascii="Arial" w:hAnsi="Arial" w:cs="Arial"/>
        </w:rPr>
      </w:pPr>
      <w:r>
        <w:rPr>
          <w:rFonts w:ascii="Arial" w:hAnsi="Arial" w:cs="Arial"/>
        </w:rPr>
        <w:br w:type="page"/>
      </w:r>
    </w:p>
    <w:p w14:paraId="48EFD744" w14:textId="77777777" w:rsidR="000A7B1B" w:rsidRPr="000A7B1B" w:rsidRDefault="000A7B1B" w:rsidP="000A7B1B">
      <w:pPr>
        <w:spacing w:line="360" w:lineRule="auto"/>
        <w:jc w:val="both"/>
        <w:rPr>
          <w:rFonts w:ascii="Arial" w:hAnsi="Arial" w:cs="Arial"/>
          <w:b/>
          <w:bCs/>
        </w:rPr>
      </w:pPr>
      <w:r w:rsidRPr="000A7B1B">
        <w:rPr>
          <w:rFonts w:ascii="Arial" w:hAnsi="Arial" w:cs="Arial"/>
          <w:b/>
          <w:bCs/>
        </w:rPr>
        <w:lastRenderedPageBreak/>
        <w:t>Reference List</w:t>
      </w:r>
    </w:p>
    <w:p w14:paraId="34223162" w14:textId="77777777" w:rsidR="000A7B1B" w:rsidRPr="000A7B1B" w:rsidRDefault="000A7B1B" w:rsidP="000A7B1B">
      <w:pPr>
        <w:pStyle w:val="ListParagraph"/>
        <w:numPr>
          <w:ilvl w:val="0"/>
          <w:numId w:val="4"/>
        </w:numPr>
        <w:spacing w:line="360" w:lineRule="auto"/>
        <w:jc w:val="both"/>
        <w:rPr>
          <w:rFonts w:ascii="Arial" w:hAnsi="Arial" w:cs="Arial"/>
        </w:rPr>
      </w:pPr>
      <w:r w:rsidRPr="000A7B1B">
        <w:rPr>
          <w:rFonts w:ascii="Arial" w:hAnsi="Arial" w:cs="Arial"/>
        </w:rPr>
        <w:t xml:space="preserve">Barney, J.B., 1991. Firm Resources and Sustained Competitive Advantage. </w:t>
      </w:r>
      <w:r w:rsidRPr="000A7B1B">
        <w:rPr>
          <w:rFonts w:ascii="Arial" w:hAnsi="Arial" w:cs="Arial"/>
          <w:i/>
          <w:iCs/>
        </w:rPr>
        <w:t>Journal of Management</w:t>
      </w:r>
      <w:r w:rsidRPr="000A7B1B">
        <w:rPr>
          <w:rFonts w:ascii="Arial" w:hAnsi="Arial" w:cs="Arial"/>
        </w:rPr>
        <w:t>, 17(1), pp. 99-120.</w:t>
      </w:r>
    </w:p>
    <w:p w14:paraId="1ECD42BD" w14:textId="77777777" w:rsidR="000A7B1B" w:rsidRPr="000A7B1B" w:rsidRDefault="000A7B1B" w:rsidP="000A7B1B">
      <w:pPr>
        <w:pStyle w:val="ListParagraph"/>
        <w:numPr>
          <w:ilvl w:val="0"/>
          <w:numId w:val="4"/>
        </w:numPr>
        <w:spacing w:line="360" w:lineRule="auto"/>
        <w:jc w:val="both"/>
        <w:rPr>
          <w:rFonts w:ascii="Arial" w:hAnsi="Arial" w:cs="Arial"/>
        </w:rPr>
      </w:pPr>
      <w:r w:rsidRPr="000A7B1B">
        <w:rPr>
          <w:rFonts w:ascii="Arial" w:hAnsi="Arial" w:cs="Arial"/>
        </w:rPr>
        <w:t xml:space="preserve">Butler, R., 1980. The Concept of a Tourist Area Cycle of Evolution: Implications for Management of Resources. </w:t>
      </w:r>
      <w:r w:rsidRPr="000A7B1B">
        <w:rPr>
          <w:rFonts w:ascii="Arial" w:hAnsi="Arial" w:cs="Arial"/>
          <w:i/>
          <w:iCs/>
        </w:rPr>
        <w:t>Canadian Geographer</w:t>
      </w:r>
      <w:r w:rsidRPr="000A7B1B">
        <w:rPr>
          <w:rFonts w:ascii="Arial" w:hAnsi="Arial" w:cs="Arial"/>
        </w:rPr>
        <w:t>, 24(1), pp. 5-12.</w:t>
      </w:r>
    </w:p>
    <w:p w14:paraId="438600BC" w14:textId="77777777" w:rsidR="000A7B1B" w:rsidRPr="000A7B1B" w:rsidRDefault="000A7B1B" w:rsidP="000A7B1B">
      <w:pPr>
        <w:pStyle w:val="ListParagraph"/>
        <w:numPr>
          <w:ilvl w:val="0"/>
          <w:numId w:val="4"/>
        </w:numPr>
        <w:spacing w:line="360" w:lineRule="auto"/>
        <w:jc w:val="both"/>
        <w:rPr>
          <w:rFonts w:ascii="Arial" w:hAnsi="Arial" w:cs="Arial"/>
        </w:rPr>
      </w:pPr>
      <w:r w:rsidRPr="000A7B1B">
        <w:rPr>
          <w:rFonts w:ascii="Arial" w:hAnsi="Arial" w:cs="Arial"/>
        </w:rPr>
        <w:t xml:space="preserve">Doxey, G.V., 1975. A Causation Theory of Visitor-Resident Irritants: Methodology and Research Inferences. </w:t>
      </w:r>
      <w:r w:rsidRPr="000A7B1B">
        <w:rPr>
          <w:rFonts w:ascii="Arial" w:hAnsi="Arial" w:cs="Arial"/>
          <w:i/>
          <w:iCs/>
        </w:rPr>
        <w:t>Travel and Tourism Research Association Sixth Annual Conference Proceedings</w:t>
      </w:r>
      <w:r w:rsidRPr="000A7B1B">
        <w:rPr>
          <w:rFonts w:ascii="Arial" w:hAnsi="Arial" w:cs="Arial"/>
        </w:rPr>
        <w:t>, pp. 195-198.</w:t>
      </w:r>
    </w:p>
    <w:p w14:paraId="06D70F5B" w14:textId="77777777" w:rsidR="000A7B1B" w:rsidRPr="000A7B1B" w:rsidRDefault="000A7B1B" w:rsidP="000A7B1B">
      <w:pPr>
        <w:pStyle w:val="ListParagraph"/>
        <w:numPr>
          <w:ilvl w:val="0"/>
          <w:numId w:val="4"/>
        </w:numPr>
        <w:spacing w:line="360" w:lineRule="auto"/>
        <w:jc w:val="both"/>
        <w:rPr>
          <w:rFonts w:ascii="Arial" w:hAnsi="Arial" w:cs="Arial"/>
        </w:rPr>
      </w:pPr>
      <w:r w:rsidRPr="000A7B1B">
        <w:rPr>
          <w:rFonts w:ascii="Arial" w:hAnsi="Arial" w:cs="Arial"/>
        </w:rPr>
        <w:t xml:space="preserve">Gilligan, C. and Wilson, R.M.S., 2009. </w:t>
      </w:r>
      <w:r w:rsidRPr="000A7B1B">
        <w:rPr>
          <w:rFonts w:ascii="Arial" w:hAnsi="Arial" w:cs="Arial"/>
          <w:i/>
          <w:iCs/>
        </w:rPr>
        <w:t>Strategic Marketing Planning</w:t>
      </w:r>
      <w:r w:rsidRPr="000A7B1B">
        <w:rPr>
          <w:rFonts w:ascii="Arial" w:hAnsi="Arial" w:cs="Arial"/>
        </w:rPr>
        <w:t>. Oxford: Elsevier.</w:t>
      </w:r>
    </w:p>
    <w:p w14:paraId="0374CE7C" w14:textId="77777777" w:rsidR="000A7B1B" w:rsidRPr="000A7B1B" w:rsidRDefault="000A7B1B" w:rsidP="000A7B1B">
      <w:pPr>
        <w:pStyle w:val="ListParagraph"/>
        <w:numPr>
          <w:ilvl w:val="0"/>
          <w:numId w:val="4"/>
        </w:numPr>
        <w:spacing w:line="360" w:lineRule="auto"/>
        <w:jc w:val="both"/>
        <w:rPr>
          <w:rFonts w:ascii="Arial" w:hAnsi="Arial" w:cs="Arial"/>
        </w:rPr>
      </w:pPr>
      <w:r w:rsidRPr="000A7B1B">
        <w:rPr>
          <w:rFonts w:ascii="Arial" w:hAnsi="Arial" w:cs="Arial"/>
        </w:rPr>
        <w:t xml:space="preserve">Grant, R.M., 2010. </w:t>
      </w:r>
      <w:r w:rsidRPr="000A7B1B">
        <w:rPr>
          <w:rFonts w:ascii="Arial" w:hAnsi="Arial" w:cs="Arial"/>
          <w:i/>
          <w:iCs/>
        </w:rPr>
        <w:t>Contemporary Strategy Analysis</w:t>
      </w:r>
      <w:r w:rsidRPr="000A7B1B">
        <w:rPr>
          <w:rFonts w:ascii="Arial" w:hAnsi="Arial" w:cs="Arial"/>
        </w:rPr>
        <w:t>. 7th ed. Chichester: Wiley.</w:t>
      </w:r>
    </w:p>
    <w:p w14:paraId="332215E8" w14:textId="77777777" w:rsidR="000A7B1B" w:rsidRPr="000A7B1B" w:rsidRDefault="000A7B1B" w:rsidP="000A7B1B">
      <w:pPr>
        <w:pStyle w:val="ListParagraph"/>
        <w:numPr>
          <w:ilvl w:val="0"/>
          <w:numId w:val="4"/>
        </w:numPr>
        <w:spacing w:line="360" w:lineRule="auto"/>
        <w:jc w:val="both"/>
        <w:rPr>
          <w:rFonts w:ascii="Arial" w:hAnsi="Arial" w:cs="Arial"/>
        </w:rPr>
      </w:pPr>
      <w:r w:rsidRPr="000A7B1B">
        <w:rPr>
          <w:rFonts w:ascii="Arial" w:hAnsi="Arial" w:cs="Arial"/>
        </w:rPr>
        <w:t xml:space="preserve">Hofstede, G., 2001. </w:t>
      </w:r>
      <w:r w:rsidRPr="000A7B1B">
        <w:rPr>
          <w:rFonts w:ascii="Arial" w:hAnsi="Arial" w:cs="Arial"/>
          <w:i/>
          <w:iCs/>
        </w:rPr>
        <w:t xml:space="preserve">Culture’s Consequences: Comparing Values, </w:t>
      </w:r>
      <w:proofErr w:type="spellStart"/>
      <w:r w:rsidRPr="000A7B1B">
        <w:rPr>
          <w:rFonts w:ascii="Arial" w:hAnsi="Arial" w:cs="Arial"/>
          <w:i/>
          <w:iCs/>
        </w:rPr>
        <w:t>Behaviors</w:t>
      </w:r>
      <w:proofErr w:type="spellEnd"/>
      <w:r w:rsidRPr="000A7B1B">
        <w:rPr>
          <w:rFonts w:ascii="Arial" w:hAnsi="Arial" w:cs="Arial"/>
          <w:i/>
          <w:iCs/>
        </w:rPr>
        <w:t>, Institutions, and Organizations Across Nations</w:t>
      </w:r>
      <w:r w:rsidRPr="000A7B1B">
        <w:rPr>
          <w:rFonts w:ascii="Arial" w:hAnsi="Arial" w:cs="Arial"/>
        </w:rPr>
        <w:t>. 2nd ed. Thousand Oaks, CA: Sage.</w:t>
      </w:r>
    </w:p>
    <w:p w14:paraId="3DAF3B39" w14:textId="77777777" w:rsidR="000A7B1B" w:rsidRPr="000A7B1B" w:rsidRDefault="000A7B1B" w:rsidP="000A7B1B">
      <w:pPr>
        <w:pStyle w:val="ListParagraph"/>
        <w:numPr>
          <w:ilvl w:val="0"/>
          <w:numId w:val="4"/>
        </w:numPr>
        <w:spacing w:line="360" w:lineRule="auto"/>
        <w:jc w:val="both"/>
        <w:rPr>
          <w:rFonts w:ascii="Arial" w:hAnsi="Arial" w:cs="Arial"/>
        </w:rPr>
      </w:pPr>
      <w:r w:rsidRPr="000A7B1B">
        <w:rPr>
          <w:rFonts w:ascii="Arial" w:hAnsi="Arial" w:cs="Arial"/>
        </w:rPr>
        <w:t xml:space="preserve">Hyatt Hotels Corporation, 2023. Expansion Through Acquisition: Apple Leisure Group. Available at: </w:t>
      </w:r>
      <w:hyperlink r:id="rId11" w:tgtFrame="_new" w:history="1">
        <w:r w:rsidRPr="000A7B1B">
          <w:rPr>
            <w:rStyle w:val="Hyperlink"/>
            <w:rFonts w:ascii="Arial" w:hAnsi="Arial" w:cs="Arial"/>
          </w:rPr>
          <w:t>https://investors.hyatt.com</w:t>
        </w:r>
      </w:hyperlink>
      <w:r w:rsidRPr="000A7B1B">
        <w:rPr>
          <w:rFonts w:ascii="Arial" w:hAnsi="Arial" w:cs="Arial"/>
        </w:rPr>
        <w:t xml:space="preserve"> [Accessed 4 November 2024].</w:t>
      </w:r>
    </w:p>
    <w:p w14:paraId="067FE0AA" w14:textId="77777777" w:rsidR="000A7B1B" w:rsidRPr="000A7B1B" w:rsidRDefault="000A7B1B" w:rsidP="000A7B1B">
      <w:pPr>
        <w:pStyle w:val="ListParagraph"/>
        <w:numPr>
          <w:ilvl w:val="0"/>
          <w:numId w:val="4"/>
        </w:numPr>
        <w:spacing w:line="360" w:lineRule="auto"/>
        <w:jc w:val="both"/>
        <w:rPr>
          <w:rFonts w:ascii="Arial" w:hAnsi="Arial" w:cs="Arial"/>
        </w:rPr>
      </w:pPr>
      <w:r w:rsidRPr="000A7B1B">
        <w:rPr>
          <w:rFonts w:ascii="Arial" w:hAnsi="Arial" w:cs="Arial"/>
        </w:rPr>
        <w:t xml:space="preserve">Hyatt Hotels Corporation, 2023. World of Care: Corporate Responsibility Report. Available at: </w:t>
      </w:r>
      <w:hyperlink r:id="rId12" w:tgtFrame="_new" w:history="1">
        <w:r w:rsidRPr="000A7B1B">
          <w:rPr>
            <w:rStyle w:val="Hyperlink"/>
            <w:rFonts w:ascii="Arial" w:hAnsi="Arial" w:cs="Arial"/>
          </w:rPr>
          <w:t>https://hyatt.com/world-of-care/en-US</w:t>
        </w:r>
      </w:hyperlink>
      <w:r w:rsidRPr="000A7B1B">
        <w:rPr>
          <w:rFonts w:ascii="Arial" w:hAnsi="Arial" w:cs="Arial"/>
        </w:rPr>
        <w:t xml:space="preserve"> [Accessed 4 November 2024].</w:t>
      </w:r>
    </w:p>
    <w:p w14:paraId="72DA7CE5" w14:textId="77777777" w:rsidR="000A7B1B" w:rsidRPr="000A7B1B" w:rsidRDefault="000A7B1B" w:rsidP="000A7B1B">
      <w:pPr>
        <w:pStyle w:val="ListParagraph"/>
        <w:numPr>
          <w:ilvl w:val="0"/>
          <w:numId w:val="4"/>
        </w:numPr>
        <w:spacing w:line="360" w:lineRule="auto"/>
        <w:jc w:val="both"/>
        <w:rPr>
          <w:rFonts w:ascii="Arial" w:hAnsi="Arial" w:cs="Arial"/>
        </w:rPr>
      </w:pPr>
      <w:r w:rsidRPr="000A7B1B">
        <w:rPr>
          <w:rFonts w:ascii="Arial" w:hAnsi="Arial" w:cs="Arial"/>
        </w:rPr>
        <w:t xml:space="preserve">Jones, P. and Comfort, D., 2021. The Role of Corporate Social Responsibility in the Hospitality Sector. </w:t>
      </w:r>
      <w:r w:rsidRPr="000A7B1B">
        <w:rPr>
          <w:rFonts w:ascii="Arial" w:hAnsi="Arial" w:cs="Arial"/>
          <w:i/>
          <w:iCs/>
        </w:rPr>
        <w:t>Journal of Hospitality Management and Tourism</w:t>
      </w:r>
      <w:r w:rsidRPr="000A7B1B">
        <w:rPr>
          <w:rFonts w:ascii="Arial" w:hAnsi="Arial" w:cs="Arial"/>
        </w:rPr>
        <w:t>, 12(1), pp. 1-9.</w:t>
      </w:r>
    </w:p>
    <w:p w14:paraId="42F664A9" w14:textId="77777777" w:rsidR="000A7B1B" w:rsidRPr="000A7B1B" w:rsidRDefault="000A7B1B" w:rsidP="000A7B1B">
      <w:pPr>
        <w:pStyle w:val="ListParagraph"/>
        <w:numPr>
          <w:ilvl w:val="0"/>
          <w:numId w:val="4"/>
        </w:numPr>
        <w:spacing w:line="360" w:lineRule="auto"/>
        <w:jc w:val="both"/>
        <w:rPr>
          <w:rFonts w:ascii="Arial" w:hAnsi="Arial" w:cs="Arial"/>
        </w:rPr>
      </w:pPr>
      <w:r w:rsidRPr="000A7B1B">
        <w:rPr>
          <w:rFonts w:ascii="Arial" w:hAnsi="Arial" w:cs="Arial"/>
        </w:rPr>
        <w:t xml:space="preserve">Kotter, J.P., 1996. </w:t>
      </w:r>
      <w:r w:rsidRPr="000A7B1B">
        <w:rPr>
          <w:rFonts w:ascii="Arial" w:hAnsi="Arial" w:cs="Arial"/>
          <w:i/>
          <w:iCs/>
        </w:rPr>
        <w:t>Leading Change</w:t>
      </w:r>
      <w:r w:rsidRPr="000A7B1B">
        <w:rPr>
          <w:rFonts w:ascii="Arial" w:hAnsi="Arial" w:cs="Arial"/>
        </w:rPr>
        <w:t>. Boston: Harvard Business Review Press.</w:t>
      </w:r>
    </w:p>
    <w:p w14:paraId="018090D3" w14:textId="77777777" w:rsidR="000A7B1B" w:rsidRPr="000A7B1B" w:rsidRDefault="000A7B1B" w:rsidP="000A7B1B">
      <w:pPr>
        <w:pStyle w:val="ListParagraph"/>
        <w:numPr>
          <w:ilvl w:val="0"/>
          <w:numId w:val="4"/>
        </w:numPr>
        <w:spacing w:line="360" w:lineRule="auto"/>
        <w:jc w:val="both"/>
        <w:rPr>
          <w:rFonts w:ascii="Arial" w:hAnsi="Arial" w:cs="Arial"/>
        </w:rPr>
      </w:pPr>
      <w:r w:rsidRPr="000A7B1B">
        <w:rPr>
          <w:rFonts w:ascii="Arial" w:hAnsi="Arial" w:cs="Arial"/>
        </w:rPr>
        <w:t xml:space="preserve">Lewin, K., 1947. Frontiers in Group Dynamics. </w:t>
      </w:r>
      <w:r w:rsidRPr="000A7B1B">
        <w:rPr>
          <w:rFonts w:ascii="Arial" w:hAnsi="Arial" w:cs="Arial"/>
          <w:i/>
          <w:iCs/>
        </w:rPr>
        <w:t>Human Relations</w:t>
      </w:r>
      <w:r w:rsidRPr="000A7B1B">
        <w:rPr>
          <w:rFonts w:ascii="Arial" w:hAnsi="Arial" w:cs="Arial"/>
        </w:rPr>
        <w:t>, 1(5), pp. 5-41.</w:t>
      </w:r>
    </w:p>
    <w:p w14:paraId="3C409192" w14:textId="77777777" w:rsidR="000A7B1B" w:rsidRPr="000A7B1B" w:rsidRDefault="000A7B1B" w:rsidP="000A7B1B">
      <w:pPr>
        <w:pStyle w:val="ListParagraph"/>
        <w:numPr>
          <w:ilvl w:val="0"/>
          <w:numId w:val="4"/>
        </w:numPr>
        <w:spacing w:line="360" w:lineRule="auto"/>
        <w:jc w:val="both"/>
        <w:rPr>
          <w:rFonts w:ascii="Arial" w:hAnsi="Arial" w:cs="Arial"/>
        </w:rPr>
      </w:pPr>
      <w:r w:rsidRPr="000A7B1B">
        <w:rPr>
          <w:rFonts w:ascii="Arial" w:hAnsi="Arial" w:cs="Arial"/>
        </w:rPr>
        <w:t xml:space="preserve">Marriott International, 2022. Serve 360: Sustainability and Social Impact Goals. Available at: </w:t>
      </w:r>
      <w:hyperlink r:id="rId13" w:tgtFrame="_new" w:history="1">
        <w:r w:rsidRPr="000A7B1B">
          <w:rPr>
            <w:rStyle w:val="Hyperlink"/>
            <w:rFonts w:ascii="Arial" w:hAnsi="Arial" w:cs="Arial"/>
          </w:rPr>
          <w:t>https://serve360.marriott.com/</w:t>
        </w:r>
      </w:hyperlink>
      <w:r w:rsidRPr="000A7B1B">
        <w:rPr>
          <w:rFonts w:ascii="Arial" w:hAnsi="Arial" w:cs="Arial"/>
        </w:rPr>
        <w:t xml:space="preserve"> [Accessed 4 November 2024].</w:t>
      </w:r>
    </w:p>
    <w:p w14:paraId="141D5A3F" w14:textId="77777777" w:rsidR="000A7B1B" w:rsidRPr="000A7B1B" w:rsidRDefault="000A7B1B" w:rsidP="000A7B1B">
      <w:pPr>
        <w:pStyle w:val="ListParagraph"/>
        <w:numPr>
          <w:ilvl w:val="0"/>
          <w:numId w:val="4"/>
        </w:numPr>
        <w:spacing w:line="360" w:lineRule="auto"/>
        <w:jc w:val="both"/>
        <w:rPr>
          <w:rFonts w:ascii="Arial" w:hAnsi="Arial" w:cs="Arial"/>
        </w:rPr>
      </w:pPr>
      <w:r w:rsidRPr="000A7B1B">
        <w:rPr>
          <w:rFonts w:ascii="Arial" w:hAnsi="Arial" w:cs="Arial"/>
        </w:rPr>
        <w:t xml:space="preserve">Mullins, L.J., 2019. </w:t>
      </w:r>
      <w:r w:rsidRPr="000A7B1B">
        <w:rPr>
          <w:rFonts w:ascii="Arial" w:hAnsi="Arial" w:cs="Arial"/>
          <w:i/>
          <w:iCs/>
        </w:rPr>
        <w:t>Management and Organisational Behaviour</w:t>
      </w:r>
      <w:r w:rsidRPr="000A7B1B">
        <w:rPr>
          <w:rFonts w:ascii="Arial" w:hAnsi="Arial" w:cs="Arial"/>
        </w:rPr>
        <w:t>. 12th ed. Harlow: Pearson.</w:t>
      </w:r>
    </w:p>
    <w:p w14:paraId="451BD769" w14:textId="77777777" w:rsidR="000A7B1B" w:rsidRPr="000A7B1B" w:rsidRDefault="000A7B1B" w:rsidP="000A7B1B">
      <w:pPr>
        <w:pStyle w:val="ListParagraph"/>
        <w:numPr>
          <w:ilvl w:val="0"/>
          <w:numId w:val="4"/>
        </w:numPr>
        <w:spacing w:line="360" w:lineRule="auto"/>
        <w:jc w:val="both"/>
        <w:rPr>
          <w:rFonts w:ascii="Arial" w:hAnsi="Arial" w:cs="Arial"/>
        </w:rPr>
      </w:pPr>
      <w:r w:rsidRPr="000A7B1B">
        <w:rPr>
          <w:rFonts w:ascii="Arial" w:hAnsi="Arial" w:cs="Arial"/>
        </w:rPr>
        <w:t xml:space="preserve">Porter, M.E., 1985. </w:t>
      </w:r>
      <w:r w:rsidRPr="000A7B1B">
        <w:rPr>
          <w:rFonts w:ascii="Arial" w:hAnsi="Arial" w:cs="Arial"/>
          <w:i/>
          <w:iCs/>
        </w:rPr>
        <w:t>Competitive Advantage: Creating and Sustaining Superior Performance</w:t>
      </w:r>
      <w:r w:rsidRPr="000A7B1B">
        <w:rPr>
          <w:rFonts w:ascii="Arial" w:hAnsi="Arial" w:cs="Arial"/>
        </w:rPr>
        <w:t>. New York: Free Press.</w:t>
      </w:r>
    </w:p>
    <w:p w14:paraId="5823BDA5" w14:textId="77777777" w:rsidR="000A7B1B" w:rsidRPr="000A7B1B" w:rsidRDefault="000A7B1B" w:rsidP="000A7B1B">
      <w:pPr>
        <w:pStyle w:val="ListParagraph"/>
        <w:numPr>
          <w:ilvl w:val="0"/>
          <w:numId w:val="4"/>
        </w:numPr>
        <w:spacing w:line="360" w:lineRule="auto"/>
        <w:jc w:val="both"/>
        <w:rPr>
          <w:rFonts w:ascii="Arial" w:hAnsi="Arial" w:cs="Arial"/>
        </w:rPr>
      </w:pPr>
      <w:r w:rsidRPr="000A7B1B">
        <w:rPr>
          <w:rFonts w:ascii="Arial" w:hAnsi="Arial" w:cs="Arial"/>
        </w:rPr>
        <w:t xml:space="preserve">Robbins, S.P. and Judge, T.A., 2019. </w:t>
      </w:r>
      <w:r w:rsidRPr="000A7B1B">
        <w:rPr>
          <w:rFonts w:ascii="Arial" w:hAnsi="Arial" w:cs="Arial"/>
          <w:i/>
          <w:iCs/>
        </w:rPr>
        <w:t xml:space="preserve">Organizational </w:t>
      </w:r>
      <w:proofErr w:type="spellStart"/>
      <w:r w:rsidRPr="000A7B1B">
        <w:rPr>
          <w:rFonts w:ascii="Arial" w:hAnsi="Arial" w:cs="Arial"/>
          <w:i/>
          <w:iCs/>
        </w:rPr>
        <w:t>Behavior</w:t>
      </w:r>
      <w:proofErr w:type="spellEnd"/>
      <w:r w:rsidRPr="000A7B1B">
        <w:rPr>
          <w:rFonts w:ascii="Arial" w:hAnsi="Arial" w:cs="Arial"/>
        </w:rPr>
        <w:t>. 18th ed. Boston: Pearson.</w:t>
      </w:r>
    </w:p>
    <w:p w14:paraId="6E2F4F5C" w14:textId="77777777" w:rsidR="000A7B1B" w:rsidRPr="000A7B1B" w:rsidRDefault="000A7B1B" w:rsidP="000A7B1B">
      <w:pPr>
        <w:pStyle w:val="ListParagraph"/>
        <w:numPr>
          <w:ilvl w:val="0"/>
          <w:numId w:val="4"/>
        </w:numPr>
        <w:spacing w:line="360" w:lineRule="auto"/>
        <w:jc w:val="both"/>
        <w:rPr>
          <w:rFonts w:ascii="Arial" w:hAnsi="Arial" w:cs="Arial"/>
        </w:rPr>
      </w:pPr>
      <w:r w:rsidRPr="000A7B1B">
        <w:rPr>
          <w:rFonts w:ascii="Arial" w:hAnsi="Arial" w:cs="Arial"/>
        </w:rPr>
        <w:lastRenderedPageBreak/>
        <w:t xml:space="preserve">Rowley, C. and Warner, M., 2013. </w:t>
      </w:r>
      <w:r w:rsidRPr="000A7B1B">
        <w:rPr>
          <w:rFonts w:ascii="Arial" w:hAnsi="Arial" w:cs="Arial"/>
          <w:i/>
          <w:iCs/>
        </w:rPr>
        <w:t>Management in South-East Asia: Business Culture, Enterprises, and Human Resources</w:t>
      </w:r>
      <w:r w:rsidRPr="000A7B1B">
        <w:rPr>
          <w:rFonts w:ascii="Arial" w:hAnsi="Arial" w:cs="Arial"/>
        </w:rPr>
        <w:t>. London: Routledge.</w:t>
      </w:r>
    </w:p>
    <w:p w14:paraId="28047642" w14:textId="77777777" w:rsidR="000A7B1B" w:rsidRPr="000A7B1B" w:rsidRDefault="000A7B1B" w:rsidP="000A7B1B">
      <w:pPr>
        <w:pStyle w:val="ListParagraph"/>
        <w:numPr>
          <w:ilvl w:val="0"/>
          <w:numId w:val="4"/>
        </w:numPr>
        <w:spacing w:line="360" w:lineRule="auto"/>
        <w:jc w:val="both"/>
        <w:rPr>
          <w:rFonts w:ascii="Arial" w:hAnsi="Arial" w:cs="Arial"/>
        </w:rPr>
      </w:pPr>
      <w:r w:rsidRPr="000A7B1B">
        <w:rPr>
          <w:rFonts w:ascii="Arial" w:hAnsi="Arial" w:cs="Arial"/>
        </w:rPr>
        <w:t xml:space="preserve">Schilling, M.A., 2020. </w:t>
      </w:r>
      <w:r w:rsidRPr="000A7B1B">
        <w:rPr>
          <w:rFonts w:ascii="Arial" w:hAnsi="Arial" w:cs="Arial"/>
          <w:i/>
          <w:iCs/>
        </w:rPr>
        <w:t>Strategic Management of Technological Innovation</w:t>
      </w:r>
      <w:r w:rsidRPr="000A7B1B">
        <w:rPr>
          <w:rFonts w:ascii="Arial" w:hAnsi="Arial" w:cs="Arial"/>
        </w:rPr>
        <w:t>. 6th ed. New York: McGraw-Hill Education.</w:t>
      </w:r>
    </w:p>
    <w:p w14:paraId="4E3982F0" w14:textId="77777777" w:rsidR="000A7B1B" w:rsidRPr="000A7B1B" w:rsidRDefault="000A7B1B" w:rsidP="000A7B1B">
      <w:pPr>
        <w:pStyle w:val="ListParagraph"/>
        <w:numPr>
          <w:ilvl w:val="0"/>
          <w:numId w:val="4"/>
        </w:numPr>
        <w:spacing w:line="360" w:lineRule="auto"/>
        <w:jc w:val="both"/>
        <w:rPr>
          <w:rFonts w:ascii="Arial" w:hAnsi="Arial" w:cs="Arial"/>
        </w:rPr>
      </w:pPr>
      <w:r w:rsidRPr="000A7B1B">
        <w:rPr>
          <w:rFonts w:ascii="Arial" w:hAnsi="Arial" w:cs="Arial"/>
        </w:rPr>
        <w:t xml:space="preserve">Slack, N., Chambers, S., and Johnston, R., 2010. </w:t>
      </w:r>
      <w:r w:rsidRPr="000A7B1B">
        <w:rPr>
          <w:rFonts w:ascii="Arial" w:hAnsi="Arial" w:cs="Arial"/>
          <w:i/>
          <w:iCs/>
        </w:rPr>
        <w:t>Operations Management</w:t>
      </w:r>
      <w:r w:rsidRPr="000A7B1B">
        <w:rPr>
          <w:rFonts w:ascii="Arial" w:hAnsi="Arial" w:cs="Arial"/>
        </w:rPr>
        <w:t>. 6th ed. Harlow: Pearson.</w:t>
      </w:r>
    </w:p>
    <w:p w14:paraId="0F611D89" w14:textId="77777777" w:rsidR="000A7B1B" w:rsidRPr="000A7B1B" w:rsidRDefault="000A7B1B" w:rsidP="000A7B1B">
      <w:pPr>
        <w:pStyle w:val="ListParagraph"/>
        <w:numPr>
          <w:ilvl w:val="0"/>
          <w:numId w:val="4"/>
        </w:numPr>
        <w:spacing w:line="360" w:lineRule="auto"/>
        <w:jc w:val="both"/>
        <w:rPr>
          <w:rFonts w:ascii="Arial" w:hAnsi="Arial" w:cs="Arial"/>
        </w:rPr>
      </w:pPr>
      <w:r w:rsidRPr="000A7B1B">
        <w:rPr>
          <w:rFonts w:ascii="Arial" w:hAnsi="Arial" w:cs="Arial"/>
        </w:rPr>
        <w:t xml:space="preserve">Stone, R., 2013. </w:t>
      </w:r>
      <w:r w:rsidRPr="000A7B1B">
        <w:rPr>
          <w:rFonts w:ascii="Arial" w:hAnsi="Arial" w:cs="Arial"/>
          <w:i/>
          <w:iCs/>
        </w:rPr>
        <w:t>Managing Human Resources in the Hospitality Industry</w:t>
      </w:r>
      <w:r w:rsidRPr="000A7B1B">
        <w:rPr>
          <w:rFonts w:ascii="Arial" w:hAnsi="Arial" w:cs="Arial"/>
        </w:rPr>
        <w:t>. 2nd ed. Hoboken: Wiley.</w:t>
      </w:r>
    </w:p>
    <w:p w14:paraId="1BB6DD46" w14:textId="77777777" w:rsidR="000A7B1B" w:rsidRPr="000A7B1B" w:rsidRDefault="000A7B1B" w:rsidP="000A7B1B">
      <w:pPr>
        <w:pStyle w:val="ListParagraph"/>
        <w:numPr>
          <w:ilvl w:val="0"/>
          <w:numId w:val="4"/>
        </w:numPr>
        <w:spacing w:line="360" w:lineRule="auto"/>
        <w:jc w:val="both"/>
        <w:rPr>
          <w:rFonts w:ascii="Arial" w:hAnsi="Arial" w:cs="Arial"/>
        </w:rPr>
      </w:pPr>
      <w:r w:rsidRPr="000A7B1B">
        <w:rPr>
          <w:rFonts w:ascii="Arial" w:hAnsi="Arial" w:cs="Arial"/>
        </w:rPr>
        <w:t xml:space="preserve">Tushman, M.L. and O’Reilly, C.A., 1996. Ambidextrous Organizations: Managing Evolutionary and Revolutionary Change. </w:t>
      </w:r>
      <w:r w:rsidRPr="000A7B1B">
        <w:rPr>
          <w:rFonts w:ascii="Arial" w:hAnsi="Arial" w:cs="Arial"/>
          <w:i/>
          <w:iCs/>
        </w:rPr>
        <w:t>California Management Review</w:t>
      </w:r>
      <w:r w:rsidRPr="000A7B1B">
        <w:rPr>
          <w:rFonts w:ascii="Arial" w:hAnsi="Arial" w:cs="Arial"/>
        </w:rPr>
        <w:t>, 38(4), pp. 8-30.</w:t>
      </w:r>
    </w:p>
    <w:p w14:paraId="51538B5D" w14:textId="77777777" w:rsidR="000A7B1B" w:rsidRPr="000A7B1B" w:rsidRDefault="000A7B1B" w:rsidP="000A7B1B">
      <w:pPr>
        <w:pStyle w:val="ListParagraph"/>
        <w:numPr>
          <w:ilvl w:val="0"/>
          <w:numId w:val="4"/>
        </w:numPr>
        <w:spacing w:line="360" w:lineRule="auto"/>
        <w:jc w:val="both"/>
        <w:rPr>
          <w:rFonts w:ascii="Arial" w:hAnsi="Arial" w:cs="Arial"/>
        </w:rPr>
      </w:pPr>
      <w:r w:rsidRPr="000A7B1B">
        <w:rPr>
          <w:rFonts w:ascii="Arial" w:hAnsi="Arial" w:cs="Arial"/>
        </w:rPr>
        <w:t xml:space="preserve">Wood, R.C., 2017. </w:t>
      </w:r>
      <w:r w:rsidRPr="000A7B1B">
        <w:rPr>
          <w:rFonts w:ascii="Arial" w:hAnsi="Arial" w:cs="Arial"/>
          <w:i/>
          <w:iCs/>
        </w:rPr>
        <w:t>Hospitality Management: A Brief Introduction</w:t>
      </w:r>
      <w:r w:rsidRPr="000A7B1B">
        <w:rPr>
          <w:rFonts w:ascii="Arial" w:hAnsi="Arial" w:cs="Arial"/>
        </w:rPr>
        <w:t>. London: Sage.</w:t>
      </w:r>
    </w:p>
    <w:p w14:paraId="18CBAE2C" w14:textId="77777777" w:rsidR="00B558CF" w:rsidRPr="00D8037E" w:rsidRDefault="00B558CF" w:rsidP="00D8037E">
      <w:pPr>
        <w:spacing w:line="360" w:lineRule="auto"/>
        <w:jc w:val="both"/>
        <w:rPr>
          <w:rFonts w:ascii="Arial" w:hAnsi="Arial" w:cs="Arial"/>
        </w:rPr>
      </w:pPr>
    </w:p>
    <w:sectPr w:rsidR="00B558CF" w:rsidRPr="00D8037E" w:rsidSect="00D8037E">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186B8C" w14:textId="77777777" w:rsidR="000A7B1B" w:rsidRDefault="000A7B1B" w:rsidP="000A7B1B">
      <w:pPr>
        <w:spacing w:after="0" w:line="240" w:lineRule="auto"/>
      </w:pPr>
      <w:r>
        <w:separator/>
      </w:r>
    </w:p>
  </w:endnote>
  <w:endnote w:type="continuationSeparator" w:id="0">
    <w:p w14:paraId="377E6F3D" w14:textId="77777777" w:rsidR="000A7B1B" w:rsidRDefault="000A7B1B" w:rsidP="000A7B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Variable Text">
    <w:panose1 w:val="00000000000000000000"/>
    <w:charset w:val="00"/>
    <w:family w:val="auto"/>
    <w:pitch w:val="variable"/>
    <w:sig w:usb0="A00002FF" w:usb1="0000000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0687545"/>
      <w:docPartObj>
        <w:docPartGallery w:val="Page Numbers (Bottom of Page)"/>
        <w:docPartUnique/>
      </w:docPartObj>
    </w:sdtPr>
    <w:sdtEndPr>
      <w:rPr>
        <w:noProof/>
      </w:rPr>
    </w:sdtEndPr>
    <w:sdtContent>
      <w:p w14:paraId="31203E58" w14:textId="4415658B" w:rsidR="000A7B1B" w:rsidRDefault="000A7B1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C31FEF" w14:textId="77777777" w:rsidR="000A7B1B" w:rsidRDefault="000A7B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B5E1E1" w14:textId="77777777" w:rsidR="000A7B1B" w:rsidRDefault="000A7B1B" w:rsidP="000A7B1B">
      <w:pPr>
        <w:spacing w:after="0" w:line="240" w:lineRule="auto"/>
      </w:pPr>
      <w:r>
        <w:separator/>
      </w:r>
    </w:p>
  </w:footnote>
  <w:footnote w:type="continuationSeparator" w:id="0">
    <w:p w14:paraId="6051AF08" w14:textId="77777777" w:rsidR="000A7B1B" w:rsidRDefault="000A7B1B" w:rsidP="000A7B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D78C2"/>
    <w:multiLevelType w:val="multilevel"/>
    <w:tmpl w:val="FE2223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A70858"/>
    <w:multiLevelType w:val="hybridMultilevel"/>
    <w:tmpl w:val="A55EA4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2DD3EB2"/>
    <w:multiLevelType w:val="multilevel"/>
    <w:tmpl w:val="CB228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D2D14A7"/>
    <w:multiLevelType w:val="multilevel"/>
    <w:tmpl w:val="140465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99060467">
    <w:abstractNumId w:val="2"/>
  </w:num>
  <w:num w:numId="2" w16cid:durableId="1051924330">
    <w:abstractNumId w:val="0"/>
  </w:num>
  <w:num w:numId="3" w16cid:durableId="42410052">
    <w:abstractNumId w:val="3"/>
  </w:num>
  <w:num w:numId="4" w16cid:durableId="12898178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8CF"/>
    <w:rsid w:val="000A7B1B"/>
    <w:rsid w:val="00372EFE"/>
    <w:rsid w:val="006F5712"/>
    <w:rsid w:val="007C22A4"/>
    <w:rsid w:val="008D2A54"/>
    <w:rsid w:val="00B558CF"/>
    <w:rsid w:val="00D11155"/>
    <w:rsid w:val="00D8037E"/>
    <w:rsid w:val="00D8779D"/>
    <w:rsid w:val="00F327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80C8C"/>
  <w15:chartTrackingRefBased/>
  <w15:docId w15:val="{813AD960-D68B-43C2-8DAE-C8314AE0C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58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558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558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58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58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58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58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58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58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58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558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558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58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58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58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58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58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58CF"/>
    <w:rPr>
      <w:rFonts w:eastAsiaTheme="majorEastAsia" w:cstheme="majorBidi"/>
      <w:color w:val="272727" w:themeColor="text1" w:themeTint="D8"/>
    </w:rPr>
  </w:style>
  <w:style w:type="paragraph" w:styleId="Title">
    <w:name w:val="Title"/>
    <w:basedOn w:val="Normal"/>
    <w:next w:val="Normal"/>
    <w:link w:val="TitleChar"/>
    <w:uiPriority w:val="10"/>
    <w:qFormat/>
    <w:rsid w:val="00B558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58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58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58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58CF"/>
    <w:pPr>
      <w:spacing w:before="160"/>
      <w:jc w:val="center"/>
    </w:pPr>
    <w:rPr>
      <w:i/>
      <w:iCs/>
      <w:color w:val="404040" w:themeColor="text1" w:themeTint="BF"/>
    </w:rPr>
  </w:style>
  <w:style w:type="character" w:customStyle="1" w:styleId="QuoteChar">
    <w:name w:val="Quote Char"/>
    <w:basedOn w:val="DefaultParagraphFont"/>
    <w:link w:val="Quote"/>
    <w:uiPriority w:val="29"/>
    <w:rsid w:val="00B558CF"/>
    <w:rPr>
      <w:i/>
      <w:iCs/>
      <w:color w:val="404040" w:themeColor="text1" w:themeTint="BF"/>
    </w:rPr>
  </w:style>
  <w:style w:type="paragraph" w:styleId="ListParagraph">
    <w:name w:val="List Paragraph"/>
    <w:basedOn w:val="Normal"/>
    <w:uiPriority w:val="34"/>
    <w:qFormat/>
    <w:rsid w:val="00B558CF"/>
    <w:pPr>
      <w:ind w:left="720"/>
      <w:contextualSpacing/>
    </w:pPr>
  </w:style>
  <w:style w:type="character" w:styleId="IntenseEmphasis">
    <w:name w:val="Intense Emphasis"/>
    <w:basedOn w:val="DefaultParagraphFont"/>
    <w:uiPriority w:val="21"/>
    <w:qFormat/>
    <w:rsid w:val="00B558CF"/>
    <w:rPr>
      <w:i/>
      <w:iCs/>
      <w:color w:val="0F4761" w:themeColor="accent1" w:themeShade="BF"/>
    </w:rPr>
  </w:style>
  <w:style w:type="paragraph" w:styleId="IntenseQuote">
    <w:name w:val="Intense Quote"/>
    <w:basedOn w:val="Normal"/>
    <w:next w:val="Normal"/>
    <w:link w:val="IntenseQuoteChar"/>
    <w:uiPriority w:val="30"/>
    <w:qFormat/>
    <w:rsid w:val="00B558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58CF"/>
    <w:rPr>
      <w:i/>
      <w:iCs/>
      <w:color w:val="0F4761" w:themeColor="accent1" w:themeShade="BF"/>
    </w:rPr>
  </w:style>
  <w:style w:type="character" w:styleId="IntenseReference">
    <w:name w:val="Intense Reference"/>
    <w:basedOn w:val="DefaultParagraphFont"/>
    <w:uiPriority w:val="32"/>
    <w:qFormat/>
    <w:rsid w:val="00B558CF"/>
    <w:rPr>
      <w:b/>
      <w:bCs/>
      <w:smallCaps/>
      <w:color w:val="0F4761" w:themeColor="accent1" w:themeShade="BF"/>
      <w:spacing w:val="5"/>
    </w:rPr>
  </w:style>
  <w:style w:type="paragraph" w:styleId="NoSpacing">
    <w:name w:val="No Spacing"/>
    <w:link w:val="NoSpacingChar"/>
    <w:uiPriority w:val="1"/>
    <w:qFormat/>
    <w:rsid w:val="00D8037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D8037E"/>
    <w:rPr>
      <w:rFonts w:eastAsiaTheme="minorEastAsia"/>
      <w:kern w:val="0"/>
      <w:sz w:val="22"/>
      <w:szCs w:val="22"/>
      <w:lang w:val="en-US"/>
      <w14:ligatures w14:val="none"/>
    </w:rPr>
  </w:style>
  <w:style w:type="character" w:styleId="Hyperlink">
    <w:name w:val="Hyperlink"/>
    <w:basedOn w:val="DefaultParagraphFont"/>
    <w:uiPriority w:val="99"/>
    <w:unhideWhenUsed/>
    <w:rsid w:val="000A7B1B"/>
    <w:rPr>
      <w:color w:val="467886" w:themeColor="hyperlink"/>
      <w:u w:val="single"/>
    </w:rPr>
  </w:style>
  <w:style w:type="character" w:styleId="UnresolvedMention">
    <w:name w:val="Unresolved Mention"/>
    <w:basedOn w:val="DefaultParagraphFont"/>
    <w:uiPriority w:val="99"/>
    <w:semiHidden/>
    <w:unhideWhenUsed/>
    <w:rsid w:val="000A7B1B"/>
    <w:rPr>
      <w:color w:val="605E5C"/>
      <w:shd w:val="clear" w:color="auto" w:fill="E1DFDD"/>
    </w:rPr>
  </w:style>
  <w:style w:type="paragraph" w:styleId="Header">
    <w:name w:val="header"/>
    <w:basedOn w:val="Normal"/>
    <w:link w:val="HeaderChar"/>
    <w:uiPriority w:val="99"/>
    <w:unhideWhenUsed/>
    <w:rsid w:val="000A7B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7B1B"/>
  </w:style>
  <w:style w:type="paragraph" w:styleId="Footer">
    <w:name w:val="footer"/>
    <w:basedOn w:val="Normal"/>
    <w:link w:val="FooterChar"/>
    <w:uiPriority w:val="99"/>
    <w:unhideWhenUsed/>
    <w:rsid w:val="000A7B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7B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6476611">
      <w:bodyDiv w:val="1"/>
      <w:marLeft w:val="0"/>
      <w:marRight w:val="0"/>
      <w:marTop w:val="0"/>
      <w:marBottom w:val="0"/>
      <w:divBdr>
        <w:top w:val="none" w:sz="0" w:space="0" w:color="auto"/>
        <w:left w:val="none" w:sz="0" w:space="0" w:color="auto"/>
        <w:bottom w:val="none" w:sz="0" w:space="0" w:color="auto"/>
        <w:right w:val="none" w:sz="0" w:space="0" w:color="auto"/>
      </w:divBdr>
    </w:div>
    <w:div w:id="246349918">
      <w:bodyDiv w:val="1"/>
      <w:marLeft w:val="0"/>
      <w:marRight w:val="0"/>
      <w:marTop w:val="0"/>
      <w:marBottom w:val="0"/>
      <w:divBdr>
        <w:top w:val="none" w:sz="0" w:space="0" w:color="auto"/>
        <w:left w:val="none" w:sz="0" w:space="0" w:color="auto"/>
        <w:bottom w:val="none" w:sz="0" w:space="0" w:color="auto"/>
        <w:right w:val="none" w:sz="0" w:space="0" w:color="auto"/>
      </w:divBdr>
    </w:div>
    <w:div w:id="327565332">
      <w:bodyDiv w:val="1"/>
      <w:marLeft w:val="0"/>
      <w:marRight w:val="0"/>
      <w:marTop w:val="0"/>
      <w:marBottom w:val="0"/>
      <w:divBdr>
        <w:top w:val="none" w:sz="0" w:space="0" w:color="auto"/>
        <w:left w:val="none" w:sz="0" w:space="0" w:color="auto"/>
        <w:bottom w:val="none" w:sz="0" w:space="0" w:color="auto"/>
        <w:right w:val="none" w:sz="0" w:space="0" w:color="auto"/>
      </w:divBdr>
    </w:div>
    <w:div w:id="543717289">
      <w:bodyDiv w:val="1"/>
      <w:marLeft w:val="0"/>
      <w:marRight w:val="0"/>
      <w:marTop w:val="0"/>
      <w:marBottom w:val="0"/>
      <w:divBdr>
        <w:top w:val="none" w:sz="0" w:space="0" w:color="auto"/>
        <w:left w:val="none" w:sz="0" w:space="0" w:color="auto"/>
        <w:bottom w:val="none" w:sz="0" w:space="0" w:color="auto"/>
        <w:right w:val="none" w:sz="0" w:space="0" w:color="auto"/>
      </w:divBdr>
    </w:div>
    <w:div w:id="576479918">
      <w:bodyDiv w:val="1"/>
      <w:marLeft w:val="0"/>
      <w:marRight w:val="0"/>
      <w:marTop w:val="0"/>
      <w:marBottom w:val="0"/>
      <w:divBdr>
        <w:top w:val="none" w:sz="0" w:space="0" w:color="auto"/>
        <w:left w:val="none" w:sz="0" w:space="0" w:color="auto"/>
        <w:bottom w:val="none" w:sz="0" w:space="0" w:color="auto"/>
        <w:right w:val="none" w:sz="0" w:space="0" w:color="auto"/>
      </w:divBdr>
    </w:div>
    <w:div w:id="807013375">
      <w:bodyDiv w:val="1"/>
      <w:marLeft w:val="0"/>
      <w:marRight w:val="0"/>
      <w:marTop w:val="0"/>
      <w:marBottom w:val="0"/>
      <w:divBdr>
        <w:top w:val="none" w:sz="0" w:space="0" w:color="auto"/>
        <w:left w:val="none" w:sz="0" w:space="0" w:color="auto"/>
        <w:bottom w:val="none" w:sz="0" w:space="0" w:color="auto"/>
        <w:right w:val="none" w:sz="0" w:space="0" w:color="auto"/>
      </w:divBdr>
    </w:div>
    <w:div w:id="869146630">
      <w:bodyDiv w:val="1"/>
      <w:marLeft w:val="0"/>
      <w:marRight w:val="0"/>
      <w:marTop w:val="0"/>
      <w:marBottom w:val="0"/>
      <w:divBdr>
        <w:top w:val="none" w:sz="0" w:space="0" w:color="auto"/>
        <w:left w:val="none" w:sz="0" w:space="0" w:color="auto"/>
        <w:bottom w:val="none" w:sz="0" w:space="0" w:color="auto"/>
        <w:right w:val="none" w:sz="0" w:space="0" w:color="auto"/>
      </w:divBdr>
    </w:div>
    <w:div w:id="1926300958">
      <w:bodyDiv w:val="1"/>
      <w:marLeft w:val="0"/>
      <w:marRight w:val="0"/>
      <w:marTop w:val="0"/>
      <w:marBottom w:val="0"/>
      <w:divBdr>
        <w:top w:val="none" w:sz="0" w:space="0" w:color="auto"/>
        <w:left w:val="none" w:sz="0" w:space="0" w:color="auto"/>
        <w:bottom w:val="none" w:sz="0" w:space="0" w:color="auto"/>
        <w:right w:val="none" w:sz="0" w:space="0" w:color="auto"/>
      </w:divBdr>
    </w:div>
    <w:div w:id="2082949747">
      <w:bodyDiv w:val="1"/>
      <w:marLeft w:val="0"/>
      <w:marRight w:val="0"/>
      <w:marTop w:val="0"/>
      <w:marBottom w:val="0"/>
      <w:divBdr>
        <w:top w:val="none" w:sz="0" w:space="0" w:color="auto"/>
        <w:left w:val="none" w:sz="0" w:space="0" w:color="auto"/>
        <w:bottom w:val="none" w:sz="0" w:space="0" w:color="auto"/>
        <w:right w:val="none" w:sz="0" w:space="0" w:color="auto"/>
      </w:divBdr>
    </w:div>
    <w:div w:id="2138839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serve360.marriott.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yatt.com/world-of-care/en-U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vestors.hyatt.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12</Pages>
  <Words>2426</Words>
  <Characters>15818</Characters>
  <Application>Microsoft Office Word</Application>
  <DocSecurity>0</DocSecurity>
  <Lines>292</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Organisational Report</dc:subject>
  <dc:creator>Velislava Stoycheva Hristova</dc:creator>
  <cp:keywords/>
  <dc:description/>
  <cp:lastModifiedBy>Venelin Iliev</cp:lastModifiedBy>
  <cp:revision>2</cp:revision>
  <dcterms:created xsi:type="dcterms:W3CDTF">2024-11-08T12:24:00Z</dcterms:created>
  <dcterms:modified xsi:type="dcterms:W3CDTF">2024-11-08T12:24:00Z</dcterms:modified>
</cp:coreProperties>
</file>