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ascii="Arial" w:eastAsiaTheme="minorHAnsi" w:hAnsi="Arial" w:cs="Arial"/>
          <w:color w:val="4472C4" w:themeColor="accent1"/>
          <w:sz w:val="24"/>
          <w:szCs w:val="24"/>
        </w:rPr>
        <w:id w:val="533929516"/>
        <w:docPartObj>
          <w:docPartGallery w:val="Cover Pages"/>
          <w:docPartUnique/>
        </w:docPartObj>
      </w:sdtPr>
      <w:sdtEndPr>
        <w:rPr>
          <w:color w:val="auto"/>
        </w:rPr>
      </w:sdtEndPr>
      <w:sdtContent>
        <w:p w14:paraId="450B5EA8" w14:textId="46656FD6" w:rsidR="003D53F3" w:rsidRPr="005B7DB8" w:rsidRDefault="00B80C90" w:rsidP="00EE76FF">
          <w:pPr>
            <w:pStyle w:val="Heading1"/>
            <w:spacing w:line="360" w:lineRule="auto"/>
            <w:jc w:val="center"/>
            <w:rPr>
              <w:rFonts w:ascii="Arial" w:eastAsia="Times New Roman" w:hAnsi="Arial" w:cs="Arial"/>
              <w:b/>
              <w:bCs/>
              <w:color w:val="000000" w:themeColor="text1"/>
              <w:kern w:val="36"/>
              <w:sz w:val="28"/>
              <w:szCs w:val="28"/>
              <w:lang w:eastAsia="en-GB"/>
              <w14:ligatures w14:val="none"/>
            </w:rPr>
          </w:pPr>
          <w:r w:rsidRPr="005B7DB8">
            <w:rPr>
              <w:rFonts w:ascii="Arial" w:eastAsiaTheme="minorHAnsi" w:hAnsi="Arial" w:cs="Arial"/>
              <w:noProof/>
              <w:color w:val="000000" w:themeColor="text1"/>
              <w:sz w:val="28"/>
              <w:szCs w:val="28"/>
            </w:rPr>
            <w:drawing>
              <wp:anchor distT="0" distB="0" distL="114300" distR="114300" simplePos="0" relativeHeight="251659264" behindDoc="0" locked="0" layoutInCell="1" allowOverlap="1" wp14:anchorId="0876709E" wp14:editId="42CB0EC7">
                <wp:simplePos x="0" y="0"/>
                <wp:positionH relativeFrom="column">
                  <wp:posOffset>925797</wp:posOffset>
                </wp:positionH>
                <wp:positionV relativeFrom="paragraph">
                  <wp:posOffset>0</wp:posOffset>
                </wp:positionV>
                <wp:extent cx="3609340" cy="1551305"/>
                <wp:effectExtent l="0" t="0" r="0" b="0"/>
                <wp:wrapTopAndBottom/>
                <wp:docPr id="56931730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9317303" name="Picture 569317303"/>
                        <pic:cNvPicPr/>
                      </pic:nvPicPr>
                      <pic:blipFill rotWithShape="1">
                        <a:blip r:embed="rId8">
                          <a:extLst>
                            <a:ext uri="{28A0092B-C50C-407E-A947-70E740481C1C}">
                              <a14:useLocalDpi xmlns:a14="http://schemas.microsoft.com/office/drawing/2010/main" val="0"/>
                            </a:ext>
                          </a:extLst>
                        </a:blip>
                        <a:srcRect l="8068" t="32736" r="14060" b="31076"/>
                        <a:stretch>
                          <a:fillRect/>
                        </a:stretch>
                      </pic:blipFill>
                      <pic:spPr bwMode="auto">
                        <a:xfrm>
                          <a:off x="0" y="0"/>
                          <a:ext cx="3609340" cy="1551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12E6" w:rsidRPr="005B7DB8">
            <w:rPr>
              <w:rFonts w:ascii="Arial" w:eastAsia="Times New Roman" w:hAnsi="Arial" w:cs="Arial"/>
              <w:b/>
              <w:bCs/>
              <w:color w:val="000000" w:themeColor="text1"/>
              <w:kern w:val="36"/>
              <w:sz w:val="28"/>
              <w:szCs w:val="28"/>
              <w:lang w:eastAsia="en-GB"/>
              <w14:ligatures w14:val="none"/>
            </w:rPr>
            <w:t xml:space="preserve">STRATEGIC </w:t>
          </w:r>
          <w:r w:rsidR="00251ACF" w:rsidRPr="005B7DB8">
            <w:rPr>
              <w:rFonts w:ascii="Arial" w:eastAsia="Times New Roman" w:hAnsi="Arial" w:cs="Arial"/>
              <w:b/>
              <w:bCs/>
              <w:color w:val="000000" w:themeColor="text1"/>
              <w:kern w:val="36"/>
              <w:sz w:val="28"/>
              <w:szCs w:val="28"/>
              <w:lang w:eastAsia="en-GB"/>
              <w14:ligatures w14:val="none"/>
            </w:rPr>
            <w:t>EVALUATION</w:t>
          </w:r>
          <w:r w:rsidR="006712E6" w:rsidRPr="005B7DB8">
            <w:rPr>
              <w:rFonts w:ascii="Arial" w:eastAsia="Times New Roman" w:hAnsi="Arial" w:cs="Arial"/>
              <w:b/>
              <w:bCs/>
              <w:color w:val="000000" w:themeColor="text1"/>
              <w:kern w:val="36"/>
              <w:sz w:val="28"/>
              <w:szCs w:val="28"/>
              <w:lang w:eastAsia="en-GB"/>
              <w14:ligatures w14:val="none"/>
            </w:rPr>
            <w:t xml:space="preserve"> OF UNILEVER'S FOOD AND REFRESHMENT DIVISION </w:t>
          </w:r>
          <w:r w:rsidR="00251ACF" w:rsidRPr="005B7DB8">
            <w:rPr>
              <w:rFonts w:ascii="Arial" w:eastAsia="Times New Roman" w:hAnsi="Arial" w:cs="Arial"/>
              <w:b/>
              <w:bCs/>
              <w:color w:val="000000" w:themeColor="text1"/>
              <w:kern w:val="36"/>
              <w:sz w:val="28"/>
              <w:szCs w:val="28"/>
              <w:lang w:eastAsia="en-GB"/>
              <w14:ligatures w14:val="none"/>
            </w:rPr>
            <w:t xml:space="preserve">: </w:t>
          </w:r>
          <w:r w:rsidR="006712E6" w:rsidRPr="005B7DB8">
            <w:rPr>
              <w:rFonts w:ascii="Arial" w:eastAsia="Times New Roman" w:hAnsi="Arial" w:cs="Arial"/>
              <w:b/>
              <w:bCs/>
              <w:color w:val="000000" w:themeColor="text1"/>
              <w:kern w:val="36"/>
              <w:sz w:val="28"/>
              <w:szCs w:val="28"/>
              <w:lang w:eastAsia="en-GB"/>
              <w14:ligatures w14:val="none"/>
            </w:rPr>
            <w:t>N</w:t>
          </w:r>
          <w:r w:rsidR="00251ACF" w:rsidRPr="005B7DB8">
            <w:rPr>
              <w:rFonts w:ascii="Arial" w:eastAsia="Times New Roman" w:hAnsi="Arial" w:cs="Arial"/>
              <w:b/>
              <w:bCs/>
              <w:color w:val="000000" w:themeColor="text1"/>
              <w:kern w:val="36"/>
              <w:sz w:val="28"/>
              <w:szCs w:val="28"/>
              <w:lang w:eastAsia="en-GB"/>
              <w14:ligatures w14:val="none"/>
            </w:rPr>
            <w:t>AVIGATING COMPETITIVE PRESSURES</w:t>
          </w:r>
          <w:r w:rsidR="006712E6" w:rsidRPr="005B7DB8">
            <w:rPr>
              <w:rFonts w:ascii="Arial" w:eastAsia="Times New Roman" w:hAnsi="Arial" w:cs="Arial"/>
              <w:b/>
              <w:bCs/>
              <w:color w:val="000000" w:themeColor="text1"/>
              <w:kern w:val="36"/>
              <w:sz w:val="28"/>
              <w:szCs w:val="28"/>
              <w:lang w:eastAsia="en-GB"/>
              <w14:ligatures w14:val="none"/>
            </w:rPr>
            <w:t xml:space="preserve"> THE UK</w:t>
          </w:r>
          <w:r w:rsidR="00251ACF" w:rsidRPr="005B7DB8">
            <w:rPr>
              <w:rFonts w:ascii="Arial" w:eastAsia="Times New Roman" w:hAnsi="Arial" w:cs="Arial"/>
              <w:b/>
              <w:bCs/>
              <w:color w:val="000000" w:themeColor="text1"/>
              <w:kern w:val="36"/>
              <w:sz w:val="28"/>
              <w:szCs w:val="28"/>
              <w:lang w:eastAsia="en-GB"/>
              <w14:ligatures w14:val="none"/>
            </w:rPr>
            <w:t xml:space="preserve"> MARKET</w:t>
          </w:r>
        </w:p>
        <w:p w14:paraId="2DE313F5" w14:textId="603B2F91" w:rsidR="00B80C90" w:rsidRPr="005B7DB8" w:rsidRDefault="007479CC" w:rsidP="00EE76FF">
          <w:pPr>
            <w:pStyle w:val="Heading1"/>
            <w:spacing w:line="360" w:lineRule="auto"/>
            <w:jc w:val="center"/>
            <w:rPr>
              <w:rFonts w:ascii="Arial" w:eastAsia="Times New Roman" w:hAnsi="Arial" w:cs="Arial"/>
              <w:color w:val="000000" w:themeColor="text1"/>
              <w:kern w:val="0"/>
              <w:sz w:val="28"/>
              <w:szCs w:val="28"/>
              <w:lang w:eastAsia="en-GB"/>
              <w14:ligatures w14:val="none"/>
            </w:rPr>
          </w:pPr>
          <w:r>
            <w:rPr>
              <w:rFonts w:asciiTheme="minorHAnsi" w:eastAsiaTheme="minorHAnsi" w:hAnsiTheme="minorHAnsi" w:cstheme="minorBidi"/>
              <w:color w:val="auto"/>
              <w:sz w:val="24"/>
              <w:szCs w:val="24"/>
            </w:rPr>
          </w:r>
          <w:r>
            <w:rPr>
              <w:rFonts w:asciiTheme="minorHAnsi" w:eastAsiaTheme="minorHAnsi" w:hAnsiTheme="minorHAnsi" w:cstheme="minorBidi"/>
              <w:color w:val="auto"/>
              <w:sz w:val="24"/>
              <w:szCs w:val="24"/>
            </w:rPr>
            <w:pict w14:anchorId="1A4CF300">
              <v:rect id="Horizontal Line 1" o:spid="_x0000_s1026" alt="" style="width:451.3pt;height:.05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7B816748" w14:textId="379BC0F8" w:rsidR="00B80C90" w:rsidRPr="005B7DB8" w:rsidRDefault="00B80C90" w:rsidP="00EE76FF">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5B7DB8">
            <w:rPr>
              <w:rFonts w:ascii="Arial" w:eastAsia="Times New Roman" w:hAnsi="Arial" w:cs="Arial"/>
              <w:color w:val="000000" w:themeColor="text1"/>
              <w:kern w:val="0"/>
              <w:lang w:eastAsia="en-GB"/>
              <w14:ligatures w14:val="none"/>
            </w:rPr>
            <w:t xml:space="preserve">Module Name: </w:t>
          </w:r>
          <w:r w:rsidR="003D53F3" w:rsidRPr="005B7DB8">
            <w:rPr>
              <w:rFonts w:ascii="Arial" w:eastAsia="Times New Roman" w:hAnsi="Arial" w:cs="Arial"/>
              <w:color w:val="000000" w:themeColor="text1"/>
              <w:kern w:val="0"/>
              <w:lang w:val="en-GB" w:eastAsia="en-GB"/>
              <w14:ligatures w14:val="none"/>
            </w:rPr>
            <w:t>Strategic Management</w:t>
          </w:r>
        </w:p>
        <w:p w14:paraId="2E6427B9" w14:textId="1281A9C1" w:rsidR="00B80C90" w:rsidRPr="005B7DB8" w:rsidRDefault="00B80C90" w:rsidP="00EE76FF">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5B7DB8">
            <w:rPr>
              <w:rFonts w:ascii="Arial" w:eastAsia="Times New Roman" w:hAnsi="Arial" w:cs="Arial"/>
              <w:color w:val="000000" w:themeColor="text1"/>
              <w:kern w:val="0"/>
              <w:lang w:eastAsia="en-GB"/>
              <w14:ligatures w14:val="none"/>
            </w:rPr>
            <w:t>Module Code: LCMB70</w:t>
          </w:r>
          <w:r w:rsidR="003D53F3" w:rsidRPr="005B7DB8">
            <w:rPr>
              <w:rFonts w:ascii="Arial" w:eastAsia="Times New Roman" w:hAnsi="Arial" w:cs="Arial"/>
              <w:color w:val="000000" w:themeColor="text1"/>
              <w:kern w:val="0"/>
              <w:lang w:eastAsia="en-GB"/>
              <w14:ligatures w14:val="none"/>
            </w:rPr>
            <w:t>03</w:t>
          </w:r>
        </w:p>
        <w:p w14:paraId="5354B3B5" w14:textId="77777777" w:rsidR="00B80C90" w:rsidRPr="005B7DB8" w:rsidRDefault="00B80C90" w:rsidP="00EE76FF">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5B7DB8">
            <w:rPr>
              <w:rFonts w:ascii="Arial" w:eastAsia="Times New Roman" w:hAnsi="Arial" w:cs="Arial"/>
              <w:color w:val="000000" w:themeColor="text1"/>
              <w:kern w:val="0"/>
              <w:lang w:eastAsia="en-GB"/>
              <w14:ligatures w14:val="none"/>
            </w:rPr>
            <w:t>Student Name: Prince Laurence Sade</w:t>
          </w:r>
        </w:p>
        <w:p w14:paraId="737EF5E0" w14:textId="77777777" w:rsidR="00B80C90" w:rsidRPr="005B7DB8" w:rsidRDefault="00B80C90" w:rsidP="00EE76FF">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5B7DB8">
            <w:rPr>
              <w:rFonts w:ascii="Arial" w:eastAsia="Times New Roman" w:hAnsi="Arial" w:cs="Arial"/>
              <w:color w:val="000000" w:themeColor="text1"/>
              <w:kern w:val="0"/>
              <w:lang w:eastAsia="en-GB"/>
              <w14:ligatures w14:val="none"/>
            </w:rPr>
            <w:t>Student ID: 2525510</w:t>
          </w:r>
        </w:p>
        <w:p w14:paraId="68AB8B62" w14:textId="77777777" w:rsidR="00B80C90" w:rsidRPr="005B7DB8" w:rsidRDefault="00B80C90" w:rsidP="00EE76FF">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5B7DB8">
            <w:rPr>
              <w:rFonts w:ascii="Arial" w:eastAsia="Times New Roman" w:hAnsi="Arial" w:cs="Arial"/>
              <w:color w:val="000000" w:themeColor="text1"/>
              <w:kern w:val="0"/>
              <w:lang w:eastAsia="en-GB"/>
              <w14:ligatures w14:val="none"/>
            </w:rPr>
            <w:t>Programme: Master of Business Administration (MBA)</w:t>
          </w:r>
        </w:p>
        <w:p w14:paraId="180F15EE" w14:textId="77777777" w:rsidR="00B80C90" w:rsidRPr="005B7DB8" w:rsidRDefault="00B80C90" w:rsidP="00EE76FF">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5B7DB8">
            <w:rPr>
              <w:rFonts w:ascii="Arial" w:eastAsia="Times New Roman" w:hAnsi="Arial" w:cs="Arial"/>
              <w:color w:val="000000" w:themeColor="text1"/>
              <w:kern w:val="0"/>
              <w:lang w:eastAsia="en-GB"/>
              <w14:ligatures w14:val="none"/>
            </w:rPr>
            <w:t>University: University of Wales Trinity Saint David</w:t>
          </w:r>
        </w:p>
        <w:p w14:paraId="0FDFE83E" w14:textId="0AF84420" w:rsidR="003D53F3" w:rsidRPr="005B7DB8" w:rsidRDefault="00B80C90" w:rsidP="00EE76FF">
          <w:pPr>
            <w:spacing w:line="360" w:lineRule="auto"/>
            <w:jc w:val="center"/>
            <w:rPr>
              <w:rFonts w:ascii="Arial" w:hAnsi="Arial" w:cs="Arial"/>
              <w:color w:val="000000" w:themeColor="text1"/>
              <w:lang w:val="it-IT"/>
            </w:rPr>
          </w:pPr>
          <w:r w:rsidRPr="005B7DB8">
            <w:rPr>
              <w:rFonts w:ascii="Arial" w:eastAsia="Times New Roman" w:hAnsi="Arial" w:cs="Arial"/>
              <w:color w:val="000000" w:themeColor="text1"/>
              <w:kern w:val="0"/>
              <w:lang w:eastAsia="en-GB"/>
              <w14:ligatures w14:val="none"/>
            </w:rPr>
            <w:t xml:space="preserve">Lecturer: </w:t>
          </w:r>
          <w:r w:rsidR="003D53F3" w:rsidRPr="005B7DB8">
            <w:rPr>
              <w:rFonts w:ascii="Arial" w:hAnsi="Arial" w:cs="Arial"/>
              <w:color w:val="000000" w:themeColor="text1"/>
              <w:lang w:val="it-IT"/>
            </w:rPr>
            <w:t>Amare Desta (London)</w:t>
          </w:r>
        </w:p>
        <w:p w14:paraId="15C91172" w14:textId="1BDD4D0C" w:rsidR="00B80C90" w:rsidRPr="005B7DB8" w:rsidRDefault="003D53F3" w:rsidP="00EE76FF">
          <w:pPr>
            <w:spacing w:line="360" w:lineRule="auto"/>
            <w:jc w:val="center"/>
            <w:rPr>
              <w:rFonts w:ascii="Arial" w:hAnsi="Arial" w:cs="Arial"/>
              <w:color w:val="000000" w:themeColor="text1"/>
            </w:rPr>
          </w:pPr>
          <w:r w:rsidRPr="005B7DB8">
            <w:rPr>
              <w:rFonts w:ascii="Arial" w:hAnsi="Arial" w:cs="Arial"/>
              <w:color w:val="000000" w:themeColor="text1"/>
              <w:lang w:val="it-IT"/>
            </w:rPr>
            <w:t>Ejike Udeogu (Birmingham)</w:t>
          </w:r>
        </w:p>
        <w:p w14:paraId="509AB838" w14:textId="6CAAF4CA" w:rsidR="003D53F3" w:rsidRPr="005B7DB8" w:rsidRDefault="003D53F3" w:rsidP="00EE76FF">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5B7DB8">
            <w:rPr>
              <w:rFonts w:ascii="Arial" w:eastAsia="Times New Roman" w:hAnsi="Arial" w:cs="Arial"/>
              <w:color w:val="000000" w:themeColor="text1"/>
              <w:kern w:val="0"/>
              <w:lang w:val="en-GB" w:eastAsia="en-GB"/>
              <w14:ligatures w14:val="none"/>
            </w:rPr>
            <w:t>Assessment component - Individual report</w:t>
          </w:r>
          <w:r w:rsidRPr="005B7DB8">
            <w:rPr>
              <w:rFonts w:ascii="Arial" w:eastAsia="Times New Roman" w:hAnsi="Arial" w:cs="Arial"/>
              <w:color w:val="000000" w:themeColor="text1"/>
              <w:kern w:val="0"/>
              <w:lang w:eastAsia="en-GB"/>
              <w14:ligatures w14:val="none"/>
            </w:rPr>
            <w:t xml:space="preserve"> </w:t>
          </w:r>
        </w:p>
        <w:p w14:paraId="58B7185F" w14:textId="2BE9FC10" w:rsidR="00B80C90" w:rsidRPr="005B7DB8" w:rsidRDefault="00B80C90" w:rsidP="00EE76FF">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5B7DB8">
            <w:rPr>
              <w:rFonts w:ascii="Arial" w:eastAsia="Times New Roman" w:hAnsi="Arial" w:cs="Arial"/>
              <w:color w:val="000000" w:themeColor="text1"/>
              <w:kern w:val="0"/>
              <w:lang w:eastAsia="en-GB"/>
              <w14:ligatures w14:val="none"/>
            </w:rPr>
            <w:t xml:space="preserve">Word Count: </w:t>
          </w:r>
          <w:r w:rsidR="003D53F3" w:rsidRPr="005B7DB8">
            <w:rPr>
              <w:rFonts w:ascii="Arial" w:eastAsia="Times New Roman" w:hAnsi="Arial" w:cs="Arial"/>
              <w:kern w:val="36"/>
              <w:lang w:eastAsia="en-GB"/>
              <w14:ligatures w14:val="none"/>
            </w:rPr>
            <w:t>5,247</w:t>
          </w:r>
          <w:r w:rsidRPr="005B7DB8">
            <w:rPr>
              <w:rFonts w:ascii="Arial" w:eastAsia="Times New Roman" w:hAnsi="Arial" w:cs="Arial"/>
              <w:color w:val="000000" w:themeColor="text1"/>
              <w:kern w:val="0"/>
              <w:lang w:eastAsia="en-GB"/>
              <w14:ligatures w14:val="none"/>
            </w:rPr>
            <w:t xml:space="preserve"> words (excluding references)</w:t>
          </w:r>
        </w:p>
        <w:p w14:paraId="032ECCC8" w14:textId="450BBD04" w:rsidR="00B80C90" w:rsidRPr="005B7DB8" w:rsidRDefault="00B80C90" w:rsidP="00EE76FF">
          <w:pPr>
            <w:spacing w:line="360" w:lineRule="auto"/>
            <w:jc w:val="center"/>
            <w:rPr>
              <w:rFonts w:ascii="Arial" w:hAnsi="Arial" w:cs="Arial"/>
              <w:color w:val="000000" w:themeColor="text1"/>
              <w:sz w:val="22"/>
              <w:szCs w:val="22"/>
            </w:rPr>
          </w:pPr>
          <w:r w:rsidRPr="005B7DB8">
            <w:rPr>
              <w:rFonts w:ascii="Arial" w:eastAsia="Times New Roman" w:hAnsi="Arial" w:cs="Arial"/>
              <w:color w:val="000000" w:themeColor="text1"/>
              <w:kern w:val="0"/>
              <w:lang w:eastAsia="en-GB"/>
              <w14:ligatures w14:val="none"/>
            </w:rPr>
            <w:t xml:space="preserve">Submission Date: </w:t>
          </w:r>
          <w:r w:rsidRPr="005B7DB8">
            <w:rPr>
              <w:rFonts w:ascii="Arial" w:hAnsi="Arial" w:cs="Arial"/>
              <w:color w:val="000000" w:themeColor="text1"/>
            </w:rPr>
            <w:t>1</w:t>
          </w:r>
          <w:r w:rsidR="003D53F3" w:rsidRPr="005B7DB8">
            <w:rPr>
              <w:rFonts w:ascii="Arial" w:hAnsi="Arial" w:cs="Arial"/>
              <w:color w:val="000000" w:themeColor="text1"/>
            </w:rPr>
            <w:t>7 July</w:t>
          </w:r>
          <w:r w:rsidRPr="005B7DB8">
            <w:rPr>
              <w:rFonts w:ascii="Arial" w:hAnsi="Arial" w:cs="Arial"/>
              <w:color w:val="000000" w:themeColor="text1"/>
            </w:rPr>
            <w:t xml:space="preserve"> 2026</w:t>
          </w:r>
        </w:p>
        <w:p w14:paraId="3572C715" w14:textId="77777777" w:rsidR="007333F7" w:rsidRPr="005B7DB8" w:rsidRDefault="007333F7" w:rsidP="00EE76FF">
          <w:pPr>
            <w:spacing w:line="360" w:lineRule="auto"/>
            <w:rPr>
              <w:rFonts w:ascii="Arial" w:hAnsi="Arial" w:cs="Arial"/>
            </w:rPr>
          </w:pPr>
        </w:p>
        <w:p w14:paraId="786C57F3" w14:textId="26449A7C" w:rsidR="006712E6" w:rsidRPr="005B7DB8" w:rsidRDefault="00000000" w:rsidP="00EE76FF">
          <w:pPr>
            <w:spacing w:line="360" w:lineRule="auto"/>
            <w:rPr>
              <w:rFonts w:ascii="Arial" w:hAnsi="Arial" w:cs="Arial"/>
            </w:rPr>
          </w:pPr>
        </w:p>
      </w:sdtContent>
    </w:sdt>
    <w:tbl>
      <w:tblPr>
        <w:tblW w:w="920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8235"/>
        <w:gridCol w:w="971"/>
      </w:tblGrid>
      <w:tr w:rsidR="005F222F" w:rsidRPr="005B7DB8" w14:paraId="541B51C8" w14:textId="77777777" w:rsidTr="005F222F">
        <w:trPr>
          <w:trHeight w:val="424"/>
          <w:tblHeader/>
          <w:tblCellSpacing w:w="15" w:type="dxa"/>
        </w:trPr>
        <w:tc>
          <w:tcPr>
            <w:tcW w:w="0" w:type="auto"/>
            <w:vAlign w:val="center"/>
            <w:hideMark/>
          </w:tcPr>
          <w:p w14:paraId="16961C9E" w14:textId="3B7256C9" w:rsidR="005F222F" w:rsidRPr="005B7DB8" w:rsidRDefault="005F222F" w:rsidP="00EE76FF">
            <w:pPr>
              <w:spacing w:before="100" w:beforeAutospacing="1" w:after="100" w:afterAutospacing="1" w:line="360" w:lineRule="auto"/>
              <w:rPr>
                <w:rFonts w:ascii="Arial" w:eastAsia="Times New Roman" w:hAnsi="Arial" w:cs="Arial"/>
                <w:b/>
                <w:bCs/>
                <w:kern w:val="36"/>
                <w:sz w:val="32"/>
                <w:szCs w:val="32"/>
                <w:lang w:eastAsia="en-GB"/>
                <w14:ligatures w14:val="none"/>
              </w:rPr>
            </w:pPr>
            <w:r w:rsidRPr="005B7DB8">
              <w:rPr>
                <w:rFonts w:ascii="Arial" w:eastAsia="Times New Roman" w:hAnsi="Arial" w:cs="Arial"/>
                <w:b/>
                <w:bCs/>
                <w:kern w:val="36"/>
                <w:sz w:val="32"/>
                <w:szCs w:val="32"/>
                <w:lang w:eastAsia="en-GB"/>
                <w14:ligatures w14:val="none"/>
              </w:rPr>
              <w:lastRenderedPageBreak/>
              <w:t>Table Of Contents</w:t>
            </w:r>
          </w:p>
        </w:tc>
        <w:tc>
          <w:tcPr>
            <w:tcW w:w="0" w:type="auto"/>
            <w:vAlign w:val="center"/>
            <w:hideMark/>
          </w:tcPr>
          <w:p w14:paraId="17D4A71A" w14:textId="77777777" w:rsidR="005F222F" w:rsidRPr="005B7DB8" w:rsidRDefault="005F222F"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Page</w:t>
            </w:r>
          </w:p>
        </w:tc>
      </w:tr>
      <w:tr w:rsidR="005F222F" w:rsidRPr="005B7DB8" w14:paraId="356FE4B9" w14:textId="77777777" w:rsidTr="005F222F">
        <w:trPr>
          <w:trHeight w:val="397"/>
          <w:tblCellSpacing w:w="15" w:type="dxa"/>
        </w:trPr>
        <w:tc>
          <w:tcPr>
            <w:tcW w:w="0" w:type="auto"/>
            <w:vAlign w:val="center"/>
            <w:hideMark/>
          </w:tcPr>
          <w:p w14:paraId="371D4E7B"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Executive Summary</w:t>
            </w:r>
          </w:p>
        </w:tc>
        <w:tc>
          <w:tcPr>
            <w:tcW w:w="0" w:type="auto"/>
            <w:vAlign w:val="center"/>
            <w:hideMark/>
          </w:tcPr>
          <w:p w14:paraId="7A58A2F1"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2</w:t>
            </w:r>
          </w:p>
        </w:tc>
      </w:tr>
      <w:tr w:rsidR="005F222F" w:rsidRPr="005B7DB8" w14:paraId="438DB0C2" w14:textId="77777777" w:rsidTr="005F222F">
        <w:trPr>
          <w:trHeight w:val="397"/>
          <w:tblCellSpacing w:w="15" w:type="dxa"/>
        </w:trPr>
        <w:tc>
          <w:tcPr>
            <w:tcW w:w="0" w:type="auto"/>
            <w:vAlign w:val="center"/>
            <w:hideMark/>
          </w:tcPr>
          <w:p w14:paraId="20A659B6"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1. Introduction</w:t>
            </w:r>
          </w:p>
        </w:tc>
        <w:tc>
          <w:tcPr>
            <w:tcW w:w="0" w:type="auto"/>
            <w:vAlign w:val="center"/>
            <w:hideMark/>
          </w:tcPr>
          <w:p w14:paraId="28CC600E"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3</w:t>
            </w:r>
          </w:p>
        </w:tc>
      </w:tr>
      <w:tr w:rsidR="005F222F" w:rsidRPr="005B7DB8" w14:paraId="0A23A5C5" w14:textId="77777777" w:rsidTr="005F222F">
        <w:trPr>
          <w:trHeight w:val="371"/>
          <w:tblCellSpacing w:w="15" w:type="dxa"/>
        </w:trPr>
        <w:tc>
          <w:tcPr>
            <w:tcW w:w="0" w:type="auto"/>
            <w:vAlign w:val="center"/>
            <w:hideMark/>
          </w:tcPr>
          <w:p w14:paraId="2DC2DABE"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2. Organisational Context and Overview</w:t>
            </w:r>
          </w:p>
        </w:tc>
        <w:tc>
          <w:tcPr>
            <w:tcW w:w="0" w:type="auto"/>
            <w:vAlign w:val="center"/>
            <w:hideMark/>
          </w:tcPr>
          <w:p w14:paraId="274E83D1"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4</w:t>
            </w:r>
          </w:p>
        </w:tc>
      </w:tr>
      <w:tr w:rsidR="005F222F" w:rsidRPr="005B7DB8" w14:paraId="3437EAF5" w14:textId="77777777" w:rsidTr="005F222F">
        <w:trPr>
          <w:trHeight w:val="397"/>
          <w:tblCellSpacing w:w="15" w:type="dxa"/>
        </w:trPr>
        <w:tc>
          <w:tcPr>
            <w:tcW w:w="0" w:type="auto"/>
            <w:vAlign w:val="center"/>
            <w:hideMark/>
          </w:tcPr>
          <w:p w14:paraId="149B3CED"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Historical Development and Contemporary Portfolio</w:t>
            </w:r>
          </w:p>
        </w:tc>
        <w:tc>
          <w:tcPr>
            <w:tcW w:w="0" w:type="auto"/>
            <w:vAlign w:val="center"/>
            <w:hideMark/>
          </w:tcPr>
          <w:p w14:paraId="227D1914"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4</w:t>
            </w:r>
          </w:p>
        </w:tc>
      </w:tr>
      <w:tr w:rsidR="005F222F" w:rsidRPr="005B7DB8" w14:paraId="0705D19D" w14:textId="77777777" w:rsidTr="005F222F">
        <w:trPr>
          <w:trHeight w:val="397"/>
          <w:tblCellSpacing w:w="15" w:type="dxa"/>
        </w:trPr>
        <w:tc>
          <w:tcPr>
            <w:tcW w:w="0" w:type="auto"/>
            <w:vAlign w:val="center"/>
            <w:hideMark/>
          </w:tcPr>
          <w:p w14:paraId="603D98E9"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Strategic Intent and Business Model</w:t>
            </w:r>
          </w:p>
        </w:tc>
        <w:tc>
          <w:tcPr>
            <w:tcW w:w="0" w:type="auto"/>
            <w:vAlign w:val="center"/>
            <w:hideMark/>
          </w:tcPr>
          <w:p w14:paraId="36200FAB"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5</w:t>
            </w:r>
          </w:p>
        </w:tc>
      </w:tr>
      <w:tr w:rsidR="005F222F" w:rsidRPr="005B7DB8" w14:paraId="3D5EB265" w14:textId="77777777" w:rsidTr="005F222F">
        <w:trPr>
          <w:trHeight w:val="397"/>
          <w:tblCellSpacing w:w="15" w:type="dxa"/>
        </w:trPr>
        <w:tc>
          <w:tcPr>
            <w:tcW w:w="0" w:type="auto"/>
            <w:vAlign w:val="center"/>
            <w:hideMark/>
          </w:tcPr>
          <w:p w14:paraId="05473A3F"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Competitive Landscape</w:t>
            </w:r>
          </w:p>
        </w:tc>
        <w:tc>
          <w:tcPr>
            <w:tcW w:w="0" w:type="auto"/>
            <w:vAlign w:val="center"/>
            <w:hideMark/>
          </w:tcPr>
          <w:p w14:paraId="18923DEF"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5</w:t>
            </w:r>
          </w:p>
        </w:tc>
      </w:tr>
      <w:tr w:rsidR="005F222F" w:rsidRPr="005B7DB8" w14:paraId="532713F7" w14:textId="77777777" w:rsidTr="005F222F">
        <w:trPr>
          <w:trHeight w:val="397"/>
          <w:tblCellSpacing w:w="15" w:type="dxa"/>
        </w:trPr>
        <w:tc>
          <w:tcPr>
            <w:tcW w:w="0" w:type="auto"/>
            <w:vAlign w:val="center"/>
            <w:hideMark/>
          </w:tcPr>
          <w:p w14:paraId="74EEABD9"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3. External and Internal Analysis</w:t>
            </w:r>
          </w:p>
        </w:tc>
        <w:tc>
          <w:tcPr>
            <w:tcW w:w="0" w:type="auto"/>
            <w:vAlign w:val="center"/>
            <w:hideMark/>
          </w:tcPr>
          <w:p w14:paraId="034397E6"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7</w:t>
            </w:r>
          </w:p>
        </w:tc>
      </w:tr>
      <w:tr w:rsidR="005F222F" w:rsidRPr="005B7DB8" w14:paraId="342357C5" w14:textId="77777777" w:rsidTr="005F222F">
        <w:trPr>
          <w:trHeight w:val="397"/>
          <w:tblCellSpacing w:w="15" w:type="dxa"/>
        </w:trPr>
        <w:tc>
          <w:tcPr>
            <w:tcW w:w="0" w:type="auto"/>
            <w:vAlign w:val="center"/>
            <w:hideMark/>
          </w:tcPr>
          <w:p w14:paraId="1D35DA87"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3.1 PESTEL Analysis</w:t>
            </w:r>
          </w:p>
        </w:tc>
        <w:tc>
          <w:tcPr>
            <w:tcW w:w="0" w:type="auto"/>
            <w:vAlign w:val="center"/>
            <w:hideMark/>
          </w:tcPr>
          <w:p w14:paraId="360D37D3"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7</w:t>
            </w:r>
          </w:p>
        </w:tc>
      </w:tr>
      <w:tr w:rsidR="005F222F" w:rsidRPr="005B7DB8" w14:paraId="61A70209" w14:textId="77777777" w:rsidTr="005F222F">
        <w:trPr>
          <w:trHeight w:val="397"/>
          <w:tblCellSpacing w:w="15" w:type="dxa"/>
        </w:trPr>
        <w:tc>
          <w:tcPr>
            <w:tcW w:w="0" w:type="auto"/>
            <w:vAlign w:val="center"/>
            <w:hideMark/>
          </w:tcPr>
          <w:p w14:paraId="4AEAEA4C"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3.2 VRIO Analysis</w:t>
            </w:r>
          </w:p>
        </w:tc>
        <w:tc>
          <w:tcPr>
            <w:tcW w:w="0" w:type="auto"/>
            <w:vAlign w:val="center"/>
            <w:hideMark/>
          </w:tcPr>
          <w:p w14:paraId="312B3542"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10</w:t>
            </w:r>
          </w:p>
        </w:tc>
      </w:tr>
      <w:tr w:rsidR="005F222F" w:rsidRPr="005B7DB8" w14:paraId="1597F667" w14:textId="77777777" w:rsidTr="005F222F">
        <w:trPr>
          <w:trHeight w:val="371"/>
          <w:tblCellSpacing w:w="15" w:type="dxa"/>
        </w:trPr>
        <w:tc>
          <w:tcPr>
            <w:tcW w:w="0" w:type="auto"/>
            <w:vAlign w:val="center"/>
            <w:hideMark/>
          </w:tcPr>
          <w:p w14:paraId="5F060409"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3.3 SWOT Analysis</w:t>
            </w:r>
          </w:p>
        </w:tc>
        <w:tc>
          <w:tcPr>
            <w:tcW w:w="0" w:type="auto"/>
            <w:vAlign w:val="center"/>
            <w:hideMark/>
          </w:tcPr>
          <w:p w14:paraId="04D5B546"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12</w:t>
            </w:r>
          </w:p>
        </w:tc>
      </w:tr>
      <w:tr w:rsidR="005F222F" w:rsidRPr="005B7DB8" w14:paraId="7F3D014C" w14:textId="77777777" w:rsidTr="005F222F">
        <w:trPr>
          <w:trHeight w:val="397"/>
          <w:tblCellSpacing w:w="15" w:type="dxa"/>
        </w:trPr>
        <w:tc>
          <w:tcPr>
            <w:tcW w:w="0" w:type="auto"/>
            <w:vAlign w:val="center"/>
            <w:hideMark/>
          </w:tcPr>
          <w:p w14:paraId="01D49B33"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4. Comprehensive and Holistic View</w:t>
            </w:r>
          </w:p>
        </w:tc>
        <w:tc>
          <w:tcPr>
            <w:tcW w:w="0" w:type="auto"/>
            <w:vAlign w:val="center"/>
            <w:hideMark/>
          </w:tcPr>
          <w:p w14:paraId="54529578"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14</w:t>
            </w:r>
          </w:p>
        </w:tc>
      </w:tr>
      <w:tr w:rsidR="005F222F" w:rsidRPr="005B7DB8" w14:paraId="610C2D9A" w14:textId="77777777" w:rsidTr="005F222F">
        <w:trPr>
          <w:trHeight w:val="397"/>
          <w:tblCellSpacing w:w="15" w:type="dxa"/>
        </w:trPr>
        <w:tc>
          <w:tcPr>
            <w:tcW w:w="0" w:type="auto"/>
            <w:vAlign w:val="center"/>
            <w:hideMark/>
          </w:tcPr>
          <w:p w14:paraId="6267B63F"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4.1 Corporate Social Responsibility</w:t>
            </w:r>
          </w:p>
        </w:tc>
        <w:tc>
          <w:tcPr>
            <w:tcW w:w="0" w:type="auto"/>
            <w:vAlign w:val="center"/>
            <w:hideMark/>
          </w:tcPr>
          <w:p w14:paraId="3FC76F78"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14</w:t>
            </w:r>
          </w:p>
        </w:tc>
      </w:tr>
      <w:tr w:rsidR="005F222F" w:rsidRPr="005B7DB8" w14:paraId="260F5BC3" w14:textId="77777777" w:rsidTr="005F222F">
        <w:trPr>
          <w:trHeight w:val="397"/>
          <w:tblCellSpacing w:w="15" w:type="dxa"/>
        </w:trPr>
        <w:tc>
          <w:tcPr>
            <w:tcW w:w="0" w:type="auto"/>
            <w:vAlign w:val="center"/>
            <w:hideMark/>
          </w:tcPr>
          <w:p w14:paraId="2B3E5313"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4.2 Balanced Scorecard</w:t>
            </w:r>
          </w:p>
        </w:tc>
        <w:tc>
          <w:tcPr>
            <w:tcW w:w="0" w:type="auto"/>
            <w:vAlign w:val="center"/>
            <w:hideMark/>
          </w:tcPr>
          <w:p w14:paraId="1105C97C"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17</w:t>
            </w:r>
          </w:p>
        </w:tc>
      </w:tr>
      <w:tr w:rsidR="005F222F" w:rsidRPr="005B7DB8" w14:paraId="291FF5BF" w14:textId="77777777" w:rsidTr="005F222F">
        <w:trPr>
          <w:trHeight w:val="397"/>
          <w:tblCellSpacing w:w="15" w:type="dxa"/>
        </w:trPr>
        <w:tc>
          <w:tcPr>
            <w:tcW w:w="0" w:type="auto"/>
            <w:vAlign w:val="center"/>
            <w:hideMark/>
          </w:tcPr>
          <w:p w14:paraId="364006C8"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5. Strategic Choices and Implementation</w:t>
            </w:r>
          </w:p>
        </w:tc>
        <w:tc>
          <w:tcPr>
            <w:tcW w:w="0" w:type="auto"/>
            <w:vAlign w:val="center"/>
            <w:hideMark/>
          </w:tcPr>
          <w:p w14:paraId="5150F04F"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20</w:t>
            </w:r>
          </w:p>
        </w:tc>
      </w:tr>
      <w:tr w:rsidR="005F222F" w:rsidRPr="005B7DB8" w14:paraId="3A5317AE" w14:textId="77777777" w:rsidTr="005F222F">
        <w:trPr>
          <w:trHeight w:val="397"/>
          <w:tblCellSpacing w:w="15" w:type="dxa"/>
        </w:trPr>
        <w:tc>
          <w:tcPr>
            <w:tcW w:w="0" w:type="auto"/>
            <w:vAlign w:val="center"/>
            <w:hideMark/>
          </w:tcPr>
          <w:p w14:paraId="4A235B35"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5.1 Strategic Options Evaluation</w:t>
            </w:r>
          </w:p>
        </w:tc>
        <w:tc>
          <w:tcPr>
            <w:tcW w:w="0" w:type="auto"/>
            <w:vAlign w:val="center"/>
            <w:hideMark/>
          </w:tcPr>
          <w:p w14:paraId="496ECA48"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20</w:t>
            </w:r>
          </w:p>
        </w:tc>
      </w:tr>
      <w:tr w:rsidR="005F222F" w:rsidRPr="005B7DB8" w14:paraId="4602816F" w14:textId="77777777" w:rsidTr="005F222F">
        <w:trPr>
          <w:trHeight w:val="397"/>
          <w:tblCellSpacing w:w="15" w:type="dxa"/>
        </w:trPr>
        <w:tc>
          <w:tcPr>
            <w:tcW w:w="0" w:type="auto"/>
            <w:vAlign w:val="center"/>
            <w:hideMark/>
          </w:tcPr>
          <w:p w14:paraId="20C03ACA"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5.2 Strategic Evaluation</w:t>
            </w:r>
          </w:p>
        </w:tc>
        <w:tc>
          <w:tcPr>
            <w:tcW w:w="0" w:type="auto"/>
            <w:vAlign w:val="center"/>
            <w:hideMark/>
          </w:tcPr>
          <w:p w14:paraId="099C234A"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21</w:t>
            </w:r>
          </w:p>
        </w:tc>
      </w:tr>
      <w:tr w:rsidR="005F222F" w:rsidRPr="005B7DB8" w14:paraId="1B69F29A" w14:textId="77777777" w:rsidTr="005F222F">
        <w:trPr>
          <w:trHeight w:val="397"/>
          <w:tblCellSpacing w:w="15" w:type="dxa"/>
        </w:trPr>
        <w:tc>
          <w:tcPr>
            <w:tcW w:w="0" w:type="auto"/>
            <w:vAlign w:val="center"/>
            <w:hideMark/>
          </w:tcPr>
          <w:p w14:paraId="692C57F6"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5.3 Recommended Strategy</w:t>
            </w:r>
          </w:p>
        </w:tc>
        <w:tc>
          <w:tcPr>
            <w:tcW w:w="0" w:type="auto"/>
            <w:vAlign w:val="center"/>
            <w:hideMark/>
          </w:tcPr>
          <w:p w14:paraId="653773FF"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25</w:t>
            </w:r>
          </w:p>
        </w:tc>
      </w:tr>
      <w:tr w:rsidR="005F222F" w:rsidRPr="005B7DB8" w14:paraId="0B0D2A63" w14:textId="77777777" w:rsidTr="005F222F">
        <w:trPr>
          <w:trHeight w:val="371"/>
          <w:tblCellSpacing w:w="15" w:type="dxa"/>
        </w:trPr>
        <w:tc>
          <w:tcPr>
            <w:tcW w:w="0" w:type="auto"/>
            <w:vAlign w:val="center"/>
            <w:hideMark/>
          </w:tcPr>
          <w:p w14:paraId="4A8CC62D"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5.4 Implementation Plan</w:t>
            </w:r>
          </w:p>
        </w:tc>
        <w:tc>
          <w:tcPr>
            <w:tcW w:w="0" w:type="auto"/>
            <w:vAlign w:val="center"/>
            <w:hideMark/>
          </w:tcPr>
          <w:p w14:paraId="159B8A16"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27</w:t>
            </w:r>
          </w:p>
        </w:tc>
      </w:tr>
      <w:tr w:rsidR="005F222F" w:rsidRPr="005B7DB8" w14:paraId="0DF5EB14" w14:textId="77777777" w:rsidTr="005F222F">
        <w:trPr>
          <w:trHeight w:val="397"/>
          <w:tblCellSpacing w:w="15" w:type="dxa"/>
        </w:trPr>
        <w:tc>
          <w:tcPr>
            <w:tcW w:w="0" w:type="auto"/>
            <w:vAlign w:val="center"/>
            <w:hideMark/>
          </w:tcPr>
          <w:p w14:paraId="131FDAE1"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6. Conclusion</w:t>
            </w:r>
          </w:p>
        </w:tc>
        <w:tc>
          <w:tcPr>
            <w:tcW w:w="0" w:type="auto"/>
            <w:vAlign w:val="center"/>
            <w:hideMark/>
          </w:tcPr>
          <w:p w14:paraId="481CA515"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30</w:t>
            </w:r>
          </w:p>
        </w:tc>
      </w:tr>
      <w:tr w:rsidR="005F222F" w:rsidRPr="005B7DB8" w14:paraId="254A1F59" w14:textId="77777777" w:rsidTr="005F222F">
        <w:trPr>
          <w:trHeight w:val="397"/>
          <w:tblCellSpacing w:w="15" w:type="dxa"/>
        </w:trPr>
        <w:tc>
          <w:tcPr>
            <w:tcW w:w="0" w:type="auto"/>
            <w:vAlign w:val="center"/>
            <w:hideMark/>
          </w:tcPr>
          <w:p w14:paraId="2E480694"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7. Reflective Account</w:t>
            </w:r>
          </w:p>
        </w:tc>
        <w:tc>
          <w:tcPr>
            <w:tcW w:w="0" w:type="auto"/>
            <w:vAlign w:val="center"/>
            <w:hideMark/>
          </w:tcPr>
          <w:p w14:paraId="1C312AF8"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31</w:t>
            </w:r>
          </w:p>
        </w:tc>
      </w:tr>
      <w:tr w:rsidR="005F222F" w:rsidRPr="005B7DB8" w14:paraId="4CBAF8D8" w14:textId="77777777" w:rsidTr="005F222F">
        <w:trPr>
          <w:trHeight w:val="424"/>
          <w:tblCellSpacing w:w="15" w:type="dxa"/>
        </w:trPr>
        <w:tc>
          <w:tcPr>
            <w:tcW w:w="0" w:type="auto"/>
            <w:vAlign w:val="center"/>
            <w:hideMark/>
          </w:tcPr>
          <w:p w14:paraId="27A1561A"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8. References</w:t>
            </w:r>
          </w:p>
        </w:tc>
        <w:tc>
          <w:tcPr>
            <w:tcW w:w="0" w:type="auto"/>
            <w:vAlign w:val="center"/>
            <w:hideMark/>
          </w:tcPr>
          <w:p w14:paraId="7370E2D5" w14:textId="77777777" w:rsidR="005F222F" w:rsidRPr="005B7DB8" w:rsidRDefault="005F222F"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36</w:t>
            </w:r>
          </w:p>
        </w:tc>
      </w:tr>
    </w:tbl>
    <w:p w14:paraId="10B2D88A" w14:textId="77777777" w:rsidR="00BB2EA6" w:rsidRPr="005B7DB8" w:rsidRDefault="00BB2EA6" w:rsidP="00EE76FF">
      <w:pPr>
        <w:spacing w:before="100" w:beforeAutospacing="1" w:after="100" w:afterAutospacing="1" w:line="360" w:lineRule="auto"/>
        <w:rPr>
          <w:rFonts w:ascii="Arial" w:eastAsia="Times New Roman" w:hAnsi="Arial" w:cs="Arial"/>
          <w:b/>
          <w:bCs/>
          <w:kern w:val="36"/>
          <w:lang w:eastAsia="en-GB"/>
          <w14:ligatures w14:val="none"/>
        </w:rPr>
      </w:pPr>
    </w:p>
    <w:p w14:paraId="38CA64A1" w14:textId="77777777" w:rsidR="00BB2EA6" w:rsidRPr="005B7DB8" w:rsidRDefault="00BB2EA6" w:rsidP="00EE76FF">
      <w:pPr>
        <w:spacing w:before="100" w:beforeAutospacing="1" w:after="100" w:afterAutospacing="1" w:line="360" w:lineRule="auto"/>
        <w:rPr>
          <w:rFonts w:ascii="Arial" w:eastAsia="Times New Roman" w:hAnsi="Arial" w:cs="Arial"/>
          <w:b/>
          <w:bCs/>
          <w:kern w:val="36"/>
          <w:lang w:eastAsia="en-GB"/>
          <w14:ligatures w14:val="none"/>
        </w:rPr>
      </w:pPr>
    </w:p>
    <w:p w14:paraId="11D6EFE9" w14:textId="77777777" w:rsidR="00BB2EA6" w:rsidRPr="005B7DB8" w:rsidRDefault="00BB2EA6" w:rsidP="00EE76FF">
      <w:pPr>
        <w:spacing w:before="100" w:beforeAutospacing="1" w:after="100" w:afterAutospacing="1" w:line="360" w:lineRule="auto"/>
        <w:rPr>
          <w:rFonts w:ascii="Arial" w:eastAsia="Times New Roman" w:hAnsi="Arial" w:cs="Arial"/>
          <w:b/>
          <w:bCs/>
          <w:kern w:val="36"/>
          <w:lang w:eastAsia="en-GB"/>
          <w14:ligatures w14:val="none"/>
        </w:rPr>
      </w:pPr>
    </w:p>
    <w:p w14:paraId="18ACE0D1" w14:textId="77777777" w:rsidR="005F222F" w:rsidRPr="005B7DB8" w:rsidRDefault="005F222F" w:rsidP="00EE76FF">
      <w:pPr>
        <w:spacing w:before="100" w:beforeAutospacing="1" w:after="100" w:afterAutospacing="1" w:line="360" w:lineRule="auto"/>
        <w:rPr>
          <w:rFonts w:ascii="Arial" w:eastAsia="Times New Roman" w:hAnsi="Arial" w:cs="Arial"/>
          <w:b/>
          <w:bCs/>
          <w:kern w:val="36"/>
          <w:lang w:eastAsia="en-GB"/>
          <w14:ligatures w14:val="none"/>
        </w:rPr>
      </w:pPr>
    </w:p>
    <w:p w14:paraId="3E082F28" w14:textId="2C782840"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lastRenderedPageBreak/>
        <w:t>EXECUTIVE SUMMARY</w:t>
      </w:r>
    </w:p>
    <w:p w14:paraId="5B05D9B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This report examines the strategic position of Unilever's Food &amp; Refreshment (F&amp;R) Division within the United Kingdom market, adopting the role of Strategic Management Consultant advising the Board of Directors. The UK F&amp;R division operates in an increasingly challenging environment characterised by powerful retailers, expanding private label competition, and tightening health and environmental regulation.</w:t>
      </w:r>
    </w:p>
    <w:p w14:paraId="0A7D0BB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Strategic analysis using PESTEL, VRIO and SWOT frameworks reveals that whilst Unilever maintains strong brand positions in specific categories such as mayonnaise and ice cream, the division faces systematic erosion of competitive advantage. The VRIO analysis demonstrates that none of Unilever's resources or capabilities currently deliver sustained competitive advantage—brand equity, innovation capability, and sustainability credentials all face imitation and commoditisation pressures. Private label quality convergence particularly threatens traditional brand premiums.</w:t>
      </w:r>
    </w:p>
    <w:p w14:paraId="7A36DF4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External environmental analysis identifies both threats and opportunities. Regulatory intervention through HFSS restrictions constrains promotional flexibility whilst creating reformulation imperatives. Simultaneously, growing consumer interest in plant-based foods and health-conscious products presents differentiation opportunities, though willingness to pay premium prices remains uncertain. Economic pressures have embedded value-seeking consumer behaviours that persist beyond immediate cost-of-living concerns.</w:t>
      </w:r>
    </w:p>
    <w:p w14:paraId="26201C9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Corporate social responsibility evaluation reveals ambitious environmental commitments alongside implementation challenges. Packaging sustainability targets have experienced shortfalls due to technical barriers and infrastructure limitations. Scope 3 emissions reductions prove difficult given limited direct control over agricultural supply chains. Tensions exist between sustainability investment costs and short-term margin pressures.</w:t>
      </w:r>
    </w:p>
    <w:p w14:paraId="0EFE2A40" w14:textId="143C556A"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The recommended strategy focuses on selective differentiation through plant-based innovation, health-focused reformulation, and enhanced digital engagement. This </w:t>
      </w:r>
      <w:r w:rsidRPr="005B7DB8">
        <w:rPr>
          <w:rFonts w:ascii="Arial" w:eastAsia="Times New Roman" w:hAnsi="Arial" w:cs="Arial"/>
          <w:kern w:val="36"/>
          <w:lang w:eastAsia="en-GB"/>
          <w14:ligatures w14:val="none"/>
        </w:rPr>
        <w:lastRenderedPageBreak/>
        <w:t>approach addresses regulatory requirements, capitalises on emerging consumer trends, and leverages existing brand equity and innovation capabilities. Implementation requires phased investment, cross-functional capability building, and careful change management within Unilever's complex organisational structure. Critical success factors include achieving taste parity in plant-based products, securing retailer support for new product listings, and demonstrating financial returns that justify continued investment during challenging trading conditions.</w:t>
      </w:r>
    </w:p>
    <w:p w14:paraId="47A7A527"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1. INTRODUCTION</w:t>
      </w:r>
    </w:p>
    <w:p w14:paraId="0577A316"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Unilever's Food &amp; Refreshment Division faces a critical juncture in the UK market. Established brand positions confront systematic challenges from retailer power, private label expansion, and regulatory intervention reshaping competitive dynamics. This report evaluates the division's strategic position and develops recommendations to strengthen competitive advantage.</w:t>
      </w:r>
    </w:p>
    <w:p w14:paraId="59B8354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UK market provides a particularly relevant analytical context. As a mature, saturated grocery market with among the highest levels of retailer concentration globally, the UK presents structural challenges that test traditional FMCG business models (Dobson, 2005). Simultaneously, the market demonstrates early adoption of trends around plant-based eating, sustainability consciousness, and health-focused consumption that subsequently diffuse to other markets (Jones, 2005). UK regulatory approaches to HFSS restrictions and environmental requirements often establish precedents that influence broader policy development.</w:t>
      </w:r>
    </w:p>
    <w:p w14:paraId="0AE06D5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Unilever F&amp;R UK was selected given its strategic importance within the group portfolio and the acute competitive pressures it faces. The division houses iconic brands including Hellmann's, Knorr, Magnum and Wall's, yet confronts declining market positions in several categories alongside persistent margin compression. Understanding these challenges and formulating effective strategic responses holds significance both for the UK operation and for informing Unilever's approach in comparable mature markets.</w:t>
      </w:r>
    </w:p>
    <w:p w14:paraId="67D544B1" w14:textId="77777777" w:rsidR="00BB2EA6"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This analysis uses established strategic frameworks—PESTEL, VRIO, SWOT, Porter's Five Forces, Ansoff Matrix, and SAFe evaluation—to examine underlying </w:t>
      </w:r>
      <w:r w:rsidRPr="005B7DB8">
        <w:rPr>
          <w:rFonts w:ascii="Arial" w:eastAsia="Times New Roman" w:hAnsi="Arial" w:cs="Arial"/>
          <w:kern w:val="36"/>
          <w:lang w:eastAsia="en-GB"/>
          <w14:ligatures w14:val="none"/>
        </w:rPr>
        <w:lastRenderedPageBreak/>
        <w:t xml:space="preserve">strategic dynamics rather than simply describe Unilever's current position. The objective extends beyond characterising Unilever's current position to evaluating what strategic options genuinely address the competitive reality rather than restating aspirational rhetoric. </w:t>
      </w:r>
      <w:r w:rsidR="00BB2EA6" w:rsidRPr="005B7DB8">
        <w:rPr>
          <w:rFonts w:ascii="Arial" w:eastAsia="Times New Roman" w:hAnsi="Arial" w:cs="Arial"/>
          <w:kern w:val="36"/>
          <w:lang w:eastAsia="en-GB"/>
          <w14:ligatures w14:val="none"/>
        </w:rPr>
        <w:t>The analysis is based on the most recent publicly available corporate and market data published during 2024–2025, which provides the latest verified evidence available at the time of writing.</w:t>
      </w:r>
    </w:p>
    <w:p w14:paraId="2C125399" w14:textId="72F2CDFC"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2. ORGANISATIONAL CONTEXT AND OVERVIEW</w:t>
      </w:r>
    </w:p>
    <w:p w14:paraId="561DD77E"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Historical Development and Contemporary Portfolio</w:t>
      </w:r>
    </w:p>
    <w:p w14:paraId="48B1D6F5" w14:textId="69905E47" w:rsidR="00BC52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Unilever's presence in UK food markets reflects over a century of evolution, shaped by the 1929 merger creating Unilever Limited and subsequent decades of organic growth and acquisition (Jones, 2005). The contemporary F&amp;R portfolio spans multiple categories: ice cream (Wall's, Magnum, Ben &amp; Jerry's), mayonnaise and dressings (Hellmann's, Colman's), cooking aids (Knorr, Oxo), and spreads (Flora). This breadth represents accumulated acquisitions rather than coherent strategic design, creating both scale advantages and complexity in portfolio management (Goold and Luchs, 1993).</w:t>
      </w:r>
    </w:p>
    <w:p w14:paraId="5671E293" w14:textId="078E0972" w:rsidR="00BC5202" w:rsidRPr="005B7DB8" w:rsidRDefault="00BB2EA6" w:rsidP="00EE76FF">
      <w:pPr>
        <w:spacing w:before="100" w:beforeAutospacing="1" w:after="100" w:afterAutospacing="1" w:line="360" w:lineRule="auto"/>
        <w:jc w:val="center"/>
        <w:rPr>
          <w:rFonts w:ascii="Arial" w:eastAsia="Times New Roman" w:hAnsi="Arial" w:cs="Arial"/>
          <w:kern w:val="36"/>
          <w:lang w:eastAsia="en-GB"/>
          <w14:ligatures w14:val="none"/>
        </w:rPr>
      </w:pPr>
      <w:r w:rsidRPr="005B7DB8">
        <w:rPr>
          <w:rFonts w:ascii="Arial" w:eastAsia="Times New Roman" w:hAnsi="Arial" w:cs="Arial"/>
          <w:noProof/>
          <w:kern w:val="36"/>
          <w:lang w:eastAsia="en-GB"/>
          <w14:ligatures w14:val="none"/>
        </w:rPr>
        <w:drawing>
          <wp:inline distT="0" distB="0" distL="0" distR="0" wp14:anchorId="6F0D1C0C" wp14:editId="0E68F69B">
            <wp:extent cx="5731510" cy="3225800"/>
            <wp:effectExtent l="0" t="0" r="0" b="0"/>
            <wp:docPr id="21251226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122622" name=""/>
                    <pic:cNvPicPr/>
                  </pic:nvPicPr>
                  <pic:blipFill>
                    <a:blip r:embed="rId9"/>
                    <a:stretch>
                      <a:fillRect/>
                    </a:stretch>
                  </pic:blipFill>
                  <pic:spPr>
                    <a:xfrm>
                      <a:off x="0" y="0"/>
                      <a:ext cx="5731510" cy="3225800"/>
                    </a:xfrm>
                    <a:prstGeom prst="rect">
                      <a:avLst/>
                    </a:prstGeom>
                  </pic:spPr>
                </pic:pic>
              </a:graphicData>
            </a:graphic>
          </wp:inline>
        </w:drawing>
      </w:r>
    </w:p>
    <w:p w14:paraId="6A0E0B93" w14:textId="77777777" w:rsidR="00BC5202" w:rsidRPr="005B7DB8" w:rsidRDefault="00BC52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Figure 1. Major brands within Unilever Food &amp; Refreshment Division.</w:t>
      </w:r>
    </w:p>
    <w:p w14:paraId="1C0A692F" w14:textId="5AA0BA2B" w:rsidR="00BC5202" w:rsidRPr="005B7DB8" w:rsidRDefault="00BC52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Source: Unilever Annual Report (2024)</w:t>
      </w:r>
    </w:p>
    <w:p w14:paraId="3AC3E921"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Recent corporate restructuring under CEO Hein Schumacher has initiated significant changes, including the announced separation of ice cream operations into a standalone entity (Unilever, 2024). This restructuring explicitly acknowledges ice cream's distinct operating characteristics—seasonal demand volatility, frozen distribution requirements, and capital intensity—that differ materially from ambient grocery categories. The separation signals recognition that historical portfolio breadth may not serve current strategic priorities.</w:t>
      </w:r>
    </w:p>
    <w:p w14:paraId="08D365AB"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Strategic Intent and Business Model</w:t>
      </w:r>
    </w:p>
    <w:p w14:paraId="30EFF9F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Unilever's corporate purpose—"to make sustainable living commonplace"—cascades into the F&amp;R division through commitments to sustainable sourcing, nutritional improvement, and environmental footprint reduction (Unilever, 2024). Whilst this purpose-led positioning differentiates Unilever's market communication, tensions exist between sustainability commitments and commercial imperatives around cost control and volume delivery.</w:t>
      </w:r>
    </w:p>
    <w:p w14:paraId="0155059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division's business model centres on brand-led differentiation. Value creation occurs through product innovation, marketing investment building brand salience, and manufacturing scale economies. Value capture depends critically on maintaining price premiums versus private label alternatives and securing favourable terms with concentrated retail customers. This model faces pressure as private label quality improves and retailer bargaining power intensifies (Dobson, 2005).</w:t>
      </w:r>
    </w:p>
    <w:p w14:paraId="35C56188"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Competitive Landscape</w:t>
      </w:r>
    </w:p>
    <w:p w14:paraId="703B5DC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Unilever F&amp;R UK's competitive environment features multiple layers. Direct competition comes from multinational branded manufacturers including Nestlé, Kraft Heinz, and Premier Foods, each holding positions across overlapping categories. More significantly, private label competition has intensified as retailers invest in quality improvement, packaging sophistication, and marketing support approaching branded equivalents.</w:t>
      </w:r>
    </w:p>
    <w:p w14:paraId="40ED4226" w14:textId="181758D8"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1 summarises Unilever's competitive position across key categories.</w:t>
      </w:r>
    </w:p>
    <w:tbl>
      <w:tblPr>
        <w:tblW w:w="10036" w:type="dxa"/>
        <w:tblInd w:w="-5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58"/>
        <w:gridCol w:w="2075"/>
        <w:gridCol w:w="3118"/>
        <w:gridCol w:w="3285"/>
      </w:tblGrid>
      <w:tr w:rsidR="002E3002" w:rsidRPr="005B7DB8" w14:paraId="2E35E15A" w14:textId="77777777" w:rsidTr="002E3002">
        <w:trPr>
          <w:trHeight w:val="329"/>
          <w:tblHeader/>
        </w:trPr>
        <w:tc>
          <w:tcPr>
            <w:tcW w:w="0" w:type="auto"/>
            <w:noWrap/>
            <w:vAlign w:val="bottom"/>
            <w:hideMark/>
          </w:tcPr>
          <w:p w14:paraId="690F7E86"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lastRenderedPageBreak/>
              <w:t>Category</w:t>
            </w:r>
          </w:p>
        </w:tc>
        <w:tc>
          <w:tcPr>
            <w:tcW w:w="2075" w:type="dxa"/>
            <w:noWrap/>
            <w:vAlign w:val="bottom"/>
            <w:hideMark/>
          </w:tcPr>
          <w:p w14:paraId="1275C8E7"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Unilever Position</w:t>
            </w:r>
          </w:p>
        </w:tc>
        <w:tc>
          <w:tcPr>
            <w:tcW w:w="3118" w:type="dxa"/>
            <w:noWrap/>
            <w:vAlign w:val="bottom"/>
            <w:hideMark/>
          </w:tcPr>
          <w:p w14:paraId="4BA900D0"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Key Branded Competitors</w:t>
            </w:r>
          </w:p>
        </w:tc>
        <w:tc>
          <w:tcPr>
            <w:tcW w:w="3285" w:type="dxa"/>
            <w:noWrap/>
            <w:vAlign w:val="bottom"/>
            <w:hideMark/>
          </w:tcPr>
          <w:p w14:paraId="2D90FC90"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Market Dynamics</w:t>
            </w:r>
          </w:p>
        </w:tc>
      </w:tr>
      <w:tr w:rsidR="002E3002" w:rsidRPr="005B7DB8" w14:paraId="1A52AD15" w14:textId="77777777" w:rsidTr="002E3002">
        <w:trPr>
          <w:trHeight w:val="680"/>
        </w:trPr>
        <w:tc>
          <w:tcPr>
            <w:tcW w:w="0" w:type="auto"/>
            <w:vAlign w:val="bottom"/>
            <w:hideMark/>
          </w:tcPr>
          <w:p w14:paraId="641306A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Ice Cream</w:t>
            </w:r>
          </w:p>
        </w:tc>
        <w:tc>
          <w:tcPr>
            <w:tcW w:w="2075" w:type="dxa"/>
            <w:vAlign w:val="bottom"/>
            <w:hideMark/>
          </w:tcPr>
          <w:p w14:paraId="48F2D6A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Strong market leader</w:t>
            </w:r>
          </w:p>
        </w:tc>
        <w:tc>
          <w:tcPr>
            <w:tcW w:w="3118" w:type="dxa"/>
            <w:vAlign w:val="bottom"/>
            <w:hideMark/>
          </w:tcPr>
          <w:p w14:paraId="2722E33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Froneri, Mars, various regional brands</w:t>
            </w:r>
          </w:p>
        </w:tc>
        <w:tc>
          <w:tcPr>
            <w:tcW w:w="3285" w:type="dxa"/>
            <w:vAlign w:val="bottom"/>
            <w:hideMark/>
          </w:tcPr>
          <w:p w14:paraId="0074C26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High promotional intensity; significant seasonal working capital requirements</w:t>
            </w:r>
          </w:p>
        </w:tc>
      </w:tr>
      <w:tr w:rsidR="002E3002" w:rsidRPr="005B7DB8" w14:paraId="491CB6FB" w14:textId="77777777" w:rsidTr="002E3002">
        <w:trPr>
          <w:trHeight w:val="680"/>
        </w:trPr>
        <w:tc>
          <w:tcPr>
            <w:tcW w:w="0" w:type="auto"/>
            <w:vAlign w:val="bottom"/>
            <w:hideMark/>
          </w:tcPr>
          <w:p w14:paraId="70C6B2E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Mayonnaise &amp; Dressings</w:t>
            </w:r>
          </w:p>
        </w:tc>
        <w:tc>
          <w:tcPr>
            <w:tcW w:w="2075" w:type="dxa"/>
            <w:vAlign w:val="bottom"/>
            <w:hideMark/>
          </w:tcPr>
          <w:p w14:paraId="11CB319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Category leader (Hellmann's)</w:t>
            </w:r>
          </w:p>
        </w:tc>
        <w:tc>
          <w:tcPr>
            <w:tcW w:w="3118" w:type="dxa"/>
            <w:vAlign w:val="bottom"/>
            <w:hideMark/>
          </w:tcPr>
          <w:p w14:paraId="3B391BF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Kraft Heinz, smaller specialist brands</w:t>
            </w:r>
          </w:p>
        </w:tc>
        <w:tc>
          <w:tcPr>
            <w:tcW w:w="3285" w:type="dxa"/>
            <w:vAlign w:val="bottom"/>
            <w:hideMark/>
          </w:tcPr>
          <w:p w14:paraId="18F34EA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Growing private label pressure; premium segment opportunities</w:t>
            </w:r>
          </w:p>
        </w:tc>
      </w:tr>
      <w:tr w:rsidR="002E3002" w:rsidRPr="005B7DB8" w14:paraId="26307A7D" w14:textId="77777777" w:rsidTr="002E3002">
        <w:trPr>
          <w:trHeight w:val="680"/>
        </w:trPr>
        <w:tc>
          <w:tcPr>
            <w:tcW w:w="0" w:type="auto"/>
            <w:vAlign w:val="bottom"/>
            <w:hideMark/>
          </w:tcPr>
          <w:p w14:paraId="6DA48702"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Cooking Sauces &amp; Aids</w:t>
            </w:r>
          </w:p>
        </w:tc>
        <w:tc>
          <w:tcPr>
            <w:tcW w:w="2075" w:type="dxa"/>
            <w:vAlign w:val="bottom"/>
            <w:hideMark/>
          </w:tcPr>
          <w:p w14:paraId="5BDC5109"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Secondary position</w:t>
            </w:r>
          </w:p>
        </w:tc>
        <w:tc>
          <w:tcPr>
            <w:tcW w:w="3118" w:type="dxa"/>
            <w:vAlign w:val="bottom"/>
            <w:hideMark/>
          </w:tcPr>
          <w:p w14:paraId="2E1DA31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Premier Foods (Batchelors), Symington's</w:t>
            </w:r>
          </w:p>
        </w:tc>
        <w:tc>
          <w:tcPr>
            <w:tcW w:w="3285" w:type="dxa"/>
            <w:vAlign w:val="bottom"/>
            <w:hideMark/>
          </w:tcPr>
          <w:p w14:paraId="42071EA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Fragmented market; high private label penetration</w:t>
            </w:r>
          </w:p>
        </w:tc>
      </w:tr>
      <w:tr w:rsidR="002E3002" w:rsidRPr="005B7DB8" w14:paraId="0B39F8A1" w14:textId="77777777" w:rsidTr="002E3002">
        <w:trPr>
          <w:trHeight w:val="680"/>
        </w:trPr>
        <w:tc>
          <w:tcPr>
            <w:tcW w:w="0" w:type="auto"/>
            <w:vAlign w:val="bottom"/>
            <w:hideMark/>
          </w:tcPr>
          <w:p w14:paraId="2CD7C442"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Spreads</w:t>
            </w:r>
          </w:p>
        </w:tc>
        <w:tc>
          <w:tcPr>
            <w:tcW w:w="2075" w:type="dxa"/>
            <w:vAlign w:val="bottom"/>
            <w:hideMark/>
          </w:tcPr>
          <w:p w14:paraId="6C90F051"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Challenged position</w:t>
            </w:r>
          </w:p>
        </w:tc>
        <w:tc>
          <w:tcPr>
            <w:tcW w:w="3118" w:type="dxa"/>
            <w:vAlign w:val="bottom"/>
            <w:hideMark/>
          </w:tcPr>
          <w:p w14:paraId="0F60333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Dairy Crest, Lactalis</w:t>
            </w:r>
          </w:p>
        </w:tc>
        <w:tc>
          <w:tcPr>
            <w:tcW w:w="3285" w:type="dxa"/>
            <w:vAlign w:val="bottom"/>
            <w:hideMark/>
          </w:tcPr>
          <w:p w14:paraId="7898712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Category decline driven by changing breakfast habits</w:t>
            </w:r>
          </w:p>
        </w:tc>
      </w:tr>
    </w:tbl>
    <w:p w14:paraId="55DDD682" w14:textId="77777777" w:rsidR="002E3002" w:rsidRPr="005B7DB8" w:rsidRDefault="002E3002" w:rsidP="00EE76FF">
      <w:pPr>
        <w:spacing w:before="100" w:beforeAutospacing="1" w:after="100" w:afterAutospacing="1" w:line="360" w:lineRule="auto"/>
        <w:rPr>
          <w:rFonts w:ascii="Arial" w:eastAsia="Times New Roman" w:hAnsi="Arial" w:cs="Arial"/>
          <w:i/>
          <w:iCs/>
          <w:kern w:val="36"/>
          <w:lang w:eastAsia="en-GB"/>
          <w14:ligatures w14:val="none"/>
        </w:rPr>
      </w:pPr>
      <w:r w:rsidRPr="005B7DB8">
        <w:rPr>
          <w:rFonts w:ascii="Arial" w:eastAsia="Times New Roman" w:hAnsi="Arial" w:cs="Arial"/>
          <w:b/>
          <w:bCs/>
          <w:kern w:val="36"/>
          <w:lang w:eastAsia="en-GB"/>
          <w14:ligatures w14:val="none"/>
        </w:rPr>
        <w:t>Table 1: Competitive Positioning – Unilever F&amp;R UK by Category</w:t>
      </w:r>
      <w:r w:rsidRPr="005B7DB8">
        <w:rPr>
          <w:rFonts w:ascii="Arial" w:eastAsia="Times New Roman" w:hAnsi="Arial" w:cs="Arial"/>
          <w:i/>
          <w:iCs/>
          <w:kern w:val="36"/>
          <w:lang w:eastAsia="en-GB"/>
          <w14:ligatures w14:val="none"/>
        </w:rPr>
        <w:t xml:space="preserve"> </w:t>
      </w:r>
    </w:p>
    <w:p w14:paraId="4A03FDF2" w14:textId="27DFF59A"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Based on Unilever (2024) and market observation</w:t>
      </w:r>
    </w:p>
    <w:p w14:paraId="1632155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competitive analysis reveals category-specific dynamics requiring differentiated strategic approaches. Hellmann's maintains leadership in mayonnaise through product quality and brand heritage, yet faces margin pressure from private label alternatives offering comparable functionality at lower prices. Knorr's secondary position in cooking products faces dual pressures from both branded rivals and extensive private label ranges. The spreads category confronts structural decline as consumer breakfast habits evolve away from traditional bread-based occasions.</w:t>
      </w:r>
    </w:p>
    <w:p w14:paraId="1A6A7292"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UK retailers occupy a dual role as both customers and competitors. As channel gatekeepers, major multiples control terms, promotional funding, and shelf space. As private label owners, they compete directly with Unilever brands while simultaneously controlling market access. This dual role significantly constrains the strategic options available to branded manufacturers.</w:t>
      </w:r>
    </w:p>
    <w:p w14:paraId="45FE0838" w14:textId="163C581C" w:rsidR="000D350D" w:rsidRPr="005B7DB8" w:rsidRDefault="000D350D"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noProof/>
          <w:kern w:val="36"/>
          <w:lang w:eastAsia="en-GB"/>
          <w14:ligatures w14:val="none"/>
        </w:rPr>
        <w:lastRenderedPageBreak/>
        <w:drawing>
          <wp:inline distT="0" distB="0" distL="0" distR="0" wp14:anchorId="240CDCC0" wp14:editId="05AF6F6B">
            <wp:extent cx="5751830" cy="3142211"/>
            <wp:effectExtent l="0" t="0" r="1270" b="0"/>
            <wp:docPr id="1332553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553581" name=""/>
                    <pic:cNvPicPr/>
                  </pic:nvPicPr>
                  <pic:blipFill>
                    <a:blip r:embed="rId10"/>
                    <a:stretch>
                      <a:fillRect/>
                    </a:stretch>
                  </pic:blipFill>
                  <pic:spPr>
                    <a:xfrm>
                      <a:off x="0" y="0"/>
                      <a:ext cx="5777272" cy="3156110"/>
                    </a:xfrm>
                    <a:prstGeom prst="rect">
                      <a:avLst/>
                    </a:prstGeom>
                  </pic:spPr>
                </pic:pic>
              </a:graphicData>
            </a:graphic>
          </wp:inline>
        </w:drawing>
      </w:r>
    </w:p>
    <w:p w14:paraId="6FB70408" w14:textId="78AFFF01" w:rsidR="000D350D" w:rsidRPr="005B7DB8" w:rsidRDefault="000D350D"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 xml:space="preserve">Figure </w:t>
      </w:r>
      <w:r w:rsidR="003058D5" w:rsidRPr="005B7DB8">
        <w:rPr>
          <w:rFonts w:ascii="Arial" w:eastAsia="Times New Roman" w:hAnsi="Arial" w:cs="Arial"/>
          <w:b/>
          <w:bCs/>
          <w:kern w:val="36"/>
          <w:lang w:eastAsia="en-GB"/>
          <w14:ligatures w14:val="none"/>
        </w:rPr>
        <w:t>2</w:t>
      </w:r>
      <w:r w:rsidRPr="005B7DB8">
        <w:rPr>
          <w:rFonts w:ascii="Arial" w:eastAsia="Times New Roman" w:hAnsi="Arial" w:cs="Arial"/>
          <w:b/>
          <w:bCs/>
          <w:kern w:val="36"/>
          <w:lang w:eastAsia="en-GB"/>
          <w14:ligatures w14:val="none"/>
        </w:rPr>
        <w:t>. UK Grocery Market Share</w:t>
      </w:r>
    </w:p>
    <w:p w14:paraId="071204C3" w14:textId="6312E327" w:rsidR="000D350D" w:rsidRPr="005B7DB8" w:rsidRDefault="000D350D"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Kantar Worldpanel (2</w:t>
      </w:r>
      <w:r w:rsidR="003058D5" w:rsidRPr="005B7DB8">
        <w:rPr>
          <w:rFonts w:ascii="Arial" w:eastAsia="Times New Roman" w:hAnsi="Arial" w:cs="Arial"/>
          <w:i/>
          <w:iCs/>
          <w:kern w:val="36"/>
          <w:lang w:eastAsia="en-GB"/>
          <w14:ligatures w14:val="none"/>
        </w:rPr>
        <w:t>025</w:t>
      </w:r>
      <w:r w:rsidRPr="005B7DB8">
        <w:rPr>
          <w:rFonts w:ascii="Arial" w:eastAsia="Times New Roman" w:hAnsi="Arial" w:cs="Arial"/>
          <w:i/>
          <w:iCs/>
          <w:kern w:val="36"/>
          <w:lang w:eastAsia="en-GB"/>
          <w14:ligatures w14:val="none"/>
        </w:rPr>
        <w:t>).</w:t>
      </w:r>
    </w:p>
    <w:p w14:paraId="3D078638"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3. EXTERNAL AND INTERNAL ANALYSIS</w:t>
      </w:r>
    </w:p>
    <w:p w14:paraId="64B4F3F9"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3.1 PESTEL Analysis</w:t>
      </w:r>
    </w:p>
    <w:p w14:paraId="5C4F681D" w14:textId="331A41B1"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2 identifies strategically significant macro-environmental factors affecting Unilever F&amp;R UK.</w:t>
      </w:r>
    </w:p>
    <w:tbl>
      <w:tblPr>
        <w:tblpPr w:leftFromText="180" w:rightFromText="180" w:vertAnchor="text" w:horzAnchor="margin" w:tblpXSpec="center" w:tblpY="509"/>
        <w:tblW w:w="9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97"/>
        <w:gridCol w:w="3082"/>
        <w:gridCol w:w="4422"/>
      </w:tblGrid>
      <w:tr w:rsidR="002E3002" w:rsidRPr="005B7DB8" w14:paraId="44F707F7" w14:textId="77777777" w:rsidTr="002E3002">
        <w:trPr>
          <w:trHeight w:val="332"/>
          <w:tblHeader/>
        </w:trPr>
        <w:tc>
          <w:tcPr>
            <w:tcW w:w="0" w:type="auto"/>
            <w:noWrap/>
            <w:vAlign w:val="bottom"/>
            <w:hideMark/>
          </w:tcPr>
          <w:p w14:paraId="35F7C175"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Dimension</w:t>
            </w:r>
          </w:p>
        </w:tc>
        <w:tc>
          <w:tcPr>
            <w:tcW w:w="0" w:type="auto"/>
            <w:noWrap/>
            <w:vAlign w:val="bottom"/>
            <w:hideMark/>
          </w:tcPr>
          <w:p w14:paraId="7CC57A8B"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Key Factor</w:t>
            </w:r>
          </w:p>
        </w:tc>
        <w:tc>
          <w:tcPr>
            <w:tcW w:w="0" w:type="auto"/>
            <w:noWrap/>
            <w:vAlign w:val="bottom"/>
            <w:hideMark/>
          </w:tcPr>
          <w:p w14:paraId="3EFB2CEB"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Strategic Implications</w:t>
            </w:r>
          </w:p>
        </w:tc>
      </w:tr>
      <w:tr w:rsidR="002E3002" w:rsidRPr="005B7DB8" w14:paraId="561BEDF4" w14:textId="77777777" w:rsidTr="002E3002">
        <w:trPr>
          <w:trHeight w:val="687"/>
        </w:trPr>
        <w:tc>
          <w:tcPr>
            <w:tcW w:w="0" w:type="auto"/>
            <w:vAlign w:val="bottom"/>
            <w:hideMark/>
          </w:tcPr>
          <w:p w14:paraId="53F96B5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Political</w:t>
            </w:r>
          </w:p>
        </w:tc>
        <w:tc>
          <w:tcPr>
            <w:tcW w:w="0" w:type="auto"/>
            <w:vAlign w:val="bottom"/>
            <w:hideMark/>
          </w:tcPr>
          <w:p w14:paraId="2297D5E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Post-Brexit regulatory divergence; uncertain government food strategy</w:t>
            </w:r>
          </w:p>
        </w:tc>
        <w:tc>
          <w:tcPr>
            <w:tcW w:w="0" w:type="auto"/>
            <w:vAlign w:val="bottom"/>
            <w:hideMark/>
          </w:tcPr>
          <w:p w14:paraId="35F6BF76"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Increased compliance complexity; supply chain friction; limited policy support for voluntary reformulation</w:t>
            </w:r>
          </w:p>
        </w:tc>
      </w:tr>
      <w:tr w:rsidR="002E3002" w:rsidRPr="005B7DB8" w14:paraId="38EECD8A" w14:textId="77777777" w:rsidTr="002E3002">
        <w:trPr>
          <w:trHeight w:val="1041"/>
        </w:trPr>
        <w:tc>
          <w:tcPr>
            <w:tcW w:w="0" w:type="auto"/>
            <w:vAlign w:val="bottom"/>
            <w:hideMark/>
          </w:tcPr>
          <w:p w14:paraId="08848C8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Economic</w:t>
            </w:r>
          </w:p>
        </w:tc>
        <w:tc>
          <w:tcPr>
            <w:tcW w:w="0" w:type="auto"/>
            <w:vAlign w:val="bottom"/>
            <w:hideMark/>
          </w:tcPr>
          <w:p w14:paraId="6010A7B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Embedded value-seeking behaviour following cost-of-living crisis</w:t>
            </w:r>
          </w:p>
        </w:tc>
        <w:tc>
          <w:tcPr>
            <w:tcW w:w="0" w:type="auto"/>
            <w:vAlign w:val="bottom"/>
            <w:hideMark/>
          </w:tcPr>
          <w:p w14:paraId="79FEA43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Persistent private label switching; promotional sensitivity; margin pressure from input costs and pricing resistance</w:t>
            </w:r>
          </w:p>
        </w:tc>
      </w:tr>
      <w:tr w:rsidR="002E3002" w:rsidRPr="005B7DB8" w14:paraId="5F96F764" w14:textId="77777777" w:rsidTr="002E3002">
        <w:trPr>
          <w:trHeight w:val="1041"/>
        </w:trPr>
        <w:tc>
          <w:tcPr>
            <w:tcW w:w="0" w:type="auto"/>
            <w:vAlign w:val="bottom"/>
            <w:hideMark/>
          </w:tcPr>
          <w:p w14:paraId="3C4FEED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lastRenderedPageBreak/>
              <w:t>Social</w:t>
            </w:r>
          </w:p>
        </w:tc>
        <w:tc>
          <w:tcPr>
            <w:tcW w:w="0" w:type="auto"/>
            <w:vAlign w:val="bottom"/>
            <w:hideMark/>
          </w:tcPr>
          <w:p w14:paraId="618A816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Growing plant-based adoption; health consciousness; sustainability scepticism</w:t>
            </w:r>
          </w:p>
        </w:tc>
        <w:tc>
          <w:tcPr>
            <w:tcW w:w="0" w:type="auto"/>
            <w:vAlign w:val="bottom"/>
            <w:hideMark/>
          </w:tcPr>
          <w:p w14:paraId="19940BD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Innovation opportunities constrained by taste acceptance and price sensitivity; risk of greenwashing accusations</w:t>
            </w:r>
          </w:p>
        </w:tc>
      </w:tr>
      <w:tr w:rsidR="002E3002" w:rsidRPr="005B7DB8" w14:paraId="657BA170" w14:textId="77777777" w:rsidTr="002E3002">
        <w:trPr>
          <w:trHeight w:val="1041"/>
        </w:trPr>
        <w:tc>
          <w:tcPr>
            <w:tcW w:w="0" w:type="auto"/>
            <w:vAlign w:val="bottom"/>
            <w:hideMark/>
          </w:tcPr>
          <w:p w14:paraId="3D9DB1B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Technological</w:t>
            </w:r>
          </w:p>
        </w:tc>
        <w:tc>
          <w:tcPr>
            <w:tcW w:w="0" w:type="auto"/>
            <w:vAlign w:val="bottom"/>
            <w:hideMark/>
          </w:tcPr>
          <w:p w14:paraId="65B6782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E-commerce maturation; precision fermentation development</w:t>
            </w:r>
          </w:p>
        </w:tc>
        <w:tc>
          <w:tcPr>
            <w:tcW w:w="0" w:type="auto"/>
            <w:vAlign w:val="bottom"/>
            <w:hideMark/>
          </w:tcPr>
          <w:p w14:paraId="242CCB2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Digital channel expansion enabling consumer data collection; long-term potential for alternative protein cost reduction</w:t>
            </w:r>
          </w:p>
        </w:tc>
      </w:tr>
      <w:tr w:rsidR="002E3002" w:rsidRPr="005B7DB8" w14:paraId="40BC83A3" w14:textId="77777777" w:rsidTr="002E3002">
        <w:trPr>
          <w:trHeight w:val="1041"/>
        </w:trPr>
        <w:tc>
          <w:tcPr>
            <w:tcW w:w="0" w:type="auto"/>
            <w:vAlign w:val="bottom"/>
            <w:hideMark/>
          </w:tcPr>
          <w:p w14:paraId="52ED3DF2"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Environmental</w:t>
            </w:r>
          </w:p>
        </w:tc>
        <w:tc>
          <w:tcPr>
            <w:tcW w:w="0" w:type="auto"/>
            <w:vAlign w:val="bottom"/>
            <w:hideMark/>
          </w:tcPr>
          <w:p w14:paraId="726E5B3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Net-zero commitments; Extended Producer Responsibility; plastic packaging taxation</w:t>
            </w:r>
          </w:p>
        </w:tc>
        <w:tc>
          <w:tcPr>
            <w:tcW w:w="0" w:type="auto"/>
            <w:vAlign w:val="bottom"/>
            <w:hideMark/>
          </w:tcPr>
          <w:p w14:paraId="0EADE87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Significant capital requirements for packaging conversion; agricultural supply chain transformation needs</w:t>
            </w:r>
          </w:p>
        </w:tc>
      </w:tr>
      <w:tr w:rsidR="002E3002" w:rsidRPr="005B7DB8" w14:paraId="481B82A1" w14:textId="77777777" w:rsidTr="002E3002">
        <w:trPr>
          <w:trHeight w:val="687"/>
        </w:trPr>
        <w:tc>
          <w:tcPr>
            <w:tcW w:w="0" w:type="auto"/>
            <w:vAlign w:val="bottom"/>
            <w:hideMark/>
          </w:tcPr>
          <w:p w14:paraId="1B12CC99"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Legal</w:t>
            </w:r>
          </w:p>
        </w:tc>
        <w:tc>
          <w:tcPr>
            <w:tcW w:w="0" w:type="auto"/>
            <w:vAlign w:val="bottom"/>
            <w:hideMark/>
          </w:tcPr>
          <w:p w14:paraId="3B3FCEE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HFSS promotional restrictions; allergen requirements</w:t>
            </w:r>
          </w:p>
        </w:tc>
        <w:tc>
          <w:tcPr>
            <w:tcW w:w="0" w:type="auto"/>
            <w:vAlign w:val="bottom"/>
            <w:hideMark/>
          </w:tcPr>
          <w:p w14:paraId="19F0DB5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Reformulation mandates; constrained promotional flexibility; innovation guardrails</w:t>
            </w:r>
          </w:p>
        </w:tc>
      </w:tr>
    </w:tbl>
    <w:p w14:paraId="5F56EAC3"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p>
    <w:p w14:paraId="68ECB56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Table 2: PESTEL Analysis – Strategic Factors for Unilever F&amp;R UK</w:t>
      </w:r>
    </w:p>
    <w:p w14:paraId="76F9AC8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Author's analysis based on Unilever (2024), Department for Environment, Food and Rural Affairs (2024), Office for National Statistics (2025)</w:t>
      </w:r>
    </w:p>
    <w:p w14:paraId="635CA735"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Critical Evaluation</w:t>
      </w:r>
    </w:p>
    <w:p w14:paraId="7487994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political environment post-Brexit creates regulatory unpredictability. Whilst divergence from EU standards theoretically permits innovation flexibility, practical reality involves dual-compliance costs for pan-European supply chains. Government food strategy remains underdeveloped, providing limited support for manufacturer reformulation efforts compared to regulatory mandates that impose costs without offsetting policy assistance (Lang et al., 2022).</w:t>
      </w:r>
    </w:p>
    <w:p w14:paraId="11114B9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Economic conditions remain challenging despite headline inflation moderation. Food manufacturers face structurally higher input costs from energy, agricultural commodities, and labour (Office for National Statistics, 2025). Consumer responses </w:t>
      </w:r>
      <w:r w:rsidRPr="005B7DB8">
        <w:rPr>
          <w:rFonts w:ascii="Arial" w:eastAsia="Times New Roman" w:hAnsi="Arial" w:cs="Arial"/>
          <w:kern w:val="36"/>
          <w:lang w:eastAsia="en-GB"/>
          <w14:ligatures w14:val="none"/>
        </w:rPr>
        <w:lastRenderedPageBreak/>
        <w:t>to the cost-of-living crisis—increased private label purchasing, reduced basket sizes, heightened promotional sensitivity—appear embedded rather than temporary. Research on consumer behaviour during economic downturns demonstrates that habits formed during crisis periods often persist beyond macroeconomic recovery (Flatters and Willmott, 2009), suggesting these shifts may represent permanent structural changes rather than cyclical effects.</w:t>
      </w:r>
    </w:p>
    <w:p w14:paraId="5F8E665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Social trends toward plant-based eating and health consciousness create opportunities yet demand critical assessment. Industry sources indicate growing consumer interest in meat reduction, particularly among younger demographics. Price premiums for plant-based alternatives relative to conventional products, however, constrain mass-market adoption. Current price differentials limit penetration beyond affluent early adopters willing to pay for ethical consumption (Mintel, 2024). Simultaneously, 'sustainability fatigue'—consumer scepticism following corporate greenwashing controversies—poses reputational risks for purpose-led positioning (Szabo and Webster, 2021).</w:t>
      </w:r>
    </w:p>
    <w:p w14:paraId="74F8895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Technological developments in precision fermentation and cellular agriculture offer long-term potential for alternative protein cost reduction, though commercialisation timelines remain uncertain and capital requirements substantial. E-commerce growth creates opportunities for direct consumer engagement and data collection previously unavailable through wholesale distribution, though still represents a minority of total grocery sales.</w:t>
      </w:r>
    </w:p>
    <w:p w14:paraId="7DBAC7B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Environmental pressures manifest through multiple regulatory mechanisms. Extended Producer Responsibility schemes transfer packaging end-of-life costs to manufacturers. Plastic packaging taxation creates incentives for recycled content yet supply constraints limit rapid transition (WRAP, 2024). Unilever's net-zero commitment by 2039 demands Scope 3 emissions reduction across agricultural supply chains, requiring farmer engagement and premium ingredient sourcing that conflicts with cost reduction pressures.</w:t>
      </w:r>
    </w:p>
    <w:p w14:paraId="018CBF5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Legal constraints, particularly HFSS regulations restricting promotional location and volume offers for products exceeding nutritional thresholds, directly curtail commercial levers historically relied upon for volume delivery. These restrictions </w:t>
      </w:r>
      <w:r w:rsidRPr="005B7DB8">
        <w:rPr>
          <w:rFonts w:ascii="Arial" w:eastAsia="Times New Roman" w:hAnsi="Arial" w:cs="Arial"/>
          <w:kern w:val="36"/>
          <w:lang w:eastAsia="en-GB"/>
          <w14:ligatures w14:val="none"/>
        </w:rPr>
        <w:lastRenderedPageBreak/>
        <w:t>remove promotional flexibility for a substantial proportion of current portfolio, compelling reformulation that incurs R&amp;D and manufacturing costs without guaranteed consumer acceptance (Shankar et al., 2021).</w:t>
      </w:r>
    </w:p>
    <w:p w14:paraId="0F94B922"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3.2 VRIO Analysis</w:t>
      </w:r>
    </w:p>
    <w:p w14:paraId="578F08F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3 evaluates Unilever F&amp;R UK's critical resources and capabilities against VRIO criteria.</w:t>
      </w:r>
    </w:p>
    <w:tbl>
      <w:tblPr>
        <w:tblpPr w:leftFromText="180" w:rightFromText="180" w:vertAnchor="text" w:horzAnchor="margin" w:tblpXSpec="center" w:tblpY="287"/>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555"/>
        <w:gridCol w:w="1561"/>
        <w:gridCol w:w="1134"/>
        <w:gridCol w:w="1528"/>
        <w:gridCol w:w="1449"/>
        <w:gridCol w:w="1701"/>
      </w:tblGrid>
      <w:tr w:rsidR="002E3002" w:rsidRPr="005B7DB8" w14:paraId="67E7D66F" w14:textId="77777777" w:rsidTr="00EE76FF">
        <w:trPr>
          <w:trHeight w:val="318"/>
          <w:tblHeader/>
        </w:trPr>
        <w:tc>
          <w:tcPr>
            <w:tcW w:w="1555" w:type="dxa"/>
            <w:noWrap/>
            <w:vAlign w:val="bottom"/>
            <w:hideMark/>
          </w:tcPr>
          <w:p w14:paraId="5F5B99DD" w14:textId="77777777" w:rsidR="002E3002" w:rsidRPr="005B7DB8" w:rsidRDefault="002E3002" w:rsidP="00EE76FF">
            <w:pPr>
              <w:spacing w:before="100" w:beforeAutospacing="1" w:after="100" w:afterAutospacing="1" w:line="360" w:lineRule="auto"/>
              <w:rPr>
                <w:rFonts w:ascii="Arial" w:eastAsia="Times New Roman" w:hAnsi="Arial" w:cs="Arial"/>
                <w:b/>
                <w:bCs/>
                <w:kern w:val="36"/>
                <w:sz w:val="21"/>
                <w:szCs w:val="21"/>
                <w:lang w:eastAsia="en-GB"/>
                <w14:ligatures w14:val="none"/>
              </w:rPr>
            </w:pPr>
            <w:r w:rsidRPr="005B7DB8">
              <w:rPr>
                <w:rFonts w:ascii="Arial" w:eastAsia="Times New Roman" w:hAnsi="Arial" w:cs="Arial"/>
                <w:b/>
                <w:bCs/>
                <w:kern w:val="36"/>
                <w:sz w:val="21"/>
                <w:szCs w:val="21"/>
                <w:lang w:eastAsia="en-GB"/>
                <w14:ligatures w14:val="none"/>
              </w:rPr>
              <w:t>Resource/Capability</w:t>
            </w:r>
          </w:p>
        </w:tc>
        <w:tc>
          <w:tcPr>
            <w:tcW w:w="1561" w:type="dxa"/>
            <w:noWrap/>
            <w:vAlign w:val="bottom"/>
            <w:hideMark/>
          </w:tcPr>
          <w:p w14:paraId="582A9C69" w14:textId="77777777" w:rsidR="002E3002" w:rsidRPr="005B7DB8" w:rsidRDefault="002E3002" w:rsidP="00EE76FF">
            <w:pPr>
              <w:spacing w:before="100" w:beforeAutospacing="1" w:after="100" w:afterAutospacing="1" w:line="360" w:lineRule="auto"/>
              <w:rPr>
                <w:rFonts w:ascii="Arial" w:eastAsia="Times New Roman" w:hAnsi="Arial" w:cs="Arial"/>
                <w:b/>
                <w:bCs/>
                <w:kern w:val="36"/>
                <w:sz w:val="21"/>
                <w:szCs w:val="21"/>
                <w:lang w:eastAsia="en-GB"/>
                <w14:ligatures w14:val="none"/>
              </w:rPr>
            </w:pPr>
            <w:r w:rsidRPr="005B7DB8">
              <w:rPr>
                <w:rFonts w:ascii="Arial" w:eastAsia="Times New Roman" w:hAnsi="Arial" w:cs="Arial"/>
                <w:b/>
                <w:bCs/>
                <w:kern w:val="36"/>
                <w:sz w:val="21"/>
                <w:szCs w:val="21"/>
                <w:lang w:eastAsia="en-GB"/>
                <w14:ligatures w14:val="none"/>
              </w:rPr>
              <w:t>Valuable?</w:t>
            </w:r>
          </w:p>
        </w:tc>
        <w:tc>
          <w:tcPr>
            <w:tcW w:w="1134" w:type="dxa"/>
            <w:noWrap/>
            <w:vAlign w:val="bottom"/>
            <w:hideMark/>
          </w:tcPr>
          <w:p w14:paraId="75BF3BE9" w14:textId="77777777" w:rsidR="002E3002" w:rsidRPr="005B7DB8" w:rsidRDefault="002E3002" w:rsidP="00EE76FF">
            <w:pPr>
              <w:spacing w:before="100" w:beforeAutospacing="1" w:after="100" w:afterAutospacing="1" w:line="360" w:lineRule="auto"/>
              <w:rPr>
                <w:rFonts w:ascii="Arial" w:eastAsia="Times New Roman" w:hAnsi="Arial" w:cs="Arial"/>
                <w:b/>
                <w:bCs/>
                <w:kern w:val="36"/>
                <w:sz w:val="21"/>
                <w:szCs w:val="21"/>
                <w:lang w:eastAsia="en-GB"/>
                <w14:ligatures w14:val="none"/>
              </w:rPr>
            </w:pPr>
            <w:r w:rsidRPr="005B7DB8">
              <w:rPr>
                <w:rFonts w:ascii="Arial" w:eastAsia="Times New Roman" w:hAnsi="Arial" w:cs="Arial"/>
                <w:b/>
                <w:bCs/>
                <w:kern w:val="36"/>
                <w:sz w:val="21"/>
                <w:szCs w:val="21"/>
                <w:lang w:eastAsia="en-GB"/>
                <w14:ligatures w14:val="none"/>
              </w:rPr>
              <w:t>Rare?</w:t>
            </w:r>
          </w:p>
        </w:tc>
        <w:tc>
          <w:tcPr>
            <w:tcW w:w="1528" w:type="dxa"/>
            <w:noWrap/>
            <w:vAlign w:val="bottom"/>
            <w:hideMark/>
          </w:tcPr>
          <w:p w14:paraId="446A5CB2" w14:textId="77777777" w:rsidR="002E3002" w:rsidRPr="005B7DB8" w:rsidRDefault="002E3002" w:rsidP="00EE76FF">
            <w:pPr>
              <w:spacing w:before="100" w:beforeAutospacing="1" w:after="100" w:afterAutospacing="1" w:line="360" w:lineRule="auto"/>
              <w:rPr>
                <w:rFonts w:ascii="Arial" w:eastAsia="Times New Roman" w:hAnsi="Arial" w:cs="Arial"/>
                <w:b/>
                <w:bCs/>
                <w:kern w:val="36"/>
                <w:sz w:val="21"/>
                <w:szCs w:val="21"/>
                <w:lang w:eastAsia="en-GB"/>
                <w14:ligatures w14:val="none"/>
              </w:rPr>
            </w:pPr>
            <w:r w:rsidRPr="005B7DB8">
              <w:rPr>
                <w:rFonts w:ascii="Arial" w:eastAsia="Times New Roman" w:hAnsi="Arial" w:cs="Arial"/>
                <w:b/>
                <w:bCs/>
                <w:kern w:val="36"/>
                <w:sz w:val="21"/>
                <w:szCs w:val="21"/>
                <w:lang w:eastAsia="en-GB"/>
                <w14:ligatures w14:val="none"/>
              </w:rPr>
              <w:t>Inimitable?</w:t>
            </w:r>
          </w:p>
        </w:tc>
        <w:tc>
          <w:tcPr>
            <w:tcW w:w="1449" w:type="dxa"/>
            <w:noWrap/>
            <w:vAlign w:val="bottom"/>
            <w:hideMark/>
          </w:tcPr>
          <w:p w14:paraId="3F72E6AA" w14:textId="77777777" w:rsidR="002E3002" w:rsidRPr="005B7DB8" w:rsidRDefault="002E3002" w:rsidP="00EE76FF">
            <w:pPr>
              <w:spacing w:before="100" w:beforeAutospacing="1" w:after="100" w:afterAutospacing="1" w:line="360" w:lineRule="auto"/>
              <w:rPr>
                <w:rFonts w:ascii="Arial" w:eastAsia="Times New Roman" w:hAnsi="Arial" w:cs="Arial"/>
                <w:b/>
                <w:bCs/>
                <w:kern w:val="36"/>
                <w:sz w:val="21"/>
                <w:szCs w:val="21"/>
                <w:lang w:eastAsia="en-GB"/>
                <w14:ligatures w14:val="none"/>
              </w:rPr>
            </w:pPr>
            <w:r w:rsidRPr="005B7DB8">
              <w:rPr>
                <w:rFonts w:ascii="Arial" w:eastAsia="Times New Roman" w:hAnsi="Arial" w:cs="Arial"/>
                <w:b/>
                <w:bCs/>
                <w:kern w:val="36"/>
                <w:sz w:val="21"/>
                <w:szCs w:val="21"/>
                <w:lang w:eastAsia="en-GB"/>
                <w14:ligatures w14:val="none"/>
              </w:rPr>
              <w:t>Organised?</w:t>
            </w:r>
          </w:p>
        </w:tc>
        <w:tc>
          <w:tcPr>
            <w:tcW w:w="1701" w:type="dxa"/>
            <w:noWrap/>
            <w:vAlign w:val="bottom"/>
            <w:hideMark/>
          </w:tcPr>
          <w:p w14:paraId="3607E4F8" w14:textId="77777777" w:rsidR="002E3002" w:rsidRPr="005B7DB8" w:rsidRDefault="002E3002" w:rsidP="00EE76FF">
            <w:pPr>
              <w:spacing w:before="100" w:beforeAutospacing="1" w:after="100" w:afterAutospacing="1" w:line="360" w:lineRule="auto"/>
              <w:rPr>
                <w:rFonts w:ascii="Arial" w:eastAsia="Times New Roman" w:hAnsi="Arial" w:cs="Arial"/>
                <w:b/>
                <w:bCs/>
                <w:kern w:val="36"/>
                <w:sz w:val="21"/>
                <w:szCs w:val="21"/>
                <w:lang w:eastAsia="en-GB"/>
                <w14:ligatures w14:val="none"/>
              </w:rPr>
            </w:pPr>
            <w:r w:rsidRPr="005B7DB8">
              <w:rPr>
                <w:rFonts w:ascii="Arial" w:eastAsia="Times New Roman" w:hAnsi="Arial" w:cs="Arial"/>
                <w:b/>
                <w:bCs/>
                <w:kern w:val="36"/>
                <w:sz w:val="21"/>
                <w:szCs w:val="21"/>
                <w:lang w:eastAsia="en-GB"/>
                <w14:ligatures w14:val="none"/>
              </w:rPr>
              <w:t>Competitive Implication</w:t>
            </w:r>
          </w:p>
        </w:tc>
      </w:tr>
      <w:tr w:rsidR="002E3002" w:rsidRPr="005B7DB8" w14:paraId="4CDE228C" w14:textId="77777777" w:rsidTr="00EE76FF">
        <w:trPr>
          <w:trHeight w:val="2004"/>
        </w:trPr>
        <w:tc>
          <w:tcPr>
            <w:tcW w:w="1555" w:type="dxa"/>
            <w:vAlign w:val="bottom"/>
            <w:hideMark/>
          </w:tcPr>
          <w:p w14:paraId="441A4015"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b/>
                <w:bCs/>
                <w:kern w:val="36"/>
                <w:sz w:val="21"/>
                <w:szCs w:val="21"/>
                <w:lang w:eastAsia="en-GB"/>
                <w14:ligatures w14:val="none"/>
              </w:rPr>
              <w:t>Brand Portfolio</w:t>
            </w:r>
            <w:r w:rsidRPr="005B7DB8">
              <w:rPr>
                <w:rFonts w:ascii="Arial" w:eastAsia="Times New Roman" w:hAnsi="Arial" w:cs="Arial"/>
                <w:kern w:val="36"/>
                <w:sz w:val="21"/>
                <w:szCs w:val="21"/>
                <w:lang w:eastAsia="en-GB"/>
                <w14:ligatures w14:val="none"/>
              </w:rPr>
              <w:t> (Hellmann's, Knorr, Magnum, Wall's)</w:t>
            </w:r>
          </w:p>
        </w:tc>
        <w:tc>
          <w:tcPr>
            <w:tcW w:w="1561" w:type="dxa"/>
            <w:vAlign w:val="bottom"/>
            <w:hideMark/>
          </w:tcPr>
          <w:p w14:paraId="3E1944B7"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Yes – generates consumer preference and retailer priority</w:t>
            </w:r>
          </w:p>
        </w:tc>
        <w:tc>
          <w:tcPr>
            <w:tcW w:w="1134" w:type="dxa"/>
            <w:vAlign w:val="bottom"/>
            <w:hideMark/>
          </w:tcPr>
          <w:p w14:paraId="6A6DE736"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Partially – leadership in specific categories only</w:t>
            </w:r>
          </w:p>
        </w:tc>
        <w:tc>
          <w:tcPr>
            <w:tcW w:w="1528" w:type="dxa"/>
            <w:vAlign w:val="bottom"/>
            <w:hideMark/>
          </w:tcPr>
          <w:p w14:paraId="154BEE71"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No – retailers developing equivalent quality private label</w:t>
            </w:r>
          </w:p>
        </w:tc>
        <w:tc>
          <w:tcPr>
            <w:tcW w:w="1449" w:type="dxa"/>
            <w:vAlign w:val="bottom"/>
            <w:hideMark/>
          </w:tcPr>
          <w:p w14:paraId="1D072724"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Yes – dedicated brand management infrastructure</w:t>
            </w:r>
          </w:p>
        </w:tc>
        <w:tc>
          <w:tcPr>
            <w:tcW w:w="1701" w:type="dxa"/>
            <w:vAlign w:val="bottom"/>
            <w:hideMark/>
          </w:tcPr>
          <w:p w14:paraId="36754B7F"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Temporary advantage eroding under private label quality convergence</w:t>
            </w:r>
          </w:p>
        </w:tc>
      </w:tr>
      <w:tr w:rsidR="002E3002" w:rsidRPr="005B7DB8" w14:paraId="5C3B2665" w14:textId="77777777" w:rsidTr="00EE76FF">
        <w:trPr>
          <w:trHeight w:val="2025"/>
        </w:trPr>
        <w:tc>
          <w:tcPr>
            <w:tcW w:w="1555" w:type="dxa"/>
            <w:vAlign w:val="bottom"/>
            <w:hideMark/>
          </w:tcPr>
          <w:p w14:paraId="00E045C8"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b/>
                <w:bCs/>
                <w:kern w:val="36"/>
                <w:sz w:val="21"/>
                <w:szCs w:val="21"/>
                <w:lang w:eastAsia="en-GB"/>
                <w14:ligatures w14:val="none"/>
              </w:rPr>
              <w:t>Innovation Capability</w:t>
            </w:r>
            <w:r w:rsidRPr="005B7DB8">
              <w:rPr>
                <w:rFonts w:ascii="Arial" w:eastAsia="Times New Roman" w:hAnsi="Arial" w:cs="Arial"/>
                <w:kern w:val="36"/>
                <w:sz w:val="21"/>
                <w:szCs w:val="21"/>
                <w:lang w:eastAsia="en-GB"/>
                <w14:ligatures w14:val="none"/>
              </w:rPr>
              <w:t> (R&amp;D centres, NPD processes)</w:t>
            </w:r>
          </w:p>
        </w:tc>
        <w:tc>
          <w:tcPr>
            <w:tcW w:w="1561" w:type="dxa"/>
            <w:vAlign w:val="bottom"/>
            <w:hideMark/>
          </w:tcPr>
          <w:p w14:paraId="36E1B2DE"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Yes – enables reformulation and new product development</w:t>
            </w:r>
          </w:p>
        </w:tc>
        <w:tc>
          <w:tcPr>
            <w:tcW w:w="1134" w:type="dxa"/>
            <w:vAlign w:val="bottom"/>
            <w:hideMark/>
          </w:tcPr>
          <w:p w14:paraId="0B97C4BF"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Partially – competitors possess similar capabilities</w:t>
            </w:r>
          </w:p>
        </w:tc>
        <w:tc>
          <w:tcPr>
            <w:tcW w:w="1528" w:type="dxa"/>
            <w:vAlign w:val="bottom"/>
            <w:hideMark/>
          </w:tcPr>
          <w:p w14:paraId="58638703"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Partially – processes copyable though tacit knowledge embedded</w:t>
            </w:r>
          </w:p>
        </w:tc>
        <w:tc>
          <w:tcPr>
            <w:tcW w:w="1449" w:type="dxa"/>
            <w:vAlign w:val="bottom"/>
            <w:hideMark/>
          </w:tcPr>
          <w:p w14:paraId="7D3F5DB2"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Yes – structured stage-gate systems</w:t>
            </w:r>
          </w:p>
        </w:tc>
        <w:tc>
          <w:tcPr>
            <w:tcW w:w="1701" w:type="dxa"/>
            <w:vAlign w:val="bottom"/>
            <w:hideMark/>
          </w:tcPr>
          <w:p w14:paraId="02FA6D2E"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Temporary advantage dependent on speed-to-market</w:t>
            </w:r>
          </w:p>
        </w:tc>
      </w:tr>
      <w:tr w:rsidR="002E3002" w:rsidRPr="005B7DB8" w14:paraId="10CCDD91" w14:textId="77777777" w:rsidTr="00EE76FF">
        <w:trPr>
          <w:trHeight w:val="2345"/>
        </w:trPr>
        <w:tc>
          <w:tcPr>
            <w:tcW w:w="1555" w:type="dxa"/>
            <w:vAlign w:val="bottom"/>
            <w:hideMark/>
          </w:tcPr>
          <w:p w14:paraId="643CE2BC"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b/>
                <w:bCs/>
                <w:kern w:val="36"/>
                <w:sz w:val="21"/>
                <w:szCs w:val="21"/>
                <w:lang w:eastAsia="en-GB"/>
                <w14:ligatures w14:val="none"/>
              </w:rPr>
              <w:t>Sustainability Infrastructure</w:t>
            </w:r>
            <w:r w:rsidRPr="005B7DB8">
              <w:rPr>
                <w:rFonts w:ascii="Arial" w:eastAsia="Times New Roman" w:hAnsi="Arial" w:cs="Arial"/>
                <w:kern w:val="36"/>
                <w:sz w:val="21"/>
                <w:szCs w:val="21"/>
                <w:lang w:eastAsia="en-GB"/>
                <w14:ligatures w14:val="none"/>
              </w:rPr>
              <w:t> (regenerative agriculture, packaging innovation)</w:t>
            </w:r>
          </w:p>
        </w:tc>
        <w:tc>
          <w:tcPr>
            <w:tcW w:w="1561" w:type="dxa"/>
            <w:vAlign w:val="bottom"/>
            <w:hideMark/>
          </w:tcPr>
          <w:p w14:paraId="0ED32250"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Increasingly valuable given regulatory pressure</w:t>
            </w:r>
          </w:p>
        </w:tc>
        <w:tc>
          <w:tcPr>
            <w:tcW w:w="1134" w:type="dxa"/>
            <w:vAlign w:val="bottom"/>
            <w:hideMark/>
          </w:tcPr>
          <w:p w14:paraId="54D80CA3"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Partially – industry leaders but competitors adopting similar practices</w:t>
            </w:r>
          </w:p>
        </w:tc>
        <w:tc>
          <w:tcPr>
            <w:tcW w:w="1528" w:type="dxa"/>
            <w:vAlign w:val="bottom"/>
            <w:hideMark/>
          </w:tcPr>
          <w:p w14:paraId="7F699E2E"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Partially – practices disseminate through supply chains</w:t>
            </w:r>
          </w:p>
        </w:tc>
        <w:tc>
          <w:tcPr>
            <w:tcW w:w="1449" w:type="dxa"/>
            <w:vAlign w:val="bottom"/>
            <w:hideMark/>
          </w:tcPr>
          <w:p w14:paraId="11E64A2B"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Partially – implementation uneven across operations</w:t>
            </w:r>
          </w:p>
        </w:tc>
        <w:tc>
          <w:tcPr>
            <w:tcW w:w="1701" w:type="dxa"/>
            <w:vAlign w:val="bottom"/>
            <w:hideMark/>
          </w:tcPr>
          <w:p w14:paraId="4AB8060C"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Temporary advantage as first-mover benefits diminish</w:t>
            </w:r>
          </w:p>
        </w:tc>
      </w:tr>
      <w:tr w:rsidR="002E3002" w:rsidRPr="005B7DB8" w14:paraId="5B60C1FA" w14:textId="77777777" w:rsidTr="00EE76FF">
        <w:trPr>
          <w:trHeight w:val="1663"/>
        </w:trPr>
        <w:tc>
          <w:tcPr>
            <w:tcW w:w="1555" w:type="dxa"/>
            <w:vAlign w:val="bottom"/>
            <w:hideMark/>
          </w:tcPr>
          <w:p w14:paraId="1E5CCA09"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b/>
                <w:bCs/>
                <w:kern w:val="36"/>
                <w:sz w:val="21"/>
                <w:szCs w:val="21"/>
                <w:lang w:eastAsia="en-GB"/>
                <w14:ligatures w14:val="none"/>
              </w:rPr>
              <w:t>Manufacturing Scale</w:t>
            </w:r>
            <w:r w:rsidRPr="005B7DB8">
              <w:rPr>
                <w:rFonts w:ascii="Arial" w:eastAsia="Times New Roman" w:hAnsi="Arial" w:cs="Arial"/>
                <w:kern w:val="36"/>
                <w:sz w:val="21"/>
                <w:szCs w:val="21"/>
                <w:lang w:eastAsia="en-GB"/>
                <w14:ligatures w14:val="none"/>
              </w:rPr>
              <w:t> (UK production facilities)</w:t>
            </w:r>
          </w:p>
        </w:tc>
        <w:tc>
          <w:tcPr>
            <w:tcW w:w="1561" w:type="dxa"/>
            <w:vAlign w:val="bottom"/>
            <w:hideMark/>
          </w:tcPr>
          <w:p w14:paraId="68BF843F"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Yes – enables cost competitiveness</w:t>
            </w:r>
          </w:p>
        </w:tc>
        <w:tc>
          <w:tcPr>
            <w:tcW w:w="1134" w:type="dxa"/>
            <w:vAlign w:val="bottom"/>
            <w:hideMark/>
          </w:tcPr>
          <w:p w14:paraId="164161F2"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No – competitors possess equivalent scale</w:t>
            </w:r>
          </w:p>
        </w:tc>
        <w:tc>
          <w:tcPr>
            <w:tcW w:w="1528" w:type="dxa"/>
            <w:vAlign w:val="bottom"/>
            <w:hideMark/>
          </w:tcPr>
          <w:p w14:paraId="65573A75"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No – capital accessible to competitors</w:t>
            </w:r>
          </w:p>
        </w:tc>
        <w:tc>
          <w:tcPr>
            <w:tcW w:w="1449" w:type="dxa"/>
            <w:vAlign w:val="bottom"/>
            <w:hideMark/>
          </w:tcPr>
          <w:p w14:paraId="5E6A8786"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Yes – integrated production planning</w:t>
            </w:r>
          </w:p>
        </w:tc>
        <w:tc>
          <w:tcPr>
            <w:tcW w:w="1701" w:type="dxa"/>
            <w:vAlign w:val="bottom"/>
            <w:hideMark/>
          </w:tcPr>
          <w:p w14:paraId="37DE0489"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Competitive parity – necessary but insufficient</w:t>
            </w:r>
          </w:p>
        </w:tc>
      </w:tr>
      <w:tr w:rsidR="002E3002" w:rsidRPr="005B7DB8" w14:paraId="32C1DD5A" w14:textId="77777777" w:rsidTr="00EE76FF">
        <w:trPr>
          <w:trHeight w:val="1684"/>
        </w:trPr>
        <w:tc>
          <w:tcPr>
            <w:tcW w:w="1555" w:type="dxa"/>
            <w:vAlign w:val="bottom"/>
            <w:hideMark/>
          </w:tcPr>
          <w:p w14:paraId="29FE753B"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b/>
                <w:bCs/>
                <w:kern w:val="36"/>
                <w:sz w:val="21"/>
                <w:szCs w:val="21"/>
                <w:lang w:eastAsia="en-GB"/>
                <w14:ligatures w14:val="none"/>
              </w:rPr>
              <w:lastRenderedPageBreak/>
              <w:t>Distribution Network</w:t>
            </w:r>
          </w:p>
        </w:tc>
        <w:tc>
          <w:tcPr>
            <w:tcW w:w="1561" w:type="dxa"/>
            <w:vAlign w:val="bottom"/>
            <w:hideMark/>
          </w:tcPr>
          <w:p w14:paraId="21E41102"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Yes – ensures market coverage</w:t>
            </w:r>
          </w:p>
        </w:tc>
        <w:tc>
          <w:tcPr>
            <w:tcW w:w="1134" w:type="dxa"/>
            <w:vAlign w:val="bottom"/>
            <w:hideMark/>
          </w:tcPr>
          <w:p w14:paraId="456D3286"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No – standard industry capability</w:t>
            </w:r>
          </w:p>
        </w:tc>
        <w:tc>
          <w:tcPr>
            <w:tcW w:w="1528" w:type="dxa"/>
            <w:vAlign w:val="bottom"/>
            <w:hideMark/>
          </w:tcPr>
          <w:p w14:paraId="09380C62"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No – third-party logistics widely accessible</w:t>
            </w:r>
          </w:p>
        </w:tc>
        <w:tc>
          <w:tcPr>
            <w:tcW w:w="1449" w:type="dxa"/>
            <w:vAlign w:val="bottom"/>
            <w:hideMark/>
          </w:tcPr>
          <w:p w14:paraId="463FCCF0"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Yes – established systems</w:t>
            </w:r>
          </w:p>
        </w:tc>
        <w:tc>
          <w:tcPr>
            <w:tcW w:w="1701" w:type="dxa"/>
            <w:vAlign w:val="bottom"/>
            <w:hideMark/>
          </w:tcPr>
          <w:p w14:paraId="18A5FC04" w14:textId="77777777" w:rsidR="002E3002" w:rsidRPr="005B7DB8" w:rsidRDefault="002E3002" w:rsidP="00EE76FF">
            <w:pPr>
              <w:spacing w:before="100" w:beforeAutospacing="1" w:after="100" w:afterAutospacing="1" w:line="360" w:lineRule="auto"/>
              <w:rPr>
                <w:rFonts w:ascii="Arial" w:eastAsia="Times New Roman" w:hAnsi="Arial" w:cs="Arial"/>
                <w:kern w:val="36"/>
                <w:sz w:val="21"/>
                <w:szCs w:val="21"/>
                <w:lang w:eastAsia="en-GB"/>
                <w14:ligatures w14:val="none"/>
              </w:rPr>
            </w:pPr>
            <w:r w:rsidRPr="005B7DB8">
              <w:rPr>
                <w:rFonts w:ascii="Arial" w:eastAsia="Times New Roman" w:hAnsi="Arial" w:cs="Arial"/>
                <w:kern w:val="36"/>
                <w:sz w:val="21"/>
                <w:szCs w:val="21"/>
                <w:lang w:eastAsia="en-GB"/>
                <w14:ligatures w14:val="none"/>
              </w:rPr>
              <w:t>Competitive parity – hygiene factor</w:t>
            </w:r>
          </w:p>
        </w:tc>
      </w:tr>
    </w:tbl>
    <w:p w14:paraId="2558F41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Table 3: VRIO Framework Application – Unilever F&amp;R UK</w:t>
      </w:r>
    </w:p>
    <w:p w14:paraId="1DD435D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Author's application of Barney (1991) framework</w:t>
      </w:r>
    </w:p>
    <w:p w14:paraId="7123754A"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Strategic Interpretation</w:t>
      </w:r>
    </w:p>
    <w:p w14:paraId="78578A72"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VRIO analysis reveals an uncomfortable finding: none of Unilever's resources or capabilities meet the criteria for sustained competitive advantage (Barney, 1991). This challenges the common assumption that large multinationals inherently possess enduring advantages.</w:t>
      </w:r>
    </w:p>
    <w:p w14:paraId="51672D4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brand portfolio, historically Unilever's primary advantage source, faces systematic erosion. Private label manufacturers have invested substantially in quality improvement, packaging sophistication, and sensory testing to narrow perceptual gaps with branded equivalents. Academic research confirms that private label quality has improved systematically over recent decades, challenging traditional assumptions that national brands maintain inherent quality superiority (Geyskens et al., 2010). Where meaningful quality differences previously justified price premiums, functional parity increasingly questions brand value propositions. This particularly affects mid-tier brands where premium positioning lacks sufficient differentiation whilst private label offers acceptable quality at significant discounts.</w:t>
      </w:r>
    </w:p>
    <w:p w14:paraId="7E40CBF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Innovation capability delivers temporary advantage through time-to-market leadership, yet the advantage window narrows. Retailers increasingly deploy rapid response capabilities, launching comparable products within months of branded innovation. This reduces the period during which innovators capture returns on development investment, questioning innovation's value as sustainable differentiation strategy.</w:t>
      </w:r>
    </w:p>
    <w:p w14:paraId="16DEA8E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Sustainability infrastructure represents emerging capability with ambiguous competitive value. Whilst Unilever leads on regenerative agriculture pilots and packaging innovation, these practices diffuse rapidly through NGO pressure, supply chain collaboration, and regulatory requirements applied uniformly. The substantial costs incurred may generate reputational capital and regulatory compliance rather than traditional competitive advantage. As Surroca et al. (2010) demonstrate, positive relationships between CSR and financial performance often depend on intangible resource accumulation that accrues slowly whilst costs manifest immediately.</w:t>
      </w:r>
    </w:p>
    <w:p w14:paraId="7701EF9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Manufacturing scale delivers cost parity rather than advantage. In commodity-like categories, equivalent scale exists across competitors and contract manufacturers serving private label. The upcoming ice cream separation will reduce Unilever F&amp;R's UK manufacturing footprint, potentially diminishing remaining scale economies.</w:t>
      </w:r>
    </w:p>
    <w:p w14:paraId="20517FF9"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VRIO findings suggest that competitive advantage in mature FMCG markets may be inherently temporary rather than sustained (Kraaijenbrink et al., 2010). Strategic implication centres on managing sequences of temporary advantages rather than seeking illusory permanence.</w:t>
      </w:r>
    </w:p>
    <w:p w14:paraId="71A7408E"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3.3 SWOT Analysis</w:t>
      </w:r>
    </w:p>
    <w:p w14:paraId="3864844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4 integrates PESTEL and VRIO findings into a comprehensive SWOT matrix.</w:t>
      </w:r>
    </w:p>
    <w:tbl>
      <w:tblPr>
        <w:tblpPr w:leftFromText="180" w:rightFromText="180" w:vertAnchor="text" w:horzAnchor="margin" w:tblpXSpec="center" w:tblpY="467"/>
        <w:tblW w:w="101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880"/>
        <w:gridCol w:w="5263"/>
      </w:tblGrid>
      <w:tr w:rsidR="002E3002" w:rsidRPr="005B7DB8" w14:paraId="2055EA88" w14:textId="77777777" w:rsidTr="002E3002">
        <w:trPr>
          <w:trHeight w:val="373"/>
          <w:tblHeader/>
        </w:trPr>
        <w:tc>
          <w:tcPr>
            <w:tcW w:w="0" w:type="auto"/>
            <w:noWrap/>
            <w:vAlign w:val="bottom"/>
            <w:hideMark/>
          </w:tcPr>
          <w:p w14:paraId="5CB72C98"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STRENGTHS</w:t>
            </w:r>
          </w:p>
        </w:tc>
        <w:tc>
          <w:tcPr>
            <w:tcW w:w="0" w:type="auto"/>
            <w:noWrap/>
            <w:vAlign w:val="bottom"/>
            <w:hideMark/>
          </w:tcPr>
          <w:p w14:paraId="7A36B8A1"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WEAKNESSES</w:t>
            </w:r>
          </w:p>
        </w:tc>
      </w:tr>
      <w:tr w:rsidR="002E3002" w:rsidRPr="005B7DB8" w14:paraId="78B128BB" w14:textId="77777777" w:rsidTr="002E3002">
        <w:trPr>
          <w:trHeight w:val="1169"/>
        </w:trPr>
        <w:tc>
          <w:tcPr>
            <w:tcW w:w="0" w:type="auto"/>
            <w:vAlign w:val="bottom"/>
            <w:hideMark/>
          </w:tcPr>
          <w:p w14:paraId="1B13286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S1:</w:t>
            </w:r>
            <w:r w:rsidRPr="005B7DB8">
              <w:rPr>
                <w:rFonts w:ascii="Arial" w:eastAsia="Times New Roman" w:hAnsi="Arial" w:cs="Arial"/>
                <w:kern w:val="36"/>
                <w:lang w:eastAsia="en-GB"/>
                <w14:ligatures w14:val="none"/>
              </w:rPr>
              <w:t> Market-leading positions in mayonnaise (Hellmann's) and strong ice cream presence provide retailer negotiating leverage</w:t>
            </w:r>
          </w:p>
        </w:tc>
        <w:tc>
          <w:tcPr>
            <w:tcW w:w="0" w:type="auto"/>
            <w:vAlign w:val="bottom"/>
            <w:hideMark/>
          </w:tcPr>
          <w:p w14:paraId="49024F83"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W1:</w:t>
            </w:r>
            <w:r w:rsidRPr="005B7DB8">
              <w:rPr>
                <w:rFonts w:ascii="Arial" w:eastAsia="Times New Roman" w:hAnsi="Arial" w:cs="Arial"/>
                <w:kern w:val="36"/>
                <w:lang w:eastAsia="en-GB"/>
                <w14:ligatures w14:val="none"/>
              </w:rPr>
              <w:t> Declining market positions in cooking sauces and spreads indicate weakening competitive position</w:t>
            </w:r>
          </w:p>
        </w:tc>
      </w:tr>
      <w:tr w:rsidR="002E3002" w:rsidRPr="005B7DB8" w14:paraId="0FEB4457" w14:textId="77777777" w:rsidTr="002E3002">
        <w:trPr>
          <w:trHeight w:val="1169"/>
        </w:trPr>
        <w:tc>
          <w:tcPr>
            <w:tcW w:w="0" w:type="auto"/>
            <w:vAlign w:val="bottom"/>
            <w:hideMark/>
          </w:tcPr>
          <w:p w14:paraId="3F748D76"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S2:</w:t>
            </w:r>
            <w:r w:rsidRPr="005B7DB8">
              <w:rPr>
                <w:rFonts w:ascii="Arial" w:eastAsia="Times New Roman" w:hAnsi="Arial" w:cs="Arial"/>
                <w:kern w:val="36"/>
                <w:lang w:eastAsia="en-GB"/>
                <w14:ligatures w14:val="none"/>
              </w:rPr>
              <w:t> Established sustainability credentials position for regulatory compliance and purpose-driven consumer segments</w:t>
            </w:r>
          </w:p>
        </w:tc>
        <w:tc>
          <w:tcPr>
            <w:tcW w:w="0" w:type="auto"/>
            <w:vAlign w:val="bottom"/>
            <w:hideMark/>
          </w:tcPr>
          <w:p w14:paraId="7563C78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W2:</w:t>
            </w:r>
            <w:r w:rsidRPr="005B7DB8">
              <w:rPr>
                <w:rFonts w:ascii="Arial" w:eastAsia="Times New Roman" w:hAnsi="Arial" w:cs="Arial"/>
                <w:kern w:val="36"/>
                <w:lang w:eastAsia="en-GB"/>
                <w14:ligatures w14:val="none"/>
              </w:rPr>
              <w:t> Substantial reformulation costs required for HFSS compliance without guaranteed consumer acceptance or volume retention</w:t>
            </w:r>
          </w:p>
        </w:tc>
      </w:tr>
      <w:tr w:rsidR="002E3002" w:rsidRPr="005B7DB8" w14:paraId="27D6E540" w14:textId="77777777" w:rsidTr="002E3002">
        <w:trPr>
          <w:trHeight w:val="1143"/>
        </w:trPr>
        <w:tc>
          <w:tcPr>
            <w:tcW w:w="0" w:type="auto"/>
            <w:vAlign w:val="bottom"/>
            <w:hideMark/>
          </w:tcPr>
          <w:p w14:paraId="4FA9887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lastRenderedPageBreak/>
              <w:t>S3:</w:t>
            </w:r>
            <w:r w:rsidRPr="005B7DB8">
              <w:rPr>
                <w:rFonts w:ascii="Arial" w:eastAsia="Times New Roman" w:hAnsi="Arial" w:cs="Arial"/>
                <w:kern w:val="36"/>
                <w:lang w:eastAsia="en-GB"/>
                <w14:ligatures w14:val="none"/>
              </w:rPr>
              <w:t> Innovation pipeline addressing plant-based and health trends (Hellmann's vegan, reformulated products)</w:t>
            </w:r>
          </w:p>
        </w:tc>
        <w:tc>
          <w:tcPr>
            <w:tcW w:w="0" w:type="auto"/>
            <w:vAlign w:val="bottom"/>
            <w:hideMark/>
          </w:tcPr>
          <w:p w14:paraId="35E4DBF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W3:</w:t>
            </w:r>
            <w:r w:rsidRPr="005B7DB8">
              <w:rPr>
                <w:rFonts w:ascii="Arial" w:eastAsia="Times New Roman" w:hAnsi="Arial" w:cs="Arial"/>
                <w:kern w:val="36"/>
                <w:lang w:eastAsia="en-GB"/>
                <w14:ligatures w14:val="none"/>
              </w:rPr>
              <w:t> Margin compression from input cost elevation and retailer bargaining power has materially impacted profitability</w:t>
            </w:r>
          </w:p>
        </w:tc>
      </w:tr>
      <w:tr w:rsidR="002E3002" w:rsidRPr="005B7DB8" w14:paraId="7A2C9C54" w14:textId="77777777" w:rsidTr="002E3002">
        <w:trPr>
          <w:trHeight w:val="1169"/>
        </w:trPr>
        <w:tc>
          <w:tcPr>
            <w:tcW w:w="0" w:type="auto"/>
            <w:vAlign w:val="bottom"/>
            <w:hideMark/>
          </w:tcPr>
          <w:p w14:paraId="7A25984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S4:</w:t>
            </w:r>
            <w:r w:rsidRPr="005B7DB8">
              <w:rPr>
                <w:rFonts w:ascii="Arial" w:eastAsia="Times New Roman" w:hAnsi="Arial" w:cs="Arial"/>
                <w:kern w:val="36"/>
                <w:lang w:eastAsia="en-GB"/>
                <w14:ligatures w14:val="none"/>
              </w:rPr>
              <w:t> Unilever parent provides financial resources, global R&amp;D capabilities, and cross-market knowledge transfer</w:t>
            </w:r>
          </w:p>
        </w:tc>
        <w:tc>
          <w:tcPr>
            <w:tcW w:w="0" w:type="auto"/>
            <w:vAlign w:val="bottom"/>
            <w:hideMark/>
          </w:tcPr>
          <w:p w14:paraId="0F4F8EF9"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W4:</w:t>
            </w:r>
            <w:r w:rsidRPr="005B7DB8">
              <w:rPr>
                <w:rFonts w:ascii="Arial" w:eastAsia="Times New Roman" w:hAnsi="Arial" w:cs="Arial"/>
                <w:kern w:val="36"/>
                <w:lang w:eastAsia="en-GB"/>
                <w14:ligatures w14:val="none"/>
              </w:rPr>
              <w:t> Portfolio complexity across diverse categories creates resource diffusion and limits strategic focus</w:t>
            </w:r>
          </w:p>
        </w:tc>
      </w:tr>
      <w:tr w:rsidR="002E3002" w:rsidRPr="005B7DB8" w14:paraId="0ED5FBC3" w14:textId="77777777" w:rsidTr="002E3002">
        <w:trPr>
          <w:trHeight w:val="1169"/>
        </w:trPr>
        <w:tc>
          <w:tcPr>
            <w:tcW w:w="0" w:type="auto"/>
            <w:vAlign w:val="bottom"/>
            <w:hideMark/>
          </w:tcPr>
          <w:p w14:paraId="1C76335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S5:</w:t>
            </w:r>
            <w:r w:rsidRPr="005B7DB8">
              <w:rPr>
                <w:rFonts w:ascii="Arial" w:eastAsia="Times New Roman" w:hAnsi="Arial" w:cs="Arial"/>
                <w:kern w:val="36"/>
                <w:lang w:eastAsia="en-GB"/>
                <w14:ligatures w14:val="none"/>
              </w:rPr>
              <w:t> Integrated UK manufacturing provides supply chain responsiveness and community employment benefits</w:t>
            </w:r>
          </w:p>
        </w:tc>
        <w:tc>
          <w:tcPr>
            <w:tcW w:w="0" w:type="auto"/>
            <w:vAlign w:val="bottom"/>
            <w:hideMark/>
          </w:tcPr>
          <w:p w14:paraId="7D9D1906"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W5:</w:t>
            </w:r>
            <w:r w:rsidRPr="005B7DB8">
              <w:rPr>
                <w:rFonts w:ascii="Arial" w:eastAsia="Times New Roman" w:hAnsi="Arial" w:cs="Arial"/>
                <w:kern w:val="36"/>
                <w:lang w:eastAsia="en-GB"/>
                <w14:ligatures w14:val="none"/>
              </w:rPr>
              <w:t> Organisational complexity and matrix structure slow decision-making relative to agile competitors</w:t>
            </w:r>
          </w:p>
        </w:tc>
      </w:tr>
    </w:tbl>
    <w:p w14:paraId="03330823" w14:textId="42280FA1"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 xml:space="preserve"> Table 4: SWOT Matrix – Unilever F&amp;R UK</w:t>
      </w:r>
    </w:p>
    <w:p w14:paraId="450226D8" w14:textId="77777777" w:rsidR="002E3002" w:rsidRPr="005B7DB8" w:rsidRDefault="002E3002" w:rsidP="00EE76FF">
      <w:pPr>
        <w:spacing w:before="100" w:beforeAutospacing="1" w:after="100" w:afterAutospacing="1" w:line="360" w:lineRule="auto"/>
        <w:rPr>
          <w:rFonts w:ascii="Arial" w:eastAsia="Times New Roman" w:hAnsi="Arial" w:cs="Arial"/>
          <w:vanish/>
          <w:kern w:val="36"/>
          <w:lang w:eastAsia="en-GB"/>
          <w14:ligatures w14:val="none"/>
        </w:rPr>
      </w:pPr>
    </w:p>
    <w:tbl>
      <w:tblPr>
        <w:tblW w:w="10430"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366"/>
        <w:gridCol w:w="5064"/>
      </w:tblGrid>
      <w:tr w:rsidR="002E3002" w:rsidRPr="005B7DB8" w14:paraId="20E0CA97" w14:textId="77777777" w:rsidTr="002E3002">
        <w:trPr>
          <w:trHeight w:val="397"/>
          <w:tblHeader/>
        </w:trPr>
        <w:tc>
          <w:tcPr>
            <w:tcW w:w="0" w:type="auto"/>
            <w:noWrap/>
            <w:vAlign w:val="bottom"/>
            <w:hideMark/>
          </w:tcPr>
          <w:p w14:paraId="7E990734"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OPPORTUNITIES</w:t>
            </w:r>
          </w:p>
        </w:tc>
        <w:tc>
          <w:tcPr>
            <w:tcW w:w="0" w:type="auto"/>
            <w:noWrap/>
            <w:vAlign w:val="bottom"/>
            <w:hideMark/>
          </w:tcPr>
          <w:p w14:paraId="4FB654D2"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THREATS</w:t>
            </w:r>
          </w:p>
        </w:tc>
      </w:tr>
      <w:tr w:rsidR="002E3002" w:rsidRPr="005B7DB8" w14:paraId="2F25F318" w14:textId="77777777" w:rsidTr="002E3002">
        <w:trPr>
          <w:trHeight w:val="821"/>
        </w:trPr>
        <w:tc>
          <w:tcPr>
            <w:tcW w:w="0" w:type="auto"/>
            <w:vAlign w:val="bottom"/>
            <w:hideMark/>
          </w:tcPr>
          <w:p w14:paraId="6AC8D593"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O1:</w:t>
            </w:r>
            <w:r w:rsidRPr="005B7DB8">
              <w:rPr>
                <w:rFonts w:ascii="Arial" w:eastAsia="Times New Roman" w:hAnsi="Arial" w:cs="Arial"/>
                <w:kern w:val="36"/>
                <w:lang w:eastAsia="en-GB"/>
                <w14:ligatures w14:val="none"/>
              </w:rPr>
              <w:t> Plant-based market growth with premium pricing potential if taste and price accessibility achieved</w:t>
            </w:r>
          </w:p>
        </w:tc>
        <w:tc>
          <w:tcPr>
            <w:tcW w:w="0" w:type="auto"/>
            <w:vAlign w:val="bottom"/>
            <w:hideMark/>
          </w:tcPr>
          <w:p w14:paraId="35B6569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T1:</w:t>
            </w:r>
            <w:r w:rsidRPr="005B7DB8">
              <w:rPr>
                <w:rFonts w:ascii="Arial" w:eastAsia="Times New Roman" w:hAnsi="Arial" w:cs="Arial"/>
                <w:kern w:val="36"/>
                <w:lang w:eastAsia="en-GB"/>
                <w14:ligatures w14:val="none"/>
              </w:rPr>
              <w:t> Private label expansion with quality convergence narrows brand value proposition and pricing power</w:t>
            </w:r>
          </w:p>
        </w:tc>
      </w:tr>
      <w:tr w:rsidR="002E3002" w:rsidRPr="005B7DB8" w14:paraId="13B879E3" w14:textId="77777777" w:rsidTr="002E3002">
        <w:trPr>
          <w:trHeight w:val="1244"/>
        </w:trPr>
        <w:tc>
          <w:tcPr>
            <w:tcW w:w="0" w:type="auto"/>
            <w:vAlign w:val="bottom"/>
            <w:hideMark/>
          </w:tcPr>
          <w:p w14:paraId="5DEBB7A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O2:</w:t>
            </w:r>
            <w:r w:rsidRPr="005B7DB8">
              <w:rPr>
                <w:rFonts w:ascii="Arial" w:eastAsia="Times New Roman" w:hAnsi="Arial" w:cs="Arial"/>
                <w:kern w:val="36"/>
                <w:lang w:eastAsia="en-GB"/>
                <w14:ligatures w14:val="none"/>
              </w:rPr>
              <w:t> Digital commerce expansion enables direct consumer relationships and first-party data collection</w:t>
            </w:r>
          </w:p>
        </w:tc>
        <w:tc>
          <w:tcPr>
            <w:tcW w:w="0" w:type="auto"/>
            <w:vAlign w:val="bottom"/>
            <w:hideMark/>
          </w:tcPr>
          <w:p w14:paraId="36F297D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T2:</w:t>
            </w:r>
            <w:r w:rsidRPr="005B7DB8">
              <w:rPr>
                <w:rFonts w:ascii="Arial" w:eastAsia="Times New Roman" w:hAnsi="Arial" w:cs="Arial"/>
                <w:kern w:val="36"/>
                <w:lang w:eastAsia="en-GB"/>
                <w14:ligatures w14:val="none"/>
              </w:rPr>
              <w:t> Retailer concentration provides monopsony bargaining power over pricing, promotions, and shelf access</w:t>
            </w:r>
          </w:p>
        </w:tc>
      </w:tr>
      <w:tr w:rsidR="002E3002" w:rsidRPr="005B7DB8" w14:paraId="491139BB" w14:textId="77777777" w:rsidTr="002E3002">
        <w:trPr>
          <w:trHeight w:val="821"/>
        </w:trPr>
        <w:tc>
          <w:tcPr>
            <w:tcW w:w="0" w:type="auto"/>
            <w:vAlign w:val="bottom"/>
            <w:hideMark/>
          </w:tcPr>
          <w:p w14:paraId="2728BE53"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O3:</w:t>
            </w:r>
            <w:r w:rsidRPr="005B7DB8">
              <w:rPr>
                <w:rFonts w:ascii="Arial" w:eastAsia="Times New Roman" w:hAnsi="Arial" w:cs="Arial"/>
                <w:kern w:val="36"/>
                <w:lang w:eastAsia="en-GB"/>
                <w14:ligatures w14:val="none"/>
              </w:rPr>
              <w:t> Government and NHS health initiatives align with reformulation efforts and may provide policy tailwinds</w:t>
            </w:r>
          </w:p>
        </w:tc>
        <w:tc>
          <w:tcPr>
            <w:tcW w:w="0" w:type="auto"/>
            <w:vAlign w:val="bottom"/>
            <w:hideMark/>
          </w:tcPr>
          <w:p w14:paraId="611A4D3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T3:</w:t>
            </w:r>
            <w:r w:rsidRPr="005B7DB8">
              <w:rPr>
                <w:rFonts w:ascii="Arial" w:eastAsia="Times New Roman" w:hAnsi="Arial" w:cs="Arial"/>
                <w:kern w:val="36"/>
                <w:lang w:eastAsia="en-GB"/>
                <w14:ligatures w14:val="none"/>
              </w:rPr>
              <w:t> HFSS regulations restrict promotional flexibility for substantial portfolio proportion, limiting volume levers</w:t>
            </w:r>
          </w:p>
        </w:tc>
      </w:tr>
      <w:tr w:rsidR="002E3002" w:rsidRPr="005B7DB8" w14:paraId="567FAE69" w14:textId="77777777" w:rsidTr="002E3002">
        <w:trPr>
          <w:trHeight w:val="821"/>
        </w:trPr>
        <w:tc>
          <w:tcPr>
            <w:tcW w:w="0" w:type="auto"/>
            <w:vAlign w:val="bottom"/>
            <w:hideMark/>
          </w:tcPr>
          <w:p w14:paraId="34E0935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O4:</w:t>
            </w:r>
            <w:r w:rsidRPr="005B7DB8">
              <w:rPr>
                <w:rFonts w:ascii="Arial" w:eastAsia="Times New Roman" w:hAnsi="Arial" w:cs="Arial"/>
                <w:kern w:val="36"/>
                <w:lang w:eastAsia="en-GB"/>
                <w14:ligatures w14:val="none"/>
              </w:rPr>
              <w:t> Premiumisation opportunities in segments (artisan mayonnaise, premium ice cream) enable margin recovery</w:t>
            </w:r>
          </w:p>
        </w:tc>
        <w:tc>
          <w:tcPr>
            <w:tcW w:w="0" w:type="auto"/>
            <w:vAlign w:val="bottom"/>
            <w:hideMark/>
          </w:tcPr>
          <w:p w14:paraId="2681A41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T4:</w:t>
            </w:r>
            <w:r w:rsidRPr="005B7DB8">
              <w:rPr>
                <w:rFonts w:ascii="Arial" w:eastAsia="Times New Roman" w:hAnsi="Arial" w:cs="Arial"/>
                <w:kern w:val="36"/>
                <w:lang w:eastAsia="en-GB"/>
                <w14:ligatures w14:val="none"/>
              </w:rPr>
              <w:t> Input cost volatility from climate impacts, energy uncertainty, and supply disruption</w:t>
            </w:r>
          </w:p>
        </w:tc>
      </w:tr>
      <w:tr w:rsidR="002E3002" w:rsidRPr="005B7DB8" w14:paraId="43842116" w14:textId="77777777" w:rsidTr="002E3002">
        <w:trPr>
          <w:trHeight w:val="1244"/>
        </w:trPr>
        <w:tc>
          <w:tcPr>
            <w:tcW w:w="0" w:type="auto"/>
            <w:vAlign w:val="bottom"/>
            <w:hideMark/>
          </w:tcPr>
          <w:p w14:paraId="7B52DF9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O5:</w:t>
            </w:r>
            <w:r w:rsidRPr="005B7DB8">
              <w:rPr>
                <w:rFonts w:ascii="Arial" w:eastAsia="Times New Roman" w:hAnsi="Arial" w:cs="Arial"/>
                <w:kern w:val="36"/>
                <w:lang w:eastAsia="en-GB"/>
                <w14:ligatures w14:val="none"/>
              </w:rPr>
              <w:t> Potential consolidation as smaller branded manufacturers seek exits in challenging conditions</w:t>
            </w:r>
          </w:p>
        </w:tc>
        <w:tc>
          <w:tcPr>
            <w:tcW w:w="0" w:type="auto"/>
            <w:vAlign w:val="bottom"/>
            <w:hideMark/>
          </w:tcPr>
          <w:p w14:paraId="35597256"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T5:</w:t>
            </w:r>
            <w:r w:rsidRPr="005B7DB8">
              <w:rPr>
                <w:rFonts w:ascii="Arial" w:eastAsia="Times New Roman" w:hAnsi="Arial" w:cs="Arial"/>
                <w:kern w:val="36"/>
                <w:lang w:eastAsia="en-GB"/>
                <w14:ligatures w14:val="none"/>
              </w:rPr>
              <w:t> Sustainability compliance costs (EPR, packaging tax, net-zero investments) without clear return pathways</w:t>
            </w:r>
          </w:p>
        </w:tc>
      </w:tr>
      <w:tr w:rsidR="002E3002" w:rsidRPr="005B7DB8" w14:paraId="10C056CB" w14:textId="77777777" w:rsidTr="002E3002">
        <w:trPr>
          <w:trHeight w:val="1244"/>
        </w:trPr>
        <w:tc>
          <w:tcPr>
            <w:tcW w:w="0" w:type="auto"/>
            <w:vAlign w:val="bottom"/>
            <w:hideMark/>
          </w:tcPr>
          <w:p w14:paraId="3EF62CA6"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051BA61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T6:</w:t>
            </w:r>
            <w:r w:rsidRPr="005B7DB8">
              <w:rPr>
                <w:rFonts w:ascii="Arial" w:eastAsia="Times New Roman" w:hAnsi="Arial" w:cs="Arial"/>
                <w:kern w:val="36"/>
                <w:lang w:eastAsia="en-GB"/>
                <w14:ligatures w14:val="none"/>
              </w:rPr>
              <w:t> Consumer scepticism toward corporate sustainability claims risks premium positioning credibility</w:t>
            </w:r>
          </w:p>
        </w:tc>
      </w:tr>
    </w:tbl>
    <w:p w14:paraId="3DCE5C53"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Author's synthesis of analytical findings</w:t>
      </w:r>
    </w:p>
    <w:p w14:paraId="30B8A6EF"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lastRenderedPageBreak/>
        <w:t>Strategic Implications</w:t>
      </w:r>
    </w:p>
    <w:p w14:paraId="36E8DCF1"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SWOT matrix reveals a business possessing significant assets yet facing structural headwinds questioning sustainability of historical strategies. Brand strength remains valuable yet insufficient without continuous innovation investment to justify price premiums. Sustainability credentials deliver reputational value yet require financial commitment during margin pressure, creating tensions between long-term positioning and short-term performance.</w:t>
      </w:r>
    </w:p>
    <w:p w14:paraId="1E70D34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opportunity-threat interplay suggests selective focus rather than broad-based growth. Plant-based and premium segments offer margin-accretive paths, yet require capability development in alternative proteins and artisan positioning distinct from mainstream brand heritage. Digital commerce provides consumer access opportunities, though Unilever's retailer dependency and limited direct-to-consumer infrastructure create barriers.</w:t>
      </w:r>
    </w:p>
    <w:p w14:paraId="46EC5E7C" w14:textId="1819D282"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Defensive strategies focused solely on cost reduction appear inadequate given structural margin pressure and private label competition. Equally, aggressive growth strategies across all categories risk resource diffusion. The strategic challenge centres on identifying selective growth investments whilst managing mature category decline for cash generation.</w:t>
      </w:r>
    </w:p>
    <w:p w14:paraId="53664F01"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4. COMPREHENSIVE AND HOLISTIC VIEW</w:t>
      </w:r>
    </w:p>
    <w:p w14:paraId="16F1B7B3"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4.1 Corporate Social Responsibility</w:t>
      </w:r>
    </w:p>
    <w:p w14:paraId="52211BCD"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Environmental Strategy</w:t>
      </w:r>
    </w:p>
    <w:p w14:paraId="5B34762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Unilever's environmental commitments span climate action (net-zero by 2039), nature protection (deforestation-free supply chains), and waste elimination (reusable, recyclable, or compostable packaging) (Unilever, 2024). UK F&amp;R division performance demonstrates uneven progress against these headline targets.</w:t>
      </w:r>
    </w:p>
    <w:p w14:paraId="06A527C9"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Climate performance shows advancement on direct operational emissions through renewable energy procurement and manufacturing efficiency improvements (Unilever, 2024). Scope 3 emissions across the value chain, however, represent the </w:t>
      </w:r>
      <w:r w:rsidRPr="005B7DB8">
        <w:rPr>
          <w:rFonts w:ascii="Arial" w:eastAsia="Times New Roman" w:hAnsi="Arial" w:cs="Arial"/>
          <w:kern w:val="36"/>
          <w:lang w:eastAsia="en-GB"/>
          <w14:ligatures w14:val="none"/>
        </w:rPr>
        <w:lastRenderedPageBreak/>
        <w:t>overwhelming majority of total footprint and prove challenging to reduce. Research on corporate climate strategies confirms that Scope 3 emissions—those occurring in supply chains and product use—typically represent over 80% of total corporate carbon footprints yet remain beyond direct managerial control (Hertwich and Wood, 2018), creating fundamental governance challenges for meaningful climate action. Agricultural production, ingredient processing, and consumer use phases sit beyond Unilever's direct control, requiring farmer behaviour change, supply chain coordination, and consumer education that progress slowly. Volume growth can offset intensity improvements, exposing tensions between commercial expansion and absolute emissions reduction.</w:t>
      </w:r>
    </w:p>
    <w:p w14:paraId="08F4024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Packaging sustainability has encountered implementation challenges. Technical barriers persist for multi-material formats, particularly ice cream packaging where functional requirements around barrier properties and temperature resistance constrain material choices. Cost differentials for recycled content create economic obstacles (WRAP, 2024). Limited UK recycling infrastructure for flexible packaging formats constrains what manufacturers can feasibly achieve absent broader system change.</w:t>
      </w:r>
    </w:p>
    <w:p w14:paraId="1408BA89"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Regenerative agriculture initiatives across selected UK farms demonstrate agronomic potential for soil health and biodiversity enhancement (Unilever, 2024). Scaling beyond pilot scope confronts economic realities. Regenerative practices may reduce short-term yields, requiring premium payments to farmers that prove difficult to justify within constrained margin environments. Government agricultural policy transition under Environmental Land Management schemes proceeds slowly, limiting the subsidy support that might offset private sector costs (Department for Environment, Food and Rural Affairs, 2024).</w:t>
      </w:r>
    </w:p>
    <w:p w14:paraId="2DE8D198"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Social Strategy</w:t>
      </w:r>
    </w:p>
    <w:p w14:paraId="57BD740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Social commitments address living wages in supply chains, diversity and inclusion, and nutrition improvement through reformulation. Performance on living wage shows strong compliance for direct employees yet limited supply chain visibility beyond tier-one suppliers. Supply chain transparency initiatives provide disclosure yet question </w:t>
      </w:r>
      <w:r w:rsidRPr="005B7DB8">
        <w:rPr>
          <w:rFonts w:ascii="Arial" w:eastAsia="Times New Roman" w:hAnsi="Arial" w:cs="Arial"/>
          <w:kern w:val="36"/>
          <w:lang w:eastAsia="en-GB"/>
          <w14:ligatures w14:val="none"/>
        </w:rPr>
        <w:lastRenderedPageBreak/>
        <w:t>remains whether monitoring mechanisms detect violations or create incentive for concealment rather than remediation.</w:t>
      </w:r>
    </w:p>
    <w:p w14:paraId="1A1A340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Nutrition reformulation centres on reducing sugar, salt, and saturated fat alongside expanding products containing vegetables, fruits, or whole grains. Consumer testing reveals tensions between nutritional improvement and taste maintenance. Reformulated products sometimes score lower on taste attributes, creating commercial risk if competitors avoid similar changes (Shankar et al., 2021). This prisoner's dilemma dynamic limits unilateral action, suggesting industry-wide standards or regulatory mandates may prove more effective than voluntary corporate initiatives.</w:t>
      </w:r>
    </w:p>
    <w:p w14:paraId="7A49A196"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Governance and Strategic Alignment</w:t>
      </w:r>
    </w:p>
    <w:p w14:paraId="75C9038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ESG governance operates through dedicated committee oversight, executive remuneration linkage to sustainability metrics, and external verification of claims (Unilever, 2024). This infrastructure demonstrates organisational commitment, yet tensions emerge between sustainability investments and short-term financial performance.</w:t>
      </w:r>
    </w:p>
    <w:p w14:paraId="3B9964F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Research examining CSR-financial performance relationships reveals mixed results, with positive associations often contingent on industry context, stakeholder pressures, and implementation quality (Wang et al., 2016). In consumer goods sectors, reputational benefits from sustainability leadership may accrue slowly whilst costs manifest immediately. This creates intertemporal tradeoffs that challenge quarterly reporting cycles and investor expectations for predictable earnings delivery.</w:t>
      </w:r>
    </w:p>
    <w:p w14:paraId="06C3AC4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fundamental question is whether sustainability creates competitive advantage or simply represents a necessary cost of doing business. Unilever positions sustainability as a differentiator and growth driver (Unilever, 2024), yet evidence of consumer willingness to pay for sustainable attributes remains limited beyond affluent segments. This gap between corporate narrative and market reality creates potential vulnerability.</w:t>
      </w:r>
    </w:p>
    <w:p w14:paraId="3D7D29B2" w14:textId="52F0367A" w:rsidR="008E355B" w:rsidRPr="005B7DB8" w:rsidRDefault="008E355B"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noProof/>
          <w:kern w:val="36"/>
          <w:lang w:eastAsia="en-GB"/>
          <w14:ligatures w14:val="none"/>
        </w:rPr>
        <w:lastRenderedPageBreak/>
        <w:drawing>
          <wp:inline distT="0" distB="0" distL="0" distR="0" wp14:anchorId="6466D9EF" wp14:editId="13E1DEC8">
            <wp:extent cx="5731510" cy="3223260"/>
            <wp:effectExtent l="0" t="0" r="0" b="2540"/>
            <wp:docPr id="962818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818961" name=""/>
                    <pic:cNvPicPr/>
                  </pic:nvPicPr>
                  <pic:blipFill>
                    <a:blip r:embed="rId11"/>
                    <a:stretch>
                      <a:fillRect/>
                    </a:stretch>
                  </pic:blipFill>
                  <pic:spPr>
                    <a:xfrm>
                      <a:off x="0" y="0"/>
                      <a:ext cx="5731510" cy="3223260"/>
                    </a:xfrm>
                    <a:prstGeom prst="rect">
                      <a:avLst/>
                    </a:prstGeom>
                  </pic:spPr>
                </pic:pic>
              </a:graphicData>
            </a:graphic>
          </wp:inline>
        </w:drawing>
      </w:r>
    </w:p>
    <w:p w14:paraId="3AB1C730" w14:textId="2206AFF7" w:rsidR="008E355B" w:rsidRPr="005B7DB8" w:rsidRDefault="008E355B"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 xml:space="preserve">Figure </w:t>
      </w:r>
      <w:r w:rsidR="003058D5" w:rsidRPr="005B7DB8">
        <w:rPr>
          <w:rFonts w:ascii="Arial" w:eastAsia="Times New Roman" w:hAnsi="Arial" w:cs="Arial"/>
          <w:b/>
          <w:bCs/>
          <w:kern w:val="36"/>
          <w:lang w:eastAsia="en-GB"/>
          <w14:ligatures w14:val="none"/>
        </w:rPr>
        <w:t>3</w:t>
      </w:r>
      <w:r w:rsidRPr="005B7DB8">
        <w:rPr>
          <w:rFonts w:ascii="Arial" w:eastAsia="Times New Roman" w:hAnsi="Arial" w:cs="Arial"/>
          <w:b/>
          <w:bCs/>
          <w:kern w:val="36"/>
          <w:lang w:eastAsia="en-GB"/>
          <w14:ligatures w14:val="none"/>
        </w:rPr>
        <w:t>. Overview of Unilever's sustainability commitments.</w:t>
      </w:r>
    </w:p>
    <w:p w14:paraId="4E3AF551" w14:textId="233D2961" w:rsidR="008E355B" w:rsidRPr="005B7DB8" w:rsidRDefault="008E355B"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Source: Unilever Annual Report (2024)</w:t>
      </w:r>
    </w:p>
    <w:p w14:paraId="1BB5EBE1"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4.2 Balanced Scorecard</w:t>
      </w:r>
    </w:p>
    <w:p w14:paraId="318EB138" w14:textId="24D7FFF9" w:rsidR="008E355B" w:rsidRPr="005B7DB8" w:rsidRDefault="008E355B" w:rsidP="00EE76FF">
      <w:pPr>
        <w:spacing w:before="100" w:beforeAutospacing="1" w:after="100" w:afterAutospacing="1" w:line="360" w:lineRule="auto"/>
        <w:jc w:val="center"/>
        <w:rPr>
          <w:rFonts w:ascii="Arial" w:eastAsia="Times New Roman" w:hAnsi="Arial" w:cs="Arial"/>
          <w:b/>
          <w:bCs/>
          <w:kern w:val="36"/>
          <w:lang w:eastAsia="en-GB"/>
          <w14:ligatures w14:val="none"/>
        </w:rPr>
      </w:pPr>
      <w:r w:rsidRPr="005B7DB8">
        <w:rPr>
          <w:rFonts w:ascii="Arial" w:eastAsia="Times New Roman" w:hAnsi="Arial" w:cs="Arial"/>
          <w:b/>
          <w:bCs/>
          <w:noProof/>
          <w:kern w:val="36"/>
          <w:lang w:eastAsia="en-GB"/>
          <w14:ligatures w14:val="none"/>
        </w:rPr>
        <w:drawing>
          <wp:inline distT="0" distB="0" distL="0" distR="0" wp14:anchorId="0D83ACEE" wp14:editId="611A1C03">
            <wp:extent cx="4738255" cy="3856990"/>
            <wp:effectExtent l="0" t="0" r="0" b="3810"/>
            <wp:docPr id="1814963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963171" name=""/>
                    <pic:cNvPicPr/>
                  </pic:nvPicPr>
                  <pic:blipFill>
                    <a:blip r:embed="rId12"/>
                    <a:stretch>
                      <a:fillRect/>
                    </a:stretch>
                  </pic:blipFill>
                  <pic:spPr>
                    <a:xfrm>
                      <a:off x="0" y="0"/>
                      <a:ext cx="4777331" cy="3888799"/>
                    </a:xfrm>
                    <a:prstGeom prst="rect">
                      <a:avLst/>
                    </a:prstGeom>
                  </pic:spPr>
                </pic:pic>
              </a:graphicData>
            </a:graphic>
          </wp:inline>
        </w:drawing>
      </w:r>
    </w:p>
    <w:p w14:paraId="26E9AB4F" w14:textId="564F8335" w:rsidR="008E355B" w:rsidRPr="005B7DB8" w:rsidRDefault="008E355B"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lastRenderedPageBreak/>
        <w:t xml:space="preserve">Figure </w:t>
      </w:r>
      <w:r w:rsidR="003058D5" w:rsidRPr="005B7DB8">
        <w:rPr>
          <w:rFonts w:ascii="Arial" w:eastAsia="Times New Roman" w:hAnsi="Arial" w:cs="Arial"/>
          <w:b/>
          <w:bCs/>
          <w:kern w:val="36"/>
          <w:lang w:eastAsia="en-GB"/>
          <w14:ligatures w14:val="none"/>
        </w:rPr>
        <w:t>4</w:t>
      </w:r>
      <w:r w:rsidRPr="005B7DB8">
        <w:rPr>
          <w:rFonts w:ascii="Arial" w:eastAsia="Times New Roman" w:hAnsi="Arial" w:cs="Arial"/>
          <w:b/>
          <w:bCs/>
          <w:kern w:val="36"/>
          <w:lang w:eastAsia="en-GB"/>
          <w14:ligatures w14:val="none"/>
        </w:rPr>
        <w:t>. Balanced Scorecard Framework.</w:t>
      </w:r>
    </w:p>
    <w:p w14:paraId="49A6A9DC" w14:textId="3A815802" w:rsidR="008E355B" w:rsidRPr="005B7DB8" w:rsidRDefault="008E355B"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Source: Kaplan &amp; Norton (1996)</w:t>
      </w:r>
    </w:p>
    <w:p w14:paraId="2D26CB6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5 presents a strategically aligned Balanced Scorecard for Unilever F&amp;R UK, translating strategic intent into operational objectives.</w:t>
      </w:r>
    </w:p>
    <w:p w14:paraId="44566F9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Table 5: Balanced Scorecard – Unilever F&amp;R UK</w:t>
      </w:r>
    </w:p>
    <w:tbl>
      <w:tblPr>
        <w:tblW w:w="90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24"/>
        <w:gridCol w:w="2257"/>
        <w:gridCol w:w="2128"/>
        <w:gridCol w:w="3288"/>
      </w:tblGrid>
      <w:tr w:rsidR="002E3002" w:rsidRPr="005B7DB8" w14:paraId="2CCB59F6" w14:textId="77777777" w:rsidTr="004806C8">
        <w:trPr>
          <w:trHeight w:val="386"/>
          <w:tblHeader/>
        </w:trPr>
        <w:tc>
          <w:tcPr>
            <w:tcW w:w="0" w:type="auto"/>
            <w:noWrap/>
            <w:vAlign w:val="bottom"/>
            <w:hideMark/>
          </w:tcPr>
          <w:p w14:paraId="43038B4F"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Perspective</w:t>
            </w:r>
          </w:p>
        </w:tc>
        <w:tc>
          <w:tcPr>
            <w:tcW w:w="0" w:type="auto"/>
            <w:noWrap/>
            <w:vAlign w:val="bottom"/>
            <w:hideMark/>
          </w:tcPr>
          <w:p w14:paraId="7A0429EA"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Strategic Objective</w:t>
            </w:r>
          </w:p>
        </w:tc>
        <w:tc>
          <w:tcPr>
            <w:tcW w:w="2128" w:type="dxa"/>
            <w:noWrap/>
            <w:vAlign w:val="bottom"/>
            <w:hideMark/>
          </w:tcPr>
          <w:p w14:paraId="0CC8FC82"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Key Performance Indicator</w:t>
            </w:r>
          </w:p>
        </w:tc>
        <w:tc>
          <w:tcPr>
            <w:tcW w:w="3288" w:type="dxa"/>
            <w:noWrap/>
            <w:vAlign w:val="bottom"/>
            <w:hideMark/>
          </w:tcPr>
          <w:p w14:paraId="158BBC81"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Strategic Initiative</w:t>
            </w:r>
          </w:p>
        </w:tc>
      </w:tr>
      <w:tr w:rsidR="002E3002" w:rsidRPr="005B7DB8" w14:paraId="47A08788" w14:textId="77777777" w:rsidTr="004806C8">
        <w:trPr>
          <w:trHeight w:val="956"/>
        </w:trPr>
        <w:tc>
          <w:tcPr>
            <w:tcW w:w="0" w:type="auto"/>
            <w:vAlign w:val="bottom"/>
            <w:hideMark/>
          </w:tcPr>
          <w:p w14:paraId="1046F59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FINANCIAL</w:t>
            </w:r>
          </w:p>
        </w:tc>
        <w:tc>
          <w:tcPr>
            <w:tcW w:w="0" w:type="auto"/>
            <w:vAlign w:val="bottom"/>
            <w:hideMark/>
          </w:tcPr>
          <w:p w14:paraId="0D4805F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Restore profitability to sustainable levels</w:t>
            </w:r>
          </w:p>
        </w:tc>
        <w:tc>
          <w:tcPr>
            <w:tcW w:w="2128" w:type="dxa"/>
            <w:vAlign w:val="bottom"/>
            <w:hideMark/>
          </w:tcPr>
          <w:p w14:paraId="1F1A5882"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Operating margin percentage</w:t>
            </w:r>
          </w:p>
        </w:tc>
        <w:tc>
          <w:tcPr>
            <w:tcW w:w="3288" w:type="dxa"/>
            <w:vAlign w:val="bottom"/>
            <w:hideMark/>
          </w:tcPr>
          <w:p w14:paraId="50C24366"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Premiumisation through plant-based and artisan product development; portfolio rationalisation eliminating low-margin SKUs</w:t>
            </w:r>
          </w:p>
        </w:tc>
      </w:tr>
      <w:tr w:rsidR="002E3002" w:rsidRPr="005B7DB8" w14:paraId="6C10F4DE" w14:textId="77777777" w:rsidTr="004806C8">
        <w:trPr>
          <w:trHeight w:val="1620"/>
        </w:trPr>
        <w:tc>
          <w:tcPr>
            <w:tcW w:w="0" w:type="auto"/>
            <w:vAlign w:val="bottom"/>
            <w:hideMark/>
          </w:tcPr>
          <w:p w14:paraId="747C4053"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FINANCIAL</w:t>
            </w:r>
          </w:p>
        </w:tc>
        <w:tc>
          <w:tcPr>
            <w:tcW w:w="0" w:type="auto"/>
            <w:vAlign w:val="bottom"/>
            <w:hideMark/>
          </w:tcPr>
          <w:p w14:paraId="5DBC9AC6"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Improve capital productivity</w:t>
            </w:r>
          </w:p>
        </w:tc>
        <w:tc>
          <w:tcPr>
            <w:tcW w:w="2128" w:type="dxa"/>
            <w:vAlign w:val="bottom"/>
            <w:hideMark/>
          </w:tcPr>
          <w:p w14:paraId="278A8A0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Return on invested capital</w:t>
            </w:r>
          </w:p>
        </w:tc>
        <w:tc>
          <w:tcPr>
            <w:tcW w:w="3288" w:type="dxa"/>
            <w:vAlign w:val="bottom"/>
            <w:hideMark/>
          </w:tcPr>
          <w:p w14:paraId="08DEF2B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Manufacturing footprint optimisation; working capital reduction through vendor-managed inventory programmes</w:t>
            </w:r>
          </w:p>
        </w:tc>
      </w:tr>
      <w:tr w:rsidR="002E3002" w:rsidRPr="005B7DB8" w14:paraId="4DB29CCD" w14:textId="77777777" w:rsidTr="004806C8">
        <w:trPr>
          <w:trHeight w:val="1183"/>
        </w:trPr>
        <w:tc>
          <w:tcPr>
            <w:tcW w:w="0" w:type="auto"/>
            <w:vAlign w:val="bottom"/>
            <w:hideMark/>
          </w:tcPr>
          <w:p w14:paraId="618EEBE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FINANCIAL</w:t>
            </w:r>
          </w:p>
        </w:tc>
        <w:tc>
          <w:tcPr>
            <w:tcW w:w="0" w:type="auto"/>
            <w:vAlign w:val="bottom"/>
            <w:hideMark/>
          </w:tcPr>
          <w:p w14:paraId="42FD9F91"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Accelerate growth in value-accretive segments</w:t>
            </w:r>
          </w:p>
        </w:tc>
        <w:tc>
          <w:tcPr>
            <w:tcW w:w="2128" w:type="dxa"/>
            <w:vAlign w:val="bottom"/>
            <w:hideMark/>
          </w:tcPr>
          <w:p w14:paraId="16DF478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Revenue contribution from premium and plant-based products</w:t>
            </w:r>
          </w:p>
        </w:tc>
        <w:tc>
          <w:tcPr>
            <w:tcW w:w="3288" w:type="dxa"/>
            <w:vAlign w:val="bottom"/>
            <w:hideMark/>
          </w:tcPr>
          <w:p w14:paraId="0EC8F02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Innovation pipeline prioritising higher-margin offerings; targeted marketing investment</w:t>
            </w:r>
          </w:p>
        </w:tc>
      </w:tr>
      <w:tr w:rsidR="002E3002" w:rsidRPr="005B7DB8" w14:paraId="1839369E" w14:textId="77777777" w:rsidTr="004806C8">
        <w:trPr>
          <w:trHeight w:val="1209"/>
        </w:trPr>
        <w:tc>
          <w:tcPr>
            <w:tcW w:w="0" w:type="auto"/>
            <w:vAlign w:val="bottom"/>
            <w:hideMark/>
          </w:tcPr>
          <w:p w14:paraId="583655F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CUSTOMER</w:t>
            </w:r>
          </w:p>
        </w:tc>
        <w:tc>
          <w:tcPr>
            <w:tcW w:w="0" w:type="auto"/>
            <w:vAlign w:val="bottom"/>
            <w:hideMark/>
          </w:tcPr>
          <w:p w14:paraId="378DABD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Strengthen brand preference versus private label</w:t>
            </w:r>
          </w:p>
        </w:tc>
        <w:tc>
          <w:tcPr>
            <w:tcW w:w="2128" w:type="dxa"/>
            <w:vAlign w:val="bottom"/>
            <w:hideMark/>
          </w:tcPr>
          <w:p w14:paraId="51073F23"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Brand health tracking (awareness, consideration, preference)</w:t>
            </w:r>
          </w:p>
        </w:tc>
        <w:tc>
          <w:tcPr>
            <w:tcW w:w="3288" w:type="dxa"/>
            <w:vAlign w:val="bottom"/>
            <w:hideMark/>
          </w:tcPr>
          <w:p w14:paraId="1E0DF33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Purpose-led marketing campaigns; product quality superiority; sustainability communication</w:t>
            </w:r>
          </w:p>
        </w:tc>
      </w:tr>
      <w:tr w:rsidR="002E3002" w:rsidRPr="005B7DB8" w14:paraId="725AA80A" w14:textId="77777777" w:rsidTr="004806C8">
        <w:trPr>
          <w:trHeight w:val="1209"/>
        </w:trPr>
        <w:tc>
          <w:tcPr>
            <w:tcW w:w="0" w:type="auto"/>
            <w:vAlign w:val="bottom"/>
            <w:hideMark/>
          </w:tcPr>
          <w:p w14:paraId="65F0FB8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CUSTOMER</w:t>
            </w:r>
          </w:p>
        </w:tc>
        <w:tc>
          <w:tcPr>
            <w:tcW w:w="0" w:type="auto"/>
            <w:vAlign w:val="bottom"/>
            <w:hideMark/>
          </w:tcPr>
          <w:p w14:paraId="68ED4ED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Expand household penetration in growth segments</w:t>
            </w:r>
          </w:p>
        </w:tc>
        <w:tc>
          <w:tcPr>
            <w:tcW w:w="2128" w:type="dxa"/>
            <w:vAlign w:val="bottom"/>
            <w:hideMark/>
          </w:tcPr>
          <w:p w14:paraId="72F76DA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Household purchasing rates for plant-based offerings</w:t>
            </w:r>
          </w:p>
        </w:tc>
        <w:tc>
          <w:tcPr>
            <w:tcW w:w="3288" w:type="dxa"/>
            <w:vAlign w:val="bottom"/>
            <w:hideMark/>
          </w:tcPr>
          <w:p w14:paraId="19371CD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Distribution expansion; trial generation programmes; retailer collaboration on category growth</w:t>
            </w:r>
          </w:p>
        </w:tc>
      </w:tr>
      <w:tr w:rsidR="002E3002" w:rsidRPr="005B7DB8" w14:paraId="02831991" w14:textId="77777777" w:rsidTr="004806C8">
        <w:trPr>
          <w:trHeight w:val="1209"/>
        </w:trPr>
        <w:tc>
          <w:tcPr>
            <w:tcW w:w="0" w:type="auto"/>
            <w:vAlign w:val="bottom"/>
            <w:hideMark/>
          </w:tcPr>
          <w:p w14:paraId="1AED877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lastRenderedPageBreak/>
              <w:t>CUSTOMER</w:t>
            </w:r>
          </w:p>
        </w:tc>
        <w:tc>
          <w:tcPr>
            <w:tcW w:w="0" w:type="auto"/>
            <w:vAlign w:val="bottom"/>
            <w:hideMark/>
          </w:tcPr>
          <w:p w14:paraId="25728F1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Build direct consumer relationships</w:t>
            </w:r>
          </w:p>
        </w:tc>
        <w:tc>
          <w:tcPr>
            <w:tcW w:w="2128" w:type="dxa"/>
            <w:vAlign w:val="bottom"/>
            <w:hideMark/>
          </w:tcPr>
          <w:p w14:paraId="36E72072"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Digital engagement metrics and direct-to-consumer sales</w:t>
            </w:r>
          </w:p>
        </w:tc>
        <w:tc>
          <w:tcPr>
            <w:tcW w:w="3288" w:type="dxa"/>
            <w:vAlign w:val="bottom"/>
            <w:hideMark/>
          </w:tcPr>
          <w:p w14:paraId="5BD481C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E-commerce platform development; content marketing; subscription model testing</w:t>
            </w:r>
          </w:p>
        </w:tc>
      </w:tr>
      <w:tr w:rsidR="002E3002" w:rsidRPr="005B7DB8" w14:paraId="56552C34" w14:textId="77777777" w:rsidTr="004806C8">
        <w:trPr>
          <w:trHeight w:val="1595"/>
        </w:trPr>
        <w:tc>
          <w:tcPr>
            <w:tcW w:w="0" w:type="auto"/>
            <w:vAlign w:val="bottom"/>
            <w:hideMark/>
          </w:tcPr>
          <w:p w14:paraId="7A788F96"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INTERNAL PROCESS</w:t>
            </w:r>
          </w:p>
        </w:tc>
        <w:tc>
          <w:tcPr>
            <w:tcW w:w="0" w:type="auto"/>
            <w:vAlign w:val="bottom"/>
            <w:hideMark/>
          </w:tcPr>
          <w:p w14:paraId="7E296B5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Accelerate innovation velocity</w:t>
            </w:r>
          </w:p>
        </w:tc>
        <w:tc>
          <w:tcPr>
            <w:tcW w:w="2128" w:type="dxa"/>
            <w:vAlign w:val="bottom"/>
            <w:hideMark/>
          </w:tcPr>
          <w:p w14:paraId="1609124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Time from concept approval to market launch</w:t>
            </w:r>
          </w:p>
        </w:tc>
        <w:tc>
          <w:tcPr>
            <w:tcW w:w="3288" w:type="dxa"/>
            <w:vAlign w:val="bottom"/>
            <w:hideMark/>
          </w:tcPr>
          <w:p w14:paraId="750EDD8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Agile development methodologies; cross-functional team empowerment; reduced approval layers</w:t>
            </w:r>
          </w:p>
        </w:tc>
      </w:tr>
      <w:tr w:rsidR="002E3002" w:rsidRPr="005B7DB8" w14:paraId="2C1AA744" w14:textId="77777777" w:rsidTr="004806C8">
        <w:trPr>
          <w:trHeight w:val="1209"/>
        </w:trPr>
        <w:tc>
          <w:tcPr>
            <w:tcW w:w="0" w:type="auto"/>
            <w:vAlign w:val="bottom"/>
            <w:hideMark/>
          </w:tcPr>
          <w:p w14:paraId="1C8DAE8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INTERNAL PROCESS</w:t>
            </w:r>
          </w:p>
        </w:tc>
        <w:tc>
          <w:tcPr>
            <w:tcW w:w="0" w:type="auto"/>
            <w:vAlign w:val="bottom"/>
            <w:hideMark/>
          </w:tcPr>
          <w:p w14:paraId="026CDFD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Achieve packaging sustainability commitments</w:t>
            </w:r>
          </w:p>
        </w:tc>
        <w:tc>
          <w:tcPr>
            <w:tcW w:w="2128" w:type="dxa"/>
            <w:vAlign w:val="bottom"/>
            <w:hideMark/>
          </w:tcPr>
          <w:p w14:paraId="25D2EA9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Percentage of packaging meeting recyclability standards</w:t>
            </w:r>
          </w:p>
        </w:tc>
        <w:tc>
          <w:tcPr>
            <w:tcW w:w="3288" w:type="dxa"/>
            <w:vAlign w:val="bottom"/>
            <w:hideMark/>
          </w:tcPr>
          <w:p w14:paraId="277E1C91"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Material science R&amp;D; supplier partnerships on mono-material solutions; infrastructure advocacy</w:t>
            </w:r>
          </w:p>
        </w:tc>
      </w:tr>
      <w:tr w:rsidR="002E3002" w:rsidRPr="005B7DB8" w14:paraId="669B0BBC" w14:textId="77777777" w:rsidTr="004806C8">
        <w:trPr>
          <w:trHeight w:val="1209"/>
        </w:trPr>
        <w:tc>
          <w:tcPr>
            <w:tcW w:w="0" w:type="auto"/>
            <w:vAlign w:val="bottom"/>
            <w:hideMark/>
          </w:tcPr>
          <w:p w14:paraId="158FA536"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INTERNAL PROCESS</w:t>
            </w:r>
          </w:p>
        </w:tc>
        <w:tc>
          <w:tcPr>
            <w:tcW w:w="0" w:type="auto"/>
            <w:vAlign w:val="bottom"/>
            <w:hideMark/>
          </w:tcPr>
          <w:p w14:paraId="42C1C35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Enhance supply chain resilience</w:t>
            </w:r>
          </w:p>
        </w:tc>
        <w:tc>
          <w:tcPr>
            <w:tcW w:w="2128" w:type="dxa"/>
            <w:vAlign w:val="bottom"/>
            <w:hideMark/>
          </w:tcPr>
          <w:p w14:paraId="1E7089D9"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Supply continuity performance</w:t>
            </w:r>
          </w:p>
        </w:tc>
        <w:tc>
          <w:tcPr>
            <w:tcW w:w="3288" w:type="dxa"/>
            <w:vAlign w:val="bottom"/>
            <w:hideMark/>
          </w:tcPr>
          <w:p w14:paraId="5E65131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Dual-sourcing critical ingredients; safety stock optimisation; supplier financial health monitoring</w:t>
            </w:r>
          </w:p>
        </w:tc>
      </w:tr>
      <w:tr w:rsidR="002E3002" w:rsidRPr="005B7DB8" w14:paraId="682161E8" w14:textId="77777777" w:rsidTr="004806C8">
        <w:trPr>
          <w:trHeight w:val="1209"/>
        </w:trPr>
        <w:tc>
          <w:tcPr>
            <w:tcW w:w="0" w:type="auto"/>
            <w:vAlign w:val="bottom"/>
            <w:hideMark/>
          </w:tcPr>
          <w:p w14:paraId="651E211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LEARNING &amp; GROWTH</w:t>
            </w:r>
          </w:p>
        </w:tc>
        <w:tc>
          <w:tcPr>
            <w:tcW w:w="0" w:type="auto"/>
            <w:vAlign w:val="bottom"/>
            <w:hideMark/>
          </w:tcPr>
          <w:p w14:paraId="4FE81126"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Develop alternative protein capabilities</w:t>
            </w:r>
          </w:p>
        </w:tc>
        <w:tc>
          <w:tcPr>
            <w:tcW w:w="2128" w:type="dxa"/>
            <w:vAlign w:val="bottom"/>
            <w:hideMark/>
          </w:tcPr>
          <w:p w14:paraId="14E6B593"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R&amp;D resource allocation to plant-based innovation</w:t>
            </w:r>
          </w:p>
        </w:tc>
        <w:tc>
          <w:tcPr>
            <w:tcW w:w="3288" w:type="dxa"/>
            <w:vAlign w:val="bottom"/>
            <w:hideMark/>
          </w:tcPr>
          <w:p w14:paraId="71D088E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Strategic hiring of food science specialists; university research partnerships; pilot facility investment</w:t>
            </w:r>
          </w:p>
        </w:tc>
      </w:tr>
      <w:tr w:rsidR="002E3002" w:rsidRPr="005B7DB8" w14:paraId="7DD58C17" w14:textId="77777777" w:rsidTr="004806C8">
        <w:trPr>
          <w:trHeight w:val="1209"/>
        </w:trPr>
        <w:tc>
          <w:tcPr>
            <w:tcW w:w="0" w:type="auto"/>
            <w:vAlign w:val="bottom"/>
            <w:hideMark/>
          </w:tcPr>
          <w:p w14:paraId="63B5E682"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LEARNING &amp; GROWTH</w:t>
            </w:r>
          </w:p>
        </w:tc>
        <w:tc>
          <w:tcPr>
            <w:tcW w:w="0" w:type="auto"/>
            <w:vAlign w:val="bottom"/>
            <w:hideMark/>
          </w:tcPr>
          <w:p w14:paraId="5458F246"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Build data analytics expertise</w:t>
            </w:r>
          </w:p>
        </w:tc>
        <w:tc>
          <w:tcPr>
            <w:tcW w:w="2128" w:type="dxa"/>
            <w:vAlign w:val="bottom"/>
            <w:hideMark/>
          </w:tcPr>
          <w:p w14:paraId="73535A9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Commercial decisions informed by advanced analytics</w:t>
            </w:r>
          </w:p>
        </w:tc>
        <w:tc>
          <w:tcPr>
            <w:tcW w:w="3288" w:type="dxa"/>
            <w:vAlign w:val="bottom"/>
            <w:hideMark/>
          </w:tcPr>
          <w:p w14:paraId="5FC75A06"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Data science team development; cloud infrastructure; machine learning capability building</w:t>
            </w:r>
          </w:p>
        </w:tc>
      </w:tr>
      <w:tr w:rsidR="002E3002" w:rsidRPr="005B7DB8" w14:paraId="4B1B2313" w14:textId="77777777" w:rsidTr="004806C8">
        <w:trPr>
          <w:trHeight w:val="1209"/>
        </w:trPr>
        <w:tc>
          <w:tcPr>
            <w:tcW w:w="0" w:type="auto"/>
            <w:vAlign w:val="bottom"/>
            <w:hideMark/>
          </w:tcPr>
          <w:p w14:paraId="046C4E7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LEARNING &amp; GROWTH</w:t>
            </w:r>
          </w:p>
        </w:tc>
        <w:tc>
          <w:tcPr>
            <w:tcW w:w="0" w:type="auto"/>
            <w:vAlign w:val="bottom"/>
            <w:hideMark/>
          </w:tcPr>
          <w:p w14:paraId="4A0BB5C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Strengthen sustainability culture</w:t>
            </w:r>
          </w:p>
        </w:tc>
        <w:tc>
          <w:tcPr>
            <w:tcW w:w="2128" w:type="dxa"/>
            <w:vAlign w:val="bottom"/>
            <w:hideMark/>
          </w:tcPr>
          <w:p w14:paraId="3E486443"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Employee engagement in sustainability initiatives</w:t>
            </w:r>
          </w:p>
        </w:tc>
        <w:tc>
          <w:tcPr>
            <w:tcW w:w="3288" w:type="dxa"/>
            <w:vAlign w:val="bottom"/>
            <w:hideMark/>
          </w:tcPr>
          <w:p w14:paraId="7A3B2C3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Internal communications programmes; sustainability literacy training; recognition systems</w:t>
            </w:r>
          </w:p>
        </w:tc>
      </w:tr>
    </w:tbl>
    <w:p w14:paraId="6B1D707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Author's development following Kaplan and Norton (1996) principles</w:t>
      </w:r>
    </w:p>
    <w:p w14:paraId="6371240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lastRenderedPageBreak/>
        <w:t>Note: Specific numeric targets omitted as these would require detailed financial modelling and Board approval processes beyond this analysis scope.</w:t>
      </w:r>
    </w:p>
    <w:p w14:paraId="06811338"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Commentary</w:t>
      </w:r>
    </w:p>
    <w:p w14:paraId="20CAEE9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Balanced Scorecard translates strategic intent into measurable objectives, though several tensions warrant acknowledgement. Financial targets for margin restoration appear ambitious given structural headwinds from retailer power and private label growth. Achieving margin improvement whilst simultaneously investing in sustainability and innovation creates resource allocation challenges.</w:t>
      </w:r>
    </w:p>
    <w:p w14:paraId="242ECC0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Customer metrics around brand preference improvement demand marketing investment during budget constraint periods. Plant-based household penetration targets assume continued category growth and successful conversion of trialists to loyal users—both uncertain given current price premium levels.</w:t>
      </w:r>
    </w:p>
    <w:p w14:paraId="3255E77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Internal process objectives around packaging sustainability acknowledge previous implementation challenges. Innovation velocity improvement requires cultural change within traditionally hierarchical organisations, addressing what Burnes (2004) identifies as deeply embedded resistance to planned change initiatives in complex environments.</w:t>
      </w:r>
    </w:p>
    <w:p w14:paraId="72795EB8" w14:textId="31AD9194"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Learning and growth metrics appropriately focus on capability building in plant-based development and data analytics—areas of demonstrated weakness. Resource allocation shifts toward alternative proteins represent significant redirection from existing programmes, requiring both external hiring and internal reprioritisation.</w:t>
      </w:r>
    </w:p>
    <w:p w14:paraId="3533A93D"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5. STRATEGIC CHOICES AND IMPLEMENTATION</w:t>
      </w:r>
    </w:p>
    <w:p w14:paraId="19F04E52"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5.1 Strategic Options Evaluation</w:t>
      </w:r>
    </w:p>
    <w:p w14:paraId="32F96C5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Porter's (2008) generic strategies provide a framework for evaluating alternative strategic directions, though scholars have critiqued the framework's assumption that cost and differentiation represent mutually exclusive choices (Miller, 1992).</w:t>
      </w:r>
    </w:p>
    <w:p w14:paraId="25BF1E0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Cost Leadership</w:t>
      </w:r>
    </w:p>
    <w:p w14:paraId="2FF0B2A3"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Cost leadership aims to achieve the lowest cost position in the industry, enabling either lower pricing or higher margins. For Unilever F&amp;R UK, this approach faces fundamental barriers. Private label manufacturers, operating with minimal marketing costs and retailer-guaranteed volumes, achieve structural cost advantages that branded manufacturers cannot match. Input cost inflation, sustainability compliance requirements, and reformulation investments create upward cost pressure contradicting cost leadership logic. Pursuing aggressive cost reduction risks undermining brand equity through quality degradation and contradicts Unilever's purpose-led positioning. The strategy appears unsuitable given market structure and organisational commitments.</w:t>
      </w:r>
    </w:p>
    <w:p w14:paraId="4001EFD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Differentiation</w:t>
      </w:r>
    </w:p>
    <w:p w14:paraId="255B79D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Differentiation creates competitive advantage through unique value dimensions justifying price premiums (Porter, 2008). Unilever F&amp;R UK historically relied on brand-based differentiation, yet this erodes under private label quality convergence. Alternative differentiation bases warrant consideration: sustainability differentiation leveraging environmental credentials, nutrition/health differentiation through reformulation creating "better-for-you" products, and plant-based differentiation developing superior taste and texture in alternatives to conventional products. Differentiation appears more viable than cost leadership yet requires selective focus on dimensions offering genuine consumer value and defensibility against imitation.</w:t>
      </w:r>
    </w:p>
    <w:p w14:paraId="415D889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Focus Strategy</w:t>
      </w:r>
    </w:p>
    <w:p w14:paraId="3C4EDDA1"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Focus strategies target specific segments through cost focus or differentiation focus (Porter, 2008). Unilever's scale and retailer dependencies constrain focus strategy viability. National retailers demand national ranging, limiting geographic focus. Demographic focus on affluent consumers contradicts volume imperatives. Category focus on premium segments offers most promise yet requires managing mainstream portfolio decline.</w:t>
      </w:r>
    </w:p>
    <w:p w14:paraId="38994739"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5.2 Strategic Evaluation</w:t>
      </w:r>
    </w:p>
    <w:p w14:paraId="6B4E3876"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Porter's Five Forces Analysis</w:t>
      </w:r>
    </w:p>
    <w:p w14:paraId="32D8F02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Table 6 applies Porter's (2008) framework to assess industry attractiveness.</w:t>
      </w:r>
    </w:p>
    <w:p w14:paraId="478176D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Table 6: Five Forces Analysis – UK Food &amp; Refreshment Industry</w:t>
      </w:r>
    </w:p>
    <w:tbl>
      <w:tblPr>
        <w:tblW w:w="9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22"/>
        <w:gridCol w:w="1210"/>
        <w:gridCol w:w="3423"/>
        <w:gridCol w:w="3024"/>
      </w:tblGrid>
      <w:tr w:rsidR="002E3002" w:rsidRPr="005B7DB8" w14:paraId="26B5ECA6" w14:textId="77777777" w:rsidTr="004806C8">
        <w:trPr>
          <w:trHeight w:val="396"/>
          <w:tblHeader/>
        </w:trPr>
        <w:tc>
          <w:tcPr>
            <w:tcW w:w="0" w:type="auto"/>
            <w:noWrap/>
            <w:vAlign w:val="bottom"/>
            <w:hideMark/>
          </w:tcPr>
          <w:p w14:paraId="4CB9B155"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Force</w:t>
            </w:r>
          </w:p>
        </w:tc>
        <w:tc>
          <w:tcPr>
            <w:tcW w:w="1210" w:type="dxa"/>
            <w:noWrap/>
            <w:vAlign w:val="bottom"/>
            <w:hideMark/>
          </w:tcPr>
          <w:p w14:paraId="0AD4FACD"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Intensity</w:t>
            </w:r>
          </w:p>
        </w:tc>
        <w:tc>
          <w:tcPr>
            <w:tcW w:w="3423" w:type="dxa"/>
            <w:noWrap/>
            <w:vAlign w:val="bottom"/>
            <w:hideMark/>
          </w:tcPr>
          <w:p w14:paraId="27A633AF"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Key Drivers</w:t>
            </w:r>
          </w:p>
        </w:tc>
        <w:tc>
          <w:tcPr>
            <w:tcW w:w="0" w:type="auto"/>
            <w:noWrap/>
            <w:vAlign w:val="bottom"/>
            <w:hideMark/>
          </w:tcPr>
          <w:p w14:paraId="2E1996AB"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Strategic Implication</w:t>
            </w:r>
          </w:p>
        </w:tc>
      </w:tr>
      <w:tr w:rsidR="002E3002" w:rsidRPr="005B7DB8" w14:paraId="20CDB4E0" w14:textId="77777777" w:rsidTr="004806C8">
        <w:trPr>
          <w:trHeight w:val="1665"/>
        </w:trPr>
        <w:tc>
          <w:tcPr>
            <w:tcW w:w="0" w:type="auto"/>
            <w:vAlign w:val="bottom"/>
            <w:hideMark/>
          </w:tcPr>
          <w:p w14:paraId="2C445D92"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Threat of New Entrants</w:t>
            </w:r>
          </w:p>
        </w:tc>
        <w:tc>
          <w:tcPr>
            <w:tcW w:w="1210" w:type="dxa"/>
            <w:vAlign w:val="bottom"/>
            <w:hideMark/>
          </w:tcPr>
          <w:p w14:paraId="55C6658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Moderate</w:t>
            </w:r>
          </w:p>
        </w:tc>
        <w:tc>
          <w:tcPr>
            <w:tcW w:w="3423" w:type="dxa"/>
            <w:vAlign w:val="bottom"/>
            <w:hideMark/>
          </w:tcPr>
          <w:p w14:paraId="3731F4C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Capital requirements and brand loyalty create barriers; however, venture capital funds niche brands and retailers launch private label without traditional entry costs</w:t>
            </w:r>
          </w:p>
        </w:tc>
        <w:tc>
          <w:tcPr>
            <w:tcW w:w="0" w:type="auto"/>
            <w:vAlign w:val="bottom"/>
            <w:hideMark/>
          </w:tcPr>
          <w:p w14:paraId="1288AFD2"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Category-specific variation; plant-based segments show higher entry</w:t>
            </w:r>
          </w:p>
        </w:tc>
      </w:tr>
      <w:tr w:rsidR="002E3002" w:rsidRPr="005B7DB8" w14:paraId="6C6B00E1" w14:textId="77777777" w:rsidTr="004806C8">
        <w:trPr>
          <w:trHeight w:val="1215"/>
        </w:trPr>
        <w:tc>
          <w:tcPr>
            <w:tcW w:w="0" w:type="auto"/>
            <w:vAlign w:val="bottom"/>
            <w:hideMark/>
          </w:tcPr>
          <w:p w14:paraId="0EA0C7F3"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Supplier Bargaining Power</w:t>
            </w:r>
          </w:p>
        </w:tc>
        <w:tc>
          <w:tcPr>
            <w:tcW w:w="1210" w:type="dxa"/>
            <w:vAlign w:val="bottom"/>
            <w:hideMark/>
          </w:tcPr>
          <w:p w14:paraId="49236F32"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Moderate</w:t>
            </w:r>
          </w:p>
        </w:tc>
        <w:tc>
          <w:tcPr>
            <w:tcW w:w="3423" w:type="dxa"/>
            <w:vAlign w:val="bottom"/>
            <w:hideMark/>
          </w:tcPr>
          <w:p w14:paraId="6F6DBAA9"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Commodity agricultural ingredients create supplier fragmentation; specialised ingredients (plant proteins) have concentrated suppliers</w:t>
            </w:r>
          </w:p>
        </w:tc>
        <w:tc>
          <w:tcPr>
            <w:tcW w:w="0" w:type="auto"/>
            <w:vAlign w:val="bottom"/>
            <w:hideMark/>
          </w:tcPr>
          <w:p w14:paraId="5F9EDC01"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Dual sourcing critical; vertical integration opportunities</w:t>
            </w:r>
          </w:p>
        </w:tc>
      </w:tr>
      <w:tr w:rsidR="002E3002" w:rsidRPr="005B7DB8" w14:paraId="0F66F354" w14:textId="77777777" w:rsidTr="004806C8">
        <w:trPr>
          <w:trHeight w:val="1665"/>
        </w:trPr>
        <w:tc>
          <w:tcPr>
            <w:tcW w:w="0" w:type="auto"/>
            <w:vAlign w:val="bottom"/>
            <w:hideMark/>
          </w:tcPr>
          <w:p w14:paraId="600DB4D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Buyer Bargaining Power</w:t>
            </w:r>
          </w:p>
        </w:tc>
        <w:tc>
          <w:tcPr>
            <w:tcW w:w="1210" w:type="dxa"/>
            <w:vAlign w:val="bottom"/>
            <w:hideMark/>
          </w:tcPr>
          <w:p w14:paraId="08E08F8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Very High</w:t>
            </w:r>
          </w:p>
        </w:tc>
        <w:tc>
          <w:tcPr>
            <w:tcW w:w="3423" w:type="dxa"/>
            <w:vAlign w:val="bottom"/>
            <w:hideMark/>
          </w:tcPr>
          <w:p w14:paraId="29EEF09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Retailer concentration provides monopsony power; private label capability creates credible supply alternatives; information asymmetry favours retailers</w:t>
            </w:r>
          </w:p>
        </w:tc>
        <w:tc>
          <w:tcPr>
            <w:tcW w:w="0" w:type="auto"/>
            <w:vAlign w:val="bottom"/>
            <w:hideMark/>
          </w:tcPr>
          <w:p w14:paraId="4E9042F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Focus on categories with strong brand equity and innovation velocity</w:t>
            </w:r>
          </w:p>
        </w:tc>
      </w:tr>
      <w:tr w:rsidR="002E3002" w:rsidRPr="005B7DB8" w14:paraId="00EF7DDE" w14:textId="77777777" w:rsidTr="004806C8">
        <w:trPr>
          <w:trHeight w:val="1665"/>
        </w:trPr>
        <w:tc>
          <w:tcPr>
            <w:tcW w:w="0" w:type="auto"/>
            <w:vAlign w:val="bottom"/>
            <w:hideMark/>
          </w:tcPr>
          <w:p w14:paraId="7B9183F3"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Threat of Substitutes</w:t>
            </w:r>
          </w:p>
        </w:tc>
        <w:tc>
          <w:tcPr>
            <w:tcW w:w="1210" w:type="dxa"/>
            <w:vAlign w:val="bottom"/>
            <w:hideMark/>
          </w:tcPr>
          <w:p w14:paraId="18800873"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High</w:t>
            </w:r>
          </w:p>
        </w:tc>
        <w:tc>
          <w:tcPr>
            <w:tcW w:w="3423" w:type="dxa"/>
            <w:vAlign w:val="bottom"/>
            <w:hideMark/>
          </w:tcPr>
          <w:p w14:paraId="02D0F15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Private label direct substitution; adjacent categories (meal kits replacing cooking sauces); health trends reducing overall category consumption</w:t>
            </w:r>
          </w:p>
        </w:tc>
        <w:tc>
          <w:tcPr>
            <w:tcW w:w="0" w:type="auto"/>
            <w:vAlign w:val="bottom"/>
            <w:hideMark/>
          </w:tcPr>
          <w:p w14:paraId="24C6FD4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Differentiation essential; monitor category health trajectories</w:t>
            </w:r>
          </w:p>
        </w:tc>
      </w:tr>
      <w:tr w:rsidR="002E3002" w:rsidRPr="005B7DB8" w14:paraId="638BEF6B" w14:textId="77777777" w:rsidTr="004806C8">
        <w:trPr>
          <w:trHeight w:val="1243"/>
        </w:trPr>
        <w:tc>
          <w:tcPr>
            <w:tcW w:w="0" w:type="auto"/>
            <w:vAlign w:val="bottom"/>
            <w:hideMark/>
          </w:tcPr>
          <w:p w14:paraId="7EBC556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Competitive Rivalry</w:t>
            </w:r>
          </w:p>
        </w:tc>
        <w:tc>
          <w:tcPr>
            <w:tcW w:w="1210" w:type="dxa"/>
            <w:vAlign w:val="bottom"/>
            <w:hideMark/>
          </w:tcPr>
          <w:p w14:paraId="1A266E7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Very High</w:t>
            </w:r>
          </w:p>
        </w:tc>
        <w:tc>
          <w:tcPr>
            <w:tcW w:w="3423" w:type="dxa"/>
            <w:vAlign w:val="bottom"/>
            <w:hideMark/>
          </w:tcPr>
          <w:p w14:paraId="4F68F39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Mature, low-growth market; high fixed costs; extensive private label; promotional intensity compresses margins</w:t>
            </w:r>
          </w:p>
        </w:tc>
        <w:tc>
          <w:tcPr>
            <w:tcW w:w="0" w:type="auto"/>
            <w:vAlign w:val="bottom"/>
            <w:hideMark/>
          </w:tcPr>
          <w:p w14:paraId="0855EDA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Selective competition on innovation rather than broad share defence</w:t>
            </w:r>
          </w:p>
        </w:tc>
      </w:tr>
    </w:tbl>
    <w:p w14:paraId="0A6CD97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Author's application of Porter (2008)</w:t>
      </w:r>
    </w:p>
    <w:p w14:paraId="0CDEFB1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The Five Forces analysis confirms structurally unattractive industry characteristics—intense rivalry, powerful buyers, limited differentiation sustainability. Strategic response requires identifying protected niches or reshaping competitive dynamics through innovation.</w:t>
      </w:r>
    </w:p>
    <w:p w14:paraId="6153E49E"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Ansoff Matrix Analysis</w:t>
      </w:r>
    </w:p>
    <w:p w14:paraId="6A7668D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7 evaluates growth options using Ansoff's (1957) framework.</w:t>
      </w:r>
    </w:p>
    <w:p w14:paraId="5BA22D4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Table 7: Ansoff Matrix – Strategic Growth Directions</w:t>
      </w:r>
    </w:p>
    <w:tbl>
      <w:tblPr>
        <w:tblW w:w="92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96"/>
        <w:gridCol w:w="2979"/>
        <w:gridCol w:w="4479"/>
      </w:tblGrid>
      <w:tr w:rsidR="002E3002" w:rsidRPr="005B7DB8" w14:paraId="5118C973" w14:textId="77777777" w:rsidTr="004806C8">
        <w:trPr>
          <w:trHeight w:val="405"/>
          <w:tblHeader/>
        </w:trPr>
        <w:tc>
          <w:tcPr>
            <w:tcW w:w="0" w:type="auto"/>
            <w:noWrap/>
            <w:vAlign w:val="bottom"/>
            <w:hideMark/>
          </w:tcPr>
          <w:p w14:paraId="77B080DE"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Strategy</w:t>
            </w:r>
          </w:p>
        </w:tc>
        <w:tc>
          <w:tcPr>
            <w:tcW w:w="0" w:type="auto"/>
            <w:noWrap/>
            <w:vAlign w:val="bottom"/>
            <w:hideMark/>
          </w:tcPr>
          <w:p w14:paraId="494CB0B2"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Description</w:t>
            </w:r>
          </w:p>
        </w:tc>
        <w:tc>
          <w:tcPr>
            <w:tcW w:w="0" w:type="auto"/>
            <w:noWrap/>
            <w:vAlign w:val="bottom"/>
            <w:hideMark/>
          </w:tcPr>
          <w:p w14:paraId="1E2373A8"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Viability Assessment</w:t>
            </w:r>
          </w:p>
        </w:tc>
      </w:tr>
      <w:tr w:rsidR="002E3002" w:rsidRPr="005B7DB8" w14:paraId="5CB777FC" w14:textId="77777777" w:rsidTr="004806C8">
        <w:trPr>
          <w:trHeight w:val="1703"/>
        </w:trPr>
        <w:tc>
          <w:tcPr>
            <w:tcW w:w="0" w:type="auto"/>
            <w:vAlign w:val="bottom"/>
            <w:hideMark/>
          </w:tcPr>
          <w:p w14:paraId="3EF51D5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Market Penetration</w:t>
            </w:r>
          </w:p>
        </w:tc>
        <w:tc>
          <w:tcPr>
            <w:tcW w:w="0" w:type="auto"/>
            <w:vAlign w:val="bottom"/>
            <w:hideMark/>
          </w:tcPr>
          <w:p w14:paraId="5C726C6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Increase share in existing UK categories through promotional activity, distribution gains, consumption frequency</w:t>
            </w:r>
          </w:p>
        </w:tc>
        <w:tc>
          <w:tcPr>
            <w:tcW w:w="0" w:type="auto"/>
            <w:vAlign w:val="bottom"/>
            <w:hideMark/>
          </w:tcPr>
          <w:p w14:paraId="2CB5FCF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Limited potential given mature market and retailer resistance to incremental promotional funding; defensive necessity rather than growth driver</w:t>
            </w:r>
          </w:p>
        </w:tc>
      </w:tr>
      <w:tr w:rsidR="002E3002" w:rsidRPr="005B7DB8" w14:paraId="52766F99" w14:textId="77777777" w:rsidTr="004806C8">
        <w:trPr>
          <w:trHeight w:val="1243"/>
        </w:trPr>
        <w:tc>
          <w:tcPr>
            <w:tcW w:w="0" w:type="auto"/>
            <w:vAlign w:val="bottom"/>
            <w:hideMark/>
          </w:tcPr>
          <w:p w14:paraId="0582E4F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Product Development</w:t>
            </w:r>
          </w:p>
        </w:tc>
        <w:tc>
          <w:tcPr>
            <w:tcW w:w="0" w:type="auto"/>
            <w:vAlign w:val="bottom"/>
            <w:hideMark/>
          </w:tcPr>
          <w:p w14:paraId="099709E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Launch new products in existing categories (plant-based variants, functional benefits, premium ranges)</w:t>
            </w:r>
          </w:p>
        </w:tc>
        <w:tc>
          <w:tcPr>
            <w:tcW w:w="0" w:type="auto"/>
            <w:vAlign w:val="bottom"/>
            <w:hideMark/>
          </w:tcPr>
          <w:p w14:paraId="0264073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Highest potential</w:t>
            </w:r>
            <w:r w:rsidRPr="005B7DB8">
              <w:rPr>
                <w:rFonts w:ascii="Arial" w:eastAsia="Times New Roman" w:hAnsi="Arial" w:cs="Arial"/>
                <w:kern w:val="36"/>
                <w:lang w:eastAsia="en-GB"/>
                <w14:ligatures w14:val="none"/>
              </w:rPr>
              <w:t> – aligns with consumer trends, leverages brand equity and distribution, addresses regulatory challenges through reformulation</w:t>
            </w:r>
          </w:p>
        </w:tc>
      </w:tr>
      <w:tr w:rsidR="002E3002" w:rsidRPr="005B7DB8" w14:paraId="3BACF20B" w14:textId="77777777" w:rsidTr="004806C8">
        <w:trPr>
          <w:trHeight w:val="1703"/>
        </w:trPr>
        <w:tc>
          <w:tcPr>
            <w:tcW w:w="0" w:type="auto"/>
            <w:vAlign w:val="bottom"/>
            <w:hideMark/>
          </w:tcPr>
          <w:p w14:paraId="24A4228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Market Development</w:t>
            </w:r>
          </w:p>
        </w:tc>
        <w:tc>
          <w:tcPr>
            <w:tcW w:w="0" w:type="auto"/>
            <w:vAlign w:val="bottom"/>
            <w:hideMark/>
          </w:tcPr>
          <w:p w14:paraId="47CCFBF1"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Expand geographically beyond UK or into new channels (foodservice, direct-to-consumer)</w:t>
            </w:r>
          </w:p>
        </w:tc>
        <w:tc>
          <w:tcPr>
            <w:tcW w:w="0" w:type="auto"/>
            <w:vAlign w:val="bottom"/>
            <w:hideMark/>
          </w:tcPr>
          <w:p w14:paraId="1DEA2C29"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Moderate potential – foodservice offers business-to-business growth but requires distinct capabilities; DTC builds consumer data yet conflicts with retail relationships</w:t>
            </w:r>
          </w:p>
        </w:tc>
      </w:tr>
      <w:tr w:rsidR="002E3002" w:rsidRPr="005B7DB8" w14:paraId="460FEF40" w14:textId="77777777" w:rsidTr="004806C8">
        <w:trPr>
          <w:trHeight w:val="1271"/>
        </w:trPr>
        <w:tc>
          <w:tcPr>
            <w:tcW w:w="0" w:type="auto"/>
            <w:vAlign w:val="bottom"/>
            <w:hideMark/>
          </w:tcPr>
          <w:p w14:paraId="74CE5EF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Diversification</w:t>
            </w:r>
          </w:p>
        </w:tc>
        <w:tc>
          <w:tcPr>
            <w:tcW w:w="0" w:type="auto"/>
            <w:vAlign w:val="bottom"/>
            <w:hideMark/>
          </w:tcPr>
          <w:p w14:paraId="2C1E3B2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Enter entirely new categories outside current portfolio</w:t>
            </w:r>
          </w:p>
        </w:tc>
        <w:tc>
          <w:tcPr>
            <w:tcW w:w="0" w:type="auto"/>
            <w:vAlign w:val="bottom"/>
            <w:hideMark/>
          </w:tcPr>
          <w:p w14:paraId="1ED0A9D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Low priority – resource constraints and capability gaps suggest focusing existing portfolio; contradicts simplification strategy</w:t>
            </w:r>
          </w:p>
        </w:tc>
      </w:tr>
    </w:tbl>
    <w:p w14:paraId="6C5A3DC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Author's application of Ansoff (1957)</w:t>
      </w:r>
    </w:p>
    <w:p w14:paraId="5D0182E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Ansoff analysis indicates product development as the most viable growth vector, specifically targeting plant-based innovation and health-focused reformulation within existing brand franchises and distribution relationships.</w:t>
      </w:r>
    </w:p>
    <w:p w14:paraId="1E073F1E"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lastRenderedPageBreak/>
        <w:t>SAFe Framework Evaluation</w:t>
      </w:r>
    </w:p>
    <w:p w14:paraId="170D370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8 applies the Suitability, Acceptability, Feasibility framework to evaluate the differentiation strategy.</w:t>
      </w:r>
    </w:p>
    <w:p w14:paraId="71047B7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Table 8: SAFe Framework Assessment – Differentiation Through Plant-Based Innovation</w:t>
      </w:r>
    </w:p>
    <w:tbl>
      <w:tblPr>
        <w:tblW w:w="9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24"/>
        <w:gridCol w:w="1445"/>
        <w:gridCol w:w="3643"/>
        <w:gridCol w:w="2589"/>
      </w:tblGrid>
      <w:tr w:rsidR="002E3002" w:rsidRPr="005B7DB8" w14:paraId="07BD23FA" w14:textId="77777777" w:rsidTr="004806C8">
        <w:trPr>
          <w:trHeight w:val="410"/>
          <w:tblHeader/>
        </w:trPr>
        <w:tc>
          <w:tcPr>
            <w:tcW w:w="0" w:type="auto"/>
            <w:noWrap/>
            <w:vAlign w:val="bottom"/>
            <w:hideMark/>
          </w:tcPr>
          <w:p w14:paraId="5401EE28"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Criterion</w:t>
            </w:r>
          </w:p>
        </w:tc>
        <w:tc>
          <w:tcPr>
            <w:tcW w:w="0" w:type="auto"/>
            <w:noWrap/>
            <w:vAlign w:val="bottom"/>
            <w:hideMark/>
          </w:tcPr>
          <w:p w14:paraId="691A5184"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Assessment</w:t>
            </w:r>
          </w:p>
        </w:tc>
        <w:tc>
          <w:tcPr>
            <w:tcW w:w="0" w:type="auto"/>
            <w:noWrap/>
            <w:vAlign w:val="bottom"/>
            <w:hideMark/>
          </w:tcPr>
          <w:p w14:paraId="31B61EC1"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Supporting Rationale</w:t>
            </w:r>
          </w:p>
        </w:tc>
        <w:tc>
          <w:tcPr>
            <w:tcW w:w="0" w:type="auto"/>
            <w:noWrap/>
            <w:vAlign w:val="bottom"/>
            <w:hideMark/>
          </w:tcPr>
          <w:p w14:paraId="32C697DF"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Challenges</w:t>
            </w:r>
          </w:p>
        </w:tc>
      </w:tr>
      <w:tr w:rsidR="002E3002" w:rsidRPr="005B7DB8" w14:paraId="78FAE9AD" w14:textId="77777777" w:rsidTr="004806C8">
        <w:trPr>
          <w:trHeight w:val="1723"/>
        </w:trPr>
        <w:tc>
          <w:tcPr>
            <w:tcW w:w="0" w:type="auto"/>
            <w:vAlign w:val="bottom"/>
            <w:hideMark/>
          </w:tcPr>
          <w:p w14:paraId="7E19D8C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Suitability</w:t>
            </w:r>
          </w:p>
        </w:tc>
        <w:tc>
          <w:tcPr>
            <w:tcW w:w="0" w:type="auto"/>
            <w:vAlign w:val="bottom"/>
            <w:hideMark/>
          </w:tcPr>
          <w:p w14:paraId="409D4106"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High</w:t>
            </w:r>
          </w:p>
        </w:tc>
        <w:tc>
          <w:tcPr>
            <w:tcW w:w="0" w:type="auto"/>
            <w:vAlign w:val="bottom"/>
            <w:hideMark/>
          </w:tcPr>
          <w:p w14:paraId="6BD46602"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Addresses HFSS regulatory pressure through healthier formulations; capitalises on flexitarian trend growth; leverages sustainability credentials; differentiates versus private label</w:t>
            </w:r>
          </w:p>
        </w:tc>
        <w:tc>
          <w:tcPr>
            <w:tcW w:w="0" w:type="auto"/>
            <w:vAlign w:val="bottom"/>
            <w:hideMark/>
          </w:tcPr>
          <w:p w14:paraId="4E5A4AF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Plant-based alone insufficient; requires taste parity; uncertain category growth translation to market share</w:t>
            </w:r>
          </w:p>
        </w:tc>
      </w:tr>
      <w:tr w:rsidR="002E3002" w:rsidRPr="005B7DB8" w14:paraId="39E96897" w14:textId="77777777" w:rsidTr="004806C8">
        <w:trPr>
          <w:trHeight w:val="2134"/>
        </w:trPr>
        <w:tc>
          <w:tcPr>
            <w:tcW w:w="0" w:type="auto"/>
            <w:vAlign w:val="bottom"/>
            <w:hideMark/>
          </w:tcPr>
          <w:p w14:paraId="4CE38D0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Acceptability</w:t>
            </w:r>
          </w:p>
        </w:tc>
        <w:tc>
          <w:tcPr>
            <w:tcW w:w="0" w:type="auto"/>
            <w:vAlign w:val="bottom"/>
            <w:hideMark/>
          </w:tcPr>
          <w:p w14:paraId="50A6370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Moderate</w:t>
            </w:r>
          </w:p>
        </w:tc>
        <w:tc>
          <w:tcPr>
            <w:tcW w:w="0" w:type="auto"/>
            <w:vAlign w:val="bottom"/>
            <w:hideMark/>
          </w:tcPr>
          <w:p w14:paraId="139B1B69"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Consumers show interest yet price sensitivity limits adoption; retailers support category growth but demand margin contribution; investors accept innovation investment if returns demonstrated</w:t>
            </w:r>
          </w:p>
        </w:tc>
        <w:tc>
          <w:tcPr>
            <w:tcW w:w="0" w:type="auto"/>
            <w:vAlign w:val="bottom"/>
            <w:hideMark/>
          </w:tcPr>
          <w:p w14:paraId="4077404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Reformulation costs impact near-term profitability; execution risk if taste acceptance poor; potential cannibalisation of conventional products</w:t>
            </w:r>
          </w:p>
        </w:tc>
      </w:tr>
      <w:tr w:rsidR="002E3002" w:rsidRPr="005B7DB8" w14:paraId="2ABCD92C" w14:textId="77777777" w:rsidTr="004806C8">
        <w:trPr>
          <w:trHeight w:val="2161"/>
        </w:trPr>
        <w:tc>
          <w:tcPr>
            <w:tcW w:w="0" w:type="auto"/>
            <w:vAlign w:val="bottom"/>
            <w:hideMark/>
          </w:tcPr>
          <w:p w14:paraId="4A5E344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Feasibility</w:t>
            </w:r>
          </w:p>
        </w:tc>
        <w:tc>
          <w:tcPr>
            <w:tcW w:w="0" w:type="auto"/>
            <w:vAlign w:val="bottom"/>
            <w:hideMark/>
          </w:tcPr>
          <w:p w14:paraId="1B09912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Moderate</w:t>
            </w:r>
          </w:p>
        </w:tc>
        <w:tc>
          <w:tcPr>
            <w:tcW w:w="0" w:type="auto"/>
            <w:vAlign w:val="bottom"/>
            <w:hideMark/>
          </w:tcPr>
          <w:p w14:paraId="5912E9A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Existing R&amp;D capabilities provide foundation; successful launches (Hellmann's vegan mayo) prove concept; manufacturing adaptable with investment</w:t>
            </w:r>
          </w:p>
        </w:tc>
        <w:tc>
          <w:tcPr>
            <w:tcW w:w="0" w:type="auto"/>
            <w:vAlign w:val="bottom"/>
            <w:hideMark/>
          </w:tcPr>
          <w:p w14:paraId="4599722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Capability gaps in fermentation and alternative proteins require development; capital constraints limit speed; organisational complexity slows deployment</w:t>
            </w:r>
          </w:p>
        </w:tc>
      </w:tr>
    </w:tbl>
    <w:p w14:paraId="29E43DC2"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Author's application of Johnson et al. (2023)</w:t>
      </w:r>
    </w:p>
    <w:p w14:paraId="34220DF9"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SAFe evaluation confirms strategic logic whilst highlighting implementation challenges requiring careful management.</w:t>
      </w:r>
    </w:p>
    <w:p w14:paraId="197EE2C6"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lastRenderedPageBreak/>
        <w:t>5.3 Recommended Strategy</w:t>
      </w:r>
    </w:p>
    <w:p w14:paraId="557BF764" w14:textId="77777777" w:rsidR="008E355B"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Based on analytical findings, the recommended strategy comprises </w:t>
      </w:r>
      <w:r w:rsidRPr="005B7DB8">
        <w:rPr>
          <w:rFonts w:ascii="Arial" w:eastAsia="Times New Roman" w:hAnsi="Arial" w:cs="Arial"/>
          <w:b/>
          <w:bCs/>
          <w:kern w:val="36"/>
          <w:lang w:eastAsia="en-GB"/>
          <w14:ligatures w14:val="none"/>
        </w:rPr>
        <w:t xml:space="preserve">focused differentiation through plant-based innovation, health-focused reformulation, and digital consumer </w:t>
      </w:r>
      <w:r w:rsidR="008E355B" w:rsidRPr="005B7DB8">
        <w:rPr>
          <w:rFonts w:ascii="Arial" w:eastAsia="Times New Roman" w:hAnsi="Arial" w:cs="Arial"/>
          <w:b/>
          <w:bCs/>
          <w:kern w:val="36"/>
          <w:lang w:eastAsia="en-GB"/>
          <w14:ligatures w14:val="none"/>
        </w:rPr>
        <w:t>engagement</w:t>
      </w:r>
      <w:r w:rsidR="008E355B" w:rsidRPr="005B7DB8">
        <w:rPr>
          <w:rFonts w:ascii="Arial" w:eastAsia="Times New Roman" w:hAnsi="Arial" w:cs="Arial"/>
          <w:kern w:val="36"/>
          <w:lang w:eastAsia="en-GB"/>
          <w14:ligatures w14:val="none"/>
        </w:rPr>
        <w:t>.</w:t>
      </w:r>
    </w:p>
    <w:p w14:paraId="4F66D9E8" w14:textId="0FCEAA0C" w:rsidR="008E355B" w:rsidRPr="005B7DB8" w:rsidRDefault="008E355B"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noProof/>
          <w:kern w:val="36"/>
          <w:lang w:eastAsia="en-GB"/>
          <w14:ligatures w14:val="none"/>
        </w:rPr>
        <w:drawing>
          <wp:inline distT="0" distB="0" distL="0" distR="0" wp14:anchorId="5B3EEA3C" wp14:editId="4B14EC00">
            <wp:extent cx="5731510" cy="3935095"/>
            <wp:effectExtent l="0" t="0" r="0" b="1905"/>
            <wp:docPr id="1315198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198697" name=""/>
                    <pic:cNvPicPr/>
                  </pic:nvPicPr>
                  <pic:blipFill>
                    <a:blip r:embed="rId13"/>
                    <a:stretch>
                      <a:fillRect/>
                    </a:stretch>
                  </pic:blipFill>
                  <pic:spPr>
                    <a:xfrm>
                      <a:off x="0" y="0"/>
                      <a:ext cx="5731510" cy="3935095"/>
                    </a:xfrm>
                    <a:prstGeom prst="rect">
                      <a:avLst/>
                    </a:prstGeom>
                  </pic:spPr>
                </pic:pic>
              </a:graphicData>
            </a:graphic>
          </wp:inline>
        </w:drawing>
      </w:r>
    </w:p>
    <w:p w14:paraId="6CEA7155" w14:textId="3C8EC845" w:rsidR="008E355B" w:rsidRPr="005B7DB8" w:rsidRDefault="008E355B"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 xml:space="preserve">Figure </w:t>
      </w:r>
      <w:r w:rsidR="003058D5" w:rsidRPr="005B7DB8">
        <w:rPr>
          <w:rFonts w:ascii="Arial" w:eastAsia="Times New Roman" w:hAnsi="Arial" w:cs="Arial"/>
          <w:b/>
          <w:bCs/>
          <w:kern w:val="36"/>
          <w:lang w:eastAsia="en-GB"/>
          <w14:ligatures w14:val="none"/>
        </w:rPr>
        <w:t>5</w:t>
      </w:r>
      <w:r w:rsidRPr="005B7DB8">
        <w:rPr>
          <w:rFonts w:ascii="Arial" w:eastAsia="Times New Roman" w:hAnsi="Arial" w:cs="Arial"/>
          <w:b/>
          <w:bCs/>
          <w:kern w:val="36"/>
          <w:lang w:eastAsia="en-GB"/>
          <w14:ligatures w14:val="none"/>
        </w:rPr>
        <w:t>. Growth of plant-based food demand in the UK.</w:t>
      </w:r>
    </w:p>
    <w:p w14:paraId="6AAEFF16" w14:textId="065E455C" w:rsidR="008E355B" w:rsidRPr="005B7DB8" w:rsidRDefault="008E355B"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Source: Mintel / Statista</w:t>
      </w:r>
    </w:p>
    <w:p w14:paraId="160B3A5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This strategy integrates three complementary elements. First, accelerated plant-based product development across priority categories (mayonnaise, cooking products, ice cream) targeting taste parity with conventional equivalents whilst reducing price premiums to enable broader adoption. Second, health-focused reformulation of mainstream products achieving HFSS compliance whilst maintaining consumer acceptability, positioned as improved offerings rather than compromise alternatives. Third, digital consumer engagement building direct relationships through content platforms, recipe ecosystems, and selective direct-to-consumer initiatives reducing retailer dependency whilst generating consumer data.</w:t>
      </w:r>
    </w:p>
    <w:p w14:paraId="47C8DAA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lastRenderedPageBreak/>
        <w:t>Strategic Rationale</w:t>
      </w:r>
    </w:p>
    <w:p w14:paraId="7F79902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This strategy addresses identified weaknesses—margin pressure, private label threat, regulatory constraints—whilst leveraging strengths including brand equity, innovation capability, and sustainability credentials. It targets demonstrated opportunities in flexitarian growth and digital commerce rather than defending declining mature categories.</w:t>
      </w:r>
    </w:p>
    <w:p w14:paraId="759C5E0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Plant-based focus differentiates from private label given current quality gaps and innovation velocity requirements exceeding retailer capabilities. Health reformulation transforms regulatory threat into market opportunity whilst enabling promotional activity currently HFSS-restricted. Digital engagement builds strategic assets—consumer data and direct relationships—that compound over time.</w:t>
      </w:r>
    </w:p>
    <w:p w14:paraId="0ACFB9A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Competitive Advantage Mechanism</w:t>
      </w:r>
    </w:p>
    <w:p w14:paraId="5E126C1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Competitive advantage derives from execution quality and integration rather than structural uniqueness. First-mover advantages in plant-based categories create brand association and distribution priority before private label imitation. Taste superiority in reformulated products justifies price premiums and builds brand trust extending beyond specific products. Digital capabilities enable personalised engagement and rapid feedback loops improving product development. Integrating plant-based innovation, health positioning, and digital engagement creates systemic advantages that prove difficult to replicate even if individual elements can be copied (Kim and Mauborgne, 2004). Research on strategic innovation confirms that advantage sustainability often depends less on individual activity uniqueness than on achieving configurations of mutually reinforcing activities that competitors find difficult to replicate systemically (Rivkin, 2000).</w:t>
      </w:r>
    </w:p>
    <w:p w14:paraId="03CAD86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Expected Performance Impact</w:t>
      </w:r>
    </w:p>
    <w:p w14:paraId="17DC938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Financial benefits include revenue growth from plant-based and premium products offsetting mainstream decline, operating margin recovery through improved mix despite absolute cost increases, and return on invested capital improvement via disciplined capital allocation. Non-financial benefits include enhanced HFSS </w:t>
      </w:r>
      <w:r w:rsidRPr="005B7DB8">
        <w:rPr>
          <w:rFonts w:ascii="Arial" w:eastAsia="Times New Roman" w:hAnsi="Arial" w:cs="Arial"/>
          <w:kern w:val="36"/>
          <w:lang w:eastAsia="en-GB"/>
          <w14:ligatures w14:val="none"/>
        </w:rPr>
        <w:lastRenderedPageBreak/>
        <w:t>compliance reducing regulatory risk, strengthened sustainability credentials supporting corporate reputation, and consumer data assets enabling future personalisation.</w:t>
      </w:r>
    </w:p>
    <w:p w14:paraId="0415618B"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5.4 Implementation Plan</w:t>
      </w:r>
    </w:p>
    <w:p w14:paraId="434BB26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9 presents a phased implementation timeline.</w:t>
      </w:r>
    </w:p>
    <w:p w14:paraId="5F709D67" w14:textId="0B5AE4C4" w:rsidR="004806C8"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Table 9: Implementation Timeline and Phasing</w:t>
      </w:r>
    </w:p>
    <w:tbl>
      <w:tblPr>
        <w:tblW w:w="89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71"/>
        <w:gridCol w:w="1066"/>
        <w:gridCol w:w="3157"/>
        <w:gridCol w:w="3298"/>
      </w:tblGrid>
      <w:tr w:rsidR="002E3002" w:rsidRPr="005B7DB8" w14:paraId="53866E41" w14:textId="77777777" w:rsidTr="004806C8">
        <w:trPr>
          <w:trHeight w:val="437"/>
          <w:tblHeader/>
        </w:trPr>
        <w:tc>
          <w:tcPr>
            <w:tcW w:w="0" w:type="auto"/>
            <w:noWrap/>
            <w:vAlign w:val="bottom"/>
            <w:hideMark/>
          </w:tcPr>
          <w:p w14:paraId="1B4E747F"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Phase</w:t>
            </w:r>
          </w:p>
        </w:tc>
        <w:tc>
          <w:tcPr>
            <w:tcW w:w="0" w:type="auto"/>
            <w:noWrap/>
            <w:vAlign w:val="bottom"/>
            <w:hideMark/>
          </w:tcPr>
          <w:p w14:paraId="2BD7EA2E"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Duration</w:t>
            </w:r>
          </w:p>
        </w:tc>
        <w:tc>
          <w:tcPr>
            <w:tcW w:w="0" w:type="auto"/>
            <w:noWrap/>
            <w:vAlign w:val="bottom"/>
            <w:hideMark/>
          </w:tcPr>
          <w:p w14:paraId="153FA97A"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Key Activities</w:t>
            </w:r>
          </w:p>
        </w:tc>
        <w:tc>
          <w:tcPr>
            <w:tcW w:w="0" w:type="auto"/>
            <w:noWrap/>
            <w:vAlign w:val="bottom"/>
            <w:hideMark/>
          </w:tcPr>
          <w:p w14:paraId="46555ABA"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Critical Milestones</w:t>
            </w:r>
          </w:p>
        </w:tc>
      </w:tr>
      <w:tr w:rsidR="002E3002" w:rsidRPr="005B7DB8" w14:paraId="513A6FBB" w14:textId="77777777" w:rsidTr="004806C8">
        <w:trPr>
          <w:trHeight w:val="1837"/>
        </w:trPr>
        <w:tc>
          <w:tcPr>
            <w:tcW w:w="0" w:type="auto"/>
            <w:vAlign w:val="bottom"/>
            <w:hideMark/>
          </w:tcPr>
          <w:p w14:paraId="6740A7E6"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Foundation</w:t>
            </w:r>
          </w:p>
        </w:tc>
        <w:tc>
          <w:tcPr>
            <w:tcW w:w="0" w:type="auto"/>
            <w:vAlign w:val="bottom"/>
            <w:hideMark/>
          </w:tcPr>
          <w:p w14:paraId="36761F29"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Months 1-12</w:t>
            </w:r>
          </w:p>
        </w:tc>
        <w:tc>
          <w:tcPr>
            <w:tcW w:w="0" w:type="auto"/>
            <w:vAlign w:val="bottom"/>
            <w:hideMark/>
          </w:tcPr>
          <w:p w14:paraId="6C96445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Establish plant-based innovation centre; recruit alternative protein specialists; launch reformulation programme; pilot digital platform</w:t>
            </w:r>
          </w:p>
        </w:tc>
        <w:tc>
          <w:tcPr>
            <w:tcW w:w="0" w:type="auto"/>
            <w:vAlign w:val="bottom"/>
            <w:hideMark/>
          </w:tcPr>
          <w:p w14:paraId="5BC93671"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Innovation hub operational; initial reformulated products launched; digital platform live</w:t>
            </w:r>
          </w:p>
        </w:tc>
      </w:tr>
      <w:tr w:rsidR="002E3002" w:rsidRPr="005B7DB8" w14:paraId="26177D0B" w14:textId="77777777" w:rsidTr="004806C8">
        <w:trPr>
          <w:trHeight w:val="1808"/>
        </w:trPr>
        <w:tc>
          <w:tcPr>
            <w:tcW w:w="0" w:type="auto"/>
            <w:vAlign w:val="bottom"/>
            <w:hideMark/>
          </w:tcPr>
          <w:p w14:paraId="49DD3B3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Acceleration</w:t>
            </w:r>
          </w:p>
        </w:tc>
        <w:tc>
          <w:tcPr>
            <w:tcW w:w="0" w:type="auto"/>
            <w:vAlign w:val="bottom"/>
            <w:hideMark/>
          </w:tcPr>
          <w:p w14:paraId="473678F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Months 13-24</w:t>
            </w:r>
          </w:p>
        </w:tc>
        <w:tc>
          <w:tcPr>
            <w:tcW w:w="0" w:type="auto"/>
            <w:vAlign w:val="bottom"/>
            <w:hideMark/>
          </w:tcPr>
          <w:p w14:paraId="0FCC55F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Scale successful plant-based launches; complete priority HFSS reformulation; expand digital content; secure premium retail ranging</w:t>
            </w:r>
          </w:p>
        </w:tc>
        <w:tc>
          <w:tcPr>
            <w:tcW w:w="0" w:type="auto"/>
            <w:vAlign w:val="bottom"/>
            <w:hideMark/>
          </w:tcPr>
          <w:p w14:paraId="2D0B5062"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Plant-based portfolio achieving material revenue contribution; reformulation targets met; digital engagement metrics improving</w:t>
            </w:r>
          </w:p>
        </w:tc>
      </w:tr>
      <w:tr w:rsidR="002E3002" w:rsidRPr="005B7DB8" w14:paraId="424CF114" w14:textId="77777777" w:rsidTr="004806C8">
        <w:trPr>
          <w:trHeight w:val="1837"/>
        </w:trPr>
        <w:tc>
          <w:tcPr>
            <w:tcW w:w="0" w:type="auto"/>
            <w:vAlign w:val="bottom"/>
            <w:hideMark/>
          </w:tcPr>
          <w:p w14:paraId="6E24E6B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Embedding</w:t>
            </w:r>
          </w:p>
        </w:tc>
        <w:tc>
          <w:tcPr>
            <w:tcW w:w="0" w:type="auto"/>
            <w:vAlign w:val="bottom"/>
            <w:hideMark/>
          </w:tcPr>
          <w:p w14:paraId="18B4AF0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Months 25-36</w:t>
            </w:r>
          </w:p>
        </w:tc>
        <w:tc>
          <w:tcPr>
            <w:tcW w:w="0" w:type="auto"/>
            <w:vAlign w:val="bottom"/>
            <w:hideMark/>
          </w:tcPr>
          <w:p w14:paraId="66ABC5F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Optimise plant-based offerings based on performance; continuous reformulation improvement; integrate consumer data into NPD; expand premiumisation</w:t>
            </w:r>
          </w:p>
        </w:tc>
        <w:tc>
          <w:tcPr>
            <w:tcW w:w="0" w:type="auto"/>
            <w:vAlign w:val="bottom"/>
            <w:hideMark/>
          </w:tcPr>
          <w:p w14:paraId="66D6321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Sustained plant-based growth; comprehensive HFSS compliance; digital influencing purchase decisions measurably</w:t>
            </w:r>
          </w:p>
        </w:tc>
      </w:tr>
    </w:tbl>
    <w:p w14:paraId="1CC959B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i/>
          <w:iCs/>
          <w:kern w:val="36"/>
          <w:lang w:eastAsia="en-GB"/>
          <w14:ligatures w14:val="none"/>
        </w:rPr>
        <w:t>Source: Author's development</w:t>
      </w:r>
    </w:p>
    <w:p w14:paraId="7384A0D1"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Resource Requirements</w:t>
      </w:r>
    </w:p>
    <w:p w14:paraId="421A671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Implementation requires financial investment across R&amp;D capability building, manufacturing adaptation, and digital infrastructure. Funding sources combine redeployed marketing expenditure from low-return activities, operational efficiency savings from portfolio rationalisation, and incremental parent company support for strategic initiatives.</w:t>
      </w:r>
    </w:p>
    <w:p w14:paraId="09F2A0A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Human resource requirements include recruiting specialists in food science, fermentation technology, and data analytics. Existing workforce requires training on plant-based processing techniques and reformulation methodologies. Commercial teams need upskilling on digital marketing and e-commerce channel management.</w:t>
      </w:r>
    </w:p>
    <w:p w14:paraId="3C0AB7D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Technological investments encompass pilot facilities for alternative protein processing, digital asset management systems, consumer data platforms, and e-commerce infrastructure. Partnerships with precision fermentation companies provide technology access rather than in-house development given capability gaps and capital constraints.</w:t>
      </w:r>
    </w:p>
    <w:p w14:paraId="023C3071"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Leadership and Governance</w:t>
      </w:r>
    </w:p>
    <w:p w14:paraId="5A1B176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Strategy execution requires dedicated leadership with clear accountability. Governance mechanisms include cross-functional transformation oversight with regular progress reviews, executive compensation alignment with strategic KPIs including plant-based revenue growth and reformulation achievement, and investor communications on strategic progress maintaining confidence during investment periods.</w:t>
      </w:r>
    </w:p>
    <w:p w14:paraId="5C5D6E4F"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Risk Management and Mitigation</w:t>
      </w:r>
    </w:p>
    <w:p w14:paraId="075DBDC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Table 10 identifies critical implementation risks and mitigation approaches.</w:t>
      </w:r>
    </w:p>
    <w:p w14:paraId="3245E5B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Table 10: Implementation Risk Assessment and Mitigation</w:t>
      </w:r>
    </w:p>
    <w:tbl>
      <w:tblPr>
        <w:tblW w:w="93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40"/>
        <w:gridCol w:w="1051"/>
        <w:gridCol w:w="5667"/>
      </w:tblGrid>
      <w:tr w:rsidR="002E3002" w:rsidRPr="005B7DB8" w14:paraId="5CFD7FC2" w14:textId="77777777" w:rsidTr="004806C8">
        <w:trPr>
          <w:trHeight w:val="420"/>
          <w:tblHeader/>
        </w:trPr>
        <w:tc>
          <w:tcPr>
            <w:tcW w:w="0" w:type="auto"/>
            <w:noWrap/>
            <w:vAlign w:val="bottom"/>
            <w:hideMark/>
          </w:tcPr>
          <w:p w14:paraId="3E8A6B55"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lastRenderedPageBreak/>
              <w:t>Risk</w:t>
            </w:r>
          </w:p>
        </w:tc>
        <w:tc>
          <w:tcPr>
            <w:tcW w:w="0" w:type="auto"/>
            <w:noWrap/>
            <w:vAlign w:val="bottom"/>
            <w:hideMark/>
          </w:tcPr>
          <w:p w14:paraId="5F446B27"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Impact</w:t>
            </w:r>
          </w:p>
        </w:tc>
        <w:tc>
          <w:tcPr>
            <w:tcW w:w="0" w:type="auto"/>
            <w:noWrap/>
            <w:vAlign w:val="bottom"/>
            <w:hideMark/>
          </w:tcPr>
          <w:p w14:paraId="5ECF97C0"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Mitigation Strategy</w:t>
            </w:r>
          </w:p>
        </w:tc>
      </w:tr>
      <w:tr w:rsidR="002E3002" w:rsidRPr="005B7DB8" w14:paraId="17523170" w14:textId="77777777" w:rsidTr="004806C8">
        <w:trPr>
          <w:trHeight w:val="1318"/>
        </w:trPr>
        <w:tc>
          <w:tcPr>
            <w:tcW w:w="0" w:type="auto"/>
            <w:vAlign w:val="bottom"/>
            <w:hideMark/>
          </w:tcPr>
          <w:p w14:paraId="041B1B9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Plant-based products fail consumer taste acceptance</w:t>
            </w:r>
          </w:p>
        </w:tc>
        <w:tc>
          <w:tcPr>
            <w:tcW w:w="0" w:type="auto"/>
            <w:vAlign w:val="bottom"/>
            <w:hideMark/>
          </w:tcPr>
          <w:p w14:paraId="1EFED2E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Very High</w:t>
            </w:r>
          </w:p>
        </w:tc>
        <w:tc>
          <w:tcPr>
            <w:tcW w:w="0" w:type="auto"/>
            <w:vAlign w:val="bottom"/>
            <w:hideMark/>
          </w:tcPr>
          <w:p w14:paraId="30ED368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Stage-gate process with consumer validation at each development phase; partnerships with specialist companies for technical expertise; premium positioning initially reduces mass-market taste requirements</w:t>
            </w:r>
          </w:p>
        </w:tc>
      </w:tr>
      <w:tr w:rsidR="002E3002" w:rsidRPr="005B7DB8" w14:paraId="416D3571" w14:textId="77777777" w:rsidTr="004806C8">
        <w:trPr>
          <w:trHeight w:val="1318"/>
        </w:trPr>
        <w:tc>
          <w:tcPr>
            <w:tcW w:w="0" w:type="auto"/>
            <w:vAlign w:val="bottom"/>
            <w:hideMark/>
          </w:tcPr>
          <w:p w14:paraId="473F5F5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Retailer resistance to listing or shelf space allocation</w:t>
            </w:r>
          </w:p>
        </w:tc>
        <w:tc>
          <w:tcPr>
            <w:tcW w:w="0" w:type="auto"/>
            <w:vAlign w:val="bottom"/>
            <w:hideMark/>
          </w:tcPr>
          <w:p w14:paraId="65397BA6"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High</w:t>
            </w:r>
          </w:p>
        </w:tc>
        <w:tc>
          <w:tcPr>
            <w:tcW w:w="0" w:type="auto"/>
            <w:vAlign w:val="bottom"/>
            <w:hideMark/>
          </w:tcPr>
          <w:p w14:paraId="6949707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Joint business planning demonstrating category growth potential; co-funded marketing investment; guaranteed sales thresholds or delist commitments; leverage successful precedents as proof-points</w:t>
            </w:r>
          </w:p>
        </w:tc>
      </w:tr>
      <w:tr w:rsidR="002E3002" w:rsidRPr="005B7DB8" w14:paraId="52D51517" w14:textId="77777777" w:rsidTr="004806C8">
        <w:trPr>
          <w:trHeight w:val="1289"/>
        </w:trPr>
        <w:tc>
          <w:tcPr>
            <w:tcW w:w="0" w:type="auto"/>
            <w:vAlign w:val="bottom"/>
            <w:hideMark/>
          </w:tcPr>
          <w:p w14:paraId="15A7F536"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Reformulation degrades perceived quality causing volume loss</w:t>
            </w:r>
          </w:p>
        </w:tc>
        <w:tc>
          <w:tcPr>
            <w:tcW w:w="0" w:type="auto"/>
            <w:vAlign w:val="bottom"/>
            <w:hideMark/>
          </w:tcPr>
          <w:p w14:paraId="6776E531"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High</w:t>
            </w:r>
          </w:p>
        </w:tc>
        <w:tc>
          <w:tcPr>
            <w:tcW w:w="0" w:type="auto"/>
            <w:vAlign w:val="bottom"/>
            <w:hideMark/>
          </w:tcPr>
          <w:p w14:paraId="57437B11"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Gradual reformulation approach; extensive consumer testing; communication strategy emphasising improvement; monitoring competitive reformulation to avoid unilateral disadvantage</w:t>
            </w:r>
          </w:p>
        </w:tc>
      </w:tr>
      <w:tr w:rsidR="002E3002" w:rsidRPr="005B7DB8" w14:paraId="04DFEA56" w14:textId="77777777" w:rsidTr="004806C8">
        <w:trPr>
          <w:trHeight w:val="1318"/>
        </w:trPr>
        <w:tc>
          <w:tcPr>
            <w:tcW w:w="0" w:type="auto"/>
            <w:vAlign w:val="bottom"/>
            <w:hideMark/>
          </w:tcPr>
          <w:p w14:paraId="5396EBF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Investment fails to deliver acceptable returns</w:t>
            </w:r>
          </w:p>
        </w:tc>
        <w:tc>
          <w:tcPr>
            <w:tcW w:w="0" w:type="auto"/>
            <w:vAlign w:val="bottom"/>
            <w:hideMark/>
          </w:tcPr>
          <w:p w14:paraId="5FE86AE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Very High</w:t>
            </w:r>
          </w:p>
        </w:tc>
        <w:tc>
          <w:tcPr>
            <w:tcW w:w="0" w:type="auto"/>
            <w:vAlign w:val="bottom"/>
            <w:hideMark/>
          </w:tcPr>
          <w:p w14:paraId="725A14E1"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Phased investment with decision gates; strict return hurdles for project approval; portfolio rebalancing funding strategic investment from mature product cash generation</w:t>
            </w:r>
          </w:p>
        </w:tc>
      </w:tr>
      <w:tr w:rsidR="002E3002" w:rsidRPr="005B7DB8" w14:paraId="328941D0" w14:textId="77777777" w:rsidTr="004806C8">
        <w:trPr>
          <w:trHeight w:val="1318"/>
        </w:trPr>
        <w:tc>
          <w:tcPr>
            <w:tcW w:w="0" w:type="auto"/>
            <w:vAlign w:val="bottom"/>
            <w:hideMark/>
          </w:tcPr>
          <w:p w14:paraId="1D2D9C9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Capability gaps in alternative proteins slow development</w:t>
            </w:r>
          </w:p>
        </w:tc>
        <w:tc>
          <w:tcPr>
            <w:tcW w:w="0" w:type="auto"/>
            <w:vAlign w:val="bottom"/>
            <w:hideMark/>
          </w:tcPr>
          <w:p w14:paraId="79DE15C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Moderate</w:t>
            </w:r>
          </w:p>
        </w:tc>
        <w:tc>
          <w:tcPr>
            <w:tcW w:w="0" w:type="auto"/>
            <w:vAlign w:val="bottom"/>
            <w:hideMark/>
          </w:tcPr>
          <w:p w14:paraId="57F6CFA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External partnerships with specialised firms; university research collaborations; selective acquisition of technology start-ups; realistic timeline expectations</w:t>
            </w:r>
          </w:p>
        </w:tc>
      </w:tr>
      <w:tr w:rsidR="002E3002" w:rsidRPr="005B7DB8" w14:paraId="6A9E73DE" w14:textId="77777777" w:rsidTr="004806C8">
        <w:trPr>
          <w:trHeight w:val="1318"/>
        </w:trPr>
        <w:tc>
          <w:tcPr>
            <w:tcW w:w="0" w:type="auto"/>
            <w:vAlign w:val="bottom"/>
            <w:hideMark/>
          </w:tcPr>
          <w:p w14:paraId="56AEA3F9"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b/>
                <w:bCs/>
                <w:kern w:val="36"/>
                <w:lang w:eastAsia="en-GB"/>
                <w14:ligatures w14:val="none"/>
              </w:rPr>
              <w:t>Rapid private label imitation</w:t>
            </w:r>
          </w:p>
        </w:tc>
        <w:tc>
          <w:tcPr>
            <w:tcW w:w="0" w:type="auto"/>
            <w:vAlign w:val="bottom"/>
            <w:hideMark/>
          </w:tcPr>
          <w:p w14:paraId="04D57861"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Moderate</w:t>
            </w:r>
          </w:p>
        </w:tc>
        <w:tc>
          <w:tcPr>
            <w:tcW w:w="0" w:type="auto"/>
            <w:vAlign w:val="bottom"/>
            <w:hideMark/>
          </w:tcPr>
          <w:p w14:paraId="0C77CA7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Speed to market emphasis; continuous innovation pipeline rather than one-off launches; brand building creating preference beyond functional parity; recipe complexity as imitation barrier</w:t>
            </w:r>
          </w:p>
        </w:tc>
      </w:tr>
    </w:tbl>
    <w:p w14:paraId="55B16F65"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Change Management</w:t>
      </w:r>
    </w:p>
    <w:p w14:paraId="130B578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Successful implementation demands cultural and operational transformation. Change programmes incorporate clear communication of strategic rationale linking external pressures to change imperative, capability building through training on new methodologies and technologies, incentive alignment revising performance metrics </w:t>
      </w:r>
      <w:r w:rsidRPr="005B7DB8">
        <w:rPr>
          <w:rFonts w:ascii="Arial" w:eastAsia="Times New Roman" w:hAnsi="Arial" w:cs="Arial"/>
          <w:kern w:val="36"/>
          <w:lang w:eastAsia="en-GB"/>
          <w14:ligatures w14:val="none"/>
        </w:rPr>
        <w:lastRenderedPageBreak/>
        <w:t>to reward strategic contribution rather than solely short-term results, and process redesign streamlining innovation approval to reduce bureaucracy whilst maintaining appropriate governance.</w:t>
      </w:r>
    </w:p>
    <w:p w14:paraId="59858EF3" w14:textId="6AB6B820"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change approach acknowledges Unilever's organisational complexity as an implementation barrier requiring deliberate management intervention beyond strategy formulation. As Kotter (1995) emphasises, generating short-term wins to build momentum proves critical in sustaining transformation efforts through inevitable setbacks and resistance. However, critics of planned change approaches argue that organisational transformation often emerges through iterative adaptation rather than top-down programmatic intervention (Pettigrew et al., 2001), suggesting that implementation success may require balancing deliberate planning with adaptive learning.</w:t>
      </w:r>
    </w:p>
    <w:p w14:paraId="73C9F935"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6. CONCLUSION</w:t>
      </w:r>
    </w:p>
    <w:p w14:paraId="266A6CE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This strategic evaluation of Unilever's Food &amp; Refreshment Division in the UK market reveals a business at a critical juncture. Historical advantages derived from brand equity and scale face systematic erosion from retailer power, private label quality convergence, and regulatory intervention. The VRIO analysis confirms that no sustainable competitive advantages currently exist, whilst PESTEL and Five Forces assessments characterise the industry as structurally challenging with limited organic growth prospects.</w:t>
      </w:r>
    </w:p>
    <w:p w14:paraId="5BE09D21"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Strategic options evaluation indicates that cost leadership remains unviable given structural disadvantages versus private label and sustainability investment commitments. Broad differentiation across all categories risks resource diffusion without sustainable advantage. The recommended focused differentiation strategy targeting plant-based innovation, health reformulation, and digital engagement addresses demonstrated market opportunities whilst leveraging existing capabilities and mitigating identified threats.</w:t>
      </w:r>
    </w:p>
    <w:p w14:paraId="52F8D23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Strategic success depends critically on execution quality. Plant-based products must achieve taste parity with conventional equivalents at accessible price points. Reformulation must maintain consumer acceptability whilst meeting nutritional </w:t>
      </w:r>
      <w:r w:rsidRPr="005B7DB8">
        <w:rPr>
          <w:rFonts w:ascii="Arial" w:eastAsia="Times New Roman" w:hAnsi="Arial" w:cs="Arial"/>
          <w:kern w:val="36"/>
          <w:lang w:eastAsia="en-GB"/>
          <w14:ligatures w14:val="none"/>
        </w:rPr>
        <w:lastRenderedPageBreak/>
        <w:t>targets. Digital initiatives must generate genuine engagement and data value rather than superficial presence. Implementation requires sustained investment, cultural transformation, and disciplined governance through inevitable challenges.</w:t>
      </w:r>
    </w:p>
    <w:p w14:paraId="64CBDF35" w14:textId="7EC289E6" w:rsidR="004806C8"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strategy offers a viable pathway for Unilever F&amp;R UK to navigate an increasingly difficult market environment. It acknowledges structural headwinds whilst identifying targeted growth opportunities aligned with genuine consumer and regulatory trends. Success depends on execution quality rather than strategic novelty.</w:t>
      </w:r>
    </w:p>
    <w:p w14:paraId="779DE9DC" w14:textId="77777777"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t>7. REFLECTIVE ACCOUNT</w:t>
      </w:r>
    </w:p>
    <w:p w14:paraId="0021878D"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Choosing Unilever seemed straightforward initially—a major company everyone knows, plenty of published information, clear brands. I expected the analysis would reveal strong competitive positions and point toward obvious growth strategies. That assumption proved completely wrong, which made this entire project considerably more difficult and uncomfortable than anticipated.</w:t>
      </w:r>
    </w:p>
    <w:p w14:paraId="2159CB9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first significant challenge emerged around accessing detailed market intelligence. I had expected that market share data and competitive positioning statistics would be available through university resources, but comprehensive commercial databases like Kantar and Mintel require subscription costs well beyond student budgets. The library's business database holdings provided some historical reports but lacked the current granularity needed for detailed competitive analysis.</w:t>
      </w:r>
    </w:p>
    <w:p w14:paraId="629E27A1" w14:textId="0219AC23" w:rsidR="00037DA8" w:rsidRPr="005B7DB8" w:rsidRDefault="00BC52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Because of this limitation, I had to change the way I approached the analysis. </w:t>
      </w:r>
      <w:r w:rsidR="002E3002" w:rsidRPr="005B7DB8">
        <w:rPr>
          <w:rFonts w:ascii="Arial" w:eastAsia="Times New Roman" w:hAnsi="Arial" w:cs="Arial"/>
          <w:kern w:val="36"/>
          <w:lang w:eastAsia="en-GB"/>
          <w14:ligatures w14:val="none"/>
        </w:rPr>
        <w:t>The lack of access to commercial market databases limited the level of quantitative analysis that could be undertaken. Greater emphasis had to be placed on qualitative assessment, company annual reports, sustainability disclosures, and publicly available secondary sources. Although this reduced the precision of some competitive comparisons, it encouraged a more critical evaluation of the evidence that was actually available and a clearer acknowledgment of analytical boundaries</w:t>
      </w:r>
      <w:r w:rsidR="00037DA8" w:rsidRPr="005B7DB8">
        <w:rPr>
          <w:rFonts w:ascii="Arial" w:eastAsia="Times New Roman" w:hAnsi="Arial" w:cs="Arial"/>
          <w:kern w:val="36"/>
          <w:lang w:eastAsia="en-GB"/>
          <w14:ligatures w14:val="none"/>
        </w:rPr>
        <w:t>.</w:t>
      </w:r>
      <w:r w:rsidR="00037DA8" w:rsidRPr="005B7DB8">
        <w:rPr>
          <w:rFonts w:ascii="Arial" w:hAnsi="Arial" w:cs="Arial"/>
        </w:rPr>
        <w:t xml:space="preserve"> </w:t>
      </w:r>
      <w:r w:rsidR="00037DA8" w:rsidRPr="005B7DB8">
        <w:rPr>
          <w:rFonts w:ascii="Arial" w:eastAsia="Times New Roman" w:hAnsi="Arial" w:cs="Arial"/>
          <w:kern w:val="36"/>
          <w:lang w:eastAsia="en-GB"/>
          <w14:ligatures w14:val="none"/>
        </w:rPr>
        <w:t>This experience made me realise that strategy analysis is rarely based on complete information. In class, the frameworks often look straightforward, but when analysing a real company I had to make decisions using the evidence that was actually available.</w:t>
      </w:r>
    </w:p>
    <w:p w14:paraId="53628B1B" w14:textId="60B6DF3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The VRIO analysis produced results I wasn't expecting and didn't particularly want. I assumed a multinational like Unilever would have at least some clear sustained competitive advantages—that's what successful companies are supposed to have, according to every strategy textbook. Working through the framework honestly, though, nothing qualified. Brand portfolio? Private label is closing the quality gap. Innovation capability? Competitors have it too, and they copy new products quickly. Sustainability leadership? Everyone's adopting similar practices now.</w:t>
      </w:r>
    </w:p>
    <w:p w14:paraId="067F62EE" w14:textId="7CB84C69"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I went back to Barney's original article multiple times thinking I must have misunderstood the criteria. But no, the conclusion really was that Unilever doesn't have sustained competitive advantages in the UK food market. That realisation genuinely changed how I thought about the rest of the assignment. If a major multinational doesn't have sustained advantages, what does that mean for strategy in mature markets? </w:t>
      </w:r>
      <w:r w:rsidR="00037DA8" w:rsidRPr="005B7DB8">
        <w:rPr>
          <w:rFonts w:ascii="Arial" w:eastAsia="Times New Roman" w:hAnsi="Arial" w:cs="Arial"/>
          <w:kern w:val="36"/>
          <w:lang w:eastAsia="en-GB"/>
          <w14:ligatures w14:val="none"/>
        </w:rPr>
        <w:t>It made me think that, in mature markets, companies may not always have long-lasting competitive advantages. Instead, they seem to spend more time protecting what they already have and finding small opportunities to stay ahead</w:t>
      </w:r>
      <w:r w:rsidRPr="005B7DB8">
        <w:rPr>
          <w:rFonts w:ascii="Arial" w:eastAsia="Times New Roman" w:hAnsi="Arial" w:cs="Arial"/>
          <w:kern w:val="36"/>
          <w:lang w:eastAsia="en-GB"/>
          <w14:ligatures w14:val="none"/>
        </w:rPr>
        <w:t>. That's quite different from the growth-oriented strategy cases we studied in class, and considerably less inspiring to write about. It also made me question whether the frameworks we learn are actually useful in real-world situations, or whether they work best in textbook examples that are deliberately chosen because they fit the models neatly.</w:t>
      </w:r>
    </w:p>
    <w:p w14:paraId="6002E8F3"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SWOT analysis created its own difficulties. Sustainability kept showing up as both a strength and a weakness, which felt wrong—things should fit into one box or another, shouldn't they? Unilever's environmental commitments are genuinely ahead of many competitors, which seems like a strength. But the costs are substantial, the implementation is patchy, and there's limited evidence consumers actually pay more for sustainability, which seems like a weakness. I tried various ways to resolve this before accepting that maybe strategic reality is messier than SWOT matrices want it to be. I'm still not entirely comfortable with how I handled it.</w:t>
      </w:r>
    </w:p>
    <w:p w14:paraId="6AAF9DB9" w14:textId="29ED7D81" w:rsidR="002E3002" w:rsidRPr="005B7DB8" w:rsidRDefault="00037DA8"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Researching corporate social responsibility turned out to be more difficult than I expected. Finding information was not the problem. The difficult part was deciding how to judge what I found</w:t>
      </w:r>
      <w:r w:rsidR="002E3002" w:rsidRPr="005B7DB8">
        <w:rPr>
          <w:rFonts w:ascii="Arial" w:eastAsia="Times New Roman" w:hAnsi="Arial" w:cs="Arial"/>
          <w:kern w:val="36"/>
          <w:lang w:eastAsia="en-GB"/>
          <w14:ligatures w14:val="none"/>
        </w:rPr>
        <w:t xml:space="preserve">. Like most people, I suppose, I'd absorbed Unilever's sustainability marketing fairly uncritically—they seem like one of the better </w:t>
      </w:r>
      <w:r w:rsidR="002E3002" w:rsidRPr="005B7DB8">
        <w:rPr>
          <w:rFonts w:ascii="Arial" w:eastAsia="Times New Roman" w:hAnsi="Arial" w:cs="Arial"/>
          <w:kern w:val="36"/>
          <w:lang w:eastAsia="en-GB"/>
          <w14:ligatures w14:val="none"/>
        </w:rPr>
        <w:lastRenderedPageBreak/>
        <w:t>companies on environmental and social issues. Reading deeper revealed something more complicated. The sustainability report sets ambitious targets, which initially impressed me. Then I noticed the small-print footnotes explaining why previous targets weren't met. Regenerative agriculture involves selected UK farms, which sounds good until you realise that's tiny relative to Unilever's total agricultural footprint. The net-zero commitment has all sorts of boundary exclusions.</w:t>
      </w:r>
    </w:p>
    <w:p w14:paraId="6E42AE2D" w14:textId="1D0C7859"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None of this necessarily means Unilever is being dishonest—implementing sustainability at scale is genuinely difficult. But there's a gap between the public narrative of sustainability leadership and the messy reality of partial implementation and missed targets. </w:t>
      </w:r>
      <w:r w:rsidR="00837E25" w:rsidRPr="005B7DB8">
        <w:rPr>
          <w:rFonts w:ascii="Arial" w:eastAsia="Times New Roman" w:hAnsi="Arial" w:cs="Arial"/>
          <w:kern w:val="36"/>
          <w:lang w:eastAsia="en-GB"/>
          <w14:ligatures w14:val="none"/>
        </w:rPr>
        <w:t xml:space="preserve">"I wasn't sure how critical I should be because this is an academic assignment, not an investigation into the company." </w:t>
      </w:r>
      <w:r w:rsidRPr="005B7DB8">
        <w:rPr>
          <w:rFonts w:ascii="Arial" w:eastAsia="Times New Roman" w:hAnsi="Arial" w:cs="Arial"/>
          <w:kern w:val="36"/>
          <w:lang w:eastAsia="en-GB"/>
          <w14:ligatures w14:val="none"/>
        </w:rPr>
        <w:t>But simply repeating corporate communications uncritically seems intellectually lazy. I tried to acknowledge Unilever's genuine efforts whilst questioning effectiveness, but I'm honestly not sure I got that balance right. Some sections read too cynical; others feel too accepting.</w:t>
      </w:r>
    </w:p>
    <w:p w14:paraId="0F20EABD" w14:textId="1632DF04" w:rsidR="002E3002" w:rsidRPr="005B7DB8" w:rsidRDefault="00037DA8"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The Balanced Scorecard section was one of the hardest parts of the report. I understood how the framework worked, but deciding on realistic targets without access to Unilever's internal information was difficult. I looked at industry examples and other companies to make sensible estimates, but I knew they could only be illustrative. This reminded me that university assignments and real business planning are very different because companies have access to much more information than students do.</w:t>
      </w:r>
    </w:p>
    <w:p w14:paraId="7CDA07D5"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Word count became increasingly stressful. My first complete draft was nearly 7,000 words—massively over the limit. Cutting felt like removing important analysis. The competitor analysis lost most of its detail. The PESTEL discussion became much shorter. Implementation planning got condensed significantly. Every cut made the report feel less thorough, though perhaps it forced focus on what genuinely mattered strategically versus interesting tangents. I'm still aware of things I understood from the research that didn't make it into the final version, which feels like lost insight.</w:t>
      </w:r>
    </w:p>
    <w:p w14:paraId="536B78E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The implementation section probably deserves particular mention for being unsatisfying. Strategy textbooks make implementation sound relatively </w:t>
      </w:r>
      <w:r w:rsidRPr="005B7DB8">
        <w:rPr>
          <w:rFonts w:ascii="Arial" w:eastAsia="Times New Roman" w:hAnsi="Arial" w:cs="Arial"/>
          <w:kern w:val="36"/>
          <w:lang w:eastAsia="en-GB"/>
          <w14:ligatures w14:val="none"/>
        </w:rPr>
        <w:lastRenderedPageBreak/>
        <w:t>straightforward—set objectives, allocate resources, manage change. Actually thinking through how Unilever would implement plant-based innovation revealed endless complexity. What specific organisational structure? Which capabilities need building and how? How do you overcome resistance in a matrix organisation that's famously bureaucratic? What if retailers refuse shelf space for new products? The more I thought about these questions, the more difficult the recommended strategy appeared. I genuinely questioned whether I should recommend it at all, or whether I should suggest something more conservative and achievable. In the end I maintained the recommendation whilst acknowledging difficulties, but with substantially less confidence than the writing probably conveys.</w:t>
      </w:r>
    </w:p>
    <w:p w14:paraId="5D0A1FCA" w14:textId="2C73B3CF" w:rsidR="002E3002" w:rsidRPr="005B7DB8" w:rsidRDefault="00037DA8"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Writing this reflective section was different from writing the rest of the report. Instead of analysing Unilever, I had to think about my own learning throughout the assignment. I wanted to be honest about the difficulties I faced while still keeping the reflection clear and well organised. Finding that balance was harder than I expected.</w:t>
      </w:r>
    </w:p>
    <w:p w14:paraId="68727B7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Looking back, several assumptions were wrong. I assumed major companies have clear competitive advantages that analysis reveals. Instead, advantages appear fragile and temporary. I assumed sustainability investments demonstrate strategic foresight that delivers commercial returns. Instead, they look more like necessary costs without clear profit pathways. I assumed strategy meant identifying attractive opportunities. Instead, much of the challenge involves managing decline whilst protecting margins.</w:t>
      </w:r>
    </w:p>
    <w:p w14:paraId="0AF7AACD" w14:textId="437F393E"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The analytical frameworks proved less definitive than expected. Different people could apply the same frameworks to the same data and reach different conclusions depending on judgment calls about imitation speed, demand elasticity, or organisational capability. This subjectivity troubled me initially—shouldn't rigorous analysis produce objective answers? </w:t>
      </w:r>
      <w:r w:rsidR="00037DA8" w:rsidRPr="005B7DB8">
        <w:rPr>
          <w:rFonts w:ascii="Arial" w:eastAsia="Times New Roman" w:hAnsi="Arial" w:cs="Arial"/>
          <w:kern w:val="36"/>
          <w:lang w:eastAsia="en-GB"/>
          <w14:ligatures w14:val="none"/>
        </w:rPr>
        <w:t>In the end, I realised that the frameworks help organise ideas, but they cannot make decisions for you. Different people can still reach different conclusions using the same information.</w:t>
      </w:r>
    </w:p>
    <w:p w14:paraId="5A6025C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 xml:space="preserve">If I were starting again, I'd establish clearer boundaries on research scope earlier to prevent endless expansion. I'd be more comfortable with analytical ambiguity sooner. I'd allocate more time to implementation thinking, which felt rushed. And I'd start this </w:t>
      </w:r>
      <w:r w:rsidRPr="005B7DB8">
        <w:rPr>
          <w:rFonts w:ascii="Arial" w:eastAsia="Times New Roman" w:hAnsi="Arial" w:cs="Arial"/>
          <w:kern w:val="36"/>
          <w:lang w:eastAsia="en-GB"/>
          <w14:ligatures w14:val="none"/>
        </w:rPr>
        <w:lastRenderedPageBreak/>
        <w:t>reflection earlier—reconstructing thought processes after completing analysis produces a sanitised version missing the actual confusion involved.</w:t>
      </w:r>
    </w:p>
    <w:p w14:paraId="38FE831F" w14:textId="77777777" w:rsidR="00037DA8" w:rsidRPr="005B7DB8" w:rsidRDefault="00037DA8"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Overall, this assignment taught me much more than I expected. It changed the way I think about strategy and made me question information instead of accepting it immediately. Although I found the process challenging, I feel more confident analysing real business situations than I did before starting this report.</w:t>
      </w:r>
    </w:p>
    <w:p w14:paraId="6C505AEF" w14:textId="77777777" w:rsidR="00037DA8" w:rsidRPr="005B7DB8" w:rsidRDefault="00037DA8" w:rsidP="00EE76FF">
      <w:pPr>
        <w:spacing w:before="100" w:beforeAutospacing="1" w:after="100" w:afterAutospacing="1" w:line="360" w:lineRule="auto"/>
        <w:rPr>
          <w:rFonts w:ascii="Arial" w:eastAsia="Times New Roman" w:hAnsi="Arial" w:cs="Arial"/>
          <w:b/>
          <w:bCs/>
          <w:kern w:val="36"/>
          <w:lang w:eastAsia="en-GB"/>
          <w14:ligatures w14:val="none"/>
        </w:rPr>
      </w:pPr>
    </w:p>
    <w:p w14:paraId="3D52E0FC" w14:textId="77777777" w:rsidR="00037DA8" w:rsidRPr="005B7DB8" w:rsidRDefault="00037DA8" w:rsidP="00EE76FF">
      <w:pPr>
        <w:spacing w:before="100" w:beforeAutospacing="1" w:after="100" w:afterAutospacing="1" w:line="360" w:lineRule="auto"/>
        <w:rPr>
          <w:rFonts w:ascii="Arial" w:eastAsia="Times New Roman" w:hAnsi="Arial" w:cs="Arial"/>
          <w:b/>
          <w:bCs/>
          <w:kern w:val="36"/>
          <w:lang w:eastAsia="en-GB"/>
          <w14:ligatures w14:val="none"/>
        </w:rPr>
      </w:pPr>
    </w:p>
    <w:p w14:paraId="73E2C048" w14:textId="77777777" w:rsidR="00037DA8" w:rsidRPr="005B7DB8" w:rsidRDefault="00037DA8" w:rsidP="00EE76FF">
      <w:pPr>
        <w:spacing w:before="100" w:beforeAutospacing="1" w:after="100" w:afterAutospacing="1" w:line="360" w:lineRule="auto"/>
        <w:rPr>
          <w:rFonts w:ascii="Arial" w:eastAsia="Times New Roman" w:hAnsi="Arial" w:cs="Arial"/>
          <w:b/>
          <w:bCs/>
          <w:kern w:val="36"/>
          <w:lang w:eastAsia="en-GB"/>
          <w14:ligatures w14:val="none"/>
        </w:rPr>
      </w:pPr>
    </w:p>
    <w:p w14:paraId="274654D6" w14:textId="77777777" w:rsidR="006B098C" w:rsidRPr="005B7DB8" w:rsidRDefault="006B098C" w:rsidP="00EE76FF">
      <w:pPr>
        <w:spacing w:before="100" w:beforeAutospacing="1" w:after="100" w:afterAutospacing="1" w:line="360" w:lineRule="auto"/>
        <w:rPr>
          <w:rFonts w:ascii="Arial" w:eastAsia="Times New Roman" w:hAnsi="Arial" w:cs="Arial"/>
          <w:b/>
          <w:bCs/>
          <w:kern w:val="36"/>
          <w:lang w:eastAsia="en-GB"/>
          <w14:ligatures w14:val="none"/>
        </w:rPr>
      </w:pPr>
    </w:p>
    <w:p w14:paraId="10621D88" w14:textId="77777777" w:rsidR="006B098C" w:rsidRPr="005B7DB8" w:rsidRDefault="006B098C" w:rsidP="00EE76FF">
      <w:pPr>
        <w:spacing w:before="100" w:beforeAutospacing="1" w:after="100" w:afterAutospacing="1" w:line="360" w:lineRule="auto"/>
        <w:rPr>
          <w:rFonts w:ascii="Arial" w:eastAsia="Times New Roman" w:hAnsi="Arial" w:cs="Arial"/>
          <w:b/>
          <w:bCs/>
          <w:kern w:val="36"/>
          <w:lang w:eastAsia="en-GB"/>
          <w14:ligatures w14:val="none"/>
        </w:rPr>
      </w:pPr>
    </w:p>
    <w:p w14:paraId="5176D7ED" w14:textId="77777777" w:rsidR="006B098C" w:rsidRPr="005B7DB8" w:rsidRDefault="006B098C" w:rsidP="00EE76FF">
      <w:pPr>
        <w:spacing w:before="100" w:beforeAutospacing="1" w:after="100" w:afterAutospacing="1" w:line="360" w:lineRule="auto"/>
        <w:rPr>
          <w:rFonts w:ascii="Arial" w:eastAsia="Times New Roman" w:hAnsi="Arial" w:cs="Arial"/>
          <w:b/>
          <w:bCs/>
          <w:kern w:val="36"/>
          <w:lang w:eastAsia="en-GB"/>
          <w14:ligatures w14:val="none"/>
        </w:rPr>
      </w:pPr>
    </w:p>
    <w:p w14:paraId="43E57484" w14:textId="77777777" w:rsidR="006B098C" w:rsidRPr="005B7DB8" w:rsidRDefault="006B098C" w:rsidP="00EE76FF">
      <w:pPr>
        <w:spacing w:before="100" w:beforeAutospacing="1" w:after="100" w:afterAutospacing="1" w:line="360" w:lineRule="auto"/>
        <w:rPr>
          <w:rFonts w:ascii="Arial" w:eastAsia="Times New Roman" w:hAnsi="Arial" w:cs="Arial"/>
          <w:b/>
          <w:bCs/>
          <w:kern w:val="36"/>
          <w:lang w:eastAsia="en-GB"/>
          <w14:ligatures w14:val="none"/>
        </w:rPr>
      </w:pPr>
    </w:p>
    <w:p w14:paraId="11897978" w14:textId="77777777" w:rsidR="006B098C" w:rsidRPr="005B7DB8" w:rsidRDefault="006B098C" w:rsidP="00EE76FF">
      <w:pPr>
        <w:spacing w:before="100" w:beforeAutospacing="1" w:after="100" w:afterAutospacing="1" w:line="360" w:lineRule="auto"/>
        <w:rPr>
          <w:rFonts w:ascii="Arial" w:eastAsia="Times New Roman" w:hAnsi="Arial" w:cs="Arial"/>
          <w:b/>
          <w:bCs/>
          <w:kern w:val="36"/>
          <w:lang w:eastAsia="en-GB"/>
          <w14:ligatures w14:val="none"/>
        </w:rPr>
      </w:pPr>
    </w:p>
    <w:p w14:paraId="10D2716B" w14:textId="77777777" w:rsidR="006B098C" w:rsidRPr="005B7DB8" w:rsidRDefault="006B098C" w:rsidP="00EE76FF">
      <w:pPr>
        <w:spacing w:before="100" w:beforeAutospacing="1" w:after="100" w:afterAutospacing="1" w:line="360" w:lineRule="auto"/>
        <w:rPr>
          <w:rFonts w:ascii="Arial" w:eastAsia="Times New Roman" w:hAnsi="Arial" w:cs="Arial"/>
          <w:b/>
          <w:bCs/>
          <w:kern w:val="36"/>
          <w:lang w:eastAsia="en-GB"/>
          <w14:ligatures w14:val="none"/>
        </w:rPr>
      </w:pPr>
    </w:p>
    <w:p w14:paraId="18BB7CC9" w14:textId="77777777" w:rsidR="006B098C" w:rsidRPr="005B7DB8" w:rsidRDefault="006B098C" w:rsidP="00EE76FF">
      <w:pPr>
        <w:spacing w:before="100" w:beforeAutospacing="1" w:after="100" w:afterAutospacing="1" w:line="360" w:lineRule="auto"/>
        <w:rPr>
          <w:rFonts w:ascii="Arial" w:eastAsia="Times New Roman" w:hAnsi="Arial" w:cs="Arial"/>
          <w:b/>
          <w:bCs/>
          <w:kern w:val="36"/>
          <w:lang w:eastAsia="en-GB"/>
          <w14:ligatures w14:val="none"/>
        </w:rPr>
      </w:pPr>
    </w:p>
    <w:p w14:paraId="2F24799A" w14:textId="77777777" w:rsidR="006B098C" w:rsidRDefault="006B098C" w:rsidP="00EE76FF">
      <w:pPr>
        <w:spacing w:before="100" w:beforeAutospacing="1" w:after="100" w:afterAutospacing="1" w:line="360" w:lineRule="auto"/>
        <w:rPr>
          <w:rFonts w:ascii="Arial" w:eastAsia="Times New Roman" w:hAnsi="Arial" w:cs="Arial"/>
          <w:b/>
          <w:bCs/>
          <w:kern w:val="36"/>
          <w:lang w:eastAsia="en-GB"/>
          <w14:ligatures w14:val="none"/>
        </w:rPr>
      </w:pPr>
    </w:p>
    <w:p w14:paraId="639B9428" w14:textId="77777777" w:rsidR="00EE76FF" w:rsidRDefault="00EE76FF" w:rsidP="00EE76FF">
      <w:pPr>
        <w:spacing w:before="100" w:beforeAutospacing="1" w:after="100" w:afterAutospacing="1" w:line="360" w:lineRule="auto"/>
        <w:rPr>
          <w:rFonts w:ascii="Arial" w:eastAsia="Times New Roman" w:hAnsi="Arial" w:cs="Arial"/>
          <w:b/>
          <w:bCs/>
          <w:kern w:val="36"/>
          <w:lang w:eastAsia="en-GB"/>
          <w14:ligatures w14:val="none"/>
        </w:rPr>
      </w:pPr>
    </w:p>
    <w:p w14:paraId="3C43451B" w14:textId="77777777" w:rsidR="00EE76FF" w:rsidRDefault="00EE76FF" w:rsidP="00EE76FF">
      <w:pPr>
        <w:spacing w:before="100" w:beforeAutospacing="1" w:after="100" w:afterAutospacing="1" w:line="360" w:lineRule="auto"/>
        <w:rPr>
          <w:rFonts w:ascii="Arial" w:eastAsia="Times New Roman" w:hAnsi="Arial" w:cs="Arial"/>
          <w:b/>
          <w:bCs/>
          <w:kern w:val="36"/>
          <w:lang w:eastAsia="en-GB"/>
          <w14:ligatures w14:val="none"/>
        </w:rPr>
      </w:pPr>
    </w:p>
    <w:p w14:paraId="65099281" w14:textId="77777777" w:rsidR="00EE76FF" w:rsidRDefault="00EE76FF" w:rsidP="00EE76FF">
      <w:pPr>
        <w:spacing w:before="100" w:beforeAutospacing="1" w:after="100" w:afterAutospacing="1" w:line="360" w:lineRule="auto"/>
        <w:rPr>
          <w:rFonts w:ascii="Arial" w:eastAsia="Times New Roman" w:hAnsi="Arial" w:cs="Arial"/>
          <w:b/>
          <w:bCs/>
          <w:kern w:val="36"/>
          <w:lang w:eastAsia="en-GB"/>
          <w14:ligatures w14:val="none"/>
        </w:rPr>
      </w:pPr>
    </w:p>
    <w:p w14:paraId="13D6F694" w14:textId="77777777" w:rsidR="00EE76FF" w:rsidRPr="005B7DB8" w:rsidRDefault="00EE76FF" w:rsidP="00EE76FF">
      <w:pPr>
        <w:spacing w:before="100" w:beforeAutospacing="1" w:after="100" w:afterAutospacing="1" w:line="360" w:lineRule="auto"/>
        <w:rPr>
          <w:rFonts w:ascii="Arial" w:eastAsia="Times New Roman" w:hAnsi="Arial" w:cs="Arial"/>
          <w:b/>
          <w:bCs/>
          <w:kern w:val="36"/>
          <w:lang w:eastAsia="en-GB"/>
          <w14:ligatures w14:val="none"/>
        </w:rPr>
      </w:pPr>
    </w:p>
    <w:p w14:paraId="0366D5D1" w14:textId="77777777" w:rsidR="006B098C" w:rsidRPr="005B7DB8" w:rsidRDefault="006B098C" w:rsidP="00EE76FF">
      <w:pPr>
        <w:spacing w:before="100" w:beforeAutospacing="1" w:after="100" w:afterAutospacing="1" w:line="360" w:lineRule="auto"/>
        <w:rPr>
          <w:rFonts w:ascii="Arial" w:eastAsia="Times New Roman" w:hAnsi="Arial" w:cs="Arial"/>
          <w:b/>
          <w:bCs/>
          <w:kern w:val="36"/>
          <w:lang w:eastAsia="en-GB"/>
          <w14:ligatures w14:val="none"/>
        </w:rPr>
      </w:pPr>
    </w:p>
    <w:p w14:paraId="48BAE3DD" w14:textId="2559DC58" w:rsidR="002E3002" w:rsidRPr="005B7DB8" w:rsidRDefault="002E3002" w:rsidP="00EE76FF">
      <w:pPr>
        <w:spacing w:before="100" w:beforeAutospacing="1" w:after="100" w:afterAutospacing="1" w:line="360" w:lineRule="auto"/>
        <w:rPr>
          <w:rFonts w:ascii="Arial" w:eastAsia="Times New Roman" w:hAnsi="Arial" w:cs="Arial"/>
          <w:b/>
          <w:bCs/>
          <w:kern w:val="36"/>
          <w:lang w:eastAsia="en-GB"/>
          <w14:ligatures w14:val="none"/>
        </w:rPr>
      </w:pPr>
      <w:r w:rsidRPr="005B7DB8">
        <w:rPr>
          <w:rFonts w:ascii="Arial" w:eastAsia="Times New Roman" w:hAnsi="Arial" w:cs="Arial"/>
          <w:b/>
          <w:bCs/>
          <w:kern w:val="36"/>
          <w:lang w:eastAsia="en-GB"/>
          <w14:ligatures w14:val="none"/>
        </w:rPr>
        <w:lastRenderedPageBreak/>
        <w:t>8. REFERENCES</w:t>
      </w:r>
    </w:p>
    <w:p w14:paraId="44C4762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Ansoff, H.I. (1957) 'Strategies for diversification', </w:t>
      </w:r>
      <w:r w:rsidRPr="005B7DB8">
        <w:rPr>
          <w:rFonts w:ascii="Arial" w:eastAsia="Times New Roman" w:hAnsi="Arial" w:cs="Arial"/>
          <w:i/>
          <w:iCs/>
          <w:kern w:val="36"/>
          <w:lang w:eastAsia="en-GB"/>
          <w14:ligatures w14:val="none"/>
        </w:rPr>
        <w:t>Harvard Business Review</w:t>
      </w:r>
      <w:r w:rsidRPr="005B7DB8">
        <w:rPr>
          <w:rFonts w:ascii="Arial" w:eastAsia="Times New Roman" w:hAnsi="Arial" w:cs="Arial"/>
          <w:kern w:val="36"/>
          <w:lang w:eastAsia="en-GB"/>
          <w14:ligatures w14:val="none"/>
        </w:rPr>
        <w:t>, 35(5), pp. 113-124.</w:t>
      </w:r>
    </w:p>
    <w:p w14:paraId="3FF6242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Barney, J. (1991) 'Firm resources and sustained competitive advantage', </w:t>
      </w:r>
      <w:r w:rsidRPr="005B7DB8">
        <w:rPr>
          <w:rFonts w:ascii="Arial" w:eastAsia="Times New Roman" w:hAnsi="Arial" w:cs="Arial"/>
          <w:i/>
          <w:iCs/>
          <w:kern w:val="36"/>
          <w:lang w:eastAsia="en-GB"/>
          <w14:ligatures w14:val="none"/>
        </w:rPr>
        <w:t>Journal of Management</w:t>
      </w:r>
      <w:r w:rsidRPr="005B7DB8">
        <w:rPr>
          <w:rFonts w:ascii="Arial" w:eastAsia="Times New Roman" w:hAnsi="Arial" w:cs="Arial"/>
          <w:kern w:val="36"/>
          <w:lang w:eastAsia="en-GB"/>
          <w14:ligatures w14:val="none"/>
        </w:rPr>
        <w:t>, 17(1), pp. 99-120.</w:t>
      </w:r>
    </w:p>
    <w:p w14:paraId="60D54EB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Burnes, B. (2004) 'Kurt Lewin and the planned approach to change: a re-appraisal', </w:t>
      </w:r>
      <w:r w:rsidRPr="005B7DB8">
        <w:rPr>
          <w:rFonts w:ascii="Arial" w:eastAsia="Times New Roman" w:hAnsi="Arial" w:cs="Arial"/>
          <w:i/>
          <w:iCs/>
          <w:kern w:val="36"/>
          <w:lang w:eastAsia="en-GB"/>
          <w14:ligatures w14:val="none"/>
        </w:rPr>
        <w:t>Journal of Management Studies</w:t>
      </w:r>
      <w:r w:rsidRPr="005B7DB8">
        <w:rPr>
          <w:rFonts w:ascii="Arial" w:eastAsia="Times New Roman" w:hAnsi="Arial" w:cs="Arial"/>
          <w:kern w:val="36"/>
          <w:lang w:eastAsia="en-GB"/>
          <w14:ligatures w14:val="none"/>
        </w:rPr>
        <w:t>, 41(6), pp. 977-1002.</w:t>
      </w:r>
    </w:p>
    <w:p w14:paraId="7239DA48"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Department for Environment, Food and Rural Affairs (2024) </w:t>
      </w:r>
      <w:r w:rsidRPr="005B7DB8">
        <w:rPr>
          <w:rFonts w:ascii="Arial" w:eastAsia="Times New Roman" w:hAnsi="Arial" w:cs="Arial"/>
          <w:i/>
          <w:iCs/>
          <w:kern w:val="36"/>
          <w:lang w:eastAsia="en-GB"/>
          <w14:ligatures w14:val="none"/>
        </w:rPr>
        <w:t>Environmental Land Management schemes: overview</w:t>
      </w:r>
      <w:r w:rsidRPr="005B7DB8">
        <w:rPr>
          <w:rFonts w:ascii="Arial" w:eastAsia="Times New Roman" w:hAnsi="Arial" w:cs="Arial"/>
          <w:kern w:val="36"/>
          <w:lang w:eastAsia="en-GB"/>
          <w14:ligatures w14:val="none"/>
        </w:rPr>
        <w:t>. London: DEFRA. Available at: </w:t>
      </w:r>
      <w:hyperlink r:id="rId14" w:tgtFrame="_blank" w:history="1">
        <w:r w:rsidRPr="005B7DB8">
          <w:rPr>
            <w:rStyle w:val="Hyperlink"/>
            <w:rFonts w:ascii="Arial" w:eastAsia="Times New Roman" w:hAnsi="Arial" w:cs="Arial"/>
            <w:kern w:val="36"/>
            <w:lang w:eastAsia="en-GB"/>
            <w14:ligatures w14:val="none"/>
          </w:rPr>
          <w:t>https://www.gov.uk/government/collections/environmental-land-management-schemes-overview</w:t>
        </w:r>
      </w:hyperlink>
      <w:r w:rsidRPr="005B7DB8">
        <w:rPr>
          <w:rFonts w:ascii="Arial" w:eastAsia="Times New Roman" w:hAnsi="Arial" w:cs="Arial"/>
          <w:kern w:val="36"/>
          <w:lang w:eastAsia="en-GB"/>
          <w14:ligatures w14:val="none"/>
        </w:rPr>
        <w:t> (Accessed: 28 June 2026).</w:t>
      </w:r>
    </w:p>
    <w:p w14:paraId="3077FC82"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Dobson, P. (2005) 'Exploiting buyer power: lessons from the British grocery trade', </w:t>
      </w:r>
      <w:r w:rsidRPr="005B7DB8">
        <w:rPr>
          <w:rFonts w:ascii="Arial" w:eastAsia="Times New Roman" w:hAnsi="Arial" w:cs="Arial"/>
          <w:i/>
          <w:iCs/>
          <w:kern w:val="36"/>
          <w:lang w:eastAsia="en-GB"/>
          <w14:ligatures w14:val="none"/>
        </w:rPr>
        <w:t>Antitrust Law Journal</w:t>
      </w:r>
      <w:r w:rsidRPr="005B7DB8">
        <w:rPr>
          <w:rFonts w:ascii="Arial" w:eastAsia="Times New Roman" w:hAnsi="Arial" w:cs="Arial"/>
          <w:kern w:val="36"/>
          <w:lang w:eastAsia="en-GB"/>
          <w14:ligatures w14:val="none"/>
        </w:rPr>
        <w:t>, 72(2), pp. 529-562.</w:t>
      </w:r>
    </w:p>
    <w:p w14:paraId="061EE6E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Flatters, P. and Willmott, M. (2009) 'Understanding the post-recession consumer', </w:t>
      </w:r>
      <w:r w:rsidRPr="005B7DB8">
        <w:rPr>
          <w:rFonts w:ascii="Arial" w:eastAsia="Times New Roman" w:hAnsi="Arial" w:cs="Arial"/>
          <w:i/>
          <w:iCs/>
          <w:kern w:val="36"/>
          <w:lang w:eastAsia="en-GB"/>
          <w14:ligatures w14:val="none"/>
        </w:rPr>
        <w:t>Harvard Business Review</w:t>
      </w:r>
      <w:r w:rsidRPr="005B7DB8">
        <w:rPr>
          <w:rFonts w:ascii="Arial" w:eastAsia="Times New Roman" w:hAnsi="Arial" w:cs="Arial"/>
          <w:kern w:val="36"/>
          <w:lang w:eastAsia="en-GB"/>
          <w14:ligatures w14:val="none"/>
        </w:rPr>
        <w:t>, 87(7/8), pp. 106-112.</w:t>
      </w:r>
    </w:p>
    <w:p w14:paraId="6A8D50C2"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Geyskens, I., Gielens, K. and Gijsbrechts, E. (2010) 'Proliferating private-label portfolios: how introducing economy and premium private labels influences brand choice', </w:t>
      </w:r>
      <w:r w:rsidRPr="005B7DB8">
        <w:rPr>
          <w:rFonts w:ascii="Arial" w:eastAsia="Times New Roman" w:hAnsi="Arial" w:cs="Arial"/>
          <w:i/>
          <w:iCs/>
          <w:kern w:val="36"/>
          <w:lang w:eastAsia="en-GB"/>
          <w14:ligatures w14:val="none"/>
        </w:rPr>
        <w:t>Journal of Marketing Research</w:t>
      </w:r>
      <w:r w:rsidRPr="005B7DB8">
        <w:rPr>
          <w:rFonts w:ascii="Arial" w:eastAsia="Times New Roman" w:hAnsi="Arial" w:cs="Arial"/>
          <w:kern w:val="36"/>
          <w:lang w:eastAsia="en-GB"/>
          <w14:ligatures w14:val="none"/>
        </w:rPr>
        <w:t>, 47(5), pp. 791-807.</w:t>
      </w:r>
    </w:p>
    <w:p w14:paraId="4A6013B1"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Goold, M. and Luchs, K. (1993) 'Why diversify? Four decades of management thinking', </w:t>
      </w:r>
      <w:r w:rsidRPr="005B7DB8">
        <w:rPr>
          <w:rFonts w:ascii="Arial" w:eastAsia="Times New Roman" w:hAnsi="Arial" w:cs="Arial"/>
          <w:i/>
          <w:iCs/>
          <w:kern w:val="36"/>
          <w:lang w:eastAsia="en-GB"/>
          <w14:ligatures w14:val="none"/>
        </w:rPr>
        <w:t>Academy of Management Executive</w:t>
      </w:r>
      <w:r w:rsidRPr="005B7DB8">
        <w:rPr>
          <w:rFonts w:ascii="Arial" w:eastAsia="Times New Roman" w:hAnsi="Arial" w:cs="Arial"/>
          <w:kern w:val="36"/>
          <w:lang w:eastAsia="en-GB"/>
          <w14:ligatures w14:val="none"/>
        </w:rPr>
        <w:t>, 7(3), pp. 7-25.</w:t>
      </w:r>
    </w:p>
    <w:p w14:paraId="62E058BF"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Hertwich, E.G. and Wood, R. (2018) 'The growing importance of scope 3 greenhouse gas emissions from industry', </w:t>
      </w:r>
      <w:r w:rsidRPr="005B7DB8">
        <w:rPr>
          <w:rFonts w:ascii="Arial" w:eastAsia="Times New Roman" w:hAnsi="Arial" w:cs="Arial"/>
          <w:i/>
          <w:iCs/>
          <w:kern w:val="36"/>
          <w:lang w:eastAsia="en-GB"/>
          <w14:ligatures w14:val="none"/>
        </w:rPr>
        <w:t>Environmental Research Letters</w:t>
      </w:r>
      <w:r w:rsidRPr="005B7DB8">
        <w:rPr>
          <w:rFonts w:ascii="Arial" w:eastAsia="Times New Roman" w:hAnsi="Arial" w:cs="Arial"/>
          <w:kern w:val="36"/>
          <w:lang w:eastAsia="en-GB"/>
          <w14:ligatures w14:val="none"/>
        </w:rPr>
        <w:t>, 13(10), 104013.</w:t>
      </w:r>
    </w:p>
    <w:p w14:paraId="53B9835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Johnson, G., Whittington, R., Regnér, P., Angwin, D. and Scholes, K. (2023) </w:t>
      </w:r>
      <w:r w:rsidRPr="005B7DB8">
        <w:rPr>
          <w:rFonts w:ascii="Arial" w:eastAsia="Times New Roman" w:hAnsi="Arial" w:cs="Arial"/>
          <w:i/>
          <w:iCs/>
          <w:kern w:val="36"/>
          <w:lang w:eastAsia="en-GB"/>
          <w14:ligatures w14:val="none"/>
        </w:rPr>
        <w:t>Exploring Strategy</w:t>
      </w:r>
      <w:r w:rsidRPr="005B7DB8">
        <w:rPr>
          <w:rFonts w:ascii="Arial" w:eastAsia="Times New Roman" w:hAnsi="Arial" w:cs="Arial"/>
          <w:kern w:val="36"/>
          <w:lang w:eastAsia="en-GB"/>
          <w14:ligatures w14:val="none"/>
        </w:rPr>
        <w:t>. 13th edn. Harlow: Pearson Education.</w:t>
      </w:r>
    </w:p>
    <w:p w14:paraId="0EF13073"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Jones, G. (2005) </w:t>
      </w:r>
      <w:r w:rsidRPr="005B7DB8">
        <w:rPr>
          <w:rFonts w:ascii="Arial" w:eastAsia="Times New Roman" w:hAnsi="Arial" w:cs="Arial"/>
          <w:i/>
          <w:iCs/>
          <w:kern w:val="36"/>
          <w:lang w:eastAsia="en-GB"/>
          <w14:ligatures w14:val="none"/>
        </w:rPr>
        <w:t>Renewing Unilever: Transformation and Tradition</w:t>
      </w:r>
      <w:r w:rsidRPr="005B7DB8">
        <w:rPr>
          <w:rFonts w:ascii="Arial" w:eastAsia="Times New Roman" w:hAnsi="Arial" w:cs="Arial"/>
          <w:kern w:val="36"/>
          <w:lang w:eastAsia="en-GB"/>
          <w14:ligatures w14:val="none"/>
        </w:rPr>
        <w:t>. Oxford: Oxford University Press.</w:t>
      </w:r>
    </w:p>
    <w:p w14:paraId="55DC5EF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Kaplan, R.S. and Norton, D.P. (1996) 'Using the Balanced Scorecard as a strategic management system', </w:t>
      </w:r>
      <w:r w:rsidRPr="005B7DB8">
        <w:rPr>
          <w:rFonts w:ascii="Arial" w:eastAsia="Times New Roman" w:hAnsi="Arial" w:cs="Arial"/>
          <w:i/>
          <w:iCs/>
          <w:kern w:val="36"/>
          <w:lang w:eastAsia="en-GB"/>
          <w14:ligatures w14:val="none"/>
        </w:rPr>
        <w:t>Harvard Business Review</w:t>
      </w:r>
      <w:r w:rsidRPr="005B7DB8">
        <w:rPr>
          <w:rFonts w:ascii="Arial" w:eastAsia="Times New Roman" w:hAnsi="Arial" w:cs="Arial"/>
          <w:kern w:val="36"/>
          <w:lang w:eastAsia="en-GB"/>
          <w14:ligatures w14:val="none"/>
        </w:rPr>
        <w:t>, 74(1), pp. 75-85.</w:t>
      </w:r>
    </w:p>
    <w:p w14:paraId="023392C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Kim, W.C. and Mauborgne, R. (2004) 'Blue ocean strategy', </w:t>
      </w:r>
      <w:r w:rsidRPr="005B7DB8">
        <w:rPr>
          <w:rFonts w:ascii="Arial" w:eastAsia="Times New Roman" w:hAnsi="Arial" w:cs="Arial"/>
          <w:i/>
          <w:iCs/>
          <w:kern w:val="36"/>
          <w:lang w:eastAsia="en-GB"/>
          <w14:ligatures w14:val="none"/>
        </w:rPr>
        <w:t>Harvard Business Review</w:t>
      </w:r>
      <w:r w:rsidRPr="005B7DB8">
        <w:rPr>
          <w:rFonts w:ascii="Arial" w:eastAsia="Times New Roman" w:hAnsi="Arial" w:cs="Arial"/>
          <w:kern w:val="36"/>
          <w:lang w:eastAsia="en-GB"/>
          <w14:ligatures w14:val="none"/>
        </w:rPr>
        <w:t>, 82(10), pp. 76-84.</w:t>
      </w:r>
    </w:p>
    <w:p w14:paraId="0F93AC5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Kotter, J.P. (1995) 'Leading change: why transformation efforts fail', </w:t>
      </w:r>
      <w:r w:rsidRPr="005B7DB8">
        <w:rPr>
          <w:rFonts w:ascii="Arial" w:eastAsia="Times New Roman" w:hAnsi="Arial" w:cs="Arial"/>
          <w:i/>
          <w:iCs/>
          <w:kern w:val="36"/>
          <w:lang w:eastAsia="en-GB"/>
          <w14:ligatures w14:val="none"/>
        </w:rPr>
        <w:t>Harvard Business Review</w:t>
      </w:r>
      <w:r w:rsidRPr="005B7DB8">
        <w:rPr>
          <w:rFonts w:ascii="Arial" w:eastAsia="Times New Roman" w:hAnsi="Arial" w:cs="Arial"/>
          <w:kern w:val="36"/>
          <w:lang w:eastAsia="en-GB"/>
          <w14:ligatures w14:val="none"/>
        </w:rPr>
        <w:t>, 73(2), pp. 59-67.</w:t>
      </w:r>
    </w:p>
    <w:p w14:paraId="2F479F10"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Kraaijenbrink, J., Spender, J.C. and Groen, A.J. (2010) 'The resource-based view: a review and assessment of its critiques', </w:t>
      </w:r>
      <w:r w:rsidRPr="005B7DB8">
        <w:rPr>
          <w:rFonts w:ascii="Arial" w:eastAsia="Times New Roman" w:hAnsi="Arial" w:cs="Arial"/>
          <w:i/>
          <w:iCs/>
          <w:kern w:val="36"/>
          <w:lang w:eastAsia="en-GB"/>
          <w14:ligatures w14:val="none"/>
        </w:rPr>
        <w:t>Journal of Management</w:t>
      </w:r>
      <w:r w:rsidRPr="005B7DB8">
        <w:rPr>
          <w:rFonts w:ascii="Arial" w:eastAsia="Times New Roman" w:hAnsi="Arial" w:cs="Arial"/>
          <w:kern w:val="36"/>
          <w:lang w:eastAsia="en-GB"/>
          <w14:ligatures w14:val="none"/>
        </w:rPr>
        <w:t>, 36(1), pp. 349-372.</w:t>
      </w:r>
    </w:p>
    <w:p w14:paraId="69ADF34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Lang, T., Millstone, E. and Marsden, T. (2022) 'Food Brexit and chlorinated chicken: a microcosm of wider UK food and farming futures?', </w:t>
      </w:r>
      <w:r w:rsidRPr="005B7DB8">
        <w:rPr>
          <w:rFonts w:ascii="Arial" w:eastAsia="Times New Roman" w:hAnsi="Arial" w:cs="Arial"/>
          <w:i/>
          <w:iCs/>
          <w:kern w:val="36"/>
          <w:lang w:eastAsia="en-GB"/>
          <w14:ligatures w14:val="none"/>
        </w:rPr>
        <w:t>The Political Quarterly</w:t>
      </w:r>
      <w:r w:rsidRPr="005B7DB8">
        <w:rPr>
          <w:rFonts w:ascii="Arial" w:eastAsia="Times New Roman" w:hAnsi="Arial" w:cs="Arial"/>
          <w:kern w:val="36"/>
          <w:lang w:eastAsia="en-GB"/>
          <w14:ligatures w14:val="none"/>
        </w:rPr>
        <w:t>, 93(1), pp. 103-111.</w:t>
      </w:r>
    </w:p>
    <w:p w14:paraId="515B4CD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Miller, A. (1992) 'The complementarity of Porter's generic strategies', </w:t>
      </w:r>
      <w:r w:rsidRPr="005B7DB8">
        <w:rPr>
          <w:rFonts w:ascii="Arial" w:eastAsia="Times New Roman" w:hAnsi="Arial" w:cs="Arial"/>
          <w:i/>
          <w:iCs/>
          <w:kern w:val="36"/>
          <w:lang w:eastAsia="en-GB"/>
          <w14:ligatures w14:val="none"/>
        </w:rPr>
        <w:t>Strategic Management Journal</w:t>
      </w:r>
      <w:r w:rsidRPr="005B7DB8">
        <w:rPr>
          <w:rFonts w:ascii="Arial" w:eastAsia="Times New Roman" w:hAnsi="Arial" w:cs="Arial"/>
          <w:kern w:val="36"/>
          <w:lang w:eastAsia="en-GB"/>
          <w14:ligatures w14:val="none"/>
        </w:rPr>
        <w:t>, 13(8), pp. 641-650.</w:t>
      </w:r>
    </w:p>
    <w:p w14:paraId="36A02169"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Mintel (2024) </w:t>
      </w:r>
      <w:r w:rsidRPr="005B7DB8">
        <w:rPr>
          <w:rFonts w:ascii="Arial" w:eastAsia="Times New Roman" w:hAnsi="Arial" w:cs="Arial"/>
          <w:i/>
          <w:iCs/>
          <w:kern w:val="36"/>
          <w:lang w:eastAsia="en-GB"/>
          <w14:ligatures w14:val="none"/>
        </w:rPr>
        <w:t>Plant-based foods UK 2024</w:t>
      </w:r>
      <w:r w:rsidRPr="005B7DB8">
        <w:rPr>
          <w:rFonts w:ascii="Arial" w:eastAsia="Times New Roman" w:hAnsi="Arial" w:cs="Arial"/>
          <w:kern w:val="36"/>
          <w:lang w:eastAsia="en-GB"/>
          <w14:ligatures w14:val="none"/>
        </w:rPr>
        <w:t>. London: Mintel Group Ltd.</w:t>
      </w:r>
    </w:p>
    <w:p w14:paraId="382E874C"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Office for National Statistics (2025) </w:t>
      </w:r>
      <w:r w:rsidRPr="005B7DB8">
        <w:rPr>
          <w:rFonts w:ascii="Arial" w:eastAsia="Times New Roman" w:hAnsi="Arial" w:cs="Arial"/>
          <w:i/>
          <w:iCs/>
          <w:kern w:val="36"/>
          <w:lang w:eastAsia="en-GB"/>
          <w14:ligatures w14:val="none"/>
        </w:rPr>
        <w:t>Consumer price inflation, UK: January 2025</w:t>
      </w:r>
      <w:r w:rsidRPr="005B7DB8">
        <w:rPr>
          <w:rFonts w:ascii="Arial" w:eastAsia="Times New Roman" w:hAnsi="Arial" w:cs="Arial"/>
          <w:kern w:val="36"/>
          <w:lang w:eastAsia="en-GB"/>
          <w14:ligatures w14:val="none"/>
        </w:rPr>
        <w:t>. Newport: ONS. Available at: </w:t>
      </w:r>
      <w:hyperlink r:id="rId15" w:tgtFrame="_blank" w:history="1">
        <w:r w:rsidRPr="005B7DB8">
          <w:rPr>
            <w:rStyle w:val="Hyperlink"/>
            <w:rFonts w:ascii="Arial" w:eastAsia="Times New Roman" w:hAnsi="Arial" w:cs="Arial"/>
            <w:kern w:val="36"/>
            <w:lang w:eastAsia="en-GB"/>
            <w14:ligatures w14:val="none"/>
          </w:rPr>
          <w:t>https://www.ons.gov.uk/economy/inflationandpriceindices/bulletins/consumerpriceinflation/latest</w:t>
        </w:r>
      </w:hyperlink>
      <w:r w:rsidRPr="005B7DB8">
        <w:rPr>
          <w:rFonts w:ascii="Arial" w:eastAsia="Times New Roman" w:hAnsi="Arial" w:cs="Arial"/>
          <w:kern w:val="36"/>
          <w:lang w:eastAsia="en-GB"/>
          <w14:ligatures w14:val="none"/>
        </w:rPr>
        <w:t> (Accessed: 27 June 2026).</w:t>
      </w:r>
    </w:p>
    <w:p w14:paraId="6C093364"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Pettigrew, A.M., Woodman, R.W. and Cameron, K.S. (2001) 'Studying organizational change and development: challenges for future research', </w:t>
      </w:r>
      <w:r w:rsidRPr="005B7DB8">
        <w:rPr>
          <w:rFonts w:ascii="Arial" w:eastAsia="Times New Roman" w:hAnsi="Arial" w:cs="Arial"/>
          <w:i/>
          <w:iCs/>
          <w:kern w:val="36"/>
          <w:lang w:eastAsia="en-GB"/>
          <w14:ligatures w14:val="none"/>
        </w:rPr>
        <w:t>Academy of Management Journal</w:t>
      </w:r>
      <w:r w:rsidRPr="005B7DB8">
        <w:rPr>
          <w:rFonts w:ascii="Arial" w:eastAsia="Times New Roman" w:hAnsi="Arial" w:cs="Arial"/>
          <w:kern w:val="36"/>
          <w:lang w:eastAsia="en-GB"/>
          <w14:ligatures w14:val="none"/>
        </w:rPr>
        <w:t>, 44(4), pp. 697-713.</w:t>
      </w:r>
    </w:p>
    <w:p w14:paraId="380579C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Porter, M.E. (2008) 'The five competitive forces that shape strategy', </w:t>
      </w:r>
      <w:r w:rsidRPr="005B7DB8">
        <w:rPr>
          <w:rFonts w:ascii="Arial" w:eastAsia="Times New Roman" w:hAnsi="Arial" w:cs="Arial"/>
          <w:i/>
          <w:iCs/>
          <w:kern w:val="36"/>
          <w:lang w:eastAsia="en-GB"/>
          <w14:ligatures w14:val="none"/>
        </w:rPr>
        <w:t>Harvard Business Review</w:t>
      </w:r>
      <w:r w:rsidRPr="005B7DB8">
        <w:rPr>
          <w:rFonts w:ascii="Arial" w:eastAsia="Times New Roman" w:hAnsi="Arial" w:cs="Arial"/>
          <w:kern w:val="36"/>
          <w:lang w:eastAsia="en-GB"/>
          <w14:ligatures w14:val="none"/>
        </w:rPr>
        <w:t>, 86(1), pp. 78-93.</w:t>
      </w:r>
    </w:p>
    <w:p w14:paraId="451E1AF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lastRenderedPageBreak/>
        <w:t>Rivkin, J.W. (2000) 'Imitation of complex strategies', </w:t>
      </w:r>
      <w:r w:rsidRPr="005B7DB8">
        <w:rPr>
          <w:rFonts w:ascii="Arial" w:eastAsia="Times New Roman" w:hAnsi="Arial" w:cs="Arial"/>
          <w:i/>
          <w:iCs/>
          <w:kern w:val="36"/>
          <w:lang w:eastAsia="en-GB"/>
          <w14:ligatures w14:val="none"/>
        </w:rPr>
        <w:t>Management Science</w:t>
      </w:r>
      <w:r w:rsidRPr="005B7DB8">
        <w:rPr>
          <w:rFonts w:ascii="Arial" w:eastAsia="Times New Roman" w:hAnsi="Arial" w:cs="Arial"/>
          <w:kern w:val="36"/>
          <w:lang w:eastAsia="en-GB"/>
          <w14:ligatures w14:val="none"/>
        </w:rPr>
        <w:t>, 46(6), pp. 824-844.</w:t>
      </w:r>
    </w:p>
    <w:p w14:paraId="2EFD54BE"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Shankar, S., Carpenter, G.S. and Farley, L. (2021) 'The advantages of starting early in building a green reputation', </w:t>
      </w:r>
      <w:r w:rsidRPr="005B7DB8">
        <w:rPr>
          <w:rFonts w:ascii="Arial" w:eastAsia="Times New Roman" w:hAnsi="Arial" w:cs="Arial"/>
          <w:i/>
          <w:iCs/>
          <w:kern w:val="36"/>
          <w:lang w:eastAsia="en-GB"/>
          <w14:ligatures w14:val="none"/>
        </w:rPr>
        <w:t>Journal of Marketing</w:t>
      </w:r>
      <w:r w:rsidRPr="005B7DB8">
        <w:rPr>
          <w:rFonts w:ascii="Arial" w:eastAsia="Times New Roman" w:hAnsi="Arial" w:cs="Arial"/>
          <w:kern w:val="36"/>
          <w:lang w:eastAsia="en-GB"/>
          <w14:ligatures w14:val="none"/>
        </w:rPr>
        <w:t>, 85(3), pp. 115-134.</w:t>
      </w:r>
    </w:p>
    <w:p w14:paraId="47A8BCCA"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Surroca, J., Tribó, J.A. and Waddock, S. (2010) 'Corporate responsibility and financial performance: the role of intangible resources', </w:t>
      </w:r>
      <w:r w:rsidRPr="005B7DB8">
        <w:rPr>
          <w:rFonts w:ascii="Arial" w:eastAsia="Times New Roman" w:hAnsi="Arial" w:cs="Arial"/>
          <w:i/>
          <w:iCs/>
          <w:kern w:val="36"/>
          <w:lang w:eastAsia="en-GB"/>
          <w14:ligatures w14:val="none"/>
        </w:rPr>
        <w:t>Strategic Management Journal</w:t>
      </w:r>
      <w:r w:rsidRPr="005B7DB8">
        <w:rPr>
          <w:rFonts w:ascii="Arial" w:eastAsia="Times New Roman" w:hAnsi="Arial" w:cs="Arial"/>
          <w:kern w:val="36"/>
          <w:lang w:eastAsia="en-GB"/>
          <w14:ligatures w14:val="none"/>
        </w:rPr>
        <w:t>, 31(5), pp. 463-490.</w:t>
      </w:r>
    </w:p>
    <w:p w14:paraId="2F5F5AF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Szabo, S. and Webster, J. (2021) 'Perceived greenwashing: the effects of green marketing on environmental and product perceptions', </w:t>
      </w:r>
      <w:r w:rsidRPr="005B7DB8">
        <w:rPr>
          <w:rFonts w:ascii="Arial" w:eastAsia="Times New Roman" w:hAnsi="Arial" w:cs="Arial"/>
          <w:i/>
          <w:iCs/>
          <w:kern w:val="36"/>
          <w:lang w:eastAsia="en-GB"/>
          <w14:ligatures w14:val="none"/>
        </w:rPr>
        <w:t>Journal of Business Ethics</w:t>
      </w:r>
      <w:r w:rsidRPr="005B7DB8">
        <w:rPr>
          <w:rFonts w:ascii="Arial" w:eastAsia="Times New Roman" w:hAnsi="Arial" w:cs="Arial"/>
          <w:kern w:val="36"/>
          <w:lang w:eastAsia="en-GB"/>
          <w14:ligatures w14:val="none"/>
        </w:rPr>
        <w:t>, 171(4), pp. 719-739.</w:t>
      </w:r>
    </w:p>
    <w:p w14:paraId="78317771"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Unilever (2024) </w:t>
      </w:r>
      <w:r w:rsidRPr="005B7DB8">
        <w:rPr>
          <w:rFonts w:ascii="Arial" w:eastAsia="Times New Roman" w:hAnsi="Arial" w:cs="Arial"/>
          <w:i/>
          <w:iCs/>
          <w:kern w:val="36"/>
          <w:lang w:eastAsia="en-GB"/>
          <w14:ligatures w14:val="none"/>
        </w:rPr>
        <w:t>Annual Report and Accounts 2024</w:t>
      </w:r>
      <w:r w:rsidRPr="005B7DB8">
        <w:rPr>
          <w:rFonts w:ascii="Arial" w:eastAsia="Times New Roman" w:hAnsi="Arial" w:cs="Arial"/>
          <w:kern w:val="36"/>
          <w:lang w:eastAsia="en-GB"/>
          <w14:ligatures w14:val="none"/>
        </w:rPr>
        <w:t>. London: Unilever PLC. Available at: </w:t>
      </w:r>
      <w:hyperlink r:id="rId16" w:tgtFrame="_blank" w:history="1">
        <w:r w:rsidRPr="005B7DB8">
          <w:rPr>
            <w:rStyle w:val="Hyperlink"/>
            <w:rFonts w:ascii="Arial" w:eastAsia="Times New Roman" w:hAnsi="Arial" w:cs="Arial"/>
            <w:kern w:val="36"/>
            <w:lang w:eastAsia="en-GB"/>
            <w14:ligatures w14:val="none"/>
          </w:rPr>
          <w:t>https://www.unilever.com/investors/annual-report-and-accounts/</w:t>
        </w:r>
      </w:hyperlink>
      <w:r w:rsidRPr="005B7DB8">
        <w:rPr>
          <w:rFonts w:ascii="Arial" w:eastAsia="Times New Roman" w:hAnsi="Arial" w:cs="Arial"/>
          <w:kern w:val="36"/>
          <w:lang w:eastAsia="en-GB"/>
          <w14:ligatures w14:val="none"/>
        </w:rPr>
        <w:t> (Accessed: 25 June 2026).</w:t>
      </w:r>
    </w:p>
    <w:p w14:paraId="1CC00F5B"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Wang, H., Tong, L., Takeuchi, R. and George, G. (2016) 'Corporate social responsibility: an overview and new research directions', </w:t>
      </w:r>
      <w:r w:rsidRPr="005B7DB8">
        <w:rPr>
          <w:rFonts w:ascii="Arial" w:eastAsia="Times New Roman" w:hAnsi="Arial" w:cs="Arial"/>
          <w:i/>
          <w:iCs/>
          <w:kern w:val="36"/>
          <w:lang w:eastAsia="en-GB"/>
          <w14:ligatures w14:val="none"/>
        </w:rPr>
        <w:t>Academy of Management Journal</w:t>
      </w:r>
      <w:r w:rsidRPr="005B7DB8">
        <w:rPr>
          <w:rFonts w:ascii="Arial" w:eastAsia="Times New Roman" w:hAnsi="Arial" w:cs="Arial"/>
          <w:kern w:val="36"/>
          <w:lang w:eastAsia="en-GB"/>
          <w14:ligatures w14:val="none"/>
        </w:rPr>
        <w:t>, 59(2), pp. 534-544.</w:t>
      </w:r>
    </w:p>
    <w:p w14:paraId="0F19DFB7"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r w:rsidRPr="005B7DB8">
        <w:rPr>
          <w:rFonts w:ascii="Arial" w:eastAsia="Times New Roman" w:hAnsi="Arial" w:cs="Arial"/>
          <w:kern w:val="36"/>
          <w:lang w:eastAsia="en-GB"/>
          <w14:ligatures w14:val="none"/>
        </w:rPr>
        <w:t>WRAP (2024) </w:t>
      </w:r>
      <w:r w:rsidRPr="005B7DB8">
        <w:rPr>
          <w:rFonts w:ascii="Arial" w:eastAsia="Times New Roman" w:hAnsi="Arial" w:cs="Arial"/>
          <w:i/>
          <w:iCs/>
          <w:kern w:val="36"/>
          <w:lang w:eastAsia="en-GB"/>
          <w14:ligatures w14:val="none"/>
        </w:rPr>
        <w:t>The UK Plastics Pact: annual report 2023</w:t>
      </w:r>
      <w:r w:rsidRPr="005B7DB8">
        <w:rPr>
          <w:rFonts w:ascii="Arial" w:eastAsia="Times New Roman" w:hAnsi="Arial" w:cs="Arial"/>
          <w:kern w:val="36"/>
          <w:lang w:eastAsia="en-GB"/>
          <w14:ligatures w14:val="none"/>
        </w:rPr>
        <w:t>. Banbury: Waste and Resources Action Programme. Available at: </w:t>
      </w:r>
      <w:hyperlink r:id="rId17" w:tgtFrame="_blank" w:history="1">
        <w:r w:rsidRPr="005B7DB8">
          <w:rPr>
            <w:rStyle w:val="Hyperlink"/>
            <w:rFonts w:ascii="Arial" w:eastAsia="Times New Roman" w:hAnsi="Arial" w:cs="Arial"/>
            <w:kern w:val="36"/>
            <w:lang w:eastAsia="en-GB"/>
            <w14:ligatures w14:val="none"/>
          </w:rPr>
          <w:t>https://wrap.org.uk/resources/report/uk-plastics-pact-annual-report-2023</w:t>
        </w:r>
      </w:hyperlink>
      <w:r w:rsidRPr="005B7DB8">
        <w:rPr>
          <w:rFonts w:ascii="Arial" w:eastAsia="Times New Roman" w:hAnsi="Arial" w:cs="Arial"/>
          <w:kern w:val="36"/>
          <w:lang w:eastAsia="en-GB"/>
          <w14:ligatures w14:val="none"/>
        </w:rPr>
        <w:t> (Accessed: 26 June 2026).</w:t>
      </w:r>
    </w:p>
    <w:p w14:paraId="6EA83829" w14:textId="77777777" w:rsidR="002E3002" w:rsidRPr="005B7DB8" w:rsidRDefault="002E3002" w:rsidP="00EE76FF">
      <w:pPr>
        <w:spacing w:before="100" w:beforeAutospacing="1" w:after="100" w:afterAutospacing="1" w:line="360" w:lineRule="auto"/>
        <w:rPr>
          <w:rFonts w:ascii="Arial" w:eastAsia="Times New Roman" w:hAnsi="Arial" w:cs="Arial"/>
          <w:kern w:val="36"/>
          <w:lang w:eastAsia="en-GB"/>
          <w14:ligatures w14:val="none"/>
        </w:rPr>
      </w:pPr>
    </w:p>
    <w:p w14:paraId="7EB8CBCC" w14:textId="1FB917D4" w:rsidR="00B80C90" w:rsidRPr="005B7DB8" w:rsidRDefault="00B80C90" w:rsidP="00EE76FF">
      <w:pPr>
        <w:spacing w:before="100" w:beforeAutospacing="1" w:after="100" w:afterAutospacing="1" w:line="360" w:lineRule="auto"/>
        <w:rPr>
          <w:rFonts w:ascii="Arial" w:eastAsia="Times New Roman" w:hAnsi="Arial" w:cs="Arial"/>
          <w:kern w:val="36"/>
          <w:lang w:eastAsia="en-GB"/>
          <w14:ligatures w14:val="none"/>
        </w:rPr>
      </w:pPr>
    </w:p>
    <w:sectPr w:rsidR="00B80C90" w:rsidRPr="005B7DB8" w:rsidSect="00B80C90">
      <w:footerReference w:type="even"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5742E79" w14:textId="77777777" w:rsidR="007479CC" w:rsidRDefault="007479CC" w:rsidP="00B80C90">
      <w:pPr>
        <w:spacing w:after="0" w:line="240" w:lineRule="auto"/>
      </w:pPr>
      <w:r>
        <w:separator/>
      </w:r>
    </w:p>
  </w:endnote>
  <w:endnote w:type="continuationSeparator" w:id="0">
    <w:p w14:paraId="1B7E5795" w14:textId="77777777" w:rsidR="007479CC" w:rsidRDefault="007479CC" w:rsidP="00B80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46725047"/>
      <w:docPartObj>
        <w:docPartGallery w:val="Page Numbers (Bottom of Page)"/>
        <w:docPartUnique/>
      </w:docPartObj>
    </w:sdtPr>
    <w:sdtContent>
      <w:p w14:paraId="45E56563" w14:textId="77777777" w:rsidR="00B80C90" w:rsidRDefault="00B80C90" w:rsidP="007E4E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C6F6BAC" w14:textId="77777777" w:rsidR="00B80C90" w:rsidRDefault="00B80C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82085085"/>
      <w:docPartObj>
        <w:docPartGallery w:val="Page Numbers (Bottom of Page)"/>
        <w:docPartUnique/>
      </w:docPartObj>
    </w:sdtPr>
    <w:sdtContent>
      <w:p w14:paraId="09539EC4" w14:textId="77777777" w:rsidR="00B80C90" w:rsidRDefault="00B80C90" w:rsidP="007E4E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FE7D06" w14:textId="77777777" w:rsidR="00B80C90" w:rsidRDefault="00B80C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87F3C29" w14:textId="77777777" w:rsidR="007479CC" w:rsidRDefault="007479CC" w:rsidP="00B80C90">
      <w:pPr>
        <w:spacing w:after="0" w:line="240" w:lineRule="auto"/>
      </w:pPr>
      <w:r>
        <w:separator/>
      </w:r>
    </w:p>
  </w:footnote>
  <w:footnote w:type="continuationSeparator" w:id="0">
    <w:p w14:paraId="63934D58" w14:textId="77777777" w:rsidR="007479CC" w:rsidRDefault="007479CC" w:rsidP="00B80C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AB3FFE"/>
    <w:multiLevelType w:val="multilevel"/>
    <w:tmpl w:val="65C23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F5314C"/>
    <w:multiLevelType w:val="multilevel"/>
    <w:tmpl w:val="FDA06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B06D3C"/>
    <w:multiLevelType w:val="multilevel"/>
    <w:tmpl w:val="B5028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D2235C"/>
    <w:multiLevelType w:val="multilevel"/>
    <w:tmpl w:val="624EA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485F8C"/>
    <w:multiLevelType w:val="multilevel"/>
    <w:tmpl w:val="ABA0A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F46BEB"/>
    <w:multiLevelType w:val="multilevel"/>
    <w:tmpl w:val="DE760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6D97BF2"/>
    <w:multiLevelType w:val="multilevel"/>
    <w:tmpl w:val="8CCC0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9EE50FA"/>
    <w:multiLevelType w:val="multilevel"/>
    <w:tmpl w:val="B3FAF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9A535C7"/>
    <w:multiLevelType w:val="multilevel"/>
    <w:tmpl w:val="C45EF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DB923D3"/>
    <w:multiLevelType w:val="multilevel"/>
    <w:tmpl w:val="1BEA2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2364483"/>
    <w:multiLevelType w:val="multilevel"/>
    <w:tmpl w:val="0C16E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8A76A2C"/>
    <w:multiLevelType w:val="multilevel"/>
    <w:tmpl w:val="BC3AB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CE53811"/>
    <w:multiLevelType w:val="multilevel"/>
    <w:tmpl w:val="39362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02264DB"/>
    <w:multiLevelType w:val="multilevel"/>
    <w:tmpl w:val="DF9AB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438317E"/>
    <w:multiLevelType w:val="multilevel"/>
    <w:tmpl w:val="BFD6E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F3F397E"/>
    <w:multiLevelType w:val="multilevel"/>
    <w:tmpl w:val="C3622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43D5134"/>
    <w:multiLevelType w:val="multilevel"/>
    <w:tmpl w:val="EF9A8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A8E1401"/>
    <w:multiLevelType w:val="multilevel"/>
    <w:tmpl w:val="317E0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A965750"/>
    <w:multiLevelType w:val="multilevel"/>
    <w:tmpl w:val="B17EC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D064050"/>
    <w:multiLevelType w:val="multilevel"/>
    <w:tmpl w:val="00FAC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E032BAD"/>
    <w:multiLevelType w:val="multilevel"/>
    <w:tmpl w:val="8390B62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38E50D5"/>
    <w:multiLevelType w:val="multilevel"/>
    <w:tmpl w:val="7898E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8A65601"/>
    <w:multiLevelType w:val="multilevel"/>
    <w:tmpl w:val="6332D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AF60BF7"/>
    <w:multiLevelType w:val="multilevel"/>
    <w:tmpl w:val="4456F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21950887">
    <w:abstractNumId w:val="8"/>
  </w:num>
  <w:num w:numId="2" w16cid:durableId="59795167">
    <w:abstractNumId w:val="22"/>
  </w:num>
  <w:num w:numId="3" w16cid:durableId="1113593183">
    <w:abstractNumId w:val="9"/>
  </w:num>
  <w:num w:numId="4" w16cid:durableId="209343516">
    <w:abstractNumId w:val="3"/>
  </w:num>
  <w:num w:numId="5" w16cid:durableId="1846239781">
    <w:abstractNumId w:val="18"/>
  </w:num>
  <w:num w:numId="6" w16cid:durableId="207228940">
    <w:abstractNumId w:val="0"/>
  </w:num>
  <w:num w:numId="7" w16cid:durableId="2125030375">
    <w:abstractNumId w:val="15"/>
  </w:num>
  <w:num w:numId="8" w16cid:durableId="1683582509">
    <w:abstractNumId w:val="17"/>
  </w:num>
  <w:num w:numId="9" w16cid:durableId="1382513221">
    <w:abstractNumId w:val="23"/>
  </w:num>
  <w:num w:numId="10" w16cid:durableId="1799950354">
    <w:abstractNumId w:val="21"/>
  </w:num>
  <w:num w:numId="11" w16cid:durableId="1346904064">
    <w:abstractNumId w:val="7"/>
  </w:num>
  <w:num w:numId="12" w16cid:durableId="1225680687">
    <w:abstractNumId w:val="14"/>
  </w:num>
  <w:num w:numId="13" w16cid:durableId="487596722">
    <w:abstractNumId w:val="10"/>
  </w:num>
  <w:num w:numId="14" w16cid:durableId="893661454">
    <w:abstractNumId w:val="13"/>
  </w:num>
  <w:num w:numId="15" w16cid:durableId="590940202">
    <w:abstractNumId w:val="6"/>
  </w:num>
  <w:num w:numId="16" w16cid:durableId="1869563419">
    <w:abstractNumId w:val="16"/>
  </w:num>
  <w:num w:numId="17" w16cid:durableId="1678144871">
    <w:abstractNumId w:val="1"/>
  </w:num>
  <w:num w:numId="18" w16cid:durableId="717819250">
    <w:abstractNumId w:val="12"/>
  </w:num>
  <w:num w:numId="19" w16cid:durableId="284433776">
    <w:abstractNumId w:val="4"/>
  </w:num>
  <w:num w:numId="20" w16cid:durableId="754516420">
    <w:abstractNumId w:val="2"/>
  </w:num>
  <w:num w:numId="21" w16cid:durableId="1222329259">
    <w:abstractNumId w:val="19"/>
  </w:num>
  <w:num w:numId="22" w16cid:durableId="1351689165">
    <w:abstractNumId w:val="11"/>
  </w:num>
  <w:num w:numId="23" w16cid:durableId="535509858">
    <w:abstractNumId w:val="5"/>
  </w:num>
  <w:num w:numId="24" w16cid:durableId="1381511743">
    <w:abstractNumId w:val="20"/>
  </w:num>
  <w:numIdMacAtCleanup w:val="16"/>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8AF"/>
    <w:rsid w:val="00037DA8"/>
    <w:rsid w:val="000444C7"/>
    <w:rsid w:val="000C20ED"/>
    <w:rsid w:val="000D350D"/>
    <w:rsid w:val="000E5C04"/>
    <w:rsid w:val="00103A06"/>
    <w:rsid w:val="00156F77"/>
    <w:rsid w:val="00167D9B"/>
    <w:rsid w:val="001E4F3D"/>
    <w:rsid w:val="001F75A0"/>
    <w:rsid w:val="00203CF8"/>
    <w:rsid w:val="00251ACF"/>
    <w:rsid w:val="002E3002"/>
    <w:rsid w:val="003058D5"/>
    <w:rsid w:val="00310F3C"/>
    <w:rsid w:val="00330262"/>
    <w:rsid w:val="00333D42"/>
    <w:rsid w:val="00335F27"/>
    <w:rsid w:val="00340D7E"/>
    <w:rsid w:val="00360EDA"/>
    <w:rsid w:val="003A6BFB"/>
    <w:rsid w:val="003D53F3"/>
    <w:rsid w:val="0040117D"/>
    <w:rsid w:val="004014AA"/>
    <w:rsid w:val="00425911"/>
    <w:rsid w:val="004806C8"/>
    <w:rsid w:val="004A63A9"/>
    <w:rsid w:val="004C76B3"/>
    <w:rsid w:val="004D5C01"/>
    <w:rsid w:val="005B7DB8"/>
    <w:rsid w:val="005F06C5"/>
    <w:rsid w:val="005F222F"/>
    <w:rsid w:val="00610B80"/>
    <w:rsid w:val="006210F4"/>
    <w:rsid w:val="0063154F"/>
    <w:rsid w:val="006411F7"/>
    <w:rsid w:val="006712E6"/>
    <w:rsid w:val="0067348E"/>
    <w:rsid w:val="006B098C"/>
    <w:rsid w:val="006F1220"/>
    <w:rsid w:val="006F59BF"/>
    <w:rsid w:val="007168AF"/>
    <w:rsid w:val="007333F7"/>
    <w:rsid w:val="007479CC"/>
    <w:rsid w:val="00780F4E"/>
    <w:rsid w:val="007B7AB3"/>
    <w:rsid w:val="007B7D0F"/>
    <w:rsid w:val="00801A47"/>
    <w:rsid w:val="00837E25"/>
    <w:rsid w:val="008712F2"/>
    <w:rsid w:val="008A0A9F"/>
    <w:rsid w:val="008C5D84"/>
    <w:rsid w:val="008E0C2A"/>
    <w:rsid w:val="008E355B"/>
    <w:rsid w:val="00902B61"/>
    <w:rsid w:val="00994EE1"/>
    <w:rsid w:val="009D23D9"/>
    <w:rsid w:val="00A7562D"/>
    <w:rsid w:val="00AB7C96"/>
    <w:rsid w:val="00B44EBF"/>
    <w:rsid w:val="00B50FA4"/>
    <w:rsid w:val="00B80C90"/>
    <w:rsid w:val="00BA5060"/>
    <w:rsid w:val="00BA7E73"/>
    <w:rsid w:val="00BB2EA6"/>
    <w:rsid w:val="00BB55F9"/>
    <w:rsid w:val="00BC5202"/>
    <w:rsid w:val="00C34AD9"/>
    <w:rsid w:val="00C607BD"/>
    <w:rsid w:val="00C82F14"/>
    <w:rsid w:val="00DF4097"/>
    <w:rsid w:val="00E24745"/>
    <w:rsid w:val="00E42F8E"/>
    <w:rsid w:val="00E858A0"/>
    <w:rsid w:val="00EE76FF"/>
    <w:rsid w:val="00EF5D2A"/>
    <w:rsid w:val="00F27AF6"/>
    <w:rsid w:val="00F61BA7"/>
    <w:rsid w:val="00F6569D"/>
    <w:rsid w:val="00F922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6D3A228"/>
  <w15:chartTrackingRefBased/>
  <w15:docId w15:val="{9E056E18-82E9-4D42-8029-C6BB66440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8A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168A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168A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168A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168A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168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68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68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68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8A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168A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168A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168A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168A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168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8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8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8AF"/>
    <w:rPr>
      <w:rFonts w:eastAsiaTheme="majorEastAsia" w:cstheme="majorBidi"/>
      <w:color w:val="272727" w:themeColor="text1" w:themeTint="D8"/>
    </w:rPr>
  </w:style>
  <w:style w:type="paragraph" w:styleId="Title">
    <w:name w:val="Title"/>
    <w:basedOn w:val="Normal"/>
    <w:next w:val="Normal"/>
    <w:link w:val="TitleChar"/>
    <w:uiPriority w:val="10"/>
    <w:qFormat/>
    <w:rsid w:val="007168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8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8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68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8AF"/>
    <w:pPr>
      <w:spacing w:before="160"/>
      <w:jc w:val="center"/>
    </w:pPr>
    <w:rPr>
      <w:i/>
      <w:iCs/>
      <w:color w:val="404040" w:themeColor="text1" w:themeTint="BF"/>
    </w:rPr>
  </w:style>
  <w:style w:type="character" w:customStyle="1" w:styleId="QuoteChar">
    <w:name w:val="Quote Char"/>
    <w:basedOn w:val="DefaultParagraphFont"/>
    <w:link w:val="Quote"/>
    <w:uiPriority w:val="29"/>
    <w:rsid w:val="007168AF"/>
    <w:rPr>
      <w:i/>
      <w:iCs/>
      <w:color w:val="404040" w:themeColor="text1" w:themeTint="BF"/>
    </w:rPr>
  </w:style>
  <w:style w:type="paragraph" w:styleId="ListParagraph">
    <w:name w:val="List Paragraph"/>
    <w:basedOn w:val="Normal"/>
    <w:uiPriority w:val="34"/>
    <w:qFormat/>
    <w:rsid w:val="007168AF"/>
    <w:pPr>
      <w:ind w:left="720"/>
      <w:contextualSpacing/>
    </w:pPr>
  </w:style>
  <w:style w:type="character" w:styleId="IntenseEmphasis">
    <w:name w:val="Intense Emphasis"/>
    <w:basedOn w:val="DefaultParagraphFont"/>
    <w:uiPriority w:val="21"/>
    <w:qFormat/>
    <w:rsid w:val="007168AF"/>
    <w:rPr>
      <w:i/>
      <w:iCs/>
      <w:color w:val="2F5496" w:themeColor="accent1" w:themeShade="BF"/>
    </w:rPr>
  </w:style>
  <w:style w:type="paragraph" w:styleId="IntenseQuote">
    <w:name w:val="Intense Quote"/>
    <w:basedOn w:val="Normal"/>
    <w:next w:val="Normal"/>
    <w:link w:val="IntenseQuoteChar"/>
    <w:uiPriority w:val="30"/>
    <w:qFormat/>
    <w:rsid w:val="007168A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168AF"/>
    <w:rPr>
      <w:i/>
      <w:iCs/>
      <w:color w:val="2F5496" w:themeColor="accent1" w:themeShade="BF"/>
    </w:rPr>
  </w:style>
  <w:style w:type="character" w:styleId="IntenseReference">
    <w:name w:val="Intense Reference"/>
    <w:basedOn w:val="DefaultParagraphFont"/>
    <w:uiPriority w:val="32"/>
    <w:qFormat/>
    <w:rsid w:val="007168AF"/>
    <w:rPr>
      <w:b/>
      <w:bCs/>
      <w:smallCaps/>
      <w:color w:val="2F5496" w:themeColor="accent1" w:themeShade="BF"/>
      <w:spacing w:val="5"/>
    </w:rPr>
  </w:style>
  <w:style w:type="paragraph" w:styleId="NormalWeb">
    <w:name w:val="Normal (Web)"/>
    <w:basedOn w:val="Normal"/>
    <w:uiPriority w:val="99"/>
    <w:unhideWhenUsed/>
    <w:rsid w:val="007168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168AF"/>
    <w:rPr>
      <w:b/>
      <w:bCs/>
    </w:rPr>
  </w:style>
  <w:style w:type="character" w:customStyle="1" w:styleId="relative">
    <w:name w:val="relative"/>
    <w:basedOn w:val="DefaultParagraphFont"/>
    <w:rsid w:val="007168AF"/>
  </w:style>
  <w:style w:type="paragraph" w:customStyle="1" w:styleId="not-prose">
    <w:name w:val="not-prose"/>
    <w:basedOn w:val="Normal"/>
    <w:rsid w:val="007168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168AF"/>
    <w:rPr>
      <w:i/>
      <w:iCs/>
    </w:rPr>
  </w:style>
  <w:style w:type="character" w:styleId="Hyperlink">
    <w:name w:val="Hyperlink"/>
    <w:basedOn w:val="DefaultParagraphFont"/>
    <w:uiPriority w:val="99"/>
    <w:unhideWhenUsed/>
    <w:rsid w:val="007168AF"/>
    <w:rPr>
      <w:color w:val="0000FF"/>
      <w:u w:val="single"/>
    </w:rPr>
  </w:style>
  <w:style w:type="paragraph" w:styleId="TOCHeading">
    <w:name w:val="TOC Heading"/>
    <w:basedOn w:val="Heading1"/>
    <w:next w:val="Normal"/>
    <w:uiPriority w:val="39"/>
    <w:unhideWhenUsed/>
    <w:qFormat/>
    <w:rsid w:val="00B80C9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80C90"/>
    <w:pPr>
      <w:spacing w:before="120" w:after="120"/>
    </w:pPr>
    <w:rPr>
      <w:rFonts w:cstheme="minorHAnsi"/>
      <w:b/>
      <w:bCs/>
      <w:caps/>
      <w:sz w:val="20"/>
      <w:szCs w:val="20"/>
    </w:rPr>
  </w:style>
  <w:style w:type="paragraph" w:styleId="TOC2">
    <w:name w:val="toc 2"/>
    <w:basedOn w:val="Normal"/>
    <w:next w:val="Normal"/>
    <w:autoRedefine/>
    <w:uiPriority w:val="39"/>
    <w:unhideWhenUsed/>
    <w:rsid w:val="00B80C90"/>
    <w:pPr>
      <w:spacing w:after="0"/>
      <w:ind w:left="240"/>
    </w:pPr>
    <w:rPr>
      <w:rFonts w:cstheme="minorHAnsi"/>
      <w:smallCaps/>
      <w:sz w:val="20"/>
      <w:szCs w:val="20"/>
    </w:rPr>
  </w:style>
  <w:style w:type="paragraph" w:styleId="TOC3">
    <w:name w:val="toc 3"/>
    <w:basedOn w:val="Normal"/>
    <w:next w:val="Normal"/>
    <w:autoRedefine/>
    <w:uiPriority w:val="39"/>
    <w:unhideWhenUsed/>
    <w:rsid w:val="00B80C90"/>
    <w:pPr>
      <w:spacing w:after="0"/>
      <w:ind w:left="480"/>
    </w:pPr>
    <w:rPr>
      <w:rFonts w:cstheme="minorHAnsi"/>
      <w:i/>
      <w:iCs/>
      <w:sz w:val="20"/>
      <w:szCs w:val="20"/>
    </w:rPr>
  </w:style>
  <w:style w:type="paragraph" w:styleId="TOC4">
    <w:name w:val="toc 4"/>
    <w:basedOn w:val="Normal"/>
    <w:next w:val="Normal"/>
    <w:autoRedefine/>
    <w:uiPriority w:val="39"/>
    <w:semiHidden/>
    <w:unhideWhenUsed/>
    <w:rsid w:val="00B80C90"/>
    <w:pPr>
      <w:spacing w:after="0"/>
      <w:ind w:left="720"/>
    </w:pPr>
    <w:rPr>
      <w:rFonts w:cstheme="minorHAnsi"/>
      <w:sz w:val="18"/>
      <w:szCs w:val="18"/>
    </w:rPr>
  </w:style>
  <w:style w:type="paragraph" w:styleId="TOC5">
    <w:name w:val="toc 5"/>
    <w:basedOn w:val="Normal"/>
    <w:next w:val="Normal"/>
    <w:autoRedefine/>
    <w:uiPriority w:val="39"/>
    <w:semiHidden/>
    <w:unhideWhenUsed/>
    <w:rsid w:val="00B80C90"/>
    <w:pPr>
      <w:spacing w:after="0"/>
      <w:ind w:left="960"/>
    </w:pPr>
    <w:rPr>
      <w:rFonts w:cstheme="minorHAnsi"/>
      <w:sz w:val="18"/>
      <w:szCs w:val="18"/>
    </w:rPr>
  </w:style>
  <w:style w:type="paragraph" w:styleId="TOC6">
    <w:name w:val="toc 6"/>
    <w:basedOn w:val="Normal"/>
    <w:next w:val="Normal"/>
    <w:autoRedefine/>
    <w:uiPriority w:val="39"/>
    <w:semiHidden/>
    <w:unhideWhenUsed/>
    <w:rsid w:val="00B80C90"/>
    <w:pPr>
      <w:spacing w:after="0"/>
      <w:ind w:left="1200"/>
    </w:pPr>
    <w:rPr>
      <w:rFonts w:cstheme="minorHAnsi"/>
      <w:sz w:val="18"/>
      <w:szCs w:val="18"/>
    </w:rPr>
  </w:style>
  <w:style w:type="paragraph" w:styleId="TOC7">
    <w:name w:val="toc 7"/>
    <w:basedOn w:val="Normal"/>
    <w:next w:val="Normal"/>
    <w:autoRedefine/>
    <w:uiPriority w:val="39"/>
    <w:semiHidden/>
    <w:unhideWhenUsed/>
    <w:rsid w:val="00B80C90"/>
    <w:pPr>
      <w:spacing w:after="0"/>
      <w:ind w:left="1440"/>
    </w:pPr>
    <w:rPr>
      <w:rFonts w:cstheme="minorHAnsi"/>
      <w:sz w:val="18"/>
      <w:szCs w:val="18"/>
    </w:rPr>
  </w:style>
  <w:style w:type="paragraph" w:styleId="TOC8">
    <w:name w:val="toc 8"/>
    <w:basedOn w:val="Normal"/>
    <w:next w:val="Normal"/>
    <w:autoRedefine/>
    <w:uiPriority w:val="39"/>
    <w:semiHidden/>
    <w:unhideWhenUsed/>
    <w:rsid w:val="00B80C90"/>
    <w:pPr>
      <w:spacing w:after="0"/>
      <w:ind w:left="1680"/>
    </w:pPr>
    <w:rPr>
      <w:rFonts w:cstheme="minorHAnsi"/>
      <w:sz w:val="18"/>
      <w:szCs w:val="18"/>
    </w:rPr>
  </w:style>
  <w:style w:type="paragraph" w:styleId="TOC9">
    <w:name w:val="toc 9"/>
    <w:basedOn w:val="Normal"/>
    <w:next w:val="Normal"/>
    <w:autoRedefine/>
    <w:uiPriority w:val="39"/>
    <w:semiHidden/>
    <w:unhideWhenUsed/>
    <w:rsid w:val="00B80C90"/>
    <w:pPr>
      <w:spacing w:after="0"/>
      <w:ind w:left="1920"/>
    </w:pPr>
    <w:rPr>
      <w:rFonts w:cstheme="minorHAnsi"/>
      <w:sz w:val="18"/>
      <w:szCs w:val="18"/>
    </w:rPr>
  </w:style>
  <w:style w:type="paragraph" w:styleId="Header">
    <w:name w:val="header"/>
    <w:basedOn w:val="Normal"/>
    <w:link w:val="HeaderChar"/>
    <w:uiPriority w:val="99"/>
    <w:unhideWhenUsed/>
    <w:rsid w:val="00B80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C90"/>
  </w:style>
  <w:style w:type="paragraph" w:styleId="Footer">
    <w:name w:val="footer"/>
    <w:basedOn w:val="Normal"/>
    <w:link w:val="FooterChar"/>
    <w:uiPriority w:val="99"/>
    <w:unhideWhenUsed/>
    <w:rsid w:val="00B80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C90"/>
  </w:style>
  <w:style w:type="paragraph" w:styleId="NoSpacing">
    <w:name w:val="No Spacing"/>
    <w:link w:val="NoSpacingChar"/>
    <w:uiPriority w:val="1"/>
    <w:qFormat/>
    <w:rsid w:val="00B80C90"/>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80C90"/>
    <w:rPr>
      <w:rFonts w:eastAsiaTheme="minorEastAsia"/>
      <w:kern w:val="0"/>
      <w:sz w:val="22"/>
      <w:szCs w:val="22"/>
      <w:lang w:val="en-US" w:eastAsia="zh-CN"/>
      <w14:ligatures w14:val="none"/>
    </w:rPr>
  </w:style>
  <w:style w:type="character" w:styleId="PageNumber">
    <w:name w:val="page number"/>
    <w:basedOn w:val="DefaultParagraphFont"/>
    <w:uiPriority w:val="99"/>
    <w:semiHidden/>
    <w:unhideWhenUsed/>
    <w:rsid w:val="00B80C90"/>
  </w:style>
  <w:style w:type="character" w:styleId="UnresolvedMention">
    <w:name w:val="Unresolved Mention"/>
    <w:basedOn w:val="DefaultParagraphFont"/>
    <w:uiPriority w:val="99"/>
    <w:semiHidden/>
    <w:unhideWhenUsed/>
    <w:rsid w:val="003D53F3"/>
    <w:rPr>
      <w:color w:val="605E5C"/>
      <w:shd w:val="clear" w:color="auto" w:fill="E1DFDD"/>
    </w:rPr>
  </w:style>
  <w:style w:type="paragraph" w:customStyle="1" w:styleId="msonormal0">
    <w:name w:val="msonormal"/>
    <w:basedOn w:val="Normal"/>
    <w:rsid w:val="006712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TMLPreformatted">
    <w:name w:val="HTML Preformatted"/>
    <w:basedOn w:val="Normal"/>
    <w:link w:val="HTMLPreformattedChar"/>
    <w:uiPriority w:val="99"/>
    <w:semiHidden/>
    <w:unhideWhenUsed/>
    <w:rsid w:val="006712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6712E6"/>
    <w:rPr>
      <w:rFonts w:ascii="Courier New" w:eastAsia="Times New Roman" w:hAnsi="Courier New" w:cs="Courier New"/>
      <w:kern w:val="0"/>
      <w:sz w:val="20"/>
      <w:szCs w:val="20"/>
      <w:lang w:eastAsia="en-GB"/>
      <w14:ligatures w14:val="none"/>
    </w:rPr>
  </w:style>
  <w:style w:type="character" w:customStyle="1" w:styleId="text-text-secondary">
    <w:name w:val="text-text-secondary"/>
    <w:basedOn w:val="DefaultParagraphFont"/>
    <w:rsid w:val="006712E6"/>
  </w:style>
  <w:style w:type="character" w:styleId="HTMLCode">
    <w:name w:val="HTML Code"/>
    <w:basedOn w:val="DefaultParagraphFont"/>
    <w:uiPriority w:val="99"/>
    <w:semiHidden/>
    <w:unhideWhenUsed/>
    <w:rsid w:val="006712E6"/>
    <w:rPr>
      <w:rFonts w:ascii="Courier New" w:eastAsia="Times New Roman" w:hAnsi="Courier New" w:cs="Courier New"/>
      <w:sz w:val="20"/>
      <w:szCs w:val="20"/>
    </w:rPr>
  </w:style>
  <w:style w:type="character" w:customStyle="1" w:styleId="line">
    <w:name w:val="line"/>
    <w:basedOn w:val="DefaultParagraphFont"/>
    <w:rsid w:val="006712E6"/>
  </w:style>
  <w:style w:type="character" w:styleId="FollowedHyperlink">
    <w:name w:val="FollowedHyperlink"/>
    <w:basedOn w:val="DefaultParagraphFont"/>
    <w:uiPriority w:val="99"/>
    <w:semiHidden/>
    <w:unhideWhenUsed/>
    <w:rsid w:val="006712E6"/>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rap.org.uk/resources/report/uk-plastics-pact-annual-report-2023" TargetMode="External"/><Relationship Id="rId2" Type="http://schemas.openxmlformats.org/officeDocument/2006/relationships/numbering" Target="numbering.xml"/><Relationship Id="rId16" Type="http://schemas.openxmlformats.org/officeDocument/2006/relationships/hyperlink" Target="https://www.unilever.com/investors/annual-report-and-account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ons.gov.uk/economy/inflationandpriceindices/bulletins/consumerpriceinflation/latest" TargetMode="Externa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collections/environmental-land-management-schemes-overvie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90FDA-A0F4-F344-8122-2C39ABAB3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TotalTime>
  <Pages>39</Pages>
  <Words>9609</Words>
  <Characters>54774</Characters>
  <Application>Microsoft Office Word</Application>
  <DocSecurity>0</DocSecurity>
  <Lines>456</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Prince Sade (2525510)</cp:lastModifiedBy>
  <cp:revision>33</cp:revision>
  <dcterms:created xsi:type="dcterms:W3CDTF">2026-03-03T21:34:00Z</dcterms:created>
  <dcterms:modified xsi:type="dcterms:W3CDTF">2026-07-16T13:17:00Z</dcterms:modified>
</cp:coreProperties>
</file>