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67902" w14:textId="77777777" w:rsidR="00F841BA" w:rsidRPr="00CB4CDE" w:rsidRDefault="00F841BA" w:rsidP="00044024">
      <w:pPr>
        <w:spacing w:after="160" w:line="278" w:lineRule="auto"/>
        <w:jc w:val="center"/>
        <w:rPr>
          <w:rFonts w:ascii="Arial" w:hAnsi="Arial" w:cs="Arial"/>
          <w:b/>
          <w:bCs/>
          <w:sz w:val="32"/>
          <w:szCs w:val="32"/>
        </w:rPr>
      </w:pPr>
    </w:p>
    <w:p w14:paraId="17E89C79" w14:textId="01483D5E" w:rsidR="00F841BA" w:rsidRPr="00CB4CDE" w:rsidRDefault="00F841BA" w:rsidP="00044024">
      <w:pPr>
        <w:spacing w:after="160" w:line="278" w:lineRule="auto"/>
        <w:jc w:val="center"/>
        <w:rPr>
          <w:rFonts w:ascii="Arial" w:hAnsi="Arial" w:cs="Arial"/>
          <w:b/>
          <w:bCs/>
          <w:sz w:val="32"/>
          <w:szCs w:val="32"/>
        </w:rPr>
      </w:pPr>
      <w:r w:rsidRPr="00CB4CDE">
        <w:rPr>
          <w:rFonts w:ascii="Arial" w:hAnsi="Arial" w:cs="Arial"/>
          <w:b/>
          <w:bCs/>
          <w:noProof/>
          <w:sz w:val="32"/>
          <w:szCs w:val="32"/>
        </w:rPr>
        <w:drawing>
          <wp:inline distT="0" distB="0" distL="0" distR="0" wp14:anchorId="4B66E942" wp14:editId="27BC5517">
            <wp:extent cx="3476625" cy="839391"/>
            <wp:effectExtent l="0" t="0" r="0" b="0"/>
            <wp:docPr id="1935166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66825" name=""/>
                    <pic:cNvPicPr/>
                  </pic:nvPicPr>
                  <pic:blipFill>
                    <a:blip r:embed="rId7"/>
                    <a:stretch>
                      <a:fillRect/>
                    </a:stretch>
                  </pic:blipFill>
                  <pic:spPr>
                    <a:xfrm>
                      <a:off x="0" y="0"/>
                      <a:ext cx="3503801" cy="845952"/>
                    </a:xfrm>
                    <a:prstGeom prst="rect">
                      <a:avLst/>
                    </a:prstGeom>
                  </pic:spPr>
                </pic:pic>
              </a:graphicData>
            </a:graphic>
          </wp:inline>
        </w:drawing>
      </w:r>
    </w:p>
    <w:p w14:paraId="0A2EDC6A" w14:textId="77777777" w:rsidR="00F841BA" w:rsidRPr="00CB4CDE" w:rsidRDefault="00F841BA" w:rsidP="00044024">
      <w:pPr>
        <w:spacing w:after="160" w:line="278" w:lineRule="auto"/>
        <w:jc w:val="center"/>
        <w:rPr>
          <w:rFonts w:ascii="Arial" w:hAnsi="Arial" w:cs="Arial"/>
          <w:b/>
          <w:bCs/>
          <w:sz w:val="32"/>
          <w:szCs w:val="32"/>
        </w:rPr>
      </w:pPr>
    </w:p>
    <w:p w14:paraId="6CCCDF05" w14:textId="77777777" w:rsidR="00F841BA" w:rsidRPr="00CB4CDE" w:rsidRDefault="00F841BA" w:rsidP="00044024">
      <w:pPr>
        <w:spacing w:after="160" w:line="278" w:lineRule="auto"/>
        <w:jc w:val="center"/>
        <w:rPr>
          <w:rFonts w:ascii="Arial" w:hAnsi="Arial" w:cs="Arial"/>
          <w:b/>
          <w:bCs/>
          <w:sz w:val="32"/>
          <w:szCs w:val="32"/>
        </w:rPr>
      </w:pPr>
    </w:p>
    <w:p w14:paraId="32DE4A4D" w14:textId="039A3842" w:rsidR="00F841BA" w:rsidRPr="00CB4CDE" w:rsidRDefault="003F65E9" w:rsidP="003F65E9">
      <w:pPr>
        <w:spacing w:after="160" w:line="278" w:lineRule="auto"/>
        <w:jc w:val="center"/>
        <w:rPr>
          <w:rFonts w:ascii="Arial" w:hAnsi="Arial" w:cs="Arial"/>
          <w:b/>
          <w:bCs/>
          <w:sz w:val="32"/>
          <w:szCs w:val="32"/>
        </w:rPr>
      </w:pPr>
      <w:r>
        <w:rPr>
          <w:rFonts w:ascii="Arial" w:hAnsi="Arial" w:cs="Arial"/>
          <w:b/>
          <w:bCs/>
          <w:sz w:val="32"/>
          <w:szCs w:val="32"/>
        </w:rPr>
        <w:t>Programme Name: Master of Business Administration International Business</w:t>
      </w:r>
    </w:p>
    <w:p w14:paraId="6C11CA07" w14:textId="00B4CB0C" w:rsidR="00A73BB4" w:rsidRPr="00CB4CDE" w:rsidRDefault="00A73BB4" w:rsidP="00044024">
      <w:pPr>
        <w:spacing w:after="160" w:line="278" w:lineRule="auto"/>
        <w:jc w:val="center"/>
        <w:rPr>
          <w:rFonts w:ascii="Arial" w:hAnsi="Arial" w:cs="Arial"/>
          <w:b/>
          <w:bCs/>
          <w:sz w:val="32"/>
          <w:szCs w:val="32"/>
        </w:rPr>
      </w:pPr>
      <w:r w:rsidRPr="00CB4CDE">
        <w:rPr>
          <w:rFonts w:ascii="Arial" w:hAnsi="Arial" w:cs="Arial"/>
          <w:b/>
          <w:bCs/>
          <w:sz w:val="32"/>
          <w:szCs w:val="32"/>
        </w:rPr>
        <w:t>Student Name: Harsh Pyarelal Dhabhai</w:t>
      </w:r>
    </w:p>
    <w:p w14:paraId="085D54EF" w14:textId="77777777" w:rsidR="00A73BB4" w:rsidRPr="00CB4CDE" w:rsidRDefault="00A73BB4" w:rsidP="00044024">
      <w:pPr>
        <w:spacing w:after="160" w:line="278" w:lineRule="auto"/>
        <w:jc w:val="center"/>
        <w:rPr>
          <w:rFonts w:ascii="Arial" w:hAnsi="Arial" w:cs="Arial"/>
          <w:b/>
          <w:bCs/>
          <w:sz w:val="32"/>
          <w:szCs w:val="32"/>
        </w:rPr>
      </w:pPr>
      <w:r w:rsidRPr="00CB4CDE">
        <w:rPr>
          <w:rFonts w:ascii="Arial" w:hAnsi="Arial" w:cs="Arial"/>
          <w:b/>
          <w:bCs/>
          <w:sz w:val="32"/>
          <w:szCs w:val="32"/>
        </w:rPr>
        <w:t>Student Id:2541472</w:t>
      </w:r>
    </w:p>
    <w:p w14:paraId="766F0478" w14:textId="77777777" w:rsidR="00F841BA" w:rsidRPr="00CB4CDE" w:rsidRDefault="00F841BA" w:rsidP="00044024">
      <w:pPr>
        <w:spacing w:after="160" w:line="278" w:lineRule="auto"/>
        <w:jc w:val="center"/>
        <w:rPr>
          <w:rFonts w:ascii="Arial" w:hAnsi="Arial" w:cs="Arial"/>
          <w:b/>
          <w:bCs/>
          <w:sz w:val="32"/>
          <w:szCs w:val="32"/>
        </w:rPr>
      </w:pPr>
    </w:p>
    <w:p w14:paraId="55C9FFF0" w14:textId="77777777" w:rsidR="00A73BB4" w:rsidRPr="00CB4CDE" w:rsidRDefault="00A73BB4" w:rsidP="00044024">
      <w:pPr>
        <w:spacing w:after="160" w:line="278" w:lineRule="auto"/>
        <w:jc w:val="center"/>
        <w:rPr>
          <w:rFonts w:ascii="Arial" w:hAnsi="Arial" w:cs="Arial"/>
          <w:b/>
          <w:bCs/>
          <w:sz w:val="32"/>
          <w:szCs w:val="32"/>
        </w:rPr>
      </w:pPr>
      <w:r w:rsidRPr="00CB4CDE">
        <w:rPr>
          <w:rFonts w:ascii="Arial" w:hAnsi="Arial" w:cs="Arial"/>
          <w:b/>
          <w:bCs/>
          <w:sz w:val="32"/>
          <w:szCs w:val="32"/>
        </w:rPr>
        <w:t>Module Name: Financial Management</w:t>
      </w:r>
    </w:p>
    <w:p w14:paraId="42172FFB" w14:textId="77777777" w:rsidR="00A73BB4" w:rsidRDefault="00A73BB4" w:rsidP="00044024">
      <w:pPr>
        <w:spacing w:after="160" w:line="278" w:lineRule="auto"/>
        <w:jc w:val="center"/>
        <w:rPr>
          <w:rFonts w:ascii="Arial" w:hAnsi="Arial" w:cs="Arial"/>
          <w:b/>
          <w:bCs/>
          <w:sz w:val="32"/>
          <w:szCs w:val="32"/>
        </w:rPr>
      </w:pPr>
      <w:r w:rsidRPr="00CB4CDE">
        <w:rPr>
          <w:rFonts w:ascii="Arial" w:hAnsi="Arial" w:cs="Arial"/>
          <w:b/>
          <w:bCs/>
          <w:sz w:val="32"/>
          <w:szCs w:val="32"/>
        </w:rPr>
        <w:t>Module Code: LCMB7002</w:t>
      </w:r>
    </w:p>
    <w:p w14:paraId="550E323C" w14:textId="23870EAE" w:rsidR="003F65E9" w:rsidRPr="00CB4CDE" w:rsidRDefault="003F65E9" w:rsidP="00044024">
      <w:pPr>
        <w:spacing w:after="160" w:line="278" w:lineRule="auto"/>
        <w:jc w:val="center"/>
        <w:rPr>
          <w:rFonts w:ascii="Arial" w:hAnsi="Arial" w:cs="Arial"/>
          <w:b/>
          <w:bCs/>
          <w:sz w:val="32"/>
          <w:szCs w:val="32"/>
        </w:rPr>
      </w:pPr>
      <w:r>
        <w:rPr>
          <w:rFonts w:ascii="Arial" w:hAnsi="Arial" w:cs="Arial"/>
          <w:b/>
          <w:bCs/>
          <w:sz w:val="32"/>
          <w:szCs w:val="32"/>
        </w:rPr>
        <w:t>Lecturer’s Name: Shengfeng Mei</w:t>
      </w:r>
    </w:p>
    <w:p w14:paraId="00BFED2E" w14:textId="77777777" w:rsidR="00F841BA" w:rsidRPr="00CB4CDE" w:rsidRDefault="00F841BA" w:rsidP="00044024">
      <w:pPr>
        <w:spacing w:after="160" w:line="278" w:lineRule="auto"/>
        <w:jc w:val="center"/>
        <w:rPr>
          <w:rFonts w:ascii="Arial" w:hAnsi="Arial" w:cs="Arial"/>
          <w:b/>
          <w:bCs/>
          <w:sz w:val="32"/>
          <w:szCs w:val="32"/>
        </w:rPr>
      </w:pPr>
    </w:p>
    <w:p w14:paraId="7B9C2FFF" w14:textId="16B48E08" w:rsidR="00F841BA" w:rsidRPr="00CB4CDE" w:rsidRDefault="00A73BB4" w:rsidP="00044024">
      <w:pPr>
        <w:spacing w:after="160" w:line="278" w:lineRule="auto"/>
        <w:jc w:val="center"/>
        <w:rPr>
          <w:rFonts w:ascii="Arial" w:hAnsi="Arial" w:cs="Arial"/>
          <w:b/>
          <w:bCs/>
          <w:sz w:val="32"/>
          <w:szCs w:val="32"/>
        </w:rPr>
      </w:pPr>
      <w:r w:rsidRPr="00CB4CDE">
        <w:rPr>
          <w:rFonts w:ascii="Arial" w:hAnsi="Arial" w:cs="Arial"/>
          <w:b/>
          <w:bCs/>
          <w:sz w:val="32"/>
          <w:szCs w:val="32"/>
        </w:rPr>
        <w:t xml:space="preserve">Assessment Title: Financial Performance </w:t>
      </w:r>
      <w:r w:rsidR="00D428EC" w:rsidRPr="00CB4CDE">
        <w:rPr>
          <w:rFonts w:ascii="Arial" w:hAnsi="Arial" w:cs="Arial"/>
          <w:b/>
          <w:bCs/>
          <w:sz w:val="32"/>
          <w:szCs w:val="32"/>
        </w:rPr>
        <w:t>and</w:t>
      </w:r>
      <w:r w:rsidRPr="00CB4CDE">
        <w:rPr>
          <w:rFonts w:ascii="Arial" w:hAnsi="Arial" w:cs="Arial"/>
          <w:b/>
          <w:bCs/>
          <w:sz w:val="32"/>
          <w:szCs w:val="32"/>
        </w:rPr>
        <w:t xml:space="preserve"> Management: Individual Report on Hilton Worldwide Holdings Inc.</w:t>
      </w:r>
    </w:p>
    <w:p w14:paraId="03C0B333" w14:textId="6E5B7F00" w:rsidR="00F841BA" w:rsidRPr="00CB4CDE" w:rsidRDefault="003F65E9" w:rsidP="00044024">
      <w:pPr>
        <w:spacing w:after="160" w:line="278" w:lineRule="auto"/>
        <w:jc w:val="center"/>
        <w:rPr>
          <w:rFonts w:ascii="Arial" w:hAnsi="Arial" w:cs="Arial"/>
          <w:b/>
          <w:bCs/>
          <w:sz w:val="32"/>
          <w:szCs w:val="32"/>
        </w:rPr>
      </w:pPr>
      <w:r>
        <w:rPr>
          <w:rFonts w:ascii="Arial" w:hAnsi="Arial" w:cs="Arial"/>
          <w:b/>
          <w:bCs/>
          <w:sz w:val="32"/>
          <w:szCs w:val="32"/>
        </w:rPr>
        <w:t>Submission Date: 12/08/2026</w:t>
      </w:r>
    </w:p>
    <w:p w14:paraId="08A09735" w14:textId="3BD6FA44" w:rsidR="00044024" w:rsidRPr="00CB4CDE" w:rsidRDefault="00F841BA" w:rsidP="00044024">
      <w:pPr>
        <w:spacing w:after="160" w:line="278" w:lineRule="auto"/>
        <w:jc w:val="center"/>
        <w:rPr>
          <w:rFonts w:ascii="Arial" w:hAnsi="Arial" w:cs="Arial"/>
          <w:b/>
          <w:bCs/>
          <w:sz w:val="32"/>
          <w:szCs w:val="32"/>
        </w:rPr>
      </w:pPr>
      <w:r w:rsidRPr="00CB4CDE">
        <w:rPr>
          <w:rFonts w:ascii="Arial" w:hAnsi="Arial" w:cs="Arial"/>
          <w:b/>
          <w:bCs/>
          <w:sz w:val="32"/>
          <w:szCs w:val="32"/>
        </w:rPr>
        <w:t xml:space="preserve">Word Count: </w:t>
      </w:r>
      <w:r w:rsidR="00D428EC" w:rsidRPr="00CB4CDE">
        <w:rPr>
          <w:rFonts w:ascii="Arial" w:hAnsi="Arial" w:cs="Arial"/>
          <w:b/>
          <w:bCs/>
          <w:sz w:val="32"/>
          <w:szCs w:val="32"/>
        </w:rPr>
        <w:t>5200</w:t>
      </w:r>
      <w:r w:rsidR="00044024" w:rsidRPr="00CB4CDE">
        <w:rPr>
          <w:rFonts w:ascii="Arial" w:hAnsi="Arial" w:cs="Arial"/>
          <w:b/>
          <w:bCs/>
          <w:sz w:val="32"/>
          <w:szCs w:val="32"/>
        </w:rPr>
        <w:br w:type="page"/>
      </w:r>
    </w:p>
    <w:sdt>
      <w:sdtPr>
        <w:rPr>
          <w:rFonts w:ascii="Arial" w:hAnsi="Arial" w:cs="Arial"/>
          <w:b w:val="0"/>
          <w:bCs w:val="0"/>
          <w:kern w:val="2"/>
          <w:sz w:val="24"/>
          <w:szCs w:val="24"/>
          <w14:ligatures w14:val="standardContextual"/>
        </w:rPr>
        <w:id w:val="-2128307643"/>
        <w:docPartObj>
          <w:docPartGallery w:val="Table of Contents"/>
          <w:docPartUnique/>
        </w:docPartObj>
      </w:sdtPr>
      <w:sdtEndPr>
        <w:rPr>
          <w:noProof/>
        </w:rPr>
      </w:sdtEndPr>
      <w:sdtContent>
        <w:p w14:paraId="1E8B68B1" w14:textId="7629E711" w:rsidR="00044024" w:rsidRPr="00CB4CDE" w:rsidRDefault="00044024" w:rsidP="00044024">
          <w:pPr>
            <w:pStyle w:val="TOCHeading"/>
            <w:rPr>
              <w:rFonts w:ascii="Arial" w:hAnsi="Arial" w:cs="Arial"/>
            </w:rPr>
          </w:pPr>
          <w:r w:rsidRPr="00CB4CDE">
            <w:rPr>
              <w:rFonts w:ascii="Arial" w:hAnsi="Arial" w:cs="Arial"/>
            </w:rPr>
            <w:t>Contents</w:t>
          </w:r>
        </w:p>
        <w:p w14:paraId="089E8583" w14:textId="6694334B" w:rsidR="00C2078B" w:rsidRPr="00CB4CDE" w:rsidRDefault="00044024">
          <w:pPr>
            <w:pStyle w:val="TOC1"/>
            <w:tabs>
              <w:tab w:val="right" w:leader="dot" w:pos="9016"/>
            </w:tabs>
            <w:rPr>
              <w:rFonts w:ascii="Arial" w:eastAsiaTheme="minorEastAsia" w:hAnsi="Arial" w:cs="Arial"/>
              <w:noProof/>
            </w:rPr>
          </w:pPr>
          <w:r w:rsidRPr="00CB4CDE">
            <w:rPr>
              <w:rFonts w:ascii="Arial" w:hAnsi="Arial" w:cs="Arial"/>
            </w:rPr>
            <w:fldChar w:fldCharType="begin"/>
          </w:r>
          <w:r w:rsidRPr="00CB4CDE">
            <w:rPr>
              <w:rFonts w:ascii="Arial" w:hAnsi="Arial" w:cs="Arial"/>
            </w:rPr>
            <w:instrText xml:space="preserve"> TOC \o "1-3" \h \z \u </w:instrText>
          </w:r>
          <w:r w:rsidRPr="00CB4CDE">
            <w:rPr>
              <w:rFonts w:ascii="Arial" w:hAnsi="Arial" w:cs="Arial"/>
            </w:rPr>
            <w:fldChar w:fldCharType="separate"/>
          </w:r>
          <w:hyperlink w:anchor="_Toc236928800" w:history="1">
            <w:r w:rsidR="00C2078B" w:rsidRPr="00CB4CDE">
              <w:rPr>
                <w:rStyle w:val="Hyperlink"/>
                <w:rFonts w:ascii="Arial" w:hAnsi="Arial" w:cs="Arial"/>
                <w:noProof/>
              </w:rPr>
              <w:t>Introduction</w:t>
            </w:r>
            <w:r w:rsidR="00C2078B" w:rsidRPr="00CB4CDE">
              <w:rPr>
                <w:rFonts w:ascii="Arial" w:hAnsi="Arial" w:cs="Arial"/>
                <w:noProof/>
                <w:webHidden/>
              </w:rPr>
              <w:tab/>
            </w:r>
            <w:r w:rsidR="00C2078B" w:rsidRPr="00CB4CDE">
              <w:rPr>
                <w:rFonts w:ascii="Arial" w:hAnsi="Arial" w:cs="Arial"/>
                <w:noProof/>
                <w:webHidden/>
              </w:rPr>
              <w:fldChar w:fldCharType="begin"/>
            </w:r>
            <w:r w:rsidR="00C2078B" w:rsidRPr="00CB4CDE">
              <w:rPr>
                <w:rFonts w:ascii="Arial" w:hAnsi="Arial" w:cs="Arial"/>
                <w:noProof/>
                <w:webHidden/>
              </w:rPr>
              <w:instrText xml:space="preserve"> PAGEREF _Toc236928800 \h </w:instrText>
            </w:r>
            <w:r w:rsidR="00C2078B" w:rsidRPr="00CB4CDE">
              <w:rPr>
                <w:rFonts w:ascii="Arial" w:hAnsi="Arial" w:cs="Arial"/>
                <w:noProof/>
                <w:webHidden/>
              </w:rPr>
            </w:r>
            <w:r w:rsidR="00C2078B" w:rsidRPr="00CB4CDE">
              <w:rPr>
                <w:rFonts w:ascii="Arial" w:hAnsi="Arial" w:cs="Arial"/>
                <w:noProof/>
                <w:webHidden/>
              </w:rPr>
              <w:fldChar w:fldCharType="separate"/>
            </w:r>
            <w:r w:rsidR="00C2078B" w:rsidRPr="00CB4CDE">
              <w:rPr>
                <w:rFonts w:ascii="Arial" w:hAnsi="Arial" w:cs="Arial"/>
                <w:noProof/>
                <w:webHidden/>
              </w:rPr>
              <w:t>4</w:t>
            </w:r>
            <w:r w:rsidR="00C2078B" w:rsidRPr="00CB4CDE">
              <w:rPr>
                <w:rFonts w:ascii="Arial" w:hAnsi="Arial" w:cs="Arial"/>
                <w:noProof/>
                <w:webHidden/>
              </w:rPr>
              <w:fldChar w:fldCharType="end"/>
            </w:r>
          </w:hyperlink>
        </w:p>
        <w:p w14:paraId="4474AEFB" w14:textId="0A4B607E" w:rsidR="00C2078B" w:rsidRPr="00CB4CDE" w:rsidRDefault="00C2078B">
          <w:pPr>
            <w:pStyle w:val="TOC1"/>
            <w:tabs>
              <w:tab w:val="right" w:leader="dot" w:pos="9016"/>
            </w:tabs>
            <w:rPr>
              <w:rFonts w:ascii="Arial" w:eastAsiaTheme="minorEastAsia" w:hAnsi="Arial" w:cs="Arial"/>
              <w:noProof/>
            </w:rPr>
          </w:pPr>
          <w:hyperlink w:anchor="_Toc236928801" w:history="1">
            <w:r w:rsidRPr="00CB4CDE">
              <w:rPr>
                <w:rStyle w:val="Hyperlink"/>
                <w:rFonts w:ascii="Arial" w:hAnsi="Arial" w:cs="Arial"/>
                <w:noProof/>
              </w:rPr>
              <w:t>Task</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_Toc236928801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4</w:t>
            </w:r>
            <w:r w:rsidRPr="00CB4CDE">
              <w:rPr>
                <w:rFonts w:ascii="Arial" w:hAnsi="Arial" w:cs="Arial"/>
                <w:noProof/>
                <w:webHidden/>
              </w:rPr>
              <w:fldChar w:fldCharType="end"/>
            </w:r>
          </w:hyperlink>
        </w:p>
        <w:p w14:paraId="4B69BC75" w14:textId="7F68B92E" w:rsidR="00C2078B" w:rsidRPr="00CB4CDE" w:rsidRDefault="00C2078B">
          <w:pPr>
            <w:pStyle w:val="TOC2"/>
            <w:tabs>
              <w:tab w:val="right" w:leader="dot" w:pos="9016"/>
            </w:tabs>
            <w:rPr>
              <w:rFonts w:ascii="Arial" w:eastAsiaTheme="minorEastAsia" w:hAnsi="Arial" w:cs="Arial"/>
              <w:noProof/>
            </w:rPr>
          </w:pPr>
          <w:hyperlink w:anchor="_Toc236928802" w:history="1">
            <w:r w:rsidRPr="00CB4CDE">
              <w:rPr>
                <w:rStyle w:val="Hyperlink"/>
                <w:rFonts w:ascii="Arial" w:hAnsi="Arial" w:cs="Arial"/>
                <w:noProof/>
              </w:rPr>
              <w:t>1. Financial Health Check</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_Toc236928802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4</w:t>
            </w:r>
            <w:r w:rsidRPr="00CB4CDE">
              <w:rPr>
                <w:rFonts w:ascii="Arial" w:hAnsi="Arial" w:cs="Arial"/>
                <w:noProof/>
                <w:webHidden/>
              </w:rPr>
              <w:fldChar w:fldCharType="end"/>
            </w:r>
          </w:hyperlink>
        </w:p>
        <w:p w14:paraId="326FB636" w14:textId="44218E00" w:rsidR="00C2078B" w:rsidRPr="00CB4CDE" w:rsidRDefault="00C2078B">
          <w:pPr>
            <w:pStyle w:val="TOC2"/>
            <w:tabs>
              <w:tab w:val="right" w:leader="dot" w:pos="9016"/>
            </w:tabs>
            <w:rPr>
              <w:rFonts w:ascii="Arial" w:eastAsiaTheme="minorEastAsia" w:hAnsi="Arial" w:cs="Arial"/>
              <w:noProof/>
            </w:rPr>
          </w:pPr>
          <w:hyperlink w:anchor="_Toc236928803" w:history="1">
            <w:r w:rsidRPr="00CB4CDE">
              <w:rPr>
                <w:rStyle w:val="Hyperlink"/>
                <w:rFonts w:ascii="Arial" w:hAnsi="Arial" w:cs="Arial"/>
                <w:noProof/>
              </w:rPr>
              <w:t>2. Working Capital Management Analysis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_Toc236928803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8</w:t>
            </w:r>
            <w:r w:rsidRPr="00CB4CDE">
              <w:rPr>
                <w:rFonts w:ascii="Arial" w:hAnsi="Arial" w:cs="Arial"/>
                <w:noProof/>
                <w:webHidden/>
              </w:rPr>
              <w:fldChar w:fldCharType="end"/>
            </w:r>
          </w:hyperlink>
        </w:p>
        <w:p w14:paraId="02AE0A11" w14:textId="0B36F40F" w:rsidR="00C2078B" w:rsidRPr="00CB4CDE" w:rsidRDefault="00C2078B">
          <w:pPr>
            <w:pStyle w:val="TOC2"/>
            <w:tabs>
              <w:tab w:val="right" w:leader="dot" w:pos="9016"/>
            </w:tabs>
            <w:rPr>
              <w:rFonts w:ascii="Arial" w:eastAsiaTheme="minorEastAsia" w:hAnsi="Arial" w:cs="Arial"/>
              <w:noProof/>
            </w:rPr>
          </w:pPr>
          <w:hyperlink w:anchor="_Toc236928804" w:history="1">
            <w:r w:rsidRPr="00CB4CDE">
              <w:rPr>
                <w:rStyle w:val="Hyperlink"/>
                <w:rFonts w:ascii="Arial" w:hAnsi="Arial" w:cs="Arial"/>
                <w:noProof/>
              </w:rPr>
              <w:t>3. Strategic Financial Restructuring Plan</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_Toc236928804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11</w:t>
            </w:r>
            <w:r w:rsidRPr="00CB4CDE">
              <w:rPr>
                <w:rFonts w:ascii="Arial" w:hAnsi="Arial" w:cs="Arial"/>
                <w:noProof/>
                <w:webHidden/>
              </w:rPr>
              <w:fldChar w:fldCharType="end"/>
            </w:r>
          </w:hyperlink>
        </w:p>
        <w:p w14:paraId="69C4D67C" w14:textId="15B0FE4E" w:rsidR="00C2078B" w:rsidRPr="00CB4CDE" w:rsidRDefault="00C2078B">
          <w:pPr>
            <w:pStyle w:val="TOC2"/>
            <w:tabs>
              <w:tab w:val="right" w:leader="dot" w:pos="9016"/>
            </w:tabs>
            <w:rPr>
              <w:rFonts w:ascii="Arial" w:eastAsiaTheme="minorEastAsia" w:hAnsi="Arial" w:cs="Arial"/>
              <w:noProof/>
            </w:rPr>
          </w:pPr>
          <w:hyperlink w:anchor="_Toc236928805" w:history="1">
            <w:r w:rsidRPr="00CB4CDE">
              <w:rPr>
                <w:rStyle w:val="Hyperlink"/>
                <w:rFonts w:ascii="Arial" w:hAnsi="Arial" w:cs="Arial"/>
                <w:noProof/>
              </w:rPr>
              <w:t>4. Investment Appraisal and Capital Budgeting</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_Toc236928805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13</w:t>
            </w:r>
            <w:r w:rsidRPr="00CB4CDE">
              <w:rPr>
                <w:rFonts w:ascii="Arial" w:hAnsi="Arial" w:cs="Arial"/>
                <w:noProof/>
                <w:webHidden/>
              </w:rPr>
              <w:fldChar w:fldCharType="end"/>
            </w:r>
          </w:hyperlink>
        </w:p>
        <w:p w14:paraId="3F65489D" w14:textId="481D57E3" w:rsidR="00C2078B" w:rsidRPr="00CB4CDE" w:rsidRDefault="00C2078B">
          <w:pPr>
            <w:pStyle w:val="TOC2"/>
            <w:tabs>
              <w:tab w:val="right" w:leader="dot" w:pos="9016"/>
            </w:tabs>
            <w:rPr>
              <w:rFonts w:ascii="Arial" w:eastAsiaTheme="minorEastAsia" w:hAnsi="Arial" w:cs="Arial"/>
              <w:noProof/>
            </w:rPr>
          </w:pPr>
          <w:hyperlink w:anchor="_Toc236928806" w:history="1">
            <w:r w:rsidRPr="00CB4CDE">
              <w:rPr>
                <w:rStyle w:val="Hyperlink"/>
                <w:rFonts w:ascii="Arial" w:hAnsi="Arial" w:cs="Arial"/>
                <w:noProof/>
              </w:rPr>
              <w:t>5. Critical Reflection on AI Usage</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_Toc236928806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18</w:t>
            </w:r>
            <w:r w:rsidRPr="00CB4CDE">
              <w:rPr>
                <w:rFonts w:ascii="Arial" w:hAnsi="Arial" w:cs="Arial"/>
                <w:noProof/>
                <w:webHidden/>
              </w:rPr>
              <w:fldChar w:fldCharType="end"/>
            </w:r>
          </w:hyperlink>
        </w:p>
        <w:p w14:paraId="2B9F794A" w14:textId="239C1CE3" w:rsidR="00C2078B" w:rsidRPr="00CB4CDE" w:rsidRDefault="00C2078B">
          <w:pPr>
            <w:pStyle w:val="TOC1"/>
            <w:tabs>
              <w:tab w:val="right" w:leader="dot" w:pos="9016"/>
            </w:tabs>
            <w:rPr>
              <w:rFonts w:ascii="Arial" w:eastAsiaTheme="minorEastAsia" w:hAnsi="Arial" w:cs="Arial"/>
              <w:noProof/>
            </w:rPr>
          </w:pPr>
          <w:hyperlink w:anchor="_Toc236928807" w:history="1">
            <w:r w:rsidRPr="00CB4CDE">
              <w:rPr>
                <w:rStyle w:val="Hyperlink"/>
                <w:rFonts w:ascii="Arial" w:hAnsi="Arial" w:cs="Arial"/>
                <w:noProof/>
                <w:lang w:val="en-GB"/>
              </w:rPr>
              <w:t>Conclusion</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_Toc236928807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20</w:t>
            </w:r>
            <w:r w:rsidRPr="00CB4CDE">
              <w:rPr>
                <w:rFonts w:ascii="Arial" w:hAnsi="Arial" w:cs="Arial"/>
                <w:noProof/>
                <w:webHidden/>
              </w:rPr>
              <w:fldChar w:fldCharType="end"/>
            </w:r>
          </w:hyperlink>
        </w:p>
        <w:p w14:paraId="1FFCE5F3" w14:textId="063AD316" w:rsidR="00C2078B" w:rsidRPr="00CB4CDE" w:rsidRDefault="00C2078B">
          <w:pPr>
            <w:pStyle w:val="TOC1"/>
            <w:tabs>
              <w:tab w:val="right" w:leader="dot" w:pos="9016"/>
            </w:tabs>
            <w:rPr>
              <w:rFonts w:ascii="Arial" w:eastAsiaTheme="minorEastAsia" w:hAnsi="Arial" w:cs="Arial"/>
              <w:noProof/>
            </w:rPr>
          </w:pPr>
          <w:hyperlink w:anchor="_Toc236928808" w:history="1">
            <w:r w:rsidRPr="00CB4CDE">
              <w:rPr>
                <w:rStyle w:val="Hyperlink"/>
                <w:rFonts w:ascii="Arial" w:hAnsi="Arial" w:cs="Arial"/>
                <w:noProof/>
              </w:rPr>
              <w:t>References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_Toc236928808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21</w:t>
            </w:r>
            <w:r w:rsidRPr="00CB4CDE">
              <w:rPr>
                <w:rFonts w:ascii="Arial" w:hAnsi="Arial" w:cs="Arial"/>
                <w:noProof/>
                <w:webHidden/>
              </w:rPr>
              <w:fldChar w:fldCharType="end"/>
            </w:r>
          </w:hyperlink>
        </w:p>
        <w:p w14:paraId="440E5B7E" w14:textId="0F435552" w:rsidR="00C2078B" w:rsidRPr="00CB4CDE" w:rsidRDefault="00C2078B">
          <w:pPr>
            <w:pStyle w:val="TOC1"/>
            <w:tabs>
              <w:tab w:val="right" w:leader="dot" w:pos="9016"/>
            </w:tabs>
            <w:rPr>
              <w:rFonts w:ascii="Arial" w:eastAsiaTheme="minorEastAsia" w:hAnsi="Arial" w:cs="Arial"/>
              <w:noProof/>
            </w:rPr>
          </w:pPr>
          <w:hyperlink w:anchor="_Toc236928809" w:history="1">
            <w:r w:rsidRPr="00CB4CDE">
              <w:rPr>
                <w:rStyle w:val="Hyperlink"/>
                <w:rFonts w:ascii="Arial" w:hAnsi="Arial" w:cs="Arial"/>
                <w:noProof/>
                <w:lang w:val="en-GB"/>
              </w:rPr>
              <w:t>Appendix</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_Toc236928809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23</w:t>
            </w:r>
            <w:r w:rsidRPr="00CB4CDE">
              <w:rPr>
                <w:rFonts w:ascii="Arial" w:hAnsi="Arial" w:cs="Arial"/>
                <w:noProof/>
                <w:webHidden/>
              </w:rPr>
              <w:fldChar w:fldCharType="end"/>
            </w:r>
          </w:hyperlink>
        </w:p>
        <w:p w14:paraId="75D8BDCC" w14:textId="459CA545" w:rsidR="00C2078B" w:rsidRPr="00CB4CDE" w:rsidRDefault="00C2078B">
          <w:pPr>
            <w:pStyle w:val="TOC2"/>
            <w:tabs>
              <w:tab w:val="right" w:leader="dot" w:pos="9016"/>
            </w:tabs>
            <w:rPr>
              <w:rFonts w:ascii="Arial" w:eastAsiaTheme="minorEastAsia" w:hAnsi="Arial" w:cs="Arial"/>
              <w:noProof/>
            </w:rPr>
          </w:pPr>
          <w:hyperlink w:anchor="_Toc236928810" w:history="1">
            <w:r w:rsidRPr="00CB4CDE">
              <w:rPr>
                <w:rStyle w:val="Hyperlink"/>
                <w:rFonts w:ascii="Arial" w:hAnsi="Arial" w:cs="Arial"/>
                <w:noProof/>
              </w:rPr>
              <w:t>Calculation of ratios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_Toc236928810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23</w:t>
            </w:r>
            <w:r w:rsidRPr="00CB4CDE">
              <w:rPr>
                <w:rFonts w:ascii="Arial" w:hAnsi="Arial" w:cs="Arial"/>
                <w:noProof/>
                <w:webHidden/>
              </w:rPr>
              <w:fldChar w:fldCharType="end"/>
            </w:r>
          </w:hyperlink>
        </w:p>
        <w:p w14:paraId="16F630D3" w14:textId="4EE637CB" w:rsidR="00C2078B" w:rsidRPr="00CB4CDE" w:rsidRDefault="00C2078B">
          <w:pPr>
            <w:pStyle w:val="TOC2"/>
            <w:tabs>
              <w:tab w:val="right" w:leader="dot" w:pos="9016"/>
            </w:tabs>
            <w:rPr>
              <w:rFonts w:ascii="Arial" w:eastAsiaTheme="minorEastAsia" w:hAnsi="Arial" w:cs="Arial"/>
              <w:noProof/>
            </w:rPr>
          </w:pPr>
          <w:hyperlink w:anchor="_Toc236928811" w:history="1">
            <w:r w:rsidRPr="00CB4CDE">
              <w:rPr>
                <w:rStyle w:val="Hyperlink"/>
                <w:rFonts w:ascii="Arial" w:hAnsi="Arial" w:cs="Arial"/>
                <w:noProof/>
              </w:rPr>
              <w:t>Calculation of working capital management</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_Toc236928811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26</w:t>
            </w:r>
            <w:r w:rsidRPr="00CB4CDE">
              <w:rPr>
                <w:rFonts w:ascii="Arial" w:hAnsi="Arial" w:cs="Arial"/>
                <w:noProof/>
                <w:webHidden/>
              </w:rPr>
              <w:fldChar w:fldCharType="end"/>
            </w:r>
          </w:hyperlink>
        </w:p>
        <w:p w14:paraId="7DBBCFE9" w14:textId="5AEDEFB6" w:rsidR="00C2078B" w:rsidRPr="00CB4CDE" w:rsidRDefault="00C2078B">
          <w:pPr>
            <w:pStyle w:val="TOC2"/>
            <w:tabs>
              <w:tab w:val="right" w:leader="dot" w:pos="9016"/>
            </w:tabs>
            <w:rPr>
              <w:rFonts w:ascii="Arial" w:eastAsiaTheme="minorEastAsia" w:hAnsi="Arial" w:cs="Arial"/>
              <w:noProof/>
            </w:rPr>
          </w:pPr>
          <w:hyperlink w:anchor="_Toc236928812" w:history="1">
            <w:r w:rsidRPr="00CB4CDE">
              <w:rPr>
                <w:rStyle w:val="Hyperlink"/>
                <w:rFonts w:ascii="Arial" w:hAnsi="Arial" w:cs="Arial"/>
                <w:noProof/>
              </w:rPr>
              <w:t>Investment Appraisal</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_Toc236928812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27</w:t>
            </w:r>
            <w:r w:rsidRPr="00CB4CDE">
              <w:rPr>
                <w:rFonts w:ascii="Arial" w:hAnsi="Arial" w:cs="Arial"/>
                <w:noProof/>
                <w:webHidden/>
              </w:rPr>
              <w:fldChar w:fldCharType="end"/>
            </w:r>
          </w:hyperlink>
        </w:p>
        <w:p w14:paraId="653C1EC6" w14:textId="292425DE" w:rsidR="00044024" w:rsidRPr="00CB4CDE" w:rsidRDefault="00044024">
          <w:pPr>
            <w:rPr>
              <w:rFonts w:ascii="Arial" w:hAnsi="Arial" w:cs="Arial"/>
            </w:rPr>
          </w:pPr>
          <w:r w:rsidRPr="00CB4CDE">
            <w:rPr>
              <w:rFonts w:ascii="Arial" w:hAnsi="Arial" w:cs="Arial"/>
              <w:b/>
              <w:bCs/>
              <w:noProof/>
            </w:rPr>
            <w:fldChar w:fldCharType="end"/>
          </w:r>
        </w:p>
      </w:sdtContent>
    </w:sdt>
    <w:p w14:paraId="1F7235F6" w14:textId="77777777" w:rsidR="006822A5" w:rsidRPr="00CB4CDE" w:rsidRDefault="006822A5">
      <w:pPr>
        <w:spacing w:after="160" w:line="278" w:lineRule="auto"/>
        <w:jc w:val="left"/>
        <w:rPr>
          <w:rFonts w:ascii="Arial" w:hAnsi="Arial" w:cs="Arial"/>
        </w:rPr>
      </w:pPr>
    </w:p>
    <w:p w14:paraId="20F641D4" w14:textId="77777777" w:rsidR="009B71C7" w:rsidRPr="00CB4CDE" w:rsidRDefault="009B71C7">
      <w:pPr>
        <w:spacing w:after="160" w:line="278" w:lineRule="auto"/>
        <w:jc w:val="left"/>
        <w:rPr>
          <w:rFonts w:ascii="Arial" w:hAnsi="Arial" w:cs="Arial"/>
          <w:b/>
          <w:bCs/>
        </w:rPr>
      </w:pPr>
      <w:r w:rsidRPr="00CB4CDE">
        <w:rPr>
          <w:rFonts w:ascii="Arial" w:hAnsi="Arial" w:cs="Arial"/>
          <w:b/>
          <w:bCs/>
        </w:rPr>
        <w:br w:type="page"/>
      </w:r>
    </w:p>
    <w:p w14:paraId="16E1CA20" w14:textId="51576624" w:rsidR="006822A5" w:rsidRPr="00CB4CDE" w:rsidRDefault="006822A5">
      <w:pPr>
        <w:spacing w:after="160" w:line="278" w:lineRule="auto"/>
        <w:jc w:val="left"/>
        <w:rPr>
          <w:rFonts w:ascii="Arial" w:hAnsi="Arial" w:cs="Arial"/>
        </w:rPr>
      </w:pPr>
      <w:r w:rsidRPr="00CB4CDE">
        <w:rPr>
          <w:rFonts w:ascii="Arial" w:hAnsi="Arial" w:cs="Arial"/>
          <w:b/>
          <w:bCs/>
        </w:rPr>
        <w:lastRenderedPageBreak/>
        <w:t>List of tables</w:t>
      </w:r>
    </w:p>
    <w:p w14:paraId="0B2C67AF" w14:textId="0DC00B39" w:rsidR="00C2078B" w:rsidRPr="00CB4CDE" w:rsidRDefault="006822A5">
      <w:pPr>
        <w:pStyle w:val="TableofFigures"/>
        <w:tabs>
          <w:tab w:val="right" w:leader="dot" w:pos="9016"/>
        </w:tabs>
        <w:rPr>
          <w:rFonts w:ascii="Arial" w:eastAsiaTheme="minorEastAsia" w:hAnsi="Arial" w:cs="Arial"/>
          <w:noProof/>
        </w:rPr>
      </w:pPr>
      <w:r w:rsidRPr="00CB4CDE">
        <w:rPr>
          <w:rFonts w:ascii="Arial" w:hAnsi="Arial" w:cs="Arial"/>
          <w:b/>
          <w:bCs/>
        </w:rPr>
        <w:fldChar w:fldCharType="begin"/>
      </w:r>
      <w:r w:rsidRPr="00CB4CDE">
        <w:rPr>
          <w:rFonts w:ascii="Arial" w:hAnsi="Arial" w:cs="Arial"/>
          <w:b/>
          <w:bCs/>
        </w:rPr>
        <w:instrText xml:space="preserve"> TOC \h \z \c "Table" </w:instrText>
      </w:r>
      <w:r w:rsidRPr="00CB4CDE">
        <w:rPr>
          <w:rFonts w:ascii="Arial" w:hAnsi="Arial" w:cs="Arial"/>
          <w:b/>
          <w:bCs/>
        </w:rPr>
        <w:fldChar w:fldCharType="separate"/>
      </w:r>
      <w:hyperlink w:anchor="_Toc236928791" w:history="1">
        <w:r w:rsidR="00C2078B" w:rsidRPr="00CB4CDE">
          <w:rPr>
            <w:rStyle w:val="Hyperlink"/>
            <w:rFonts w:ascii="Arial" w:hAnsi="Arial" w:cs="Arial"/>
            <w:b/>
            <w:bCs/>
            <w:noProof/>
          </w:rPr>
          <w:t>Table 1:</w:t>
        </w:r>
        <w:r w:rsidR="00C2078B" w:rsidRPr="00CB4CDE">
          <w:rPr>
            <w:rStyle w:val="Hyperlink"/>
            <w:rFonts w:ascii="Arial" w:hAnsi="Arial" w:cs="Arial"/>
            <w:noProof/>
          </w:rPr>
          <w:t xml:space="preserve"> Summary of  ratios</w:t>
        </w:r>
        <w:r w:rsidR="00C2078B" w:rsidRPr="00CB4CDE">
          <w:rPr>
            <w:rFonts w:ascii="Arial" w:hAnsi="Arial" w:cs="Arial"/>
            <w:noProof/>
            <w:webHidden/>
          </w:rPr>
          <w:tab/>
        </w:r>
        <w:r w:rsidR="00C2078B" w:rsidRPr="00CB4CDE">
          <w:rPr>
            <w:rFonts w:ascii="Arial" w:hAnsi="Arial" w:cs="Arial"/>
            <w:noProof/>
            <w:webHidden/>
          </w:rPr>
          <w:fldChar w:fldCharType="begin"/>
        </w:r>
        <w:r w:rsidR="00C2078B" w:rsidRPr="00CB4CDE">
          <w:rPr>
            <w:rFonts w:ascii="Arial" w:hAnsi="Arial" w:cs="Arial"/>
            <w:noProof/>
            <w:webHidden/>
          </w:rPr>
          <w:instrText xml:space="preserve"> PAGEREF _Toc236928791 \h </w:instrText>
        </w:r>
        <w:r w:rsidR="00C2078B" w:rsidRPr="00CB4CDE">
          <w:rPr>
            <w:rFonts w:ascii="Arial" w:hAnsi="Arial" w:cs="Arial"/>
            <w:noProof/>
            <w:webHidden/>
          </w:rPr>
        </w:r>
        <w:r w:rsidR="00C2078B" w:rsidRPr="00CB4CDE">
          <w:rPr>
            <w:rFonts w:ascii="Arial" w:hAnsi="Arial" w:cs="Arial"/>
            <w:noProof/>
            <w:webHidden/>
          </w:rPr>
          <w:fldChar w:fldCharType="separate"/>
        </w:r>
        <w:r w:rsidR="00C2078B" w:rsidRPr="00CB4CDE">
          <w:rPr>
            <w:rFonts w:ascii="Arial" w:hAnsi="Arial" w:cs="Arial"/>
            <w:noProof/>
            <w:webHidden/>
          </w:rPr>
          <w:t>6</w:t>
        </w:r>
        <w:r w:rsidR="00C2078B" w:rsidRPr="00CB4CDE">
          <w:rPr>
            <w:rFonts w:ascii="Arial" w:hAnsi="Arial" w:cs="Arial"/>
            <w:noProof/>
            <w:webHidden/>
          </w:rPr>
          <w:fldChar w:fldCharType="end"/>
        </w:r>
      </w:hyperlink>
    </w:p>
    <w:p w14:paraId="419268C2" w14:textId="62B5FC6F" w:rsidR="00C2078B" w:rsidRPr="00CB4CDE" w:rsidRDefault="00C2078B">
      <w:pPr>
        <w:pStyle w:val="TableofFigures"/>
        <w:tabs>
          <w:tab w:val="right" w:leader="dot" w:pos="9016"/>
        </w:tabs>
        <w:rPr>
          <w:rFonts w:ascii="Arial" w:eastAsiaTheme="minorEastAsia" w:hAnsi="Arial" w:cs="Arial"/>
          <w:noProof/>
        </w:rPr>
      </w:pPr>
      <w:hyperlink w:anchor="_Toc236928792" w:history="1">
        <w:r w:rsidRPr="00CB4CDE">
          <w:rPr>
            <w:rStyle w:val="Hyperlink"/>
            <w:rFonts w:ascii="Arial" w:hAnsi="Arial" w:cs="Arial"/>
            <w:b/>
            <w:bCs/>
            <w:noProof/>
          </w:rPr>
          <w:t>Table 2:</w:t>
        </w:r>
        <w:r w:rsidRPr="00CB4CDE">
          <w:rPr>
            <w:rStyle w:val="Hyperlink"/>
            <w:rFonts w:ascii="Arial" w:hAnsi="Arial" w:cs="Arial"/>
            <w:noProof/>
          </w:rPr>
          <w:t xml:space="preserve"> Net Present Value results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_Toc236928792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14</w:t>
        </w:r>
        <w:r w:rsidRPr="00CB4CDE">
          <w:rPr>
            <w:rFonts w:ascii="Arial" w:hAnsi="Arial" w:cs="Arial"/>
            <w:noProof/>
            <w:webHidden/>
          </w:rPr>
          <w:fldChar w:fldCharType="end"/>
        </w:r>
      </w:hyperlink>
    </w:p>
    <w:p w14:paraId="28C9BF8E" w14:textId="3695B41E" w:rsidR="00C2078B" w:rsidRPr="00CB4CDE" w:rsidRDefault="00C2078B">
      <w:pPr>
        <w:pStyle w:val="TableofFigures"/>
        <w:tabs>
          <w:tab w:val="right" w:leader="dot" w:pos="9016"/>
        </w:tabs>
        <w:rPr>
          <w:rFonts w:ascii="Arial" w:eastAsiaTheme="minorEastAsia" w:hAnsi="Arial" w:cs="Arial"/>
          <w:noProof/>
        </w:rPr>
      </w:pPr>
      <w:hyperlink w:anchor="_Toc236928793" w:history="1">
        <w:r w:rsidRPr="00CB4CDE">
          <w:rPr>
            <w:rStyle w:val="Hyperlink"/>
            <w:rFonts w:ascii="Arial" w:hAnsi="Arial" w:cs="Arial"/>
            <w:b/>
            <w:bCs/>
            <w:noProof/>
          </w:rPr>
          <w:t>Table 3:</w:t>
        </w:r>
        <w:r w:rsidRPr="00CB4CDE">
          <w:rPr>
            <w:rStyle w:val="Hyperlink"/>
            <w:rFonts w:ascii="Arial" w:hAnsi="Arial" w:cs="Arial"/>
            <w:noProof/>
          </w:rPr>
          <w:t xml:space="preserve"> Comparative analysis using all methods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_Toc236928793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16</w:t>
        </w:r>
        <w:r w:rsidRPr="00CB4CDE">
          <w:rPr>
            <w:rFonts w:ascii="Arial" w:hAnsi="Arial" w:cs="Arial"/>
            <w:noProof/>
            <w:webHidden/>
          </w:rPr>
          <w:fldChar w:fldCharType="end"/>
        </w:r>
      </w:hyperlink>
    </w:p>
    <w:p w14:paraId="5EC685B2" w14:textId="3116EEC8" w:rsidR="00C2078B" w:rsidRPr="00CB4CDE" w:rsidRDefault="00C2078B">
      <w:pPr>
        <w:pStyle w:val="TableofFigures"/>
        <w:tabs>
          <w:tab w:val="right" w:leader="dot" w:pos="9016"/>
        </w:tabs>
        <w:rPr>
          <w:rFonts w:ascii="Arial" w:eastAsiaTheme="minorEastAsia" w:hAnsi="Arial" w:cs="Arial"/>
          <w:noProof/>
        </w:rPr>
      </w:pPr>
      <w:hyperlink w:anchor="_Toc236928794" w:history="1">
        <w:r w:rsidRPr="00CB4CDE">
          <w:rPr>
            <w:rStyle w:val="Hyperlink"/>
            <w:rFonts w:ascii="Arial" w:hAnsi="Arial" w:cs="Arial"/>
            <w:b/>
            <w:bCs/>
            <w:noProof/>
          </w:rPr>
          <w:t xml:space="preserve">Table 4: </w:t>
        </w:r>
        <w:r w:rsidRPr="00CB4CDE">
          <w:rPr>
            <w:rStyle w:val="Hyperlink"/>
            <w:rFonts w:ascii="Arial" w:hAnsi="Arial" w:cs="Arial"/>
            <w:noProof/>
          </w:rPr>
          <w:t>Capital Rationing Decision</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_Toc236928794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17</w:t>
        </w:r>
        <w:r w:rsidRPr="00CB4CDE">
          <w:rPr>
            <w:rFonts w:ascii="Arial" w:hAnsi="Arial" w:cs="Arial"/>
            <w:noProof/>
            <w:webHidden/>
          </w:rPr>
          <w:fldChar w:fldCharType="end"/>
        </w:r>
      </w:hyperlink>
    </w:p>
    <w:p w14:paraId="0103F913" w14:textId="5DD655B9" w:rsidR="00C2078B" w:rsidRPr="00CB4CDE" w:rsidRDefault="00C2078B">
      <w:pPr>
        <w:pStyle w:val="TableofFigures"/>
        <w:tabs>
          <w:tab w:val="right" w:leader="dot" w:pos="9016"/>
        </w:tabs>
        <w:rPr>
          <w:rFonts w:ascii="Arial" w:eastAsiaTheme="minorEastAsia" w:hAnsi="Arial" w:cs="Arial"/>
          <w:noProof/>
        </w:rPr>
      </w:pPr>
      <w:hyperlink w:anchor="_Toc236928795" w:history="1">
        <w:r w:rsidRPr="00CB4CDE">
          <w:rPr>
            <w:rStyle w:val="Hyperlink"/>
            <w:rFonts w:ascii="Arial" w:hAnsi="Arial" w:cs="Arial"/>
            <w:b/>
            <w:bCs/>
            <w:noProof/>
          </w:rPr>
          <w:t>Table 5:</w:t>
        </w:r>
        <w:r w:rsidRPr="00CB4CDE">
          <w:rPr>
            <w:rStyle w:val="Hyperlink"/>
            <w:rFonts w:ascii="Arial" w:hAnsi="Arial" w:cs="Arial"/>
            <w:noProof/>
          </w:rPr>
          <w:t xml:space="preserve"> Financial calculation of ratios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_Toc236928795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23</w:t>
        </w:r>
        <w:r w:rsidRPr="00CB4CDE">
          <w:rPr>
            <w:rFonts w:ascii="Arial" w:hAnsi="Arial" w:cs="Arial"/>
            <w:noProof/>
            <w:webHidden/>
          </w:rPr>
          <w:fldChar w:fldCharType="end"/>
        </w:r>
      </w:hyperlink>
    </w:p>
    <w:p w14:paraId="1077079A" w14:textId="56B59EDB" w:rsidR="00C2078B" w:rsidRPr="00CB4CDE" w:rsidRDefault="00C2078B">
      <w:pPr>
        <w:pStyle w:val="TableofFigures"/>
        <w:tabs>
          <w:tab w:val="right" w:leader="dot" w:pos="9016"/>
        </w:tabs>
        <w:rPr>
          <w:rFonts w:ascii="Arial" w:eastAsiaTheme="minorEastAsia" w:hAnsi="Arial" w:cs="Arial"/>
          <w:noProof/>
        </w:rPr>
      </w:pPr>
      <w:hyperlink w:anchor="_Toc236928796" w:history="1">
        <w:r w:rsidRPr="00CB4CDE">
          <w:rPr>
            <w:rStyle w:val="Hyperlink"/>
            <w:rFonts w:ascii="Arial" w:hAnsi="Arial" w:cs="Arial"/>
            <w:b/>
            <w:bCs/>
            <w:noProof/>
          </w:rPr>
          <w:t xml:space="preserve">Table 6: </w:t>
        </w:r>
        <w:r w:rsidRPr="00CB4CDE">
          <w:rPr>
            <w:rStyle w:val="Hyperlink"/>
            <w:rFonts w:ascii="Arial" w:hAnsi="Arial" w:cs="Arial"/>
            <w:noProof/>
          </w:rPr>
          <w:t>Benchmarks for financial ratio analysis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_Toc236928796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25</w:t>
        </w:r>
        <w:r w:rsidRPr="00CB4CDE">
          <w:rPr>
            <w:rFonts w:ascii="Arial" w:hAnsi="Arial" w:cs="Arial"/>
            <w:noProof/>
            <w:webHidden/>
          </w:rPr>
          <w:fldChar w:fldCharType="end"/>
        </w:r>
      </w:hyperlink>
    </w:p>
    <w:p w14:paraId="416B4D2D" w14:textId="4D012DFD" w:rsidR="00C2078B" w:rsidRPr="00CB4CDE" w:rsidRDefault="00C2078B">
      <w:pPr>
        <w:pStyle w:val="TableofFigures"/>
        <w:tabs>
          <w:tab w:val="right" w:leader="dot" w:pos="9016"/>
        </w:tabs>
        <w:rPr>
          <w:rFonts w:ascii="Arial" w:eastAsiaTheme="minorEastAsia" w:hAnsi="Arial" w:cs="Arial"/>
          <w:noProof/>
        </w:rPr>
      </w:pPr>
      <w:hyperlink w:anchor="_Toc236928797" w:history="1">
        <w:r w:rsidRPr="00CB4CDE">
          <w:rPr>
            <w:rStyle w:val="Hyperlink"/>
            <w:rFonts w:ascii="Arial" w:hAnsi="Arial" w:cs="Arial"/>
            <w:b/>
            <w:bCs/>
            <w:noProof/>
          </w:rPr>
          <w:t>Table 7:</w:t>
        </w:r>
        <w:r w:rsidRPr="00CB4CDE">
          <w:rPr>
            <w:rStyle w:val="Hyperlink"/>
            <w:rFonts w:ascii="Arial" w:hAnsi="Arial" w:cs="Arial"/>
            <w:noProof/>
          </w:rPr>
          <w:t xml:space="preserve"> Additional Workings for ratio calculations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_Toc236928797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25</w:t>
        </w:r>
        <w:r w:rsidRPr="00CB4CDE">
          <w:rPr>
            <w:rFonts w:ascii="Arial" w:hAnsi="Arial" w:cs="Arial"/>
            <w:noProof/>
            <w:webHidden/>
          </w:rPr>
          <w:fldChar w:fldCharType="end"/>
        </w:r>
      </w:hyperlink>
    </w:p>
    <w:p w14:paraId="4C7C9F76" w14:textId="6F274719" w:rsidR="00C2078B" w:rsidRPr="00CB4CDE" w:rsidRDefault="00C2078B">
      <w:pPr>
        <w:pStyle w:val="TableofFigures"/>
        <w:tabs>
          <w:tab w:val="right" w:leader="dot" w:pos="9016"/>
        </w:tabs>
        <w:rPr>
          <w:rFonts w:ascii="Arial" w:eastAsiaTheme="minorEastAsia" w:hAnsi="Arial" w:cs="Arial"/>
          <w:noProof/>
        </w:rPr>
      </w:pPr>
      <w:hyperlink w:anchor="_Toc236928798" w:history="1">
        <w:r w:rsidRPr="00CB4CDE">
          <w:rPr>
            <w:rStyle w:val="Hyperlink"/>
            <w:rFonts w:ascii="Arial" w:hAnsi="Arial" w:cs="Arial"/>
            <w:b/>
            <w:bCs/>
            <w:noProof/>
          </w:rPr>
          <w:t>Table 8:</w:t>
        </w:r>
        <w:r w:rsidRPr="00CB4CDE">
          <w:rPr>
            <w:rStyle w:val="Hyperlink"/>
            <w:rFonts w:ascii="Arial" w:hAnsi="Arial" w:cs="Arial"/>
            <w:noProof/>
          </w:rPr>
          <w:t xml:space="preserve"> Days sales outstanding (cash conversion cycle)</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_Toc236928798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26</w:t>
        </w:r>
        <w:r w:rsidRPr="00CB4CDE">
          <w:rPr>
            <w:rFonts w:ascii="Arial" w:hAnsi="Arial" w:cs="Arial"/>
            <w:noProof/>
            <w:webHidden/>
          </w:rPr>
          <w:fldChar w:fldCharType="end"/>
        </w:r>
      </w:hyperlink>
    </w:p>
    <w:p w14:paraId="157A59C6" w14:textId="63FE476F" w:rsidR="006822A5" w:rsidRPr="00CB4CDE" w:rsidRDefault="006822A5">
      <w:pPr>
        <w:spacing w:after="160" w:line="278" w:lineRule="auto"/>
        <w:jc w:val="left"/>
        <w:rPr>
          <w:rFonts w:ascii="Arial" w:hAnsi="Arial" w:cs="Arial"/>
          <w:b/>
          <w:bCs/>
        </w:rPr>
      </w:pPr>
      <w:r w:rsidRPr="00CB4CDE">
        <w:rPr>
          <w:rFonts w:ascii="Arial" w:hAnsi="Arial" w:cs="Arial"/>
          <w:b/>
          <w:bCs/>
        </w:rPr>
        <w:fldChar w:fldCharType="end"/>
      </w:r>
    </w:p>
    <w:p w14:paraId="1A5C86C5" w14:textId="77777777" w:rsidR="006822A5" w:rsidRPr="00CB4CDE" w:rsidRDefault="006822A5">
      <w:pPr>
        <w:spacing w:after="160" w:line="278" w:lineRule="auto"/>
        <w:jc w:val="left"/>
        <w:rPr>
          <w:rFonts w:ascii="Arial" w:hAnsi="Arial" w:cs="Arial"/>
        </w:rPr>
      </w:pPr>
      <w:r w:rsidRPr="00CB4CDE">
        <w:rPr>
          <w:rFonts w:ascii="Arial" w:hAnsi="Arial" w:cs="Arial"/>
          <w:b/>
          <w:bCs/>
        </w:rPr>
        <w:t>List of figures</w:t>
      </w:r>
    </w:p>
    <w:p w14:paraId="460F7497" w14:textId="40FDD680" w:rsidR="006822A5" w:rsidRPr="00CB4CDE" w:rsidRDefault="006822A5">
      <w:pPr>
        <w:pStyle w:val="TableofFigures"/>
        <w:tabs>
          <w:tab w:val="right" w:leader="dot" w:pos="9016"/>
        </w:tabs>
        <w:rPr>
          <w:rFonts w:ascii="Arial" w:eastAsiaTheme="minorEastAsia" w:hAnsi="Arial" w:cs="Arial"/>
          <w:noProof/>
        </w:rPr>
      </w:pPr>
      <w:r w:rsidRPr="00CB4CDE">
        <w:rPr>
          <w:rFonts w:ascii="Arial" w:hAnsi="Arial" w:cs="Arial"/>
          <w:b/>
          <w:bCs/>
        </w:rPr>
        <w:fldChar w:fldCharType="begin"/>
      </w:r>
      <w:r w:rsidRPr="00CB4CDE">
        <w:rPr>
          <w:rFonts w:ascii="Arial" w:hAnsi="Arial" w:cs="Arial"/>
          <w:b/>
          <w:bCs/>
        </w:rPr>
        <w:instrText xml:space="preserve"> TOC \h \z \c "Figure" </w:instrText>
      </w:r>
      <w:r w:rsidRPr="00CB4CDE">
        <w:rPr>
          <w:rFonts w:ascii="Arial" w:hAnsi="Arial" w:cs="Arial"/>
          <w:b/>
          <w:bCs/>
        </w:rPr>
        <w:fldChar w:fldCharType="separate"/>
      </w:r>
      <w:hyperlink w:anchor="_Toc236926294" w:history="1">
        <w:r w:rsidRPr="00CB4CDE">
          <w:rPr>
            <w:rStyle w:val="Hyperlink"/>
            <w:rFonts w:ascii="Arial" w:hAnsi="Arial" w:cs="Arial"/>
            <w:b/>
            <w:bCs/>
            <w:noProof/>
          </w:rPr>
          <w:t>Figure 1:</w:t>
        </w:r>
        <w:r w:rsidRPr="00CB4CDE">
          <w:rPr>
            <w:rStyle w:val="Hyperlink"/>
            <w:rFonts w:ascii="Arial" w:hAnsi="Arial" w:cs="Arial"/>
            <w:noProof/>
          </w:rPr>
          <w:t xml:space="preserve"> Hilton Hotels and Resorts</w:t>
        </w:r>
        <w:r w:rsidRPr="00CB4CDE">
          <w:rPr>
            <w:rFonts w:ascii="Arial" w:hAnsi="Arial" w:cs="Arial"/>
            <w:noProof/>
            <w:webHidden/>
          </w:rPr>
          <w:tab/>
        </w:r>
        <w:r w:rsidRPr="00CB4CDE">
          <w:rPr>
            <w:rFonts w:ascii="Arial" w:hAnsi="Arial" w:cs="Arial"/>
            <w:noProof/>
            <w:webHidden/>
          </w:rPr>
          <w:fldChar w:fldCharType="begin"/>
        </w:r>
        <w:r w:rsidRPr="00CB4CDE">
          <w:rPr>
            <w:rFonts w:ascii="Arial" w:hAnsi="Arial" w:cs="Arial"/>
            <w:noProof/>
            <w:webHidden/>
          </w:rPr>
          <w:instrText xml:space="preserve"> PAGEREF _Toc236926294 \h </w:instrText>
        </w:r>
        <w:r w:rsidRPr="00CB4CDE">
          <w:rPr>
            <w:rFonts w:ascii="Arial" w:hAnsi="Arial" w:cs="Arial"/>
            <w:noProof/>
            <w:webHidden/>
          </w:rPr>
        </w:r>
        <w:r w:rsidRPr="00CB4CDE">
          <w:rPr>
            <w:rFonts w:ascii="Arial" w:hAnsi="Arial" w:cs="Arial"/>
            <w:noProof/>
            <w:webHidden/>
          </w:rPr>
          <w:fldChar w:fldCharType="separate"/>
        </w:r>
        <w:r w:rsidRPr="00CB4CDE">
          <w:rPr>
            <w:rFonts w:ascii="Arial" w:hAnsi="Arial" w:cs="Arial"/>
            <w:noProof/>
            <w:webHidden/>
          </w:rPr>
          <w:t>3</w:t>
        </w:r>
        <w:r w:rsidRPr="00CB4CDE">
          <w:rPr>
            <w:rFonts w:ascii="Arial" w:hAnsi="Arial" w:cs="Arial"/>
            <w:noProof/>
            <w:webHidden/>
          </w:rPr>
          <w:fldChar w:fldCharType="end"/>
        </w:r>
      </w:hyperlink>
    </w:p>
    <w:p w14:paraId="7C1E0178" w14:textId="59F88FB5" w:rsidR="00044024" w:rsidRPr="00CB4CDE" w:rsidRDefault="006822A5">
      <w:pPr>
        <w:spacing w:after="160" w:line="278" w:lineRule="auto"/>
        <w:jc w:val="left"/>
        <w:rPr>
          <w:rFonts w:ascii="Arial" w:hAnsi="Arial" w:cs="Arial"/>
          <w:b/>
          <w:bCs/>
        </w:rPr>
      </w:pPr>
      <w:r w:rsidRPr="00CB4CDE">
        <w:rPr>
          <w:rFonts w:ascii="Arial" w:hAnsi="Arial" w:cs="Arial"/>
          <w:b/>
          <w:bCs/>
        </w:rPr>
        <w:fldChar w:fldCharType="end"/>
      </w:r>
      <w:r w:rsidR="00044024" w:rsidRPr="00CB4CDE">
        <w:rPr>
          <w:rFonts w:ascii="Arial" w:hAnsi="Arial" w:cs="Arial"/>
          <w:b/>
          <w:bCs/>
        </w:rPr>
        <w:br w:type="page"/>
      </w:r>
    </w:p>
    <w:p w14:paraId="7FE4D949" w14:textId="443A3C72" w:rsidR="00DF4E89" w:rsidRPr="00CB4CDE" w:rsidRDefault="00044024" w:rsidP="00044024">
      <w:pPr>
        <w:pStyle w:val="Heading1"/>
        <w:rPr>
          <w:rFonts w:ascii="Arial" w:hAnsi="Arial" w:cs="Arial"/>
        </w:rPr>
      </w:pPr>
      <w:bookmarkStart w:id="0" w:name="_Toc236928800"/>
      <w:r w:rsidRPr="00CB4CDE">
        <w:rPr>
          <w:rFonts w:ascii="Arial" w:hAnsi="Arial" w:cs="Arial"/>
        </w:rPr>
        <w:lastRenderedPageBreak/>
        <w:t>Introduction</w:t>
      </w:r>
      <w:bookmarkEnd w:id="0"/>
    </w:p>
    <w:p w14:paraId="2A681DC1" w14:textId="433015AA" w:rsidR="007F1D63" w:rsidRPr="00CB4CDE" w:rsidRDefault="001C576C" w:rsidP="002D0902">
      <w:pPr>
        <w:rPr>
          <w:rFonts w:ascii="Arial" w:hAnsi="Arial" w:cs="Arial"/>
        </w:rPr>
      </w:pPr>
      <w:r w:rsidRPr="00CB4CDE">
        <w:rPr>
          <w:rFonts w:ascii="Arial" w:hAnsi="Arial" w:cs="Arial"/>
        </w:rPr>
        <w:t>Post-pandemic recovery, inflationary pressure, increased cost of borrowing, geopolitical uncertainty and changing demand in travel have caused the global hospitality industry to significantly change financially and operationally since 2021. In this respect, the Hilton Worldwide Holdings Inc. can offer a pertinent case study in determining whether the high rates of revenue growth and its asset-light business structure have translated into sustainable profitability, liquidity and shareholder value</w:t>
      </w:r>
      <w:r w:rsidR="001B1B66" w:rsidRPr="00CB4CDE">
        <w:rPr>
          <w:rFonts w:ascii="Arial" w:hAnsi="Arial" w:cs="Arial"/>
        </w:rPr>
        <w:t xml:space="preserve"> (Atrill, 2019)</w:t>
      </w:r>
      <w:r w:rsidRPr="00CB4CDE">
        <w:rPr>
          <w:rFonts w:ascii="Arial" w:hAnsi="Arial" w:cs="Arial"/>
        </w:rPr>
        <w:t>. Adopting the perspective of Hilton’s Chief Financial Officer, this report critically evaluates the company’s financial performance from 2021 to 2025 using annual reports, ratio analysis and industry benchmarks. It looks at profitability, liquidity, efficiency, gearing, investment performance and cash generation, then looks at the management of working capital and the constraints of the cash operating cycle of Hilton. The report subsequently recommends a strategic financial restructuring plan to enhance flexibility of capital and minimize financing risk. Lastly, Payback Period, Accounting rate of return, Net Present Value, Profitability index and internal rate of Return are used to analyze three investment projects and then critically reflect on how Artificial Intelligence can be responsibly used in financial analysis and executive decision-making.</w:t>
      </w:r>
    </w:p>
    <w:p w14:paraId="1A420E3C" w14:textId="77777777" w:rsidR="00D40DCB" w:rsidRPr="00CB4CDE" w:rsidRDefault="00D40DCB" w:rsidP="00D40DCB">
      <w:pPr>
        <w:keepNext/>
        <w:jc w:val="center"/>
        <w:rPr>
          <w:rFonts w:ascii="Arial" w:hAnsi="Arial" w:cs="Arial"/>
        </w:rPr>
      </w:pPr>
      <w:r w:rsidRPr="00CB4CDE">
        <w:rPr>
          <w:rFonts w:ascii="Arial" w:hAnsi="Arial" w:cs="Arial"/>
          <w:noProof/>
        </w:rPr>
        <w:drawing>
          <wp:inline distT="0" distB="0" distL="0" distR="0" wp14:anchorId="58BB5B4D" wp14:editId="6F58DBA9">
            <wp:extent cx="3648075" cy="2051992"/>
            <wp:effectExtent l="0" t="0" r="0" b="5715"/>
            <wp:docPr id="334959971" name="Picture 1" descr="Hilton Worldwide logo with Consumer Discretionary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Worldwide logo with Consumer Discretionary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3447" cy="2055013"/>
                    </a:xfrm>
                    <a:prstGeom prst="rect">
                      <a:avLst/>
                    </a:prstGeom>
                    <a:noFill/>
                    <a:ln>
                      <a:noFill/>
                    </a:ln>
                  </pic:spPr>
                </pic:pic>
              </a:graphicData>
            </a:graphic>
          </wp:inline>
        </w:drawing>
      </w:r>
    </w:p>
    <w:p w14:paraId="181D80ED" w14:textId="7978BFC7" w:rsidR="00D40DCB" w:rsidRPr="00CB4CDE" w:rsidRDefault="00D40DCB" w:rsidP="00D40DCB">
      <w:pPr>
        <w:pStyle w:val="Caption"/>
        <w:jc w:val="center"/>
        <w:rPr>
          <w:rFonts w:ascii="Arial" w:hAnsi="Arial" w:cs="Arial"/>
          <w:sz w:val="24"/>
          <w:szCs w:val="24"/>
        </w:rPr>
      </w:pPr>
      <w:bookmarkStart w:id="1" w:name="_Toc236926294"/>
      <w:r w:rsidRPr="00CB4CDE">
        <w:rPr>
          <w:rFonts w:ascii="Arial" w:hAnsi="Arial" w:cs="Arial"/>
          <w:b/>
          <w:bCs/>
          <w:sz w:val="24"/>
          <w:szCs w:val="24"/>
        </w:rPr>
        <w:t xml:space="preserve">Figure </w:t>
      </w:r>
      <w:r w:rsidRPr="00CB4CDE">
        <w:rPr>
          <w:rFonts w:ascii="Arial" w:hAnsi="Arial" w:cs="Arial"/>
          <w:b/>
          <w:bCs/>
          <w:sz w:val="24"/>
          <w:szCs w:val="24"/>
        </w:rPr>
        <w:fldChar w:fldCharType="begin"/>
      </w:r>
      <w:r w:rsidRPr="00CB4CDE">
        <w:rPr>
          <w:rFonts w:ascii="Arial" w:hAnsi="Arial" w:cs="Arial"/>
          <w:b/>
          <w:bCs/>
          <w:sz w:val="24"/>
          <w:szCs w:val="24"/>
        </w:rPr>
        <w:instrText xml:space="preserve"> SEQ Figure \* ARABIC </w:instrText>
      </w:r>
      <w:r w:rsidRPr="00CB4CDE">
        <w:rPr>
          <w:rFonts w:ascii="Arial" w:hAnsi="Arial" w:cs="Arial"/>
          <w:b/>
          <w:bCs/>
          <w:sz w:val="24"/>
          <w:szCs w:val="24"/>
        </w:rPr>
        <w:fldChar w:fldCharType="separate"/>
      </w:r>
      <w:r w:rsidRPr="00CB4CDE">
        <w:rPr>
          <w:rFonts w:ascii="Arial" w:hAnsi="Arial" w:cs="Arial"/>
          <w:b/>
          <w:bCs/>
          <w:noProof/>
          <w:sz w:val="24"/>
          <w:szCs w:val="24"/>
        </w:rPr>
        <w:t>1</w:t>
      </w:r>
      <w:r w:rsidRPr="00CB4CDE">
        <w:rPr>
          <w:rFonts w:ascii="Arial" w:hAnsi="Arial" w:cs="Arial"/>
          <w:b/>
          <w:bCs/>
          <w:sz w:val="24"/>
          <w:szCs w:val="24"/>
        </w:rPr>
        <w:fldChar w:fldCharType="end"/>
      </w:r>
      <w:r w:rsidRPr="00CB4CDE">
        <w:rPr>
          <w:rFonts w:ascii="Arial" w:hAnsi="Arial" w:cs="Arial"/>
          <w:b/>
          <w:bCs/>
          <w:sz w:val="24"/>
          <w:szCs w:val="24"/>
        </w:rPr>
        <w:t>:</w:t>
      </w:r>
      <w:r w:rsidRPr="00CB4CDE">
        <w:rPr>
          <w:rFonts w:ascii="Arial" w:hAnsi="Arial" w:cs="Arial"/>
          <w:sz w:val="24"/>
          <w:szCs w:val="24"/>
        </w:rPr>
        <w:t xml:space="preserve"> Hilton Hotels and Resorts</w:t>
      </w:r>
      <w:bookmarkEnd w:id="1"/>
    </w:p>
    <w:p w14:paraId="58F06ECC" w14:textId="27FA34FD" w:rsidR="00D40DCB" w:rsidRPr="00CB4CDE" w:rsidRDefault="00D40DCB" w:rsidP="00D40DCB">
      <w:pPr>
        <w:jc w:val="center"/>
        <w:rPr>
          <w:rFonts w:ascii="Arial" w:hAnsi="Arial" w:cs="Arial"/>
        </w:rPr>
      </w:pPr>
      <w:r w:rsidRPr="00CB4CDE">
        <w:rPr>
          <w:rFonts w:ascii="Arial" w:hAnsi="Arial" w:cs="Arial"/>
          <w:b/>
          <w:bCs/>
        </w:rPr>
        <w:t xml:space="preserve">Source: </w:t>
      </w:r>
      <w:r w:rsidRPr="00CB4CDE">
        <w:rPr>
          <w:rFonts w:ascii="Arial" w:hAnsi="Arial" w:cs="Arial"/>
        </w:rPr>
        <w:t>(</w:t>
      </w:r>
      <w:r w:rsidR="00D428EC" w:rsidRPr="00CB4CDE">
        <w:rPr>
          <w:rFonts w:ascii="Arial" w:hAnsi="Arial" w:cs="Arial"/>
        </w:rPr>
        <w:t>Market Beat</w:t>
      </w:r>
      <w:r w:rsidRPr="00CB4CDE">
        <w:rPr>
          <w:rFonts w:ascii="Arial" w:hAnsi="Arial" w:cs="Arial"/>
        </w:rPr>
        <w:t>, 2026)</w:t>
      </w:r>
    </w:p>
    <w:p w14:paraId="51ACADB2" w14:textId="63614225" w:rsidR="002E2C31" w:rsidRPr="00CB4CDE" w:rsidRDefault="00294DE5" w:rsidP="00044024">
      <w:pPr>
        <w:pStyle w:val="Heading1"/>
        <w:rPr>
          <w:rFonts w:ascii="Arial" w:hAnsi="Arial" w:cs="Arial"/>
        </w:rPr>
      </w:pPr>
      <w:bookmarkStart w:id="2" w:name="_Toc236928801"/>
      <w:r w:rsidRPr="00CB4CDE">
        <w:rPr>
          <w:rFonts w:ascii="Arial" w:hAnsi="Arial" w:cs="Arial"/>
        </w:rPr>
        <w:t>Task</w:t>
      </w:r>
      <w:bookmarkEnd w:id="2"/>
    </w:p>
    <w:p w14:paraId="67D1F930" w14:textId="1DD72650" w:rsidR="006C2015" w:rsidRPr="00CB4CDE" w:rsidRDefault="0097374C" w:rsidP="006A66BA">
      <w:pPr>
        <w:pStyle w:val="Heading2"/>
        <w:rPr>
          <w:rFonts w:ascii="Arial" w:hAnsi="Arial" w:cs="Arial"/>
        </w:rPr>
      </w:pPr>
      <w:bookmarkStart w:id="3" w:name="_Toc236928802"/>
      <w:r w:rsidRPr="00CB4CDE">
        <w:rPr>
          <w:rFonts w:ascii="Arial" w:hAnsi="Arial" w:cs="Arial"/>
        </w:rPr>
        <w:t>1. Financial Health Check</w:t>
      </w:r>
      <w:bookmarkEnd w:id="3"/>
    </w:p>
    <w:p w14:paraId="2E7D0A57" w14:textId="77777777" w:rsidR="00BB6FEB" w:rsidRPr="00CB4CDE" w:rsidRDefault="00BB6FEB" w:rsidP="00BB6FEB">
      <w:pPr>
        <w:rPr>
          <w:rFonts w:ascii="Arial" w:hAnsi="Arial" w:cs="Arial"/>
          <w:b/>
          <w:bCs/>
          <w:lang w:val="en-GB"/>
        </w:rPr>
      </w:pPr>
      <w:r w:rsidRPr="00CB4CDE">
        <w:rPr>
          <w:rFonts w:ascii="Arial" w:hAnsi="Arial" w:cs="Arial"/>
          <w:b/>
          <w:bCs/>
          <w:lang w:val="en-GB"/>
        </w:rPr>
        <w:t>1.1 Five-Year Financial Statement Analysis</w:t>
      </w:r>
    </w:p>
    <w:p w14:paraId="109865AB" w14:textId="1469BE43" w:rsidR="00BB6FEB" w:rsidRPr="00CB4CDE" w:rsidRDefault="001C576C" w:rsidP="00BB6FEB">
      <w:pPr>
        <w:rPr>
          <w:rFonts w:ascii="Arial" w:hAnsi="Arial" w:cs="Arial"/>
          <w:lang w:val="en-GB"/>
        </w:rPr>
      </w:pPr>
      <w:r w:rsidRPr="00CB4CDE">
        <w:rPr>
          <w:rFonts w:ascii="Arial" w:hAnsi="Arial" w:cs="Arial"/>
          <w:lang w:val="en-GB"/>
        </w:rPr>
        <w:t xml:space="preserve">Financial performance of Hilton Worldwide Holdings Inc. over the period 2021-2025 indicates that the company has been able to regain its sales, operating profit, net </w:t>
      </w:r>
      <w:r w:rsidRPr="00CB4CDE">
        <w:rPr>
          <w:rFonts w:ascii="Arial" w:hAnsi="Arial" w:cs="Arial"/>
          <w:lang w:val="en-GB"/>
        </w:rPr>
        <w:lastRenderedPageBreak/>
        <w:t>income and operating cash generation. Nonetheless, this progress was coupled with a deterioration of liquidity, the growing interest-bearing debt and the incessant deficit of stockholders. The evaluation will involve the study of 5 years of financial statements, ratios evaluation, trends and threats identification, and liquidity comparison with the industry standards.</w:t>
      </w:r>
    </w:p>
    <w:p w14:paraId="0F24018A" w14:textId="77777777" w:rsidR="00BB6FEB" w:rsidRPr="00CB4CDE" w:rsidRDefault="00BB6FEB" w:rsidP="00BB6FEB">
      <w:pPr>
        <w:rPr>
          <w:rFonts w:ascii="Arial" w:hAnsi="Arial" w:cs="Arial"/>
          <w:b/>
          <w:bCs/>
          <w:lang w:val="en-GB"/>
        </w:rPr>
      </w:pPr>
      <w:r w:rsidRPr="00CB4CDE">
        <w:rPr>
          <w:rFonts w:ascii="Arial" w:hAnsi="Arial" w:cs="Arial"/>
          <w:b/>
          <w:bCs/>
          <w:lang w:val="en-GB"/>
        </w:rPr>
        <w:t>Income statement performance</w:t>
      </w:r>
    </w:p>
    <w:p w14:paraId="21724761" w14:textId="77777777" w:rsidR="0042572D" w:rsidRPr="00CB4CDE" w:rsidRDefault="0042572D" w:rsidP="0042572D">
      <w:pPr>
        <w:rPr>
          <w:rFonts w:ascii="Arial" w:hAnsi="Arial" w:cs="Arial"/>
          <w:lang w:val="en-GB"/>
        </w:rPr>
      </w:pPr>
      <w:r w:rsidRPr="00CB4CDE">
        <w:rPr>
          <w:rFonts w:ascii="Arial" w:hAnsi="Arial" w:cs="Arial"/>
          <w:lang w:val="en-GB"/>
        </w:rPr>
        <w:t>Revenue increased from $5,788 million in 2021 to $8,773 million in 2022, then rose to $10,235 million in 2023, $11,174 million in 2024 and $12,039 million in 2025. In general, the revenue grew by around 108%. The highest growth was seen in 2021-2022 when the travel demand recovered after being disrupted by the pandemic. The growth was then followed by a slower growth rate, which means that Hilton shifted to recovery-based growth to more normalised growth.</w:t>
      </w:r>
    </w:p>
    <w:p w14:paraId="38292264" w14:textId="7DFF17F6" w:rsidR="0042572D" w:rsidRPr="00CB4CDE" w:rsidRDefault="0042572D" w:rsidP="0042572D">
      <w:pPr>
        <w:rPr>
          <w:rFonts w:ascii="Arial" w:hAnsi="Arial" w:cs="Arial"/>
          <w:lang w:val="en-GB"/>
        </w:rPr>
      </w:pPr>
      <w:r w:rsidRPr="00CB4CDE">
        <w:rPr>
          <w:rFonts w:ascii="Arial" w:hAnsi="Arial" w:cs="Arial"/>
          <w:lang w:val="en-GB"/>
        </w:rPr>
        <w:t>Operating profit increased from $1,010 million in 2021 to $2,094 million in 2022, before reaching $2,225 million in 2023, $2,370 million in 2024 and $2,693 million in 2025</w:t>
      </w:r>
      <w:r w:rsidR="001B1B66" w:rsidRPr="00CB4CDE">
        <w:rPr>
          <w:rFonts w:ascii="Arial" w:hAnsi="Arial" w:cs="Arial"/>
          <w:lang w:val="en-GB"/>
        </w:rPr>
        <w:t xml:space="preserve"> (Hilton, 2025)</w:t>
      </w:r>
      <w:r w:rsidRPr="00CB4CDE">
        <w:rPr>
          <w:rFonts w:ascii="Arial" w:hAnsi="Arial" w:cs="Arial"/>
          <w:lang w:val="en-GB"/>
        </w:rPr>
        <w:t>. The operating profit thus rose at a rate of around 167%, higher than revenue. This implies that there is more operating leverage and better cost absorption. The asset-light model of Hilton helped achieve this performance as the group receives management fees, franchise and licensing fees whereas the capital and operating expenses at the hotel level are usually borne predominantly by third-party owners.</w:t>
      </w:r>
    </w:p>
    <w:p w14:paraId="06209FB4" w14:textId="6731F7A2" w:rsidR="00BB6FEB" w:rsidRPr="00CB4CDE" w:rsidRDefault="0042572D" w:rsidP="0042572D">
      <w:pPr>
        <w:rPr>
          <w:rFonts w:ascii="Arial" w:hAnsi="Arial" w:cs="Arial"/>
          <w:lang w:val="en-GB"/>
        </w:rPr>
      </w:pPr>
      <w:r w:rsidRPr="00CB4CDE">
        <w:rPr>
          <w:rFonts w:ascii="Arial" w:hAnsi="Arial" w:cs="Arial"/>
          <w:lang w:val="en-GB"/>
        </w:rPr>
        <w:t>Net income increased from $407 million in 2021 to $1,257 million in 2022, declined to $1,151 million in 2023, recovered to $1,539 million in 2024, and then decreased slightly to $1,461 million in 2025. The decrease in 2025 although there was an increase in revenue and operating profit, indicates that interest expense, taxation or other non-operating items undermined bottom-line conversion. As a result, the operating performance of Hilton got improved, and the ultimate profitability was more affected by financing and tax-related expenses.</w:t>
      </w:r>
    </w:p>
    <w:p w14:paraId="627890CE" w14:textId="77777777" w:rsidR="00BB6FEB" w:rsidRPr="00CB4CDE" w:rsidRDefault="00BB6FEB" w:rsidP="00BB6FEB">
      <w:pPr>
        <w:rPr>
          <w:rFonts w:ascii="Arial" w:hAnsi="Arial" w:cs="Arial"/>
          <w:b/>
          <w:bCs/>
          <w:lang w:val="en-GB"/>
        </w:rPr>
      </w:pPr>
      <w:r w:rsidRPr="00CB4CDE">
        <w:rPr>
          <w:rFonts w:ascii="Arial" w:hAnsi="Arial" w:cs="Arial"/>
          <w:b/>
          <w:bCs/>
          <w:lang w:val="en-GB"/>
        </w:rPr>
        <w:t>Balance-sheet performance</w:t>
      </w:r>
    </w:p>
    <w:p w14:paraId="6C538A4B" w14:textId="13B6C733" w:rsidR="00C0635E" w:rsidRPr="00CB4CDE" w:rsidRDefault="00C0635E" w:rsidP="00C0635E">
      <w:pPr>
        <w:rPr>
          <w:rFonts w:ascii="Arial" w:hAnsi="Arial" w:cs="Arial"/>
          <w:lang w:val="en-GB"/>
        </w:rPr>
      </w:pPr>
      <w:r w:rsidRPr="00CB4CDE">
        <w:rPr>
          <w:rFonts w:ascii="Arial" w:hAnsi="Arial" w:cs="Arial"/>
          <w:lang w:val="en-GB"/>
        </w:rPr>
        <w:t>Total assets remained comparatively stable, moving from $15,441 million in 2021 to $15,512 million in 2022, falling slightly to $15,401 million in 2023, and then increasing to $16,522 million in 2024 and $16,774 million in 2025. The increase in revenue more than doubled and the total assets grew by a very modest 9</w:t>
      </w:r>
      <w:r w:rsidR="004B3DCA" w:rsidRPr="00CB4CDE">
        <w:rPr>
          <w:rFonts w:ascii="Arial" w:hAnsi="Arial" w:cs="Arial"/>
          <w:lang w:val="en-GB"/>
        </w:rPr>
        <w:t>%</w:t>
      </w:r>
      <w:r w:rsidRPr="00CB4CDE">
        <w:rPr>
          <w:rFonts w:ascii="Arial" w:hAnsi="Arial" w:cs="Arial"/>
          <w:lang w:val="en-GB"/>
        </w:rPr>
        <w:t>, which reflects much better utilisation of the assets. This is in line with the growth of Hilton by way of management and franchise agreements as opposed to large scale ownership of property.</w:t>
      </w:r>
    </w:p>
    <w:p w14:paraId="5BED424D" w14:textId="056AAC95" w:rsidR="00C0635E" w:rsidRPr="00CB4CDE" w:rsidRDefault="00C0635E" w:rsidP="00C0635E">
      <w:pPr>
        <w:rPr>
          <w:rFonts w:ascii="Arial" w:hAnsi="Arial" w:cs="Arial"/>
          <w:lang w:val="en-GB"/>
        </w:rPr>
      </w:pPr>
      <w:r w:rsidRPr="00CB4CDE">
        <w:rPr>
          <w:rFonts w:ascii="Arial" w:hAnsi="Arial" w:cs="Arial"/>
          <w:lang w:val="en-GB"/>
        </w:rPr>
        <w:lastRenderedPageBreak/>
        <w:t>Nevertheless, liquidity weakened. Current assets declined from $2,871 million in 2021 to $2,870 million in 2022, fell to $2,614 million in 2023, recovered to $3,272 million in 2024, and declined again to $2,996 million in 2025</w:t>
      </w:r>
      <w:r w:rsidR="001B1B66" w:rsidRPr="00CB4CDE">
        <w:rPr>
          <w:rFonts w:ascii="Arial" w:hAnsi="Arial" w:cs="Arial"/>
          <w:lang w:val="en-GB"/>
        </w:rPr>
        <w:t xml:space="preserve"> (Hilton, 2025)</w:t>
      </w:r>
      <w:r w:rsidRPr="00CB4CDE">
        <w:rPr>
          <w:rFonts w:ascii="Arial" w:hAnsi="Arial" w:cs="Arial"/>
          <w:lang w:val="en-GB"/>
        </w:rPr>
        <w:t>. Conversely, current liabilities rose by an amount of 3,019 million to 4,508 million over the period. This is confirmed by the 2025 annual report which has current assets of 2,996 million and current liabilities of 4,508 million.</w:t>
      </w:r>
    </w:p>
    <w:p w14:paraId="327820B4" w14:textId="673DCA9A" w:rsidR="00BB6FEB" w:rsidRPr="00CB4CDE" w:rsidRDefault="00C0635E" w:rsidP="00C0635E">
      <w:pPr>
        <w:rPr>
          <w:rFonts w:ascii="Arial" w:hAnsi="Arial" w:cs="Arial"/>
          <w:lang w:val="en-GB"/>
        </w:rPr>
      </w:pPr>
      <w:r w:rsidRPr="00CB4CDE">
        <w:rPr>
          <w:rFonts w:ascii="Arial" w:hAnsi="Arial" w:cs="Arial"/>
          <w:lang w:val="en-GB"/>
        </w:rPr>
        <w:t>Interest-bearing debt increased from $8,766 million in 2021 to $8,747 million in 2022, then rose to $9,196 million in 2023, $11,151 million in 2024 and $12,363 million in 2025. The 2025 figure contained a current maturity of $25 million and a long-term debt of 12,338 million. Hilton also announced a growing negative stockholders’ deficit which undermined the traditional equity buffer. Hilton has marked significant indebtedness as a risk factor since it can limit cash access to finance and redirect the cash towards debt repayment.</w:t>
      </w:r>
    </w:p>
    <w:p w14:paraId="11A83D6C" w14:textId="77777777" w:rsidR="00BB6FEB" w:rsidRPr="00CB4CDE" w:rsidRDefault="00BB6FEB" w:rsidP="00BB6FEB">
      <w:pPr>
        <w:rPr>
          <w:rFonts w:ascii="Arial" w:hAnsi="Arial" w:cs="Arial"/>
          <w:b/>
          <w:bCs/>
          <w:lang w:val="en-GB"/>
        </w:rPr>
      </w:pPr>
      <w:r w:rsidRPr="00CB4CDE">
        <w:rPr>
          <w:rFonts w:ascii="Arial" w:hAnsi="Arial" w:cs="Arial"/>
          <w:b/>
          <w:bCs/>
          <w:lang w:val="en-GB"/>
        </w:rPr>
        <w:t>Cash-flow performance</w:t>
      </w:r>
    </w:p>
    <w:p w14:paraId="52983F32" w14:textId="6D4A0F5F" w:rsidR="00BB6FEB" w:rsidRPr="00CB4CDE" w:rsidRDefault="00282FE0" w:rsidP="00BB6FEB">
      <w:pPr>
        <w:rPr>
          <w:rFonts w:ascii="Arial" w:hAnsi="Arial" w:cs="Arial"/>
          <w:lang w:val="en-GB"/>
        </w:rPr>
      </w:pPr>
      <w:r w:rsidRPr="00CB4CDE">
        <w:rPr>
          <w:rFonts w:ascii="Arial" w:hAnsi="Arial" w:cs="Arial"/>
          <w:lang w:val="en-GB"/>
        </w:rPr>
        <w:t>Operating cash flow increased from $109 million in 2021 to $1,681 million in 2022, $1,946 million in 2023, $2,013 million in 2024 and $2,129 million in 2025. This trend has been continuous, which implies that Hilton has been recovering with real cash generation</w:t>
      </w:r>
      <w:r w:rsidR="003E47BA" w:rsidRPr="00CB4CDE">
        <w:rPr>
          <w:rFonts w:ascii="Arial" w:hAnsi="Arial" w:cs="Arial"/>
          <w:lang w:val="en-GB"/>
        </w:rPr>
        <w:t xml:space="preserve"> (Rejison, 2025)</w:t>
      </w:r>
      <w:r w:rsidRPr="00CB4CDE">
        <w:rPr>
          <w:rFonts w:ascii="Arial" w:hAnsi="Arial" w:cs="Arial"/>
          <w:lang w:val="en-GB"/>
        </w:rPr>
        <w:t>. Nevertheless, the cash and cash equivalents reduced to 1,301 million in 2024 to 918 million in 2025, which means that financing and investing outflow consumed a large share of operating cash.</w:t>
      </w:r>
    </w:p>
    <w:p w14:paraId="35BD39F4" w14:textId="77777777" w:rsidR="00BB6FEB" w:rsidRPr="00CB4CDE" w:rsidRDefault="00BB6FEB" w:rsidP="00BB6FEB">
      <w:pPr>
        <w:rPr>
          <w:rFonts w:ascii="Arial" w:hAnsi="Arial" w:cs="Arial"/>
          <w:lang w:val="en-GB"/>
        </w:rPr>
      </w:pPr>
    </w:p>
    <w:p w14:paraId="376528D9" w14:textId="77777777" w:rsidR="00BB6FEB" w:rsidRPr="00CB4CDE" w:rsidRDefault="00BB6FEB" w:rsidP="00BB6FEB">
      <w:pPr>
        <w:rPr>
          <w:rFonts w:ascii="Arial" w:hAnsi="Arial" w:cs="Arial"/>
          <w:b/>
          <w:bCs/>
          <w:lang w:val="en-GB"/>
        </w:rPr>
      </w:pPr>
      <w:r w:rsidRPr="00CB4CDE">
        <w:rPr>
          <w:rFonts w:ascii="Arial" w:hAnsi="Arial" w:cs="Arial"/>
          <w:b/>
          <w:bCs/>
          <w:lang w:val="en-GB"/>
        </w:rPr>
        <w:t>1.2 Comprehensive Ratio Analysis</w:t>
      </w:r>
    </w:p>
    <w:p w14:paraId="00C2EE3B" w14:textId="232DB999" w:rsidR="00F357CE" w:rsidRPr="00CB4CDE" w:rsidRDefault="00F357CE" w:rsidP="00F357CE">
      <w:pPr>
        <w:pStyle w:val="Caption"/>
        <w:jc w:val="center"/>
        <w:rPr>
          <w:rFonts w:ascii="Arial" w:hAnsi="Arial" w:cs="Arial"/>
          <w:b/>
          <w:bCs/>
          <w:sz w:val="24"/>
          <w:szCs w:val="24"/>
          <w:lang w:val="en-GB"/>
        </w:rPr>
      </w:pPr>
      <w:bookmarkStart w:id="4" w:name="_Toc236928791"/>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0015369D" w:rsidRPr="00CB4CDE">
        <w:rPr>
          <w:rFonts w:ascii="Arial" w:hAnsi="Arial" w:cs="Arial"/>
          <w:b/>
          <w:bCs/>
          <w:noProof/>
          <w:sz w:val="24"/>
          <w:szCs w:val="24"/>
        </w:rPr>
        <w:t>1</w:t>
      </w:r>
      <w:r w:rsidRPr="00CB4CDE">
        <w:rPr>
          <w:rFonts w:ascii="Arial" w:hAnsi="Arial" w:cs="Arial"/>
          <w:b/>
          <w:bCs/>
          <w:sz w:val="24"/>
          <w:szCs w:val="24"/>
        </w:rPr>
        <w:fldChar w:fldCharType="end"/>
      </w:r>
      <w:r w:rsidRPr="00CB4CDE">
        <w:rPr>
          <w:rFonts w:ascii="Arial" w:hAnsi="Arial" w:cs="Arial"/>
          <w:b/>
          <w:bCs/>
          <w:sz w:val="24"/>
          <w:szCs w:val="24"/>
        </w:rPr>
        <w:t>:</w:t>
      </w:r>
      <w:r w:rsidRPr="00CB4CDE">
        <w:rPr>
          <w:rFonts w:ascii="Arial" w:hAnsi="Arial" w:cs="Arial"/>
          <w:sz w:val="24"/>
          <w:szCs w:val="24"/>
        </w:rPr>
        <w:t xml:space="preserve"> </w:t>
      </w:r>
      <w:r w:rsidR="008D1788" w:rsidRPr="00CB4CDE">
        <w:rPr>
          <w:rFonts w:ascii="Arial" w:hAnsi="Arial" w:cs="Arial"/>
          <w:sz w:val="24"/>
          <w:szCs w:val="24"/>
        </w:rPr>
        <w:t xml:space="preserve">Summary of </w:t>
      </w:r>
      <w:r w:rsidRPr="00CB4CDE">
        <w:rPr>
          <w:rFonts w:ascii="Arial" w:hAnsi="Arial" w:cs="Arial"/>
          <w:sz w:val="24"/>
          <w:szCs w:val="24"/>
        </w:rPr>
        <w:t xml:space="preserve"> ratios</w:t>
      </w:r>
      <w:bookmarkEnd w:id="4"/>
    </w:p>
    <w:tbl>
      <w:tblPr>
        <w:tblW w:w="7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5"/>
        <w:gridCol w:w="1030"/>
        <w:gridCol w:w="1030"/>
        <w:gridCol w:w="1030"/>
        <w:gridCol w:w="1164"/>
        <w:gridCol w:w="1030"/>
      </w:tblGrid>
      <w:tr w:rsidR="00F357CE" w:rsidRPr="00CB4CDE" w14:paraId="309DBDAC" w14:textId="77777777" w:rsidTr="00F357CE">
        <w:trPr>
          <w:trHeight w:val="300"/>
          <w:jc w:val="center"/>
        </w:trPr>
        <w:tc>
          <w:tcPr>
            <w:tcW w:w="7621" w:type="dxa"/>
            <w:gridSpan w:val="6"/>
            <w:noWrap/>
            <w:vAlign w:val="bottom"/>
            <w:hideMark/>
          </w:tcPr>
          <w:p w14:paraId="3AFA550E" w14:textId="77777777" w:rsidR="00F357CE" w:rsidRPr="00CB4CDE" w:rsidRDefault="00F357CE" w:rsidP="00F357C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Financial ratios for Hilton worldwide holdings Inc.</w:t>
            </w:r>
          </w:p>
        </w:tc>
      </w:tr>
      <w:tr w:rsidR="00F357CE" w:rsidRPr="00CB4CDE" w14:paraId="619914AF" w14:textId="77777777" w:rsidTr="00F357CE">
        <w:trPr>
          <w:trHeight w:val="300"/>
          <w:jc w:val="center"/>
        </w:trPr>
        <w:tc>
          <w:tcPr>
            <w:tcW w:w="3015" w:type="dxa"/>
            <w:noWrap/>
            <w:vAlign w:val="bottom"/>
            <w:hideMark/>
          </w:tcPr>
          <w:p w14:paraId="2E82432E"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Profitability ratio</w:t>
            </w:r>
          </w:p>
        </w:tc>
        <w:tc>
          <w:tcPr>
            <w:tcW w:w="895" w:type="dxa"/>
            <w:noWrap/>
            <w:vAlign w:val="bottom"/>
            <w:hideMark/>
          </w:tcPr>
          <w:p w14:paraId="5658116E" w14:textId="77777777" w:rsidR="00F357CE" w:rsidRPr="00CB4CDE" w:rsidRDefault="00F357CE" w:rsidP="00F357C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895" w:type="dxa"/>
            <w:noWrap/>
            <w:vAlign w:val="bottom"/>
            <w:hideMark/>
          </w:tcPr>
          <w:p w14:paraId="0BA17B03" w14:textId="77777777" w:rsidR="00F357CE" w:rsidRPr="00CB4CDE" w:rsidRDefault="00F357CE" w:rsidP="00F357C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895" w:type="dxa"/>
            <w:noWrap/>
            <w:vAlign w:val="bottom"/>
            <w:hideMark/>
          </w:tcPr>
          <w:p w14:paraId="4CF8D198" w14:textId="77777777" w:rsidR="00F357CE" w:rsidRPr="00CB4CDE" w:rsidRDefault="00F357CE" w:rsidP="00F357C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1026" w:type="dxa"/>
            <w:noWrap/>
            <w:vAlign w:val="bottom"/>
            <w:hideMark/>
          </w:tcPr>
          <w:p w14:paraId="008D9435" w14:textId="77777777" w:rsidR="00F357CE" w:rsidRPr="00CB4CDE" w:rsidRDefault="00F357CE" w:rsidP="00F357C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895" w:type="dxa"/>
            <w:noWrap/>
            <w:vAlign w:val="bottom"/>
            <w:hideMark/>
          </w:tcPr>
          <w:p w14:paraId="527B5C84" w14:textId="77777777" w:rsidR="00F357CE" w:rsidRPr="00CB4CDE" w:rsidRDefault="00F357CE" w:rsidP="00F357C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r>
      <w:tr w:rsidR="00F357CE" w:rsidRPr="00CB4CDE" w14:paraId="0848F09F" w14:textId="77777777" w:rsidTr="00F357CE">
        <w:trPr>
          <w:trHeight w:val="300"/>
          <w:jc w:val="center"/>
        </w:trPr>
        <w:tc>
          <w:tcPr>
            <w:tcW w:w="3015" w:type="dxa"/>
            <w:noWrap/>
            <w:vAlign w:val="bottom"/>
            <w:hideMark/>
          </w:tcPr>
          <w:p w14:paraId="48BB75FC"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Operating profit margin (%)</w:t>
            </w:r>
          </w:p>
        </w:tc>
        <w:tc>
          <w:tcPr>
            <w:tcW w:w="895" w:type="dxa"/>
            <w:noWrap/>
            <w:vAlign w:val="bottom"/>
            <w:hideMark/>
          </w:tcPr>
          <w:p w14:paraId="5AAA1A6A"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22.37%</w:t>
            </w:r>
          </w:p>
        </w:tc>
        <w:tc>
          <w:tcPr>
            <w:tcW w:w="895" w:type="dxa"/>
            <w:noWrap/>
            <w:vAlign w:val="bottom"/>
            <w:hideMark/>
          </w:tcPr>
          <w:p w14:paraId="4AC4347E"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21.21%</w:t>
            </w:r>
          </w:p>
        </w:tc>
        <w:tc>
          <w:tcPr>
            <w:tcW w:w="895" w:type="dxa"/>
            <w:noWrap/>
            <w:vAlign w:val="bottom"/>
            <w:hideMark/>
          </w:tcPr>
          <w:p w14:paraId="641E9366"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21.74%</w:t>
            </w:r>
          </w:p>
        </w:tc>
        <w:tc>
          <w:tcPr>
            <w:tcW w:w="1026" w:type="dxa"/>
            <w:noWrap/>
            <w:vAlign w:val="bottom"/>
            <w:hideMark/>
          </w:tcPr>
          <w:p w14:paraId="040990CB"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23.87%</w:t>
            </w:r>
          </w:p>
        </w:tc>
        <w:tc>
          <w:tcPr>
            <w:tcW w:w="895" w:type="dxa"/>
            <w:noWrap/>
            <w:vAlign w:val="bottom"/>
            <w:hideMark/>
          </w:tcPr>
          <w:p w14:paraId="7E045BF6"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17.45%</w:t>
            </w:r>
          </w:p>
        </w:tc>
      </w:tr>
      <w:tr w:rsidR="00F357CE" w:rsidRPr="00CB4CDE" w14:paraId="60DCB12A" w14:textId="77777777" w:rsidTr="00F357CE">
        <w:trPr>
          <w:trHeight w:val="300"/>
          <w:jc w:val="center"/>
        </w:trPr>
        <w:tc>
          <w:tcPr>
            <w:tcW w:w="3015" w:type="dxa"/>
            <w:noWrap/>
            <w:vAlign w:val="bottom"/>
            <w:hideMark/>
          </w:tcPr>
          <w:p w14:paraId="7143A7CD"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Net profit margin (%)</w:t>
            </w:r>
          </w:p>
        </w:tc>
        <w:tc>
          <w:tcPr>
            <w:tcW w:w="895" w:type="dxa"/>
            <w:noWrap/>
            <w:vAlign w:val="bottom"/>
            <w:hideMark/>
          </w:tcPr>
          <w:p w14:paraId="4B894B79"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12.14%</w:t>
            </w:r>
          </w:p>
        </w:tc>
        <w:tc>
          <w:tcPr>
            <w:tcW w:w="895" w:type="dxa"/>
            <w:noWrap/>
            <w:vAlign w:val="bottom"/>
            <w:hideMark/>
          </w:tcPr>
          <w:p w14:paraId="6D213F4A"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13.77%</w:t>
            </w:r>
          </w:p>
        </w:tc>
        <w:tc>
          <w:tcPr>
            <w:tcW w:w="895" w:type="dxa"/>
            <w:noWrap/>
            <w:vAlign w:val="bottom"/>
            <w:hideMark/>
          </w:tcPr>
          <w:p w14:paraId="2F85EE06"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11.25%</w:t>
            </w:r>
          </w:p>
        </w:tc>
        <w:tc>
          <w:tcPr>
            <w:tcW w:w="1026" w:type="dxa"/>
            <w:noWrap/>
            <w:vAlign w:val="bottom"/>
            <w:hideMark/>
          </w:tcPr>
          <w:p w14:paraId="400924A3"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14.33%</w:t>
            </w:r>
          </w:p>
        </w:tc>
        <w:tc>
          <w:tcPr>
            <w:tcW w:w="895" w:type="dxa"/>
            <w:noWrap/>
            <w:vAlign w:val="bottom"/>
            <w:hideMark/>
          </w:tcPr>
          <w:p w14:paraId="39CF4D7E"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7.03%</w:t>
            </w:r>
          </w:p>
        </w:tc>
      </w:tr>
      <w:tr w:rsidR="00F357CE" w:rsidRPr="00CB4CDE" w14:paraId="5E765ED2" w14:textId="77777777" w:rsidTr="00F357CE">
        <w:trPr>
          <w:trHeight w:val="300"/>
          <w:jc w:val="center"/>
        </w:trPr>
        <w:tc>
          <w:tcPr>
            <w:tcW w:w="3015" w:type="dxa"/>
            <w:noWrap/>
            <w:vAlign w:val="bottom"/>
            <w:hideMark/>
          </w:tcPr>
          <w:p w14:paraId="0D8582A9"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Return on equity (%)</w:t>
            </w:r>
          </w:p>
        </w:tc>
        <w:tc>
          <w:tcPr>
            <w:tcW w:w="895" w:type="dxa"/>
            <w:noWrap/>
            <w:vAlign w:val="bottom"/>
            <w:hideMark/>
          </w:tcPr>
          <w:p w14:paraId="55F23E2C"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-27.19%</w:t>
            </w:r>
          </w:p>
        </w:tc>
        <w:tc>
          <w:tcPr>
            <w:tcW w:w="895" w:type="dxa"/>
            <w:noWrap/>
            <w:vAlign w:val="bottom"/>
            <w:hideMark/>
          </w:tcPr>
          <w:p w14:paraId="49480157"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-41.42%</w:t>
            </w:r>
          </w:p>
        </w:tc>
        <w:tc>
          <w:tcPr>
            <w:tcW w:w="895" w:type="dxa"/>
            <w:noWrap/>
            <w:vAlign w:val="bottom"/>
            <w:hideMark/>
          </w:tcPr>
          <w:p w14:paraId="6A683AE6"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-48.62%</w:t>
            </w:r>
          </w:p>
        </w:tc>
        <w:tc>
          <w:tcPr>
            <w:tcW w:w="1026" w:type="dxa"/>
            <w:noWrap/>
            <w:vAlign w:val="bottom"/>
            <w:hideMark/>
          </w:tcPr>
          <w:p w14:paraId="3BA870A8"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-114.30%</w:t>
            </w:r>
          </w:p>
        </w:tc>
        <w:tc>
          <w:tcPr>
            <w:tcW w:w="895" w:type="dxa"/>
            <w:noWrap/>
            <w:vAlign w:val="bottom"/>
            <w:hideMark/>
          </w:tcPr>
          <w:p w14:paraId="47F6B479"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-50.06%</w:t>
            </w:r>
          </w:p>
        </w:tc>
      </w:tr>
      <w:tr w:rsidR="00F357CE" w:rsidRPr="00CB4CDE" w14:paraId="636A3523" w14:textId="77777777" w:rsidTr="00F357CE">
        <w:trPr>
          <w:trHeight w:val="300"/>
          <w:jc w:val="center"/>
        </w:trPr>
        <w:tc>
          <w:tcPr>
            <w:tcW w:w="3015" w:type="dxa"/>
            <w:noWrap/>
            <w:vAlign w:val="bottom"/>
            <w:hideMark/>
          </w:tcPr>
          <w:p w14:paraId="7E208875"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Liquidity ratios</w:t>
            </w:r>
          </w:p>
        </w:tc>
        <w:tc>
          <w:tcPr>
            <w:tcW w:w="895" w:type="dxa"/>
            <w:noWrap/>
            <w:vAlign w:val="bottom"/>
            <w:hideMark/>
          </w:tcPr>
          <w:p w14:paraId="411FFF78"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p>
        </w:tc>
        <w:tc>
          <w:tcPr>
            <w:tcW w:w="895" w:type="dxa"/>
            <w:noWrap/>
            <w:vAlign w:val="bottom"/>
            <w:hideMark/>
          </w:tcPr>
          <w:p w14:paraId="039867F4"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08D8A874"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1026" w:type="dxa"/>
            <w:noWrap/>
            <w:vAlign w:val="bottom"/>
            <w:hideMark/>
          </w:tcPr>
          <w:p w14:paraId="7AC30F14"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28266129" w14:textId="77777777" w:rsidR="00F357CE" w:rsidRPr="00CB4CDE" w:rsidRDefault="00F357CE" w:rsidP="00F357CE">
            <w:pPr>
              <w:spacing w:line="240" w:lineRule="auto"/>
              <w:jc w:val="center"/>
              <w:rPr>
                <w:rFonts w:ascii="Arial" w:eastAsia="Times New Roman" w:hAnsi="Arial" w:cs="Arial"/>
                <w:kern w:val="0"/>
                <w14:ligatures w14:val="none"/>
              </w:rPr>
            </w:pPr>
          </w:p>
        </w:tc>
      </w:tr>
      <w:tr w:rsidR="00F357CE" w:rsidRPr="00CB4CDE" w14:paraId="7D537DF6" w14:textId="77777777" w:rsidTr="00F357CE">
        <w:trPr>
          <w:trHeight w:val="300"/>
          <w:jc w:val="center"/>
        </w:trPr>
        <w:tc>
          <w:tcPr>
            <w:tcW w:w="3015" w:type="dxa"/>
            <w:noWrap/>
            <w:vAlign w:val="bottom"/>
            <w:hideMark/>
          </w:tcPr>
          <w:p w14:paraId="7C857859"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Current ratio</w:t>
            </w:r>
          </w:p>
        </w:tc>
        <w:tc>
          <w:tcPr>
            <w:tcW w:w="895" w:type="dxa"/>
            <w:noWrap/>
            <w:vAlign w:val="bottom"/>
            <w:hideMark/>
          </w:tcPr>
          <w:p w14:paraId="2766D91B"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0.66</w:t>
            </w:r>
          </w:p>
        </w:tc>
        <w:tc>
          <w:tcPr>
            <w:tcW w:w="895" w:type="dxa"/>
            <w:noWrap/>
            <w:vAlign w:val="bottom"/>
            <w:hideMark/>
          </w:tcPr>
          <w:p w14:paraId="2FA3B481"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0.70</w:t>
            </w:r>
          </w:p>
        </w:tc>
        <w:tc>
          <w:tcPr>
            <w:tcW w:w="895" w:type="dxa"/>
            <w:noWrap/>
            <w:vAlign w:val="bottom"/>
            <w:hideMark/>
          </w:tcPr>
          <w:p w14:paraId="36508E95"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0.70</w:t>
            </w:r>
          </w:p>
        </w:tc>
        <w:tc>
          <w:tcPr>
            <w:tcW w:w="1026" w:type="dxa"/>
            <w:noWrap/>
            <w:vAlign w:val="bottom"/>
            <w:hideMark/>
          </w:tcPr>
          <w:p w14:paraId="4B7ABC2D"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0.85</w:t>
            </w:r>
          </w:p>
        </w:tc>
        <w:tc>
          <w:tcPr>
            <w:tcW w:w="895" w:type="dxa"/>
            <w:noWrap/>
            <w:vAlign w:val="bottom"/>
            <w:hideMark/>
          </w:tcPr>
          <w:p w14:paraId="3E91E037"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0.95</w:t>
            </w:r>
          </w:p>
        </w:tc>
      </w:tr>
      <w:tr w:rsidR="00F357CE" w:rsidRPr="00CB4CDE" w14:paraId="79C83353" w14:textId="77777777" w:rsidTr="00F357CE">
        <w:trPr>
          <w:trHeight w:val="300"/>
          <w:jc w:val="center"/>
        </w:trPr>
        <w:tc>
          <w:tcPr>
            <w:tcW w:w="3015" w:type="dxa"/>
            <w:noWrap/>
            <w:vAlign w:val="bottom"/>
            <w:hideMark/>
          </w:tcPr>
          <w:p w14:paraId="07143A5C"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ratio</w:t>
            </w:r>
          </w:p>
        </w:tc>
        <w:tc>
          <w:tcPr>
            <w:tcW w:w="895" w:type="dxa"/>
            <w:noWrap/>
            <w:vAlign w:val="bottom"/>
            <w:hideMark/>
          </w:tcPr>
          <w:p w14:paraId="2E0F95CB"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0.20</w:t>
            </w:r>
          </w:p>
        </w:tc>
        <w:tc>
          <w:tcPr>
            <w:tcW w:w="895" w:type="dxa"/>
            <w:noWrap/>
            <w:vAlign w:val="bottom"/>
            <w:hideMark/>
          </w:tcPr>
          <w:p w14:paraId="26F25355"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0.28</w:t>
            </w:r>
          </w:p>
        </w:tc>
        <w:tc>
          <w:tcPr>
            <w:tcW w:w="895" w:type="dxa"/>
            <w:noWrap/>
            <w:vAlign w:val="bottom"/>
            <w:hideMark/>
          </w:tcPr>
          <w:p w14:paraId="39739B67"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0.21</w:t>
            </w:r>
          </w:p>
        </w:tc>
        <w:tc>
          <w:tcPr>
            <w:tcW w:w="1026" w:type="dxa"/>
            <w:noWrap/>
            <w:vAlign w:val="bottom"/>
            <w:hideMark/>
          </w:tcPr>
          <w:p w14:paraId="231D88C0"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0.36</w:t>
            </w:r>
          </w:p>
        </w:tc>
        <w:tc>
          <w:tcPr>
            <w:tcW w:w="895" w:type="dxa"/>
            <w:noWrap/>
            <w:vAlign w:val="bottom"/>
            <w:hideMark/>
          </w:tcPr>
          <w:p w14:paraId="3F13E86B"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0.47</w:t>
            </w:r>
          </w:p>
        </w:tc>
      </w:tr>
      <w:tr w:rsidR="00F357CE" w:rsidRPr="00CB4CDE" w14:paraId="1DFAC967" w14:textId="77777777" w:rsidTr="00F357CE">
        <w:trPr>
          <w:trHeight w:val="300"/>
          <w:jc w:val="center"/>
        </w:trPr>
        <w:tc>
          <w:tcPr>
            <w:tcW w:w="3015" w:type="dxa"/>
            <w:noWrap/>
            <w:vAlign w:val="bottom"/>
            <w:hideMark/>
          </w:tcPr>
          <w:p w14:paraId="1065EAEB"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Efficiency ratios</w:t>
            </w:r>
          </w:p>
        </w:tc>
        <w:tc>
          <w:tcPr>
            <w:tcW w:w="895" w:type="dxa"/>
            <w:noWrap/>
            <w:vAlign w:val="bottom"/>
            <w:hideMark/>
          </w:tcPr>
          <w:p w14:paraId="30F20546"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p>
        </w:tc>
        <w:tc>
          <w:tcPr>
            <w:tcW w:w="895" w:type="dxa"/>
            <w:noWrap/>
            <w:vAlign w:val="bottom"/>
            <w:hideMark/>
          </w:tcPr>
          <w:p w14:paraId="4FC12858"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4035909C"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1026" w:type="dxa"/>
            <w:noWrap/>
            <w:vAlign w:val="bottom"/>
            <w:hideMark/>
          </w:tcPr>
          <w:p w14:paraId="61F985F0"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3C943D27" w14:textId="77777777" w:rsidR="00F357CE" w:rsidRPr="00CB4CDE" w:rsidRDefault="00F357CE" w:rsidP="00F357CE">
            <w:pPr>
              <w:spacing w:line="240" w:lineRule="auto"/>
              <w:jc w:val="center"/>
              <w:rPr>
                <w:rFonts w:ascii="Arial" w:eastAsia="Times New Roman" w:hAnsi="Arial" w:cs="Arial"/>
                <w:kern w:val="0"/>
                <w14:ligatures w14:val="none"/>
              </w:rPr>
            </w:pPr>
          </w:p>
        </w:tc>
      </w:tr>
      <w:tr w:rsidR="00F357CE" w:rsidRPr="00CB4CDE" w14:paraId="24B605A5" w14:textId="77777777" w:rsidTr="00F357CE">
        <w:trPr>
          <w:trHeight w:val="300"/>
          <w:jc w:val="center"/>
        </w:trPr>
        <w:tc>
          <w:tcPr>
            <w:tcW w:w="3015" w:type="dxa"/>
            <w:noWrap/>
            <w:vAlign w:val="bottom"/>
            <w:hideMark/>
          </w:tcPr>
          <w:p w14:paraId="390D2BCA"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Asset turnover ratio</w:t>
            </w:r>
          </w:p>
        </w:tc>
        <w:tc>
          <w:tcPr>
            <w:tcW w:w="895" w:type="dxa"/>
            <w:noWrap/>
            <w:vAlign w:val="bottom"/>
            <w:hideMark/>
          </w:tcPr>
          <w:p w14:paraId="4955C723"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0.72</w:t>
            </w:r>
          </w:p>
        </w:tc>
        <w:tc>
          <w:tcPr>
            <w:tcW w:w="895" w:type="dxa"/>
            <w:noWrap/>
            <w:vAlign w:val="bottom"/>
            <w:hideMark/>
          </w:tcPr>
          <w:p w14:paraId="7AC572FC"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0.70</w:t>
            </w:r>
          </w:p>
        </w:tc>
        <w:tc>
          <w:tcPr>
            <w:tcW w:w="895" w:type="dxa"/>
            <w:noWrap/>
            <w:vAlign w:val="bottom"/>
            <w:hideMark/>
          </w:tcPr>
          <w:p w14:paraId="03D9359F"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0.66</w:t>
            </w:r>
          </w:p>
        </w:tc>
        <w:tc>
          <w:tcPr>
            <w:tcW w:w="1026" w:type="dxa"/>
            <w:noWrap/>
            <w:vAlign w:val="bottom"/>
            <w:hideMark/>
          </w:tcPr>
          <w:p w14:paraId="3EEAC2D8"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0.57</w:t>
            </w:r>
          </w:p>
        </w:tc>
        <w:tc>
          <w:tcPr>
            <w:tcW w:w="895" w:type="dxa"/>
            <w:noWrap/>
            <w:vAlign w:val="bottom"/>
            <w:hideMark/>
          </w:tcPr>
          <w:p w14:paraId="4F41A725"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0.37</w:t>
            </w:r>
          </w:p>
        </w:tc>
      </w:tr>
      <w:tr w:rsidR="00F357CE" w:rsidRPr="00CB4CDE" w14:paraId="1F20F7CE" w14:textId="77777777" w:rsidTr="00F357CE">
        <w:trPr>
          <w:trHeight w:val="300"/>
          <w:jc w:val="center"/>
        </w:trPr>
        <w:tc>
          <w:tcPr>
            <w:tcW w:w="3015" w:type="dxa"/>
            <w:noWrap/>
            <w:vAlign w:val="bottom"/>
            <w:hideMark/>
          </w:tcPr>
          <w:p w14:paraId="76033E30"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Receivable turnover ratio</w:t>
            </w:r>
          </w:p>
        </w:tc>
        <w:tc>
          <w:tcPr>
            <w:tcW w:w="895" w:type="dxa"/>
            <w:noWrap/>
            <w:vAlign w:val="bottom"/>
            <w:hideMark/>
          </w:tcPr>
          <w:p w14:paraId="7575C0EE"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7.36</w:t>
            </w:r>
          </w:p>
        </w:tc>
        <w:tc>
          <w:tcPr>
            <w:tcW w:w="895" w:type="dxa"/>
            <w:noWrap/>
            <w:vAlign w:val="bottom"/>
            <w:hideMark/>
          </w:tcPr>
          <w:p w14:paraId="4177504A"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7.28</w:t>
            </w:r>
          </w:p>
        </w:tc>
        <w:tc>
          <w:tcPr>
            <w:tcW w:w="895" w:type="dxa"/>
            <w:noWrap/>
            <w:vAlign w:val="bottom"/>
            <w:hideMark/>
          </w:tcPr>
          <w:p w14:paraId="194FFB08"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7.27</w:t>
            </w:r>
          </w:p>
        </w:tc>
        <w:tc>
          <w:tcPr>
            <w:tcW w:w="1026" w:type="dxa"/>
            <w:noWrap/>
            <w:vAlign w:val="bottom"/>
            <w:hideMark/>
          </w:tcPr>
          <w:p w14:paraId="2C5E14B6"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7.33</w:t>
            </w:r>
          </w:p>
        </w:tc>
        <w:tc>
          <w:tcPr>
            <w:tcW w:w="895" w:type="dxa"/>
            <w:noWrap/>
            <w:vAlign w:val="bottom"/>
            <w:hideMark/>
          </w:tcPr>
          <w:p w14:paraId="304D4370"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5.42</w:t>
            </w:r>
          </w:p>
        </w:tc>
      </w:tr>
      <w:tr w:rsidR="00F357CE" w:rsidRPr="00CB4CDE" w14:paraId="38BCC540" w14:textId="77777777" w:rsidTr="00F357CE">
        <w:trPr>
          <w:trHeight w:val="300"/>
          <w:jc w:val="center"/>
        </w:trPr>
        <w:tc>
          <w:tcPr>
            <w:tcW w:w="3015" w:type="dxa"/>
            <w:noWrap/>
            <w:vAlign w:val="bottom"/>
            <w:hideMark/>
          </w:tcPr>
          <w:p w14:paraId="4ECF64B0"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lastRenderedPageBreak/>
              <w:t>Gearing ratios</w:t>
            </w:r>
          </w:p>
        </w:tc>
        <w:tc>
          <w:tcPr>
            <w:tcW w:w="895" w:type="dxa"/>
            <w:noWrap/>
            <w:vAlign w:val="bottom"/>
            <w:hideMark/>
          </w:tcPr>
          <w:p w14:paraId="05569F63"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p>
        </w:tc>
        <w:tc>
          <w:tcPr>
            <w:tcW w:w="895" w:type="dxa"/>
            <w:noWrap/>
            <w:vAlign w:val="bottom"/>
            <w:hideMark/>
          </w:tcPr>
          <w:p w14:paraId="672D5E92" w14:textId="77777777" w:rsidR="00F357CE" w:rsidRPr="00CB4CDE" w:rsidRDefault="00F357CE" w:rsidP="00F357CE">
            <w:pPr>
              <w:spacing w:line="240" w:lineRule="auto"/>
              <w:jc w:val="left"/>
              <w:rPr>
                <w:rFonts w:ascii="Arial" w:eastAsia="Times New Roman" w:hAnsi="Arial" w:cs="Arial"/>
                <w:kern w:val="0"/>
                <w14:ligatures w14:val="none"/>
              </w:rPr>
            </w:pPr>
          </w:p>
        </w:tc>
        <w:tc>
          <w:tcPr>
            <w:tcW w:w="895" w:type="dxa"/>
            <w:noWrap/>
            <w:vAlign w:val="bottom"/>
            <w:hideMark/>
          </w:tcPr>
          <w:p w14:paraId="5291FD6D" w14:textId="77777777" w:rsidR="00F357CE" w:rsidRPr="00CB4CDE" w:rsidRDefault="00F357CE" w:rsidP="00F357CE">
            <w:pPr>
              <w:spacing w:line="240" w:lineRule="auto"/>
              <w:jc w:val="left"/>
              <w:rPr>
                <w:rFonts w:ascii="Arial" w:eastAsia="Times New Roman" w:hAnsi="Arial" w:cs="Arial"/>
                <w:kern w:val="0"/>
                <w14:ligatures w14:val="none"/>
              </w:rPr>
            </w:pPr>
          </w:p>
        </w:tc>
        <w:tc>
          <w:tcPr>
            <w:tcW w:w="1026" w:type="dxa"/>
            <w:noWrap/>
            <w:vAlign w:val="bottom"/>
            <w:hideMark/>
          </w:tcPr>
          <w:p w14:paraId="45B41823" w14:textId="77777777" w:rsidR="00F357CE" w:rsidRPr="00CB4CDE" w:rsidRDefault="00F357CE" w:rsidP="00F357CE">
            <w:pPr>
              <w:spacing w:line="240" w:lineRule="auto"/>
              <w:jc w:val="left"/>
              <w:rPr>
                <w:rFonts w:ascii="Arial" w:eastAsia="Times New Roman" w:hAnsi="Arial" w:cs="Arial"/>
                <w:kern w:val="0"/>
                <w14:ligatures w14:val="none"/>
              </w:rPr>
            </w:pPr>
          </w:p>
        </w:tc>
        <w:tc>
          <w:tcPr>
            <w:tcW w:w="895" w:type="dxa"/>
            <w:noWrap/>
            <w:vAlign w:val="bottom"/>
            <w:hideMark/>
          </w:tcPr>
          <w:p w14:paraId="290ED2E1" w14:textId="77777777" w:rsidR="00F357CE" w:rsidRPr="00CB4CDE" w:rsidRDefault="00F357CE" w:rsidP="00F357CE">
            <w:pPr>
              <w:spacing w:line="240" w:lineRule="auto"/>
              <w:jc w:val="left"/>
              <w:rPr>
                <w:rFonts w:ascii="Arial" w:eastAsia="Times New Roman" w:hAnsi="Arial" w:cs="Arial"/>
                <w:kern w:val="0"/>
                <w14:ligatures w14:val="none"/>
              </w:rPr>
            </w:pPr>
          </w:p>
        </w:tc>
      </w:tr>
      <w:tr w:rsidR="00F357CE" w:rsidRPr="00CB4CDE" w14:paraId="66F19176" w14:textId="77777777" w:rsidTr="00F357CE">
        <w:trPr>
          <w:trHeight w:val="300"/>
          <w:jc w:val="center"/>
        </w:trPr>
        <w:tc>
          <w:tcPr>
            <w:tcW w:w="3015" w:type="dxa"/>
            <w:noWrap/>
            <w:vAlign w:val="bottom"/>
            <w:hideMark/>
          </w:tcPr>
          <w:p w14:paraId="3CE7F4FA"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Debt to equity ratio</w:t>
            </w:r>
          </w:p>
        </w:tc>
        <w:tc>
          <w:tcPr>
            <w:tcW w:w="895" w:type="dxa"/>
            <w:noWrap/>
            <w:vAlign w:val="bottom"/>
            <w:hideMark/>
          </w:tcPr>
          <w:p w14:paraId="29ADF4A9"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-2.29</w:t>
            </w:r>
          </w:p>
        </w:tc>
        <w:tc>
          <w:tcPr>
            <w:tcW w:w="895" w:type="dxa"/>
            <w:noWrap/>
            <w:vAlign w:val="bottom"/>
            <w:hideMark/>
          </w:tcPr>
          <w:p w14:paraId="118FC912"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-2.99</w:t>
            </w:r>
          </w:p>
        </w:tc>
        <w:tc>
          <w:tcPr>
            <w:tcW w:w="895" w:type="dxa"/>
            <w:noWrap/>
            <w:vAlign w:val="bottom"/>
            <w:hideMark/>
          </w:tcPr>
          <w:p w14:paraId="54216A90"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-3.90</w:t>
            </w:r>
          </w:p>
        </w:tc>
        <w:tc>
          <w:tcPr>
            <w:tcW w:w="1026" w:type="dxa"/>
            <w:noWrap/>
            <w:vAlign w:val="bottom"/>
            <w:hideMark/>
          </w:tcPr>
          <w:p w14:paraId="21020AE7"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-7.94</w:t>
            </w:r>
          </w:p>
        </w:tc>
        <w:tc>
          <w:tcPr>
            <w:tcW w:w="895" w:type="dxa"/>
            <w:noWrap/>
            <w:vAlign w:val="bottom"/>
            <w:hideMark/>
          </w:tcPr>
          <w:p w14:paraId="66690BAB"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-10.68</w:t>
            </w:r>
          </w:p>
        </w:tc>
      </w:tr>
      <w:tr w:rsidR="00F357CE" w:rsidRPr="00CB4CDE" w14:paraId="6EA89917" w14:textId="77777777" w:rsidTr="00F357CE">
        <w:trPr>
          <w:trHeight w:val="300"/>
          <w:jc w:val="center"/>
        </w:trPr>
        <w:tc>
          <w:tcPr>
            <w:tcW w:w="3015" w:type="dxa"/>
            <w:noWrap/>
            <w:vAlign w:val="bottom"/>
            <w:hideMark/>
          </w:tcPr>
          <w:p w14:paraId="5C663CC0"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Interest coverage ratio</w:t>
            </w:r>
          </w:p>
        </w:tc>
        <w:tc>
          <w:tcPr>
            <w:tcW w:w="895" w:type="dxa"/>
            <w:noWrap/>
            <w:vAlign w:val="bottom"/>
            <w:hideMark/>
          </w:tcPr>
          <w:p w14:paraId="59356645"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4.34</w:t>
            </w:r>
          </w:p>
        </w:tc>
        <w:tc>
          <w:tcPr>
            <w:tcW w:w="895" w:type="dxa"/>
            <w:noWrap/>
            <w:vAlign w:val="bottom"/>
            <w:hideMark/>
          </w:tcPr>
          <w:p w14:paraId="70A13AB5"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4.17</w:t>
            </w:r>
          </w:p>
        </w:tc>
        <w:tc>
          <w:tcPr>
            <w:tcW w:w="895" w:type="dxa"/>
            <w:noWrap/>
            <w:vAlign w:val="bottom"/>
            <w:hideMark/>
          </w:tcPr>
          <w:p w14:paraId="74562331"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4.80</w:t>
            </w:r>
          </w:p>
        </w:tc>
        <w:tc>
          <w:tcPr>
            <w:tcW w:w="1026" w:type="dxa"/>
            <w:noWrap/>
            <w:vAlign w:val="bottom"/>
            <w:hideMark/>
          </w:tcPr>
          <w:p w14:paraId="27910F4E"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5.05</w:t>
            </w:r>
          </w:p>
        </w:tc>
        <w:tc>
          <w:tcPr>
            <w:tcW w:w="895" w:type="dxa"/>
            <w:noWrap/>
            <w:vAlign w:val="bottom"/>
            <w:hideMark/>
          </w:tcPr>
          <w:p w14:paraId="0304EA99"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2.54</w:t>
            </w:r>
          </w:p>
        </w:tc>
      </w:tr>
      <w:tr w:rsidR="00F357CE" w:rsidRPr="00CB4CDE" w14:paraId="3A149424" w14:textId="77777777" w:rsidTr="00F357CE">
        <w:trPr>
          <w:trHeight w:val="300"/>
          <w:jc w:val="center"/>
        </w:trPr>
        <w:tc>
          <w:tcPr>
            <w:tcW w:w="3015" w:type="dxa"/>
            <w:noWrap/>
            <w:vAlign w:val="bottom"/>
            <w:hideMark/>
          </w:tcPr>
          <w:p w14:paraId="5505F953"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Investment ratio</w:t>
            </w:r>
          </w:p>
        </w:tc>
        <w:tc>
          <w:tcPr>
            <w:tcW w:w="895" w:type="dxa"/>
            <w:noWrap/>
            <w:vAlign w:val="bottom"/>
            <w:hideMark/>
          </w:tcPr>
          <w:p w14:paraId="613ABA32"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p>
        </w:tc>
        <w:tc>
          <w:tcPr>
            <w:tcW w:w="895" w:type="dxa"/>
            <w:noWrap/>
            <w:vAlign w:val="bottom"/>
            <w:hideMark/>
          </w:tcPr>
          <w:p w14:paraId="2505F039"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6FDD8F4C"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1026" w:type="dxa"/>
            <w:noWrap/>
            <w:vAlign w:val="bottom"/>
            <w:hideMark/>
          </w:tcPr>
          <w:p w14:paraId="21CF5996"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2AAC9673" w14:textId="77777777" w:rsidR="00F357CE" w:rsidRPr="00CB4CDE" w:rsidRDefault="00F357CE" w:rsidP="00F357CE">
            <w:pPr>
              <w:spacing w:line="240" w:lineRule="auto"/>
              <w:jc w:val="center"/>
              <w:rPr>
                <w:rFonts w:ascii="Arial" w:eastAsia="Times New Roman" w:hAnsi="Arial" w:cs="Arial"/>
                <w:kern w:val="0"/>
                <w14:ligatures w14:val="none"/>
              </w:rPr>
            </w:pPr>
          </w:p>
        </w:tc>
      </w:tr>
      <w:tr w:rsidR="00F357CE" w:rsidRPr="00CB4CDE" w14:paraId="219BC5D5" w14:textId="77777777" w:rsidTr="00F357CE">
        <w:trPr>
          <w:trHeight w:val="300"/>
          <w:jc w:val="center"/>
        </w:trPr>
        <w:tc>
          <w:tcPr>
            <w:tcW w:w="3015" w:type="dxa"/>
            <w:noWrap/>
            <w:vAlign w:val="bottom"/>
            <w:hideMark/>
          </w:tcPr>
          <w:p w14:paraId="4284052A"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Earning per share</w:t>
            </w:r>
          </w:p>
        </w:tc>
        <w:tc>
          <w:tcPr>
            <w:tcW w:w="895" w:type="dxa"/>
            <w:noWrap/>
            <w:vAlign w:val="bottom"/>
            <w:hideMark/>
          </w:tcPr>
          <w:p w14:paraId="5DC6FF29"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6.17</w:t>
            </w:r>
          </w:p>
        </w:tc>
        <w:tc>
          <w:tcPr>
            <w:tcW w:w="895" w:type="dxa"/>
            <w:noWrap/>
            <w:vAlign w:val="bottom"/>
            <w:hideMark/>
          </w:tcPr>
          <w:p w14:paraId="3637BF1B"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6.19</w:t>
            </w:r>
          </w:p>
        </w:tc>
        <w:tc>
          <w:tcPr>
            <w:tcW w:w="895" w:type="dxa"/>
            <w:noWrap/>
            <w:vAlign w:val="bottom"/>
            <w:hideMark/>
          </w:tcPr>
          <w:p w14:paraId="13AB4847"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4.35</w:t>
            </w:r>
          </w:p>
        </w:tc>
        <w:tc>
          <w:tcPr>
            <w:tcW w:w="1026" w:type="dxa"/>
            <w:noWrap/>
            <w:vAlign w:val="bottom"/>
            <w:hideMark/>
          </w:tcPr>
          <w:p w14:paraId="2D007AA0"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4.56</w:t>
            </w:r>
          </w:p>
        </w:tc>
        <w:tc>
          <w:tcPr>
            <w:tcW w:w="895" w:type="dxa"/>
            <w:noWrap/>
            <w:vAlign w:val="bottom"/>
            <w:hideMark/>
          </w:tcPr>
          <w:p w14:paraId="066D13C3"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1.47</w:t>
            </w:r>
          </w:p>
        </w:tc>
      </w:tr>
      <w:tr w:rsidR="00F357CE" w:rsidRPr="00CB4CDE" w14:paraId="16561377" w14:textId="77777777" w:rsidTr="00F357CE">
        <w:trPr>
          <w:trHeight w:val="300"/>
          <w:jc w:val="center"/>
        </w:trPr>
        <w:tc>
          <w:tcPr>
            <w:tcW w:w="3015" w:type="dxa"/>
            <w:noWrap/>
            <w:vAlign w:val="bottom"/>
            <w:hideMark/>
          </w:tcPr>
          <w:p w14:paraId="70013360"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Price earnings ratio</w:t>
            </w:r>
          </w:p>
        </w:tc>
        <w:tc>
          <w:tcPr>
            <w:tcW w:w="895" w:type="dxa"/>
            <w:noWrap/>
            <w:vAlign w:val="bottom"/>
            <w:hideMark/>
          </w:tcPr>
          <w:p w14:paraId="791CD026"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46.53</w:t>
            </w:r>
          </w:p>
        </w:tc>
        <w:tc>
          <w:tcPr>
            <w:tcW w:w="895" w:type="dxa"/>
            <w:noWrap/>
            <w:vAlign w:val="bottom"/>
            <w:hideMark/>
          </w:tcPr>
          <w:p w14:paraId="616A3FC2"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39.93</w:t>
            </w:r>
          </w:p>
        </w:tc>
        <w:tc>
          <w:tcPr>
            <w:tcW w:w="895" w:type="dxa"/>
            <w:noWrap/>
            <w:vAlign w:val="bottom"/>
            <w:hideMark/>
          </w:tcPr>
          <w:p w14:paraId="441CDC5A"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41.81</w:t>
            </w:r>
          </w:p>
        </w:tc>
        <w:tc>
          <w:tcPr>
            <w:tcW w:w="1026" w:type="dxa"/>
            <w:noWrap/>
            <w:vAlign w:val="bottom"/>
            <w:hideMark/>
          </w:tcPr>
          <w:p w14:paraId="223E5199"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27.69</w:t>
            </w:r>
          </w:p>
        </w:tc>
        <w:tc>
          <w:tcPr>
            <w:tcW w:w="895" w:type="dxa"/>
            <w:noWrap/>
            <w:vAlign w:val="bottom"/>
            <w:hideMark/>
          </w:tcPr>
          <w:p w14:paraId="4BCD1972"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106.15</w:t>
            </w:r>
          </w:p>
        </w:tc>
      </w:tr>
      <w:tr w:rsidR="00F357CE" w:rsidRPr="00CB4CDE" w14:paraId="493F9500" w14:textId="77777777" w:rsidTr="00F357CE">
        <w:trPr>
          <w:trHeight w:val="300"/>
          <w:jc w:val="center"/>
        </w:trPr>
        <w:tc>
          <w:tcPr>
            <w:tcW w:w="3015" w:type="dxa"/>
            <w:noWrap/>
            <w:vAlign w:val="bottom"/>
            <w:hideMark/>
          </w:tcPr>
          <w:p w14:paraId="7F358907"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Cash flows</w:t>
            </w:r>
          </w:p>
        </w:tc>
        <w:tc>
          <w:tcPr>
            <w:tcW w:w="895" w:type="dxa"/>
            <w:noWrap/>
            <w:vAlign w:val="bottom"/>
            <w:hideMark/>
          </w:tcPr>
          <w:p w14:paraId="43D6D8B7" w14:textId="77777777" w:rsidR="00F357CE" w:rsidRPr="00CB4CDE" w:rsidRDefault="00F357CE" w:rsidP="00F357CE">
            <w:pPr>
              <w:spacing w:line="240" w:lineRule="auto"/>
              <w:jc w:val="left"/>
              <w:rPr>
                <w:rFonts w:ascii="Arial" w:eastAsia="Times New Roman" w:hAnsi="Arial" w:cs="Arial"/>
                <w:b/>
                <w:bCs/>
                <w:color w:val="000000"/>
                <w:kern w:val="0"/>
                <w:u w:val="single"/>
                <w14:ligatures w14:val="none"/>
              </w:rPr>
            </w:pPr>
          </w:p>
        </w:tc>
        <w:tc>
          <w:tcPr>
            <w:tcW w:w="895" w:type="dxa"/>
            <w:noWrap/>
            <w:vAlign w:val="bottom"/>
            <w:hideMark/>
          </w:tcPr>
          <w:p w14:paraId="2444B209"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7A6EB6AB"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1026" w:type="dxa"/>
            <w:noWrap/>
            <w:vAlign w:val="bottom"/>
            <w:hideMark/>
          </w:tcPr>
          <w:p w14:paraId="0462AF31" w14:textId="77777777" w:rsidR="00F357CE" w:rsidRPr="00CB4CDE" w:rsidRDefault="00F357CE" w:rsidP="00F357CE">
            <w:pPr>
              <w:spacing w:line="240" w:lineRule="auto"/>
              <w:jc w:val="center"/>
              <w:rPr>
                <w:rFonts w:ascii="Arial" w:eastAsia="Times New Roman" w:hAnsi="Arial" w:cs="Arial"/>
                <w:kern w:val="0"/>
                <w14:ligatures w14:val="none"/>
              </w:rPr>
            </w:pPr>
          </w:p>
        </w:tc>
        <w:tc>
          <w:tcPr>
            <w:tcW w:w="895" w:type="dxa"/>
            <w:noWrap/>
            <w:vAlign w:val="bottom"/>
            <w:hideMark/>
          </w:tcPr>
          <w:p w14:paraId="58E7A206" w14:textId="77777777" w:rsidR="00F357CE" w:rsidRPr="00CB4CDE" w:rsidRDefault="00F357CE" w:rsidP="00F357CE">
            <w:pPr>
              <w:spacing w:line="240" w:lineRule="auto"/>
              <w:jc w:val="center"/>
              <w:rPr>
                <w:rFonts w:ascii="Arial" w:eastAsia="Times New Roman" w:hAnsi="Arial" w:cs="Arial"/>
                <w:kern w:val="0"/>
                <w14:ligatures w14:val="none"/>
              </w:rPr>
            </w:pPr>
          </w:p>
        </w:tc>
      </w:tr>
      <w:tr w:rsidR="00F357CE" w:rsidRPr="00CB4CDE" w14:paraId="2A61802D" w14:textId="77777777" w:rsidTr="00F357CE">
        <w:trPr>
          <w:trHeight w:val="300"/>
          <w:jc w:val="center"/>
        </w:trPr>
        <w:tc>
          <w:tcPr>
            <w:tcW w:w="3015" w:type="dxa"/>
            <w:noWrap/>
            <w:vAlign w:val="bottom"/>
            <w:hideMark/>
          </w:tcPr>
          <w:p w14:paraId="2743EC28" w14:textId="77777777" w:rsidR="00F357CE" w:rsidRPr="00CB4CDE" w:rsidRDefault="00F357CE" w:rsidP="00F357C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 to net income</w:t>
            </w:r>
          </w:p>
        </w:tc>
        <w:tc>
          <w:tcPr>
            <w:tcW w:w="895" w:type="dxa"/>
            <w:noWrap/>
            <w:vAlign w:val="bottom"/>
            <w:hideMark/>
          </w:tcPr>
          <w:p w14:paraId="73C7751F"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1.46</w:t>
            </w:r>
          </w:p>
        </w:tc>
        <w:tc>
          <w:tcPr>
            <w:tcW w:w="895" w:type="dxa"/>
            <w:noWrap/>
            <w:vAlign w:val="bottom"/>
            <w:hideMark/>
          </w:tcPr>
          <w:p w14:paraId="45E5281D"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1.31</w:t>
            </w:r>
          </w:p>
        </w:tc>
        <w:tc>
          <w:tcPr>
            <w:tcW w:w="895" w:type="dxa"/>
            <w:noWrap/>
            <w:vAlign w:val="bottom"/>
            <w:hideMark/>
          </w:tcPr>
          <w:p w14:paraId="0340B223"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1.69</w:t>
            </w:r>
          </w:p>
        </w:tc>
        <w:tc>
          <w:tcPr>
            <w:tcW w:w="1026" w:type="dxa"/>
            <w:noWrap/>
            <w:vAlign w:val="bottom"/>
            <w:hideMark/>
          </w:tcPr>
          <w:p w14:paraId="63FE94C5"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1.34</w:t>
            </w:r>
          </w:p>
        </w:tc>
        <w:tc>
          <w:tcPr>
            <w:tcW w:w="895" w:type="dxa"/>
            <w:noWrap/>
            <w:vAlign w:val="bottom"/>
            <w:hideMark/>
          </w:tcPr>
          <w:p w14:paraId="389E4247" w14:textId="77777777" w:rsidR="00F357CE" w:rsidRPr="00CB4CDE" w:rsidRDefault="00F357CE" w:rsidP="00F357C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0.27</w:t>
            </w:r>
          </w:p>
        </w:tc>
      </w:tr>
    </w:tbl>
    <w:p w14:paraId="2C005E79" w14:textId="1780515C" w:rsidR="00F357CE" w:rsidRPr="00CB4CDE" w:rsidRDefault="00F357CE" w:rsidP="00F357CE">
      <w:pPr>
        <w:jc w:val="center"/>
        <w:rPr>
          <w:rFonts w:ascii="Arial" w:hAnsi="Arial" w:cs="Arial"/>
          <w:b/>
          <w:bCs/>
          <w:lang w:val="en-GB"/>
        </w:rPr>
      </w:pPr>
      <w:r w:rsidRPr="00CB4CDE">
        <w:rPr>
          <w:rFonts w:ascii="Arial" w:hAnsi="Arial" w:cs="Arial"/>
          <w:b/>
          <w:bCs/>
          <w:lang w:val="en-GB"/>
        </w:rPr>
        <w:t xml:space="preserve">Source: </w:t>
      </w:r>
      <w:r w:rsidRPr="00CB4CDE">
        <w:rPr>
          <w:rFonts w:ascii="Arial" w:hAnsi="Arial" w:cs="Arial"/>
          <w:lang w:val="en-GB"/>
        </w:rPr>
        <w:t>Appendix</w:t>
      </w:r>
    </w:p>
    <w:p w14:paraId="2344899B" w14:textId="77777777" w:rsidR="00F357CE" w:rsidRPr="00CB4CDE" w:rsidRDefault="00F357CE">
      <w:pPr>
        <w:spacing w:after="160" w:line="278" w:lineRule="auto"/>
        <w:jc w:val="left"/>
        <w:rPr>
          <w:rFonts w:ascii="Arial" w:hAnsi="Arial" w:cs="Arial"/>
          <w:b/>
          <w:bCs/>
          <w:lang w:val="en-GB"/>
        </w:rPr>
      </w:pPr>
      <w:r w:rsidRPr="00CB4CDE">
        <w:rPr>
          <w:rFonts w:ascii="Arial" w:hAnsi="Arial" w:cs="Arial"/>
          <w:b/>
          <w:bCs/>
          <w:lang w:val="en-GB"/>
        </w:rPr>
        <w:br w:type="page"/>
      </w:r>
    </w:p>
    <w:p w14:paraId="3EDCD331" w14:textId="06C08896" w:rsidR="00BB6FEB" w:rsidRPr="00CB4CDE" w:rsidRDefault="00BB6FEB" w:rsidP="00BB6FEB">
      <w:pPr>
        <w:rPr>
          <w:rFonts w:ascii="Arial" w:hAnsi="Arial" w:cs="Arial"/>
          <w:b/>
          <w:bCs/>
          <w:lang w:val="en-GB"/>
        </w:rPr>
      </w:pPr>
      <w:r w:rsidRPr="00CB4CDE">
        <w:rPr>
          <w:rFonts w:ascii="Arial" w:hAnsi="Arial" w:cs="Arial"/>
          <w:b/>
          <w:bCs/>
          <w:lang w:val="en-GB"/>
        </w:rPr>
        <w:lastRenderedPageBreak/>
        <w:t>Profitability</w:t>
      </w:r>
      <w:r w:rsidR="002E2C69" w:rsidRPr="00CB4CDE">
        <w:rPr>
          <w:rFonts w:ascii="Arial" w:hAnsi="Arial" w:cs="Arial"/>
          <w:b/>
          <w:bCs/>
          <w:lang w:val="en-GB"/>
        </w:rPr>
        <w:t xml:space="preserve"> analysis</w:t>
      </w:r>
    </w:p>
    <w:p w14:paraId="0805D25B" w14:textId="576E9561" w:rsidR="0025790B" w:rsidRPr="00CB4CDE" w:rsidRDefault="0025790B" w:rsidP="0025790B">
      <w:pPr>
        <w:rPr>
          <w:rFonts w:ascii="Arial" w:hAnsi="Arial" w:cs="Arial"/>
          <w:lang w:val="en-GB"/>
        </w:rPr>
      </w:pPr>
      <w:r w:rsidRPr="00CB4CDE">
        <w:rPr>
          <w:rFonts w:ascii="Arial" w:hAnsi="Arial" w:cs="Arial"/>
          <w:lang w:val="en-GB"/>
        </w:rPr>
        <w:t>Hilton’s operating profit margin increased from 17.45% in 2021 to 23.87% in 2022, before declining to 21.74% in 2023 and 21.21% in 2024, then recovering to 22.37% in 2025. The 2025 outcome was 5.91% better than the benchmark of 16.46% and it is an indication of high operating efficiency. But the fact that the peak of 2022 cannot be maintained indicates that labour, energy, insurance, technology and supply costs partially counter-balance the increase in revenue. These pressures are material hospitality-sector risks which Hilton identifies.</w:t>
      </w:r>
    </w:p>
    <w:p w14:paraId="6263A82D" w14:textId="013F14A0" w:rsidR="0025790B" w:rsidRPr="00CB4CDE" w:rsidRDefault="0025790B" w:rsidP="0025790B">
      <w:pPr>
        <w:rPr>
          <w:rFonts w:ascii="Arial" w:hAnsi="Arial" w:cs="Arial"/>
          <w:lang w:val="en-GB"/>
        </w:rPr>
      </w:pPr>
      <w:r w:rsidRPr="00CB4CDE">
        <w:rPr>
          <w:rFonts w:ascii="Arial" w:hAnsi="Arial" w:cs="Arial"/>
          <w:lang w:val="en-GB"/>
        </w:rPr>
        <w:t>The net profit margin increased by 7.03% to 12.14%, which is above the standard of 11.32 per cent. Nevertheless, the ratio was volatile, peaking at 14.33% in 2022 and declining from 13.77% in 2024 to 12.14% in 2025. This is a confirmation that good operations did not necessarily reflect in proportional earnings.</w:t>
      </w:r>
    </w:p>
    <w:p w14:paraId="311D06C1" w14:textId="3AC56F64" w:rsidR="00BB6FEB" w:rsidRPr="00CB4CDE" w:rsidRDefault="0025790B" w:rsidP="0025790B">
      <w:pPr>
        <w:rPr>
          <w:rFonts w:ascii="Arial" w:hAnsi="Arial" w:cs="Arial"/>
          <w:lang w:val="en-GB"/>
        </w:rPr>
      </w:pPr>
      <w:r w:rsidRPr="00CB4CDE">
        <w:rPr>
          <w:rFonts w:ascii="Arial" w:hAnsi="Arial" w:cs="Arial"/>
          <w:lang w:val="en-GB"/>
        </w:rPr>
        <w:t>ROE was negative as Hilton was making positive profit but reporting negative equity</w:t>
      </w:r>
      <w:r w:rsidR="003E47BA" w:rsidRPr="00CB4CDE">
        <w:rPr>
          <w:rFonts w:ascii="Arial" w:hAnsi="Arial" w:cs="Arial"/>
          <w:lang w:val="en-GB"/>
        </w:rPr>
        <w:t xml:space="preserve"> (Olayinka, 2022)</w:t>
      </w:r>
      <w:r w:rsidRPr="00CB4CDE">
        <w:rPr>
          <w:rFonts w:ascii="Arial" w:hAnsi="Arial" w:cs="Arial"/>
          <w:lang w:val="en-GB"/>
        </w:rPr>
        <w:t>. The negative ratio of -27.19% cannot be meaningfully compared to the positive benchmark of 0.14%. The negative denominator distorts the ratio, but the deficit of the stockholders is a real weakness of capital-structure.</w:t>
      </w:r>
    </w:p>
    <w:p w14:paraId="2457E35E" w14:textId="65A6D7A1" w:rsidR="00BB6FEB" w:rsidRPr="00CB4CDE" w:rsidRDefault="00BB6FEB" w:rsidP="00BB6FEB">
      <w:pPr>
        <w:rPr>
          <w:rFonts w:ascii="Arial" w:hAnsi="Arial" w:cs="Arial"/>
          <w:b/>
          <w:bCs/>
          <w:lang w:val="en-GB"/>
        </w:rPr>
      </w:pPr>
      <w:r w:rsidRPr="00CB4CDE">
        <w:rPr>
          <w:rFonts w:ascii="Arial" w:hAnsi="Arial" w:cs="Arial"/>
          <w:b/>
          <w:bCs/>
          <w:lang w:val="en-GB"/>
        </w:rPr>
        <w:t>Liquidity</w:t>
      </w:r>
      <w:r w:rsidR="00202DAB" w:rsidRPr="00CB4CDE">
        <w:rPr>
          <w:rFonts w:ascii="Arial" w:hAnsi="Arial" w:cs="Arial"/>
          <w:b/>
          <w:bCs/>
          <w:lang w:val="en-GB"/>
        </w:rPr>
        <w:t xml:space="preserve"> analysis</w:t>
      </w:r>
    </w:p>
    <w:p w14:paraId="2C12E2F2" w14:textId="77777777" w:rsidR="00D05B5C" w:rsidRPr="00CB4CDE" w:rsidRDefault="00D05B5C" w:rsidP="00D05B5C">
      <w:pPr>
        <w:rPr>
          <w:rFonts w:ascii="Arial" w:hAnsi="Arial" w:cs="Arial"/>
          <w:lang w:val="en-GB"/>
        </w:rPr>
      </w:pPr>
      <w:r w:rsidRPr="00CB4CDE">
        <w:rPr>
          <w:rFonts w:ascii="Arial" w:hAnsi="Arial" w:cs="Arial"/>
          <w:lang w:val="en-GB"/>
        </w:rPr>
        <w:t>The current ratio declined from 0.95 in 2021 to 0.85 in 2022, then to 0.70 in both 2023 and 2024, before falling to 0.66 in 2025. This was lower than the benchmark of 0.93, which means that we have weaker coverage in the short term than the industry. Hilton had a current ratio of just 0.66 current assets per dollar of current liabilities.</w:t>
      </w:r>
    </w:p>
    <w:p w14:paraId="31550398" w14:textId="3C773583" w:rsidR="00BB6FEB" w:rsidRPr="00CB4CDE" w:rsidRDefault="00D05B5C" w:rsidP="00D05B5C">
      <w:pPr>
        <w:rPr>
          <w:rFonts w:ascii="Arial" w:hAnsi="Arial" w:cs="Arial"/>
          <w:lang w:val="en-GB"/>
        </w:rPr>
      </w:pPr>
      <w:r w:rsidRPr="00CB4CDE">
        <w:rPr>
          <w:rFonts w:ascii="Arial" w:hAnsi="Arial" w:cs="Arial"/>
          <w:lang w:val="en-GB"/>
        </w:rPr>
        <w:t>The cash ratio also decreased to 0.20 as opposed to 0.47. The cash ratio should be 0.5 or high but deterioration is a sign of a smaller immediate cash buffer</w:t>
      </w:r>
      <w:r w:rsidR="003E47BA" w:rsidRPr="00CB4CDE">
        <w:rPr>
          <w:rFonts w:ascii="Arial" w:hAnsi="Arial" w:cs="Arial"/>
          <w:lang w:val="en-GB"/>
        </w:rPr>
        <w:t xml:space="preserve"> (Duffin and Gunawan, 2023)</w:t>
      </w:r>
      <w:r w:rsidRPr="00CB4CDE">
        <w:rPr>
          <w:rFonts w:ascii="Arial" w:hAnsi="Arial" w:cs="Arial"/>
          <w:lang w:val="en-GB"/>
        </w:rPr>
        <w:t xml:space="preserve">. Part of the current liabilities is associated with deferred revenues and loyalty accounts that can be paid out in future </w:t>
      </w:r>
      <w:r w:rsidR="00AD6B02" w:rsidRPr="00CB4CDE">
        <w:rPr>
          <w:rFonts w:ascii="Arial" w:hAnsi="Arial" w:cs="Arial"/>
          <w:lang w:val="en-GB"/>
        </w:rPr>
        <w:t>services</w:t>
      </w:r>
      <w:r w:rsidR="00093AF5" w:rsidRPr="00CB4CDE">
        <w:rPr>
          <w:rFonts w:ascii="Arial" w:hAnsi="Arial" w:cs="Arial"/>
          <w:lang w:val="en-GB"/>
        </w:rPr>
        <w:t>.</w:t>
      </w:r>
      <w:r w:rsidRPr="00CB4CDE">
        <w:rPr>
          <w:rFonts w:ascii="Arial" w:hAnsi="Arial" w:cs="Arial"/>
          <w:lang w:val="en-GB"/>
        </w:rPr>
        <w:t xml:space="preserve"> </w:t>
      </w:r>
      <w:r w:rsidR="00093AF5" w:rsidRPr="00CB4CDE">
        <w:rPr>
          <w:rFonts w:ascii="Arial" w:hAnsi="Arial" w:cs="Arial"/>
          <w:lang w:val="en-GB"/>
        </w:rPr>
        <w:t>H</w:t>
      </w:r>
      <w:r w:rsidRPr="00CB4CDE">
        <w:rPr>
          <w:rFonts w:ascii="Arial" w:hAnsi="Arial" w:cs="Arial"/>
          <w:lang w:val="en-GB"/>
        </w:rPr>
        <w:t>owever, the consistent decrease proves that liquidity is the major financial weakness of Hilton.</w:t>
      </w:r>
    </w:p>
    <w:p w14:paraId="79958EE2" w14:textId="77777777" w:rsidR="00BB6FEB" w:rsidRPr="00CB4CDE" w:rsidRDefault="00BB6FEB" w:rsidP="00BB6FEB">
      <w:pPr>
        <w:rPr>
          <w:rFonts w:ascii="Arial" w:hAnsi="Arial" w:cs="Arial"/>
          <w:b/>
          <w:bCs/>
          <w:lang w:val="en-GB"/>
        </w:rPr>
      </w:pPr>
      <w:r w:rsidRPr="00CB4CDE">
        <w:rPr>
          <w:rFonts w:ascii="Arial" w:hAnsi="Arial" w:cs="Arial"/>
          <w:b/>
          <w:bCs/>
          <w:lang w:val="en-GB"/>
        </w:rPr>
        <w:t>Efficiency</w:t>
      </w:r>
    </w:p>
    <w:p w14:paraId="50E98DA3" w14:textId="77777777" w:rsidR="00093AF5" w:rsidRPr="00CB4CDE" w:rsidRDefault="00093AF5" w:rsidP="00093AF5">
      <w:pPr>
        <w:rPr>
          <w:rFonts w:ascii="Arial" w:hAnsi="Arial" w:cs="Arial"/>
          <w:lang w:val="en-GB"/>
        </w:rPr>
      </w:pPr>
      <w:r w:rsidRPr="00CB4CDE">
        <w:rPr>
          <w:rFonts w:ascii="Arial" w:hAnsi="Arial" w:cs="Arial"/>
          <w:lang w:val="en-GB"/>
        </w:rPr>
        <w:t>Asset turnover increased from 0.37 times in 2021 to 0.57 in 2022, 0.66 in 2023, 0.70 in 2024 and 0.72 in 2025. Even the 2025 outcome was just a bit lower than the benchmark of 0.74, which indicates efficient use of the asset base.</w:t>
      </w:r>
    </w:p>
    <w:p w14:paraId="3B3357F9" w14:textId="586033CC" w:rsidR="00BB6FEB" w:rsidRPr="00CB4CDE" w:rsidRDefault="00093AF5" w:rsidP="00093AF5">
      <w:pPr>
        <w:rPr>
          <w:rFonts w:ascii="Arial" w:hAnsi="Arial" w:cs="Arial"/>
          <w:lang w:val="en-GB"/>
        </w:rPr>
      </w:pPr>
      <w:r w:rsidRPr="00CB4CDE">
        <w:rPr>
          <w:rFonts w:ascii="Arial" w:hAnsi="Arial" w:cs="Arial"/>
          <w:lang w:val="en-GB"/>
        </w:rPr>
        <w:t>The receivables turnover increased to 7.36 times, as compared to 5.42 times, decreasing the implied collection days to about 50</w:t>
      </w:r>
      <w:r w:rsidR="00A53537" w:rsidRPr="00CB4CDE">
        <w:rPr>
          <w:rFonts w:ascii="Arial" w:hAnsi="Arial" w:cs="Arial"/>
          <w:lang w:val="en-GB"/>
        </w:rPr>
        <w:t xml:space="preserve"> days</w:t>
      </w:r>
      <w:r w:rsidRPr="00CB4CDE">
        <w:rPr>
          <w:rFonts w:ascii="Arial" w:hAnsi="Arial" w:cs="Arial"/>
          <w:lang w:val="en-GB"/>
        </w:rPr>
        <w:t>, as compared to 67</w:t>
      </w:r>
      <w:r w:rsidR="00A53537" w:rsidRPr="00CB4CDE">
        <w:rPr>
          <w:rFonts w:ascii="Arial" w:hAnsi="Arial" w:cs="Arial"/>
          <w:lang w:val="en-GB"/>
        </w:rPr>
        <w:t xml:space="preserve"> days</w:t>
      </w:r>
      <w:r w:rsidR="009C1C33" w:rsidRPr="00CB4CDE">
        <w:rPr>
          <w:rFonts w:ascii="Arial" w:hAnsi="Arial" w:cs="Arial"/>
          <w:lang w:val="en-GB"/>
        </w:rPr>
        <w:t xml:space="preserve"> (Yusup and Hariani, 2023)</w:t>
      </w:r>
      <w:r w:rsidRPr="00CB4CDE">
        <w:rPr>
          <w:rFonts w:ascii="Arial" w:hAnsi="Arial" w:cs="Arial"/>
          <w:lang w:val="en-GB"/>
        </w:rPr>
        <w:t xml:space="preserve">. Nonetheless, it was still much lower than the standard of </w:t>
      </w:r>
      <w:r w:rsidRPr="00CB4CDE">
        <w:rPr>
          <w:rFonts w:ascii="Arial" w:hAnsi="Arial" w:cs="Arial"/>
          <w:lang w:val="en-GB"/>
        </w:rPr>
        <w:lastRenderedPageBreak/>
        <w:t>30.41 times. It can be a pointer of slower collection, but disparities in the classification of revenues or benchmarking methodology might constrain direct comparability.</w:t>
      </w:r>
    </w:p>
    <w:p w14:paraId="391AD1AA" w14:textId="77777777" w:rsidR="00BB6FEB" w:rsidRPr="00CB4CDE" w:rsidRDefault="00BB6FEB" w:rsidP="00BB6FEB">
      <w:pPr>
        <w:rPr>
          <w:rFonts w:ascii="Arial" w:hAnsi="Arial" w:cs="Arial"/>
          <w:b/>
          <w:bCs/>
          <w:lang w:val="en-GB"/>
        </w:rPr>
      </w:pPr>
      <w:r w:rsidRPr="00CB4CDE">
        <w:rPr>
          <w:rFonts w:ascii="Arial" w:hAnsi="Arial" w:cs="Arial"/>
          <w:b/>
          <w:bCs/>
          <w:lang w:val="en-GB"/>
        </w:rPr>
        <w:t>Gearing, investment and cash flow</w:t>
      </w:r>
    </w:p>
    <w:p w14:paraId="72CD91ED" w14:textId="5B6B853E" w:rsidR="00093AF5" w:rsidRPr="00CB4CDE" w:rsidRDefault="00093AF5" w:rsidP="00093AF5">
      <w:pPr>
        <w:rPr>
          <w:rFonts w:ascii="Arial" w:hAnsi="Arial" w:cs="Arial"/>
          <w:lang w:val="en-GB"/>
        </w:rPr>
      </w:pPr>
      <w:r w:rsidRPr="00CB4CDE">
        <w:rPr>
          <w:rFonts w:ascii="Arial" w:hAnsi="Arial" w:cs="Arial"/>
          <w:lang w:val="en-GB"/>
        </w:rPr>
        <w:t>The debt-to-equity showed an improvement in numbers of -10.68 to -2.29, though this is not a good indicator of low gearing since the ratio is skewed due to negative equity. The interest coverage also improved to 4.34 times, as compared to 2.54 times, but the interest expense increased to $620 million, as compared to the previous amount of $397 million. Hence, Hilton is able to service its debt now, but an increase in the cost of borrowing decreases resilience</w:t>
      </w:r>
      <w:r w:rsidR="00E63A8B" w:rsidRPr="00CB4CDE">
        <w:rPr>
          <w:rFonts w:ascii="Arial" w:hAnsi="Arial" w:cs="Arial"/>
          <w:lang w:val="en-GB"/>
        </w:rPr>
        <w:t xml:space="preserve"> (Zahwa et al., 2025)</w:t>
      </w:r>
      <w:r w:rsidRPr="00CB4CDE">
        <w:rPr>
          <w:rFonts w:ascii="Arial" w:hAnsi="Arial" w:cs="Arial"/>
          <w:lang w:val="en-GB"/>
        </w:rPr>
        <w:t>.</w:t>
      </w:r>
    </w:p>
    <w:p w14:paraId="53643605" w14:textId="2BE6E16A" w:rsidR="00093AF5" w:rsidRPr="00CB4CDE" w:rsidRDefault="00093AF5" w:rsidP="00093AF5">
      <w:pPr>
        <w:rPr>
          <w:rFonts w:ascii="Arial" w:hAnsi="Arial" w:cs="Arial"/>
          <w:lang w:val="en-GB"/>
        </w:rPr>
      </w:pPr>
      <w:r w:rsidRPr="00CB4CDE">
        <w:rPr>
          <w:rFonts w:ascii="Arial" w:hAnsi="Arial" w:cs="Arial"/>
          <w:lang w:val="en-GB"/>
        </w:rPr>
        <w:t>EPS rose by 1.47 to 6.17 which is equivalent to the benchmark. The value of Hiltons P/E ratio of 46.53 times was found to be far above the benchmark ratio of 27.47, which implies good investor expectations but also valuation risk</w:t>
      </w:r>
      <w:r w:rsidR="009B71C7" w:rsidRPr="00CB4CDE">
        <w:rPr>
          <w:rFonts w:ascii="Arial" w:hAnsi="Arial" w:cs="Arial"/>
          <w:lang w:val="en-GB"/>
        </w:rPr>
        <w:t xml:space="preserve"> (Yahoo finance, 2025)</w:t>
      </w:r>
      <w:r w:rsidRPr="00CB4CDE">
        <w:rPr>
          <w:rFonts w:ascii="Arial" w:hAnsi="Arial" w:cs="Arial"/>
          <w:lang w:val="en-GB"/>
        </w:rPr>
        <w:t>.</w:t>
      </w:r>
    </w:p>
    <w:p w14:paraId="606F1F26" w14:textId="34B1EA2F" w:rsidR="00BB6FEB" w:rsidRPr="00CB4CDE" w:rsidRDefault="00093AF5" w:rsidP="00093AF5">
      <w:pPr>
        <w:rPr>
          <w:rFonts w:ascii="Arial" w:hAnsi="Arial" w:cs="Arial"/>
          <w:lang w:val="en-GB"/>
        </w:rPr>
      </w:pPr>
      <w:r w:rsidRPr="00CB4CDE">
        <w:rPr>
          <w:rFonts w:ascii="Arial" w:hAnsi="Arial" w:cs="Arial"/>
          <w:lang w:val="en-GB"/>
        </w:rPr>
        <w:t>The cash flow to net income ratio was increased by 0.27 to 1.46. As the ratio was still above 1.0 since 2022, the earnings of Hilton were becoming more and more dependent on operating cash.</w:t>
      </w:r>
    </w:p>
    <w:p w14:paraId="220ACECC" w14:textId="77777777" w:rsidR="00BB6FEB" w:rsidRPr="00CB4CDE" w:rsidRDefault="00BB6FEB" w:rsidP="00BB6FEB">
      <w:pPr>
        <w:rPr>
          <w:rFonts w:ascii="Arial" w:hAnsi="Arial" w:cs="Arial"/>
          <w:lang w:val="en-GB"/>
        </w:rPr>
      </w:pPr>
    </w:p>
    <w:p w14:paraId="13AC215C" w14:textId="77777777" w:rsidR="00BB6FEB" w:rsidRPr="00CB4CDE" w:rsidRDefault="00BB6FEB" w:rsidP="00BB6FEB">
      <w:pPr>
        <w:rPr>
          <w:rFonts w:ascii="Arial" w:hAnsi="Arial" w:cs="Arial"/>
          <w:b/>
          <w:bCs/>
          <w:lang w:val="en-GB"/>
        </w:rPr>
      </w:pPr>
      <w:r w:rsidRPr="00CB4CDE">
        <w:rPr>
          <w:rFonts w:ascii="Arial" w:hAnsi="Arial" w:cs="Arial"/>
          <w:b/>
          <w:bCs/>
          <w:lang w:val="en-GB"/>
        </w:rPr>
        <w:t>1.3 Overall Financial Health Assessment</w:t>
      </w:r>
    </w:p>
    <w:p w14:paraId="139BE3C9" w14:textId="257ABDD5" w:rsidR="00BB6FEB" w:rsidRPr="00CB4CDE" w:rsidRDefault="00A41919" w:rsidP="00792B5C">
      <w:pPr>
        <w:rPr>
          <w:rFonts w:ascii="Arial" w:hAnsi="Arial" w:cs="Arial"/>
          <w:lang w:val="en-GB"/>
        </w:rPr>
      </w:pPr>
      <w:r w:rsidRPr="00CB4CDE">
        <w:rPr>
          <w:rFonts w:ascii="Arial" w:hAnsi="Arial" w:cs="Arial"/>
          <w:lang w:val="en-GB"/>
        </w:rPr>
        <w:t xml:space="preserve">Between 2021 and 2025, Hilton showed a significant increase in financial performance due to excellent revenue growth, operating and net profit margins above the benchmarks, better asset utilisation and a growingly strong operating cash generation. These results indicate that its asset-light, franchise-based business model is effective and capable of providing scalable growth without commensurate increase in its asset base. But the increase of operating performance was not accompanied by similar strengthening of the balance sheet. The current ratio was lower than the industry average, the cash ratio was worse off and </w:t>
      </w:r>
      <w:r w:rsidR="00A31B2D" w:rsidRPr="00CB4CDE">
        <w:rPr>
          <w:rFonts w:ascii="Arial" w:hAnsi="Arial" w:cs="Arial"/>
          <w:lang w:val="en-GB"/>
        </w:rPr>
        <w:t>interest-bearing</w:t>
      </w:r>
      <w:r w:rsidRPr="00CB4CDE">
        <w:rPr>
          <w:rFonts w:ascii="Arial" w:hAnsi="Arial" w:cs="Arial"/>
          <w:lang w:val="en-GB"/>
        </w:rPr>
        <w:t xml:space="preserve"> debt was higher and the equity of shareholders was negative. Moreover, an increase in interest expense and premium P/E ratio bring about additional financing and valuation risk. Hilton can thus be described as operationally robust and cash-generative, yet, financially leveraged. Its future stability will be determined by sustaining growth through fees and enhancing liquidity, managing the cost of borrowing and balancing the dividends and share repurchases and the necessity to strengthen the capital structure.</w:t>
      </w:r>
    </w:p>
    <w:p w14:paraId="3EC3A852" w14:textId="77777777" w:rsidR="0097374C" w:rsidRPr="00CB4CDE" w:rsidRDefault="0097374C" w:rsidP="006C2015">
      <w:pPr>
        <w:rPr>
          <w:rFonts w:ascii="Arial" w:hAnsi="Arial" w:cs="Arial"/>
        </w:rPr>
      </w:pPr>
    </w:p>
    <w:p w14:paraId="0BE342D9" w14:textId="39B53150" w:rsidR="0097374C" w:rsidRPr="00CB4CDE" w:rsidRDefault="0097374C" w:rsidP="006A66BA">
      <w:pPr>
        <w:pStyle w:val="Heading2"/>
        <w:rPr>
          <w:rFonts w:ascii="Arial" w:hAnsi="Arial" w:cs="Arial"/>
        </w:rPr>
      </w:pPr>
      <w:bookmarkStart w:id="5" w:name="_Toc236928803"/>
      <w:r w:rsidRPr="00CB4CDE">
        <w:rPr>
          <w:rFonts w:ascii="Arial" w:hAnsi="Arial" w:cs="Arial"/>
        </w:rPr>
        <w:t>2. Working Capital Management Analysis</w:t>
      </w:r>
      <w:bookmarkEnd w:id="5"/>
    </w:p>
    <w:p w14:paraId="5A2F8650" w14:textId="77777777" w:rsidR="004B1B5C" w:rsidRPr="00CB4CDE" w:rsidRDefault="004B1B5C" w:rsidP="004B1B5C">
      <w:pPr>
        <w:rPr>
          <w:rFonts w:ascii="Arial" w:hAnsi="Arial" w:cs="Arial"/>
          <w:b/>
          <w:bCs/>
          <w:lang w:val="en-GB"/>
        </w:rPr>
      </w:pPr>
      <w:r w:rsidRPr="00CB4CDE">
        <w:rPr>
          <w:rFonts w:ascii="Arial" w:hAnsi="Arial" w:cs="Arial"/>
          <w:b/>
          <w:bCs/>
          <w:lang w:val="en-GB"/>
        </w:rPr>
        <w:lastRenderedPageBreak/>
        <w:t>2.1 Assessment of the Cash Operating Cycle</w:t>
      </w:r>
    </w:p>
    <w:p w14:paraId="0B948089" w14:textId="32BF7366" w:rsidR="000F3FAC" w:rsidRPr="00CB4CDE" w:rsidRDefault="000F3FAC" w:rsidP="000F3FAC">
      <w:pPr>
        <w:rPr>
          <w:rFonts w:ascii="Arial" w:hAnsi="Arial" w:cs="Arial"/>
          <w:lang w:val="en-GB"/>
        </w:rPr>
      </w:pPr>
      <w:r w:rsidRPr="00CB4CDE">
        <w:rPr>
          <w:rFonts w:ascii="Arial" w:hAnsi="Arial" w:cs="Arial"/>
          <w:lang w:val="en-GB"/>
        </w:rPr>
        <w:t>Working capital management relates to the management of short-term assets and liabilities to maintain liquidity without having too much idle cash. This is a strategic consideration to Hilton Worldwide Holdings Inc. as its current ratio dropped to 0.66 in 2025, compared to 0.95 in 2021, and its cash ratio dropped to 0.20 in 2025, as compared to 0.47 in 2021. As a result, the gains in the profitability and cash generation in operations have not led to the same enhancement in the short-term financial resilience</w:t>
      </w:r>
      <w:r w:rsidR="006B1C2A" w:rsidRPr="00CB4CDE">
        <w:rPr>
          <w:rFonts w:ascii="Arial" w:hAnsi="Arial" w:cs="Arial"/>
          <w:lang w:val="en-GB"/>
        </w:rPr>
        <w:t xml:space="preserve"> (Kiran and Karthik, 2026)</w:t>
      </w:r>
      <w:r w:rsidRPr="00CB4CDE">
        <w:rPr>
          <w:rFonts w:ascii="Arial" w:hAnsi="Arial" w:cs="Arial"/>
          <w:lang w:val="en-GB"/>
        </w:rPr>
        <w:t>. The evaluation needs to be based on an evaluation of the cash operating cycle, liquidity reforms and the relative appropriateness of short- and long-term financing.</w:t>
      </w:r>
    </w:p>
    <w:p w14:paraId="5B13B925" w14:textId="77777777" w:rsidR="000F3FAC" w:rsidRPr="00CB4CDE" w:rsidRDefault="000F3FAC" w:rsidP="000F3FAC">
      <w:pPr>
        <w:rPr>
          <w:rFonts w:ascii="Arial" w:hAnsi="Arial" w:cs="Arial"/>
          <w:lang w:val="en-GB"/>
        </w:rPr>
      </w:pPr>
      <w:r w:rsidRPr="00CB4CDE">
        <w:rPr>
          <w:rFonts w:ascii="Arial" w:hAnsi="Arial" w:cs="Arial"/>
          <w:lang w:val="en-GB"/>
        </w:rPr>
        <w:t>There is a traditional cash conversion cycle which includes Days Inventory Outstanding, Days Sales Outstanding and Days Payable Outstanding. Nonetheless, DSO is the only metric that could be computed with high precision using the statements of Hilton. Hilton uses management, franchise and licensing agreements to operate most of its business whereas property level operation and capital spending is often funded by third-party owners. Inventory is not thus separately reported as material working-capital balance. Likewise, there are no purchases and traditional cost of sales, and a reliable DPO computing is not possible. Replacing total operating costs would be wrong since they entail labour, depreciation, technology, marketing and other non-trade costs. It follows that, a complete conversion cycle of cash could not be calculated without unsupported assumptions and this would be a disclosure limitation and not a calculation omission.</w:t>
      </w:r>
    </w:p>
    <w:p w14:paraId="0B2A3BAF" w14:textId="525FF2B8" w:rsidR="004B1B5C" w:rsidRPr="00CB4CDE" w:rsidRDefault="000F3FAC" w:rsidP="000F3FAC">
      <w:pPr>
        <w:rPr>
          <w:rFonts w:ascii="Arial" w:hAnsi="Arial" w:cs="Arial"/>
          <w:lang w:val="en-GB"/>
        </w:rPr>
      </w:pPr>
      <w:r w:rsidRPr="00CB4CDE">
        <w:rPr>
          <w:rFonts w:ascii="Arial" w:hAnsi="Arial" w:cs="Arial"/>
          <w:lang w:val="en-GB"/>
        </w:rPr>
        <w:t>The DSO of Hilton decreased to 50 days in 2022, as compared to 67 days in 2021, and it is expected to be under 50 days in 2025. The 17-day improvement shows that the receivables are turning into cash much quicker after the pandemic-induced year will decrease the capital that is locked up in customer and owner balances</w:t>
      </w:r>
      <w:r w:rsidR="000276B9" w:rsidRPr="00CB4CDE">
        <w:rPr>
          <w:rFonts w:ascii="Arial" w:hAnsi="Arial" w:cs="Arial"/>
          <w:lang w:val="en-GB"/>
        </w:rPr>
        <w:t xml:space="preserve"> (Hayes, 2024)</w:t>
      </w:r>
      <w:r w:rsidRPr="00CB4CDE">
        <w:rPr>
          <w:rFonts w:ascii="Arial" w:hAnsi="Arial" w:cs="Arial"/>
          <w:lang w:val="en-GB"/>
        </w:rPr>
        <w:t>. Nonetheless, no additional improvement has been observed since 2022, implying that the efficiency of collections has reached a level. Hilton should hence consider 50 days as performance threshold, which should be minimized and not a tolerable permanent threshold. All in all, improvement in receivables management was experienced, but the decrease in the current and cash ratios shows that the cash benefits obtained were used up by financing, investment or shareholder-distribution decisions.</w:t>
      </w:r>
    </w:p>
    <w:p w14:paraId="355D58CD" w14:textId="77777777" w:rsidR="004B1B5C" w:rsidRPr="00CB4CDE" w:rsidRDefault="004B1B5C" w:rsidP="004B1B5C">
      <w:pPr>
        <w:rPr>
          <w:rFonts w:ascii="Arial" w:hAnsi="Arial" w:cs="Arial"/>
          <w:b/>
          <w:bCs/>
          <w:lang w:val="en-GB"/>
        </w:rPr>
      </w:pPr>
      <w:r w:rsidRPr="00CB4CDE">
        <w:rPr>
          <w:rFonts w:ascii="Arial" w:hAnsi="Arial" w:cs="Arial"/>
          <w:b/>
          <w:bCs/>
          <w:lang w:val="en-GB"/>
        </w:rPr>
        <w:t>2.2 Working Capital Reforms to Improve Liquidity</w:t>
      </w:r>
    </w:p>
    <w:p w14:paraId="2697EFA9" w14:textId="77777777" w:rsidR="00957EF2" w:rsidRPr="00CB4CDE" w:rsidRDefault="00957EF2" w:rsidP="00957EF2">
      <w:pPr>
        <w:rPr>
          <w:rFonts w:ascii="Arial" w:hAnsi="Arial" w:cs="Arial"/>
          <w:lang w:val="en-GB"/>
        </w:rPr>
      </w:pPr>
      <w:r w:rsidRPr="00CB4CDE">
        <w:rPr>
          <w:rFonts w:ascii="Arial" w:hAnsi="Arial" w:cs="Arial"/>
          <w:lang w:val="en-GB"/>
        </w:rPr>
        <w:lastRenderedPageBreak/>
        <w:t>The first step that Hilton should undertake is to enhance receivables management by automating invoicing, ageing dashboards, and preempting overdue debts. Franchise, management and licensing agreements might include more specific payment terms, automatic reminders and percentage-based penalties. A decline in DSO to a level less than 50 days would free up cash within the company without raising financial leverage.</w:t>
      </w:r>
    </w:p>
    <w:p w14:paraId="2DD1FC1D" w14:textId="79AD19A1" w:rsidR="00957EF2" w:rsidRPr="00CB4CDE" w:rsidRDefault="00957EF2" w:rsidP="00957EF2">
      <w:pPr>
        <w:rPr>
          <w:rFonts w:ascii="Arial" w:hAnsi="Arial" w:cs="Arial"/>
          <w:lang w:val="en-GB"/>
        </w:rPr>
      </w:pPr>
      <w:r w:rsidRPr="00CB4CDE">
        <w:rPr>
          <w:rFonts w:ascii="Arial" w:hAnsi="Arial" w:cs="Arial"/>
          <w:lang w:val="en-GB"/>
        </w:rPr>
        <w:t>Second, Hilton must adopt 13-week cash-flow forecasts which roll every 13 weeks, with demand disruption scenario analysis. The presence of a centralised treasury facility may centralise the balance of cash in the region, minimise idle cash, and curb unnecessary short-term borrowing</w:t>
      </w:r>
      <w:r w:rsidR="000276B9" w:rsidRPr="00CB4CDE">
        <w:rPr>
          <w:rFonts w:ascii="Arial" w:hAnsi="Arial" w:cs="Arial"/>
          <w:lang w:val="en-GB"/>
        </w:rPr>
        <w:t xml:space="preserve"> (Eton et al., 2025)</w:t>
      </w:r>
      <w:r w:rsidRPr="00CB4CDE">
        <w:rPr>
          <w:rFonts w:ascii="Arial" w:hAnsi="Arial" w:cs="Arial"/>
          <w:lang w:val="en-GB"/>
        </w:rPr>
        <w:t>. This is especially pertinent since Hilton is an international company, and might experience limits or expenses in moving money across boundaries.</w:t>
      </w:r>
    </w:p>
    <w:p w14:paraId="6BC1B694" w14:textId="77777777" w:rsidR="00957EF2" w:rsidRPr="00CB4CDE" w:rsidRDefault="00957EF2" w:rsidP="00957EF2">
      <w:pPr>
        <w:rPr>
          <w:rFonts w:ascii="Arial" w:hAnsi="Arial" w:cs="Arial"/>
          <w:lang w:val="en-GB"/>
        </w:rPr>
      </w:pPr>
      <w:r w:rsidRPr="00CB4CDE">
        <w:rPr>
          <w:rFonts w:ascii="Arial" w:hAnsi="Arial" w:cs="Arial"/>
          <w:lang w:val="en-GB"/>
        </w:rPr>
        <w:t>Third, Hilton ought to set an official minimum-liquidity standard associated with current liabilities and predict debt service. The increase in operating cash flow was to 2,129 million in 2025, but cash and cash equivalents decreased to 918 million. This means that there was no retention of strong operating inflows in the business. Discretionary share buybacks should be moderated on a temporary basis so as to enhance the cash buffer without undermining the core operations.</w:t>
      </w:r>
    </w:p>
    <w:p w14:paraId="4DC2C10B" w14:textId="67D91F28" w:rsidR="004B1B5C" w:rsidRPr="00CB4CDE" w:rsidRDefault="00957EF2" w:rsidP="00957EF2">
      <w:pPr>
        <w:rPr>
          <w:rFonts w:ascii="Arial" w:hAnsi="Arial" w:cs="Arial"/>
          <w:lang w:val="en-GB"/>
        </w:rPr>
      </w:pPr>
      <w:r w:rsidRPr="00CB4CDE">
        <w:rPr>
          <w:rFonts w:ascii="Arial" w:hAnsi="Arial" w:cs="Arial"/>
          <w:lang w:val="en-GB"/>
        </w:rPr>
        <w:t xml:space="preserve">Lastly, supplier payment terms are to be negotiated in a strategic manner and not in an indiscriminate way. </w:t>
      </w:r>
      <w:r w:rsidR="00F73D96" w:rsidRPr="00CB4CDE">
        <w:rPr>
          <w:rFonts w:ascii="Arial" w:hAnsi="Arial" w:cs="Arial"/>
          <w:lang w:val="en-GB"/>
        </w:rPr>
        <w:t>Longer periods can be cost-effective, but a lot of delay would have negative effects on the supplier relationship and even increase procurement costs. Hilton Hotels should coordinate payment time periods with anticipated revenue collections while considering maintaining good relations with the suppliers.</w:t>
      </w:r>
    </w:p>
    <w:p w14:paraId="4374AFB8" w14:textId="77777777" w:rsidR="004B1B5C" w:rsidRPr="00CB4CDE" w:rsidRDefault="004B1B5C" w:rsidP="004B1B5C">
      <w:pPr>
        <w:rPr>
          <w:rFonts w:ascii="Arial" w:hAnsi="Arial" w:cs="Arial"/>
          <w:lang w:val="en-GB"/>
        </w:rPr>
      </w:pPr>
    </w:p>
    <w:p w14:paraId="6E85EED2" w14:textId="77777777" w:rsidR="004B1B5C" w:rsidRPr="00CB4CDE" w:rsidRDefault="004B1B5C" w:rsidP="004B1B5C">
      <w:pPr>
        <w:rPr>
          <w:rFonts w:ascii="Arial" w:hAnsi="Arial" w:cs="Arial"/>
          <w:b/>
          <w:bCs/>
          <w:lang w:val="en-GB"/>
        </w:rPr>
      </w:pPr>
      <w:r w:rsidRPr="00CB4CDE">
        <w:rPr>
          <w:rFonts w:ascii="Arial" w:hAnsi="Arial" w:cs="Arial"/>
          <w:b/>
          <w:bCs/>
          <w:lang w:val="en-GB"/>
        </w:rPr>
        <w:t>2.3 Short-Term versus Long-Term Financing</w:t>
      </w:r>
    </w:p>
    <w:p w14:paraId="4C1C2F37" w14:textId="77777777" w:rsidR="00BE4AE4" w:rsidRPr="00CB4CDE" w:rsidRDefault="00BE4AE4" w:rsidP="00BE4AE4">
      <w:pPr>
        <w:rPr>
          <w:rFonts w:ascii="Arial" w:hAnsi="Arial" w:cs="Arial"/>
          <w:lang w:val="en-GB"/>
        </w:rPr>
      </w:pPr>
      <w:r w:rsidRPr="00CB4CDE">
        <w:rPr>
          <w:rFonts w:ascii="Arial" w:hAnsi="Arial" w:cs="Arial"/>
          <w:lang w:val="en-GB"/>
        </w:rPr>
        <w:t>Short term finance consists of revolving credit facilities, commercial paper, overdrafts and supplier credit. It is adaptable, and applicable to temporary or seasonal shortages of cash but it poses refinancing, interest-rate, and rollover risks. Since Hilton has a current ratio of 0.66, further reliance on short-term borrowing may put additional strain on current-asset coverage that is already limited.</w:t>
      </w:r>
    </w:p>
    <w:p w14:paraId="704C3D53" w14:textId="3E2B8765" w:rsidR="00BE4AE4" w:rsidRPr="00CB4CDE" w:rsidRDefault="00BE4AE4" w:rsidP="00BE4AE4">
      <w:pPr>
        <w:rPr>
          <w:rFonts w:ascii="Arial" w:hAnsi="Arial" w:cs="Arial"/>
          <w:lang w:val="en-GB"/>
        </w:rPr>
      </w:pPr>
      <w:r w:rsidRPr="00CB4CDE">
        <w:rPr>
          <w:rFonts w:ascii="Arial" w:hAnsi="Arial" w:cs="Arial"/>
          <w:lang w:val="en-GB"/>
        </w:rPr>
        <w:t>Long-term finance consists of bonds, term loans, equity and retained earnings. It offers more stability in funding and is more suitable to acquisitions, technology investment and long-term growth of the network. However, further borrowing would increase the interest obligations and increase the leveraged status of Hilton and equity issuance would dilute the shareholders</w:t>
      </w:r>
      <w:r w:rsidR="008067EE" w:rsidRPr="00CB4CDE">
        <w:rPr>
          <w:rFonts w:ascii="Arial" w:hAnsi="Arial" w:cs="Arial"/>
          <w:lang w:val="en-GB"/>
        </w:rPr>
        <w:t xml:space="preserve"> (Rickman, 2023)</w:t>
      </w:r>
      <w:r w:rsidRPr="00CB4CDE">
        <w:rPr>
          <w:rFonts w:ascii="Arial" w:hAnsi="Arial" w:cs="Arial"/>
          <w:lang w:val="en-GB"/>
        </w:rPr>
        <w:t>.</w:t>
      </w:r>
    </w:p>
    <w:p w14:paraId="03385083" w14:textId="2FDD60D4" w:rsidR="006C3B1E" w:rsidRPr="00CB4CDE" w:rsidRDefault="00BE4AE4" w:rsidP="00BE4AE4">
      <w:pPr>
        <w:rPr>
          <w:rFonts w:ascii="Arial" w:hAnsi="Arial" w:cs="Arial"/>
          <w:lang w:val="en-GB"/>
        </w:rPr>
      </w:pPr>
      <w:r w:rsidRPr="00CB4CDE">
        <w:rPr>
          <w:rFonts w:ascii="Arial" w:hAnsi="Arial" w:cs="Arial"/>
          <w:lang w:val="en-GB"/>
        </w:rPr>
        <w:lastRenderedPageBreak/>
        <w:t>Hence, short-term working-capital variations must be funded with dedicated short-term facilities, whereas permanent funding needs must be based on retained operating cash and long-term finance that is strictly regulated. In general, Hilton needs to focus on cash retention and receivables conversion instead of raising the debt. This would be a moderate strategy that would enhance liquidity but maintain the strategic flexibility needed to achieve franchise-led international expansion.</w:t>
      </w:r>
    </w:p>
    <w:p w14:paraId="44A5CDB6" w14:textId="57B38622" w:rsidR="0097374C" w:rsidRPr="00CB4CDE" w:rsidRDefault="0097374C" w:rsidP="006A66BA">
      <w:pPr>
        <w:pStyle w:val="Heading2"/>
        <w:rPr>
          <w:rFonts w:ascii="Arial" w:hAnsi="Arial" w:cs="Arial"/>
        </w:rPr>
      </w:pPr>
      <w:bookmarkStart w:id="6" w:name="_Toc236928804"/>
      <w:r w:rsidRPr="00CB4CDE">
        <w:rPr>
          <w:rFonts w:ascii="Arial" w:hAnsi="Arial" w:cs="Arial"/>
        </w:rPr>
        <w:t>3. Strategic Financial Restructuring Plan</w:t>
      </w:r>
      <w:bookmarkEnd w:id="6"/>
    </w:p>
    <w:p w14:paraId="78A05D39" w14:textId="77777777" w:rsidR="00171457" w:rsidRPr="00CB4CDE" w:rsidRDefault="00171457" w:rsidP="00FB2FBF">
      <w:pPr>
        <w:rPr>
          <w:rFonts w:ascii="Arial" w:hAnsi="Arial" w:cs="Arial"/>
          <w:b/>
          <w:bCs/>
          <w:lang w:val="en-GB"/>
        </w:rPr>
      </w:pPr>
      <w:r w:rsidRPr="00CB4CDE">
        <w:rPr>
          <w:rFonts w:ascii="Arial" w:hAnsi="Arial" w:cs="Arial"/>
          <w:b/>
          <w:bCs/>
          <w:lang w:val="en-GB"/>
        </w:rPr>
        <w:t>3.1 Financial Rationale</w:t>
      </w:r>
    </w:p>
    <w:p w14:paraId="23025888" w14:textId="31BCD0E2" w:rsidR="00171457" w:rsidRPr="00CB4CDE" w:rsidRDefault="007F02A9" w:rsidP="00FB2FBF">
      <w:pPr>
        <w:rPr>
          <w:rFonts w:ascii="Arial" w:hAnsi="Arial" w:cs="Arial"/>
          <w:lang w:val="en-GB"/>
        </w:rPr>
      </w:pPr>
      <w:r w:rsidRPr="00CB4CDE">
        <w:rPr>
          <w:rFonts w:ascii="Arial" w:hAnsi="Arial" w:cs="Arial"/>
          <w:lang w:val="en-GB"/>
        </w:rPr>
        <w:t>Hilton Worldwide Holdings Inc. does not need emergency but rather selective restructuring. The company had a high internal cash-generating capacity of $2129 million operating cash flow in 2025. Nonetheless, it has an interest-bearing debt of $12,363 million, negative shareholders equity, a current ratio of 0.66 and a cash ratio of 0.20, which on the other hand, balance this strength. Hilton had a current maturity of debt amounting to $25 million as well as a long-term debt amounting to 12,338 million. The difference between operating strength and balance-sheet weakness suggests that restructuring must minimize financing risk without jeopardizing asset-light model of international growth of Hilton.</w:t>
      </w:r>
    </w:p>
    <w:p w14:paraId="7D55BA4D" w14:textId="77777777" w:rsidR="00375312" w:rsidRPr="00CB4CDE" w:rsidRDefault="00375312" w:rsidP="00FB2FBF">
      <w:pPr>
        <w:rPr>
          <w:rFonts w:ascii="Arial" w:hAnsi="Arial" w:cs="Arial"/>
          <w:lang w:val="en-GB"/>
        </w:rPr>
      </w:pPr>
    </w:p>
    <w:p w14:paraId="3FD1A213" w14:textId="77777777" w:rsidR="00171457" w:rsidRPr="00CB4CDE" w:rsidRDefault="00171457" w:rsidP="00FB2FBF">
      <w:pPr>
        <w:rPr>
          <w:rFonts w:ascii="Arial" w:hAnsi="Arial" w:cs="Arial"/>
          <w:b/>
          <w:bCs/>
          <w:lang w:val="en-GB"/>
        </w:rPr>
      </w:pPr>
      <w:r w:rsidRPr="00CB4CDE">
        <w:rPr>
          <w:rFonts w:ascii="Arial" w:hAnsi="Arial" w:cs="Arial"/>
          <w:b/>
          <w:bCs/>
          <w:lang w:val="en-GB"/>
        </w:rPr>
        <w:t>3.2 Evaluation of Restructuring Options</w:t>
      </w:r>
    </w:p>
    <w:p w14:paraId="68438A1E" w14:textId="77777777" w:rsidR="00171457" w:rsidRPr="00CB4CDE" w:rsidRDefault="00171457" w:rsidP="00FB2FBF">
      <w:pPr>
        <w:rPr>
          <w:rFonts w:ascii="Arial" w:hAnsi="Arial" w:cs="Arial"/>
          <w:b/>
          <w:bCs/>
          <w:lang w:val="en-GB"/>
        </w:rPr>
      </w:pPr>
      <w:r w:rsidRPr="00CB4CDE">
        <w:rPr>
          <w:rFonts w:ascii="Arial" w:hAnsi="Arial" w:cs="Arial"/>
          <w:b/>
          <w:bCs/>
          <w:lang w:val="en-GB"/>
        </w:rPr>
        <w:t>Debt refinancing and gradual deleveraging</w:t>
      </w:r>
    </w:p>
    <w:p w14:paraId="26F0462F" w14:textId="79B87FCD" w:rsidR="007F02A9" w:rsidRPr="00CB4CDE" w:rsidRDefault="007F02A9" w:rsidP="007F02A9">
      <w:pPr>
        <w:rPr>
          <w:rFonts w:ascii="Arial" w:hAnsi="Arial" w:cs="Arial"/>
          <w:lang w:val="en-GB"/>
        </w:rPr>
      </w:pPr>
      <w:r w:rsidRPr="00CB4CDE">
        <w:rPr>
          <w:rFonts w:ascii="Arial" w:hAnsi="Arial" w:cs="Arial"/>
          <w:lang w:val="en-GB"/>
        </w:rPr>
        <w:t>The first option of Hilton should be debt restructuring. According to the trade-off theory, debt results in tax advantages but over-borrowing leads to financial-distress and refinancing risks</w:t>
      </w:r>
      <w:r w:rsidR="00D545E9" w:rsidRPr="00CB4CDE">
        <w:rPr>
          <w:rFonts w:ascii="Arial" w:hAnsi="Arial" w:cs="Arial"/>
          <w:lang w:val="en-GB"/>
        </w:rPr>
        <w:t xml:space="preserve"> (Qin, 2024)</w:t>
      </w:r>
      <w:r w:rsidRPr="00CB4CDE">
        <w:rPr>
          <w:rFonts w:ascii="Arial" w:hAnsi="Arial" w:cs="Arial"/>
          <w:lang w:val="en-GB"/>
        </w:rPr>
        <w:t>. Hilton ought to refinance more expensive or variable-rate obligations, issue suitable maturities and use some of operating cash flow to pay capital. This would minimize the exposure to interest, enhance interest coverage and creditor confidence.</w:t>
      </w:r>
    </w:p>
    <w:p w14:paraId="4BDD4CE7" w14:textId="11FED611" w:rsidR="00171457" w:rsidRPr="00CB4CDE" w:rsidRDefault="007F02A9" w:rsidP="007F02A9">
      <w:pPr>
        <w:rPr>
          <w:rFonts w:ascii="Arial" w:hAnsi="Arial" w:cs="Arial"/>
          <w:lang w:val="en-GB"/>
        </w:rPr>
      </w:pPr>
      <w:r w:rsidRPr="00CB4CDE">
        <w:rPr>
          <w:rFonts w:ascii="Arial" w:hAnsi="Arial" w:cs="Arial"/>
          <w:lang w:val="en-GB"/>
        </w:rPr>
        <w:t>Nevertheless, repayment of debt quickly may restrain the investment in digital systems, new brands and franchising. Deleveraging must thus be progressive and associated with annual free cash flow as opposed to being effected through drastic operational reductions.</w:t>
      </w:r>
    </w:p>
    <w:p w14:paraId="2E16DDD4" w14:textId="101C4B1E" w:rsidR="00171457" w:rsidRPr="00CB4CDE" w:rsidRDefault="00171457" w:rsidP="00FB2FBF">
      <w:pPr>
        <w:rPr>
          <w:rFonts w:ascii="Arial" w:hAnsi="Arial" w:cs="Arial"/>
          <w:b/>
          <w:bCs/>
          <w:lang w:val="en-GB"/>
        </w:rPr>
      </w:pPr>
      <w:r w:rsidRPr="00CB4CDE">
        <w:rPr>
          <w:rFonts w:ascii="Arial" w:hAnsi="Arial" w:cs="Arial"/>
          <w:b/>
          <w:bCs/>
          <w:lang w:val="en-GB"/>
        </w:rPr>
        <w:t xml:space="preserve">Earnings retention and reduced share </w:t>
      </w:r>
      <w:r w:rsidR="007B7184" w:rsidRPr="00CB4CDE">
        <w:rPr>
          <w:rFonts w:ascii="Arial" w:hAnsi="Arial" w:cs="Arial"/>
          <w:b/>
          <w:bCs/>
          <w:lang w:val="en-GB"/>
        </w:rPr>
        <w:t>repurchase</w:t>
      </w:r>
    </w:p>
    <w:p w14:paraId="45770978" w14:textId="77777777" w:rsidR="007F02A9" w:rsidRPr="00CB4CDE" w:rsidRDefault="007F02A9" w:rsidP="007F02A9">
      <w:pPr>
        <w:rPr>
          <w:rFonts w:ascii="Arial" w:hAnsi="Arial" w:cs="Arial"/>
          <w:lang w:val="en-GB"/>
        </w:rPr>
      </w:pPr>
      <w:r w:rsidRPr="00CB4CDE">
        <w:rPr>
          <w:rFonts w:ascii="Arial" w:hAnsi="Arial" w:cs="Arial"/>
          <w:lang w:val="en-GB"/>
        </w:rPr>
        <w:t xml:space="preserve">Pecking order theory gives more preference to internal finance since it will not incur issuance costs, dilution and information asymmetry. Hilton ought to keep an extra </w:t>
      </w:r>
      <w:r w:rsidRPr="00CB4CDE">
        <w:rPr>
          <w:rFonts w:ascii="Arial" w:hAnsi="Arial" w:cs="Arial"/>
          <w:lang w:val="en-GB"/>
        </w:rPr>
        <w:lastRenderedPageBreak/>
        <w:t>operating cash temporarily by holding down discretionary share repurchases. Repurchases may have the effect of raising EPS and generating management confidence, but they also lead to a reduction in liquidity and are part of the treasury-stock position that causes Hilton to have negative equity.</w:t>
      </w:r>
    </w:p>
    <w:p w14:paraId="5F9DA2F8" w14:textId="2CCD5D34" w:rsidR="00171457" w:rsidRPr="00CB4CDE" w:rsidRDefault="007F02A9" w:rsidP="007F02A9">
      <w:pPr>
        <w:rPr>
          <w:rFonts w:ascii="Arial" w:hAnsi="Arial" w:cs="Arial"/>
          <w:lang w:val="en-GB"/>
        </w:rPr>
      </w:pPr>
      <w:r w:rsidRPr="00CB4CDE">
        <w:rPr>
          <w:rFonts w:ascii="Arial" w:hAnsi="Arial" w:cs="Arial"/>
          <w:lang w:val="en-GB"/>
        </w:rPr>
        <w:t>Diversion of a portion of this spending to debt repayment and cash holdings can undermine short-term support in the market. However, reduced financial risk and interest cost must result in a more sustainable shareholder value than further high distributions as liquidity is degraded.</w:t>
      </w:r>
    </w:p>
    <w:p w14:paraId="3B653D66" w14:textId="77777777" w:rsidR="00171457" w:rsidRPr="00CB4CDE" w:rsidRDefault="00171457" w:rsidP="00FB2FBF">
      <w:pPr>
        <w:rPr>
          <w:rFonts w:ascii="Arial" w:hAnsi="Arial" w:cs="Arial"/>
          <w:b/>
          <w:bCs/>
          <w:lang w:val="en-GB"/>
        </w:rPr>
      </w:pPr>
      <w:r w:rsidRPr="00CB4CDE">
        <w:rPr>
          <w:rFonts w:ascii="Arial" w:hAnsi="Arial" w:cs="Arial"/>
          <w:b/>
          <w:bCs/>
          <w:lang w:val="en-GB"/>
        </w:rPr>
        <w:t>Selective divestiture</w:t>
      </w:r>
    </w:p>
    <w:p w14:paraId="3CC20895" w14:textId="77777777" w:rsidR="0028714E" w:rsidRPr="00CB4CDE" w:rsidRDefault="0028714E" w:rsidP="0028714E">
      <w:pPr>
        <w:rPr>
          <w:rFonts w:ascii="Arial" w:hAnsi="Arial" w:cs="Arial"/>
          <w:lang w:val="en-GB"/>
        </w:rPr>
      </w:pPr>
      <w:r w:rsidRPr="00CB4CDE">
        <w:rPr>
          <w:rFonts w:ascii="Arial" w:hAnsi="Arial" w:cs="Arial"/>
          <w:lang w:val="en-GB"/>
        </w:rPr>
        <w:t>Hilton was in a position to sell non-core owned or leased property but retain management or franchise agreements where feasible. This would free up capital, minimize property exposure and strengthen its asset-light strategy. The proceeds of the disposal can be used to pay off debts or invest in other more productive technology and brands.</w:t>
      </w:r>
    </w:p>
    <w:p w14:paraId="088E6C12" w14:textId="1C353947" w:rsidR="00171457" w:rsidRPr="00CB4CDE" w:rsidRDefault="0028714E" w:rsidP="0028714E">
      <w:pPr>
        <w:rPr>
          <w:rFonts w:ascii="Arial" w:hAnsi="Arial" w:cs="Arial"/>
          <w:lang w:val="en-GB"/>
        </w:rPr>
      </w:pPr>
      <w:r w:rsidRPr="00CB4CDE">
        <w:rPr>
          <w:rFonts w:ascii="Arial" w:hAnsi="Arial" w:cs="Arial"/>
          <w:lang w:val="en-GB"/>
        </w:rPr>
        <w:t>Nonetheless, divestitures can eliminate profitable cash flows, create transaction costs and lose control over strategically important hotels. The assets must hence be judged separately based on the basis of the returns on capital, sale value and the strategic value.</w:t>
      </w:r>
    </w:p>
    <w:p w14:paraId="2D40C3A2" w14:textId="77777777" w:rsidR="00171457" w:rsidRPr="00CB4CDE" w:rsidRDefault="00171457" w:rsidP="00FB2FBF">
      <w:pPr>
        <w:rPr>
          <w:rFonts w:ascii="Arial" w:hAnsi="Arial" w:cs="Arial"/>
          <w:b/>
          <w:bCs/>
          <w:lang w:val="en-GB"/>
        </w:rPr>
      </w:pPr>
      <w:r w:rsidRPr="00CB4CDE">
        <w:rPr>
          <w:rFonts w:ascii="Arial" w:hAnsi="Arial" w:cs="Arial"/>
          <w:b/>
          <w:bCs/>
          <w:lang w:val="en-GB"/>
        </w:rPr>
        <w:t>Equity injection or merger</w:t>
      </w:r>
    </w:p>
    <w:p w14:paraId="4A68AA32" w14:textId="5F8A1830" w:rsidR="00171457" w:rsidRPr="00CB4CDE" w:rsidRDefault="00B50EE8" w:rsidP="00FB2FBF">
      <w:pPr>
        <w:rPr>
          <w:rFonts w:ascii="Arial" w:hAnsi="Arial" w:cs="Arial"/>
          <w:lang w:val="en-GB"/>
        </w:rPr>
      </w:pPr>
      <w:r w:rsidRPr="00CB4CDE">
        <w:rPr>
          <w:rFonts w:ascii="Arial" w:hAnsi="Arial" w:cs="Arial"/>
          <w:lang w:val="en-GB"/>
        </w:rPr>
        <w:t>Equity issue would enhance book equity and would lower leverage but would dilute current stockholders and may indicate financial weakness even though Hilton has been able to generate a lot of cash</w:t>
      </w:r>
      <w:r w:rsidR="002F5B6E" w:rsidRPr="00CB4CDE">
        <w:rPr>
          <w:rFonts w:ascii="Arial" w:hAnsi="Arial" w:cs="Arial"/>
          <w:lang w:val="en-GB"/>
        </w:rPr>
        <w:t xml:space="preserve"> (Burkart and Zhong, 2022)</w:t>
      </w:r>
      <w:r w:rsidRPr="00CB4CDE">
        <w:rPr>
          <w:rFonts w:ascii="Arial" w:hAnsi="Arial" w:cs="Arial"/>
          <w:lang w:val="en-GB"/>
        </w:rPr>
        <w:t>. Likewise, a large merger would generate scale economies but would generate greater integration risk and may necessitate extra debt. These alternatives must be backup plans but not the main reorganizing strategies.</w:t>
      </w:r>
    </w:p>
    <w:p w14:paraId="53A3C7B1" w14:textId="77777777" w:rsidR="00331CC8" w:rsidRPr="00CB4CDE" w:rsidRDefault="00331CC8" w:rsidP="00FB2FBF">
      <w:pPr>
        <w:rPr>
          <w:rFonts w:ascii="Arial" w:hAnsi="Arial" w:cs="Arial"/>
          <w:lang w:val="en-GB"/>
        </w:rPr>
      </w:pPr>
    </w:p>
    <w:p w14:paraId="7D5E9379" w14:textId="77777777" w:rsidR="00171457" w:rsidRPr="00CB4CDE" w:rsidRDefault="00171457" w:rsidP="00FB2FBF">
      <w:pPr>
        <w:rPr>
          <w:rFonts w:ascii="Arial" w:hAnsi="Arial" w:cs="Arial"/>
          <w:b/>
          <w:bCs/>
          <w:lang w:val="en-GB"/>
        </w:rPr>
      </w:pPr>
      <w:r w:rsidRPr="00CB4CDE">
        <w:rPr>
          <w:rFonts w:ascii="Arial" w:hAnsi="Arial" w:cs="Arial"/>
          <w:b/>
          <w:bCs/>
          <w:lang w:val="en-GB"/>
        </w:rPr>
        <w:t>3.3 Impact on Shareholder Value, Debt and Flexibility</w:t>
      </w:r>
    </w:p>
    <w:p w14:paraId="1D86603E" w14:textId="77777777" w:rsidR="00B50EE8" w:rsidRPr="00CB4CDE" w:rsidRDefault="00B50EE8" w:rsidP="00B50EE8">
      <w:pPr>
        <w:rPr>
          <w:rFonts w:ascii="Arial" w:hAnsi="Arial" w:cs="Arial"/>
          <w:lang w:val="en-GB"/>
        </w:rPr>
      </w:pPr>
      <w:r w:rsidRPr="00CB4CDE">
        <w:rPr>
          <w:rFonts w:ascii="Arial" w:hAnsi="Arial" w:cs="Arial"/>
          <w:lang w:val="en-GB"/>
        </w:rPr>
        <w:t>The suggested plan might decrease short-term shareholder payouts, but the decreased debt and interest rates will enhance long-term value, solvency and dividend ability. Minimizing the exposure to refinancing can also reduce cost of capital of Hilton.</w:t>
      </w:r>
    </w:p>
    <w:p w14:paraId="6CAFAFC3" w14:textId="1CA71C02" w:rsidR="00171457" w:rsidRPr="00CB4CDE" w:rsidRDefault="00B50EE8" w:rsidP="00B50EE8">
      <w:pPr>
        <w:rPr>
          <w:rFonts w:ascii="Arial" w:hAnsi="Arial" w:cs="Arial"/>
          <w:lang w:val="en-GB"/>
        </w:rPr>
      </w:pPr>
      <w:r w:rsidRPr="00CB4CDE">
        <w:rPr>
          <w:rFonts w:ascii="Arial" w:hAnsi="Arial" w:cs="Arial"/>
          <w:lang w:val="en-GB"/>
        </w:rPr>
        <w:t xml:space="preserve">This would enhance operational flexibility since it would enable Hilton to survive economic downturns as it would have more liquidity to finance its franchise partners and invest in technology or acquisitions without having to resort to emergency </w:t>
      </w:r>
      <w:r w:rsidRPr="00CB4CDE">
        <w:rPr>
          <w:rFonts w:ascii="Arial" w:hAnsi="Arial" w:cs="Arial"/>
          <w:lang w:val="en-GB"/>
        </w:rPr>
        <w:lastRenderedPageBreak/>
        <w:t>borrowing. However, reorganization must not be made overly conservative since under-investments may undermine competitiveness in the future.</w:t>
      </w:r>
    </w:p>
    <w:p w14:paraId="06279E0F" w14:textId="77777777" w:rsidR="00D27428" w:rsidRPr="00CB4CDE" w:rsidRDefault="00D27428" w:rsidP="00FB2FBF">
      <w:pPr>
        <w:rPr>
          <w:rFonts w:ascii="Arial" w:hAnsi="Arial" w:cs="Arial"/>
          <w:lang w:val="en-GB"/>
        </w:rPr>
      </w:pPr>
    </w:p>
    <w:p w14:paraId="5480C779" w14:textId="7628613F" w:rsidR="00171457" w:rsidRPr="00CB4CDE" w:rsidRDefault="00171457" w:rsidP="00FB2FBF">
      <w:pPr>
        <w:rPr>
          <w:rFonts w:ascii="Arial" w:hAnsi="Arial" w:cs="Arial"/>
          <w:b/>
          <w:bCs/>
          <w:lang w:val="en-GB"/>
        </w:rPr>
      </w:pPr>
      <w:r w:rsidRPr="00CB4CDE">
        <w:rPr>
          <w:rFonts w:ascii="Arial" w:hAnsi="Arial" w:cs="Arial"/>
          <w:b/>
          <w:bCs/>
          <w:lang w:val="en-GB"/>
        </w:rPr>
        <w:t>3.4 International and Ethical Considerations</w:t>
      </w:r>
    </w:p>
    <w:p w14:paraId="40106C62" w14:textId="77777777" w:rsidR="00375312" w:rsidRPr="00CB4CDE" w:rsidRDefault="00375312" w:rsidP="00375312">
      <w:pPr>
        <w:rPr>
          <w:rFonts w:ascii="Arial" w:hAnsi="Arial" w:cs="Arial"/>
          <w:lang w:val="en-GB"/>
        </w:rPr>
      </w:pPr>
      <w:r w:rsidRPr="00CB4CDE">
        <w:rPr>
          <w:rFonts w:ascii="Arial" w:hAnsi="Arial" w:cs="Arial"/>
          <w:lang w:val="en-GB"/>
        </w:rPr>
        <w:t>Hilton has international operations that put it at risk of currency fluctuations, inflation, cross-border taxation, and cross-border interest rates. Where it is practicable, debt ought to be offset with the major cash flows currencies to minimize the exposure to exchange risks. Refinancing must also take into account considerations of withholding taxes and restrictions of repatriating profits without using aggressive tax structures that could cause reputational or regulatory injuries.</w:t>
      </w:r>
    </w:p>
    <w:p w14:paraId="43041BED" w14:textId="5FD1EE27" w:rsidR="00171457" w:rsidRPr="00CB4CDE" w:rsidRDefault="00375312" w:rsidP="00375312">
      <w:pPr>
        <w:rPr>
          <w:rFonts w:ascii="Arial" w:hAnsi="Arial" w:cs="Arial"/>
          <w:lang w:val="en-GB"/>
        </w:rPr>
      </w:pPr>
      <w:r w:rsidRPr="00CB4CDE">
        <w:rPr>
          <w:rFonts w:ascii="Arial" w:hAnsi="Arial" w:cs="Arial"/>
          <w:lang w:val="en-GB"/>
        </w:rPr>
        <w:t>Reorganization must not be done at the expense of excessively passing costs on to employees, suppliers and franchisees in an ethical manner. Hilton is recommended to maintain investment in responsible sourcing, energy efficiency and ESG commitments as they have the potential to lower operational expenses and investor confidence</w:t>
      </w:r>
      <w:r w:rsidR="002F5B6E" w:rsidRPr="00CB4CDE">
        <w:rPr>
          <w:rFonts w:ascii="Arial" w:hAnsi="Arial" w:cs="Arial"/>
          <w:lang w:val="en-GB"/>
        </w:rPr>
        <w:t xml:space="preserve"> (Christine et al., 2025)</w:t>
      </w:r>
      <w:r w:rsidRPr="00CB4CDE">
        <w:rPr>
          <w:rFonts w:ascii="Arial" w:hAnsi="Arial" w:cs="Arial"/>
          <w:lang w:val="en-GB"/>
        </w:rPr>
        <w:t>. There is also a need to have transparent reporting of the purpose of restructuring and effects on stakeholders.</w:t>
      </w:r>
    </w:p>
    <w:p w14:paraId="35B6F2D3" w14:textId="77777777" w:rsidR="005E55F1" w:rsidRPr="00CB4CDE" w:rsidRDefault="005E55F1" w:rsidP="00375312">
      <w:pPr>
        <w:rPr>
          <w:rFonts w:ascii="Arial" w:hAnsi="Arial" w:cs="Arial"/>
          <w:lang w:val="en-GB"/>
        </w:rPr>
      </w:pPr>
    </w:p>
    <w:p w14:paraId="75CF9850" w14:textId="77777777" w:rsidR="00171457" w:rsidRPr="00CB4CDE" w:rsidRDefault="00171457" w:rsidP="00FB2FBF">
      <w:pPr>
        <w:rPr>
          <w:rFonts w:ascii="Arial" w:hAnsi="Arial" w:cs="Arial"/>
          <w:b/>
          <w:bCs/>
          <w:lang w:val="en-GB"/>
        </w:rPr>
      </w:pPr>
      <w:r w:rsidRPr="00CB4CDE">
        <w:rPr>
          <w:rFonts w:ascii="Arial" w:hAnsi="Arial" w:cs="Arial"/>
          <w:b/>
          <w:bCs/>
          <w:lang w:val="en-GB"/>
        </w:rPr>
        <w:t>3.5 Recommended Strategy</w:t>
      </w:r>
    </w:p>
    <w:p w14:paraId="012CB356" w14:textId="68545893" w:rsidR="0097374C" w:rsidRPr="00CB4CDE" w:rsidRDefault="00375312" w:rsidP="00FB2FBF">
      <w:pPr>
        <w:rPr>
          <w:rFonts w:ascii="Arial" w:hAnsi="Arial" w:cs="Arial"/>
          <w:lang w:val="en-GB"/>
        </w:rPr>
      </w:pPr>
      <w:r w:rsidRPr="00CB4CDE">
        <w:rPr>
          <w:rFonts w:ascii="Arial" w:hAnsi="Arial" w:cs="Arial"/>
          <w:lang w:val="en-GB"/>
        </w:rPr>
        <w:t>Hilton ought to embrace cash-based gradual deleveraging, which is backed by debt refinancing, controlled share buybacks and selective non-core asset sales. A large-scale merger and equity issuance should be a back-up plan. This moderate strategy would enhance liquidity and debt capacity and maintain international expansion, flexibility and sustainability of shareholder value.</w:t>
      </w:r>
    </w:p>
    <w:p w14:paraId="72E775A8" w14:textId="77777777" w:rsidR="00171457" w:rsidRPr="00CB4CDE" w:rsidRDefault="00171457">
      <w:pPr>
        <w:spacing w:after="160" w:line="278" w:lineRule="auto"/>
        <w:jc w:val="left"/>
        <w:rPr>
          <w:rFonts w:ascii="Arial" w:hAnsi="Arial" w:cs="Arial"/>
          <w:lang w:val="en-GB"/>
        </w:rPr>
      </w:pPr>
    </w:p>
    <w:p w14:paraId="39C66435" w14:textId="5F942210" w:rsidR="0097374C" w:rsidRPr="00CB4CDE" w:rsidRDefault="0097374C" w:rsidP="006A66BA">
      <w:pPr>
        <w:pStyle w:val="Heading2"/>
        <w:rPr>
          <w:rFonts w:ascii="Arial" w:hAnsi="Arial" w:cs="Arial"/>
        </w:rPr>
      </w:pPr>
      <w:bookmarkStart w:id="7" w:name="_Toc236928805"/>
      <w:r w:rsidRPr="00CB4CDE">
        <w:rPr>
          <w:rFonts w:ascii="Arial" w:hAnsi="Arial" w:cs="Arial"/>
        </w:rPr>
        <w:t>4. Investment Appraisal and Capital Budgeting</w:t>
      </w:r>
      <w:bookmarkEnd w:id="7"/>
    </w:p>
    <w:p w14:paraId="07881FD1" w14:textId="77777777" w:rsidR="008C2B93" w:rsidRPr="00CB4CDE" w:rsidRDefault="008C2B93" w:rsidP="008C2B93">
      <w:pPr>
        <w:rPr>
          <w:rFonts w:ascii="Arial" w:hAnsi="Arial" w:cs="Arial"/>
          <w:b/>
          <w:bCs/>
          <w:lang w:val="en-GB"/>
        </w:rPr>
      </w:pPr>
      <w:r w:rsidRPr="00CB4CDE">
        <w:rPr>
          <w:rFonts w:ascii="Arial" w:hAnsi="Arial" w:cs="Arial"/>
          <w:b/>
          <w:bCs/>
          <w:lang w:val="en-GB"/>
        </w:rPr>
        <w:t>4.1 Appraisal Framework</w:t>
      </w:r>
    </w:p>
    <w:p w14:paraId="0C39AD7E" w14:textId="088924D9" w:rsidR="008C2B93" w:rsidRPr="00CB4CDE" w:rsidRDefault="00A7679A" w:rsidP="008C2B93">
      <w:pPr>
        <w:rPr>
          <w:rFonts w:ascii="Arial" w:hAnsi="Arial" w:cs="Arial"/>
          <w:lang w:val="en-GB"/>
        </w:rPr>
      </w:pPr>
      <w:r w:rsidRPr="00CB4CDE">
        <w:rPr>
          <w:rFonts w:ascii="Arial" w:hAnsi="Arial" w:cs="Arial"/>
          <w:lang w:val="en-GB"/>
        </w:rPr>
        <w:t>Capital budgeting helps in making decisions on how to utilise the limited financial resources to undertake projects that will maximise shareholder wealth without compromising on liquidity and strategic flexibility</w:t>
      </w:r>
      <w:r w:rsidR="00E74F85" w:rsidRPr="00CB4CDE">
        <w:rPr>
          <w:rFonts w:ascii="Arial" w:hAnsi="Arial" w:cs="Arial"/>
          <w:lang w:val="en-GB"/>
        </w:rPr>
        <w:t xml:space="preserve"> (Singh and Chatterjee, 2025)</w:t>
      </w:r>
      <w:r w:rsidRPr="00CB4CDE">
        <w:rPr>
          <w:rFonts w:ascii="Arial" w:hAnsi="Arial" w:cs="Arial"/>
          <w:lang w:val="en-GB"/>
        </w:rPr>
        <w:t xml:space="preserve">. Hilton Worldwide Holdings Inc. should thus evaluate the three proposed projects based on the accounting and discounted cash-flow approaches. Each project involves an initial investment of 50 million pounds, life of 5 years, and is appraised at 8% discount rate, and a straight-line depreciation to zero. The techniques that are required are Payback </w:t>
      </w:r>
      <w:r w:rsidRPr="00CB4CDE">
        <w:rPr>
          <w:rFonts w:ascii="Arial" w:hAnsi="Arial" w:cs="Arial"/>
          <w:lang w:val="en-GB"/>
        </w:rPr>
        <w:lastRenderedPageBreak/>
        <w:t>Period (PBP), Accounting Rate of Return (ARR), Net Present Value (NPV), Profitability Index (PI) and Internal Rate of Return (IRR). The new evaluation also necessitates the ultimate suggestion to capture the financial performance of Hilton, applicable non-financial threats, and the capital limit of £100 million.</w:t>
      </w:r>
    </w:p>
    <w:p w14:paraId="1BC16077" w14:textId="77777777" w:rsidR="008C2B93" w:rsidRPr="00CB4CDE" w:rsidRDefault="008C2B93" w:rsidP="008C2B93">
      <w:pPr>
        <w:rPr>
          <w:rFonts w:ascii="Arial" w:hAnsi="Arial" w:cs="Arial"/>
          <w:lang w:val="en-GB"/>
        </w:rPr>
      </w:pPr>
    </w:p>
    <w:p w14:paraId="649E76B7" w14:textId="58EE7CAB" w:rsidR="008C2B93" w:rsidRPr="00CB4CDE" w:rsidRDefault="008C2B93" w:rsidP="008C2B93">
      <w:pPr>
        <w:rPr>
          <w:rFonts w:ascii="Arial" w:hAnsi="Arial" w:cs="Arial"/>
          <w:b/>
          <w:bCs/>
          <w:lang w:val="en-GB"/>
        </w:rPr>
      </w:pPr>
      <w:r w:rsidRPr="00CB4CDE">
        <w:rPr>
          <w:rFonts w:ascii="Arial" w:hAnsi="Arial" w:cs="Arial"/>
          <w:b/>
          <w:bCs/>
          <w:lang w:val="en-GB"/>
        </w:rPr>
        <w:t>4.2 Payback Period</w:t>
      </w:r>
    </w:p>
    <w:p w14:paraId="7EFCBD8A" w14:textId="05804FC2" w:rsidR="008C2B93" w:rsidRPr="00CB4CDE" w:rsidRDefault="000E5E39" w:rsidP="008C2B93">
      <w:pPr>
        <w:rPr>
          <w:rFonts w:ascii="Arial" w:hAnsi="Arial" w:cs="Arial"/>
          <w:lang w:val="en-GB"/>
        </w:rPr>
      </w:pPr>
      <w:r w:rsidRPr="00CB4CDE">
        <w:rPr>
          <w:rFonts w:ascii="Arial" w:hAnsi="Arial" w:cs="Arial"/>
          <w:lang w:val="en-GB"/>
        </w:rPr>
        <w:t>PBP is used to determine how long it takes the cumulative cash inflows to pay off the original investment. The payback periods are computed as:</w:t>
      </w:r>
    </w:p>
    <w:p w14:paraId="4265EF8B" w14:textId="77777777" w:rsidR="008C2B93" w:rsidRPr="00CB4CDE" w:rsidRDefault="008C2B93" w:rsidP="008C2B93">
      <w:pPr>
        <w:rPr>
          <w:rFonts w:ascii="Arial" w:hAnsi="Arial" w:cs="Arial"/>
          <w:lang w:val="en-GB"/>
        </w:rPr>
      </w:pPr>
      <w:r w:rsidRPr="00CB4CDE">
        <w:rPr>
          <w:rFonts w:ascii="Arial" w:hAnsi="Arial" w:cs="Arial"/>
          <w:b/>
          <w:bCs/>
          <w:lang w:val="en-GB"/>
        </w:rPr>
        <w:t>Project A:</w:t>
      </w:r>
      <w:r w:rsidRPr="00CB4CDE">
        <w:rPr>
          <w:rFonts w:ascii="Arial" w:hAnsi="Arial" w:cs="Arial"/>
          <w:lang w:val="en-GB"/>
        </w:rPr>
        <w:t xml:space="preserve"> 4.50 years</w:t>
      </w:r>
    </w:p>
    <w:p w14:paraId="5BA38FF2" w14:textId="77777777" w:rsidR="008C2B93" w:rsidRPr="00CB4CDE" w:rsidRDefault="008C2B93" w:rsidP="008C2B93">
      <w:pPr>
        <w:rPr>
          <w:rFonts w:ascii="Arial" w:hAnsi="Arial" w:cs="Arial"/>
          <w:lang w:val="en-GB"/>
        </w:rPr>
      </w:pPr>
      <w:r w:rsidRPr="00CB4CDE">
        <w:rPr>
          <w:rFonts w:ascii="Arial" w:hAnsi="Arial" w:cs="Arial"/>
          <w:b/>
          <w:bCs/>
          <w:lang w:val="en-GB"/>
        </w:rPr>
        <w:t>Project B:</w:t>
      </w:r>
      <w:r w:rsidRPr="00CB4CDE">
        <w:rPr>
          <w:rFonts w:ascii="Arial" w:hAnsi="Arial" w:cs="Arial"/>
          <w:lang w:val="en-GB"/>
        </w:rPr>
        <w:t xml:space="preserve"> 4.55 years</w:t>
      </w:r>
    </w:p>
    <w:p w14:paraId="2CD618B2" w14:textId="77777777" w:rsidR="008C2B93" w:rsidRPr="00CB4CDE" w:rsidRDefault="008C2B93" w:rsidP="008C2B93">
      <w:pPr>
        <w:rPr>
          <w:rFonts w:ascii="Arial" w:hAnsi="Arial" w:cs="Arial"/>
          <w:lang w:val="en-GB"/>
        </w:rPr>
      </w:pPr>
      <w:r w:rsidRPr="00CB4CDE">
        <w:rPr>
          <w:rFonts w:ascii="Arial" w:hAnsi="Arial" w:cs="Arial"/>
          <w:b/>
          <w:bCs/>
          <w:lang w:val="en-GB"/>
        </w:rPr>
        <w:t>Project C:</w:t>
      </w:r>
      <w:r w:rsidRPr="00CB4CDE">
        <w:rPr>
          <w:rFonts w:ascii="Arial" w:hAnsi="Arial" w:cs="Arial"/>
          <w:lang w:val="en-GB"/>
        </w:rPr>
        <w:t xml:space="preserve"> 3.60 years</w:t>
      </w:r>
    </w:p>
    <w:p w14:paraId="7B131EC9" w14:textId="0E6FBFAB" w:rsidR="00A7679A" w:rsidRPr="00CB4CDE" w:rsidRDefault="00A7679A" w:rsidP="00A7679A">
      <w:pPr>
        <w:rPr>
          <w:rFonts w:ascii="Arial" w:hAnsi="Arial" w:cs="Arial"/>
          <w:lang w:val="en-GB"/>
        </w:rPr>
      </w:pPr>
      <w:r w:rsidRPr="00CB4CDE">
        <w:rPr>
          <w:rFonts w:ascii="Arial" w:hAnsi="Arial" w:cs="Arial"/>
          <w:lang w:val="en-GB"/>
        </w:rPr>
        <w:t xml:space="preserve">Project C is hence the best since it breaks even in terms of recovery to Hilton investment in about </w:t>
      </w:r>
      <w:r w:rsidR="00C66F4D" w:rsidRPr="00CB4CDE">
        <w:rPr>
          <w:rFonts w:ascii="Arial" w:hAnsi="Arial" w:cs="Arial"/>
          <w:lang w:val="en-GB"/>
        </w:rPr>
        <w:t>10-12 months before as</w:t>
      </w:r>
      <w:r w:rsidRPr="00CB4CDE">
        <w:rPr>
          <w:rFonts w:ascii="Arial" w:hAnsi="Arial" w:cs="Arial"/>
          <w:lang w:val="en-GB"/>
        </w:rPr>
        <w:t xml:space="preserve"> compared to project A </w:t>
      </w:r>
      <w:r w:rsidR="00C83392" w:rsidRPr="00CB4CDE">
        <w:rPr>
          <w:rFonts w:ascii="Arial" w:hAnsi="Arial" w:cs="Arial"/>
          <w:lang w:val="en-GB"/>
        </w:rPr>
        <w:t xml:space="preserve">and </w:t>
      </w:r>
      <w:r w:rsidRPr="00CB4CDE">
        <w:rPr>
          <w:rFonts w:ascii="Arial" w:hAnsi="Arial" w:cs="Arial"/>
          <w:lang w:val="en-GB"/>
        </w:rPr>
        <w:t>project B. This has strategic relevance as the current ratio of Hilton has dropped to 0.66 and cash ratio to 0.20 in 2025 and it has low headroom of liquidity in the short term. A quicker payback minimizes the time in which capital is at risk and also enhances financial flexibility.</w:t>
      </w:r>
    </w:p>
    <w:p w14:paraId="2B0ED062" w14:textId="7E910F55" w:rsidR="008C2B93" w:rsidRPr="00CB4CDE" w:rsidRDefault="00A7679A" w:rsidP="00A7679A">
      <w:pPr>
        <w:rPr>
          <w:rFonts w:ascii="Arial" w:hAnsi="Arial" w:cs="Arial"/>
          <w:lang w:val="en-GB"/>
        </w:rPr>
      </w:pPr>
      <w:r w:rsidRPr="00CB4CDE">
        <w:rPr>
          <w:rFonts w:ascii="Arial" w:hAnsi="Arial" w:cs="Arial"/>
          <w:lang w:val="en-GB"/>
        </w:rPr>
        <w:t>However, PBP cannot be employed on its own since it disregards the time value of money and cash flows obtained beyond the recovery date. It can thus give preference to projects whose inflows are earlier even in the context of their overall economic contribution being weak. In the current instance though, the discounted appraisal techniques strengthen the payback benefit of Project C.</w:t>
      </w:r>
    </w:p>
    <w:p w14:paraId="725CFEC3" w14:textId="77777777" w:rsidR="008C2B93" w:rsidRPr="00CB4CDE" w:rsidRDefault="008C2B93" w:rsidP="008C2B93">
      <w:pPr>
        <w:rPr>
          <w:rFonts w:ascii="Arial" w:hAnsi="Arial" w:cs="Arial"/>
          <w:lang w:val="en-GB"/>
        </w:rPr>
      </w:pPr>
    </w:p>
    <w:p w14:paraId="74A683C2" w14:textId="77777777" w:rsidR="008C2B93" w:rsidRPr="00CB4CDE" w:rsidRDefault="008C2B93" w:rsidP="008C2B93">
      <w:pPr>
        <w:rPr>
          <w:rFonts w:ascii="Arial" w:hAnsi="Arial" w:cs="Arial"/>
          <w:b/>
          <w:bCs/>
          <w:lang w:val="en-GB"/>
        </w:rPr>
      </w:pPr>
      <w:r w:rsidRPr="00CB4CDE">
        <w:rPr>
          <w:rFonts w:ascii="Arial" w:hAnsi="Arial" w:cs="Arial"/>
          <w:b/>
          <w:bCs/>
          <w:lang w:val="en-GB"/>
        </w:rPr>
        <w:t>4.3 Accounting Rate of Return</w:t>
      </w:r>
    </w:p>
    <w:p w14:paraId="4ED95517" w14:textId="77777777" w:rsidR="0096571C" w:rsidRPr="00CB4CDE" w:rsidRDefault="0096571C" w:rsidP="0096571C">
      <w:pPr>
        <w:rPr>
          <w:rFonts w:ascii="Arial" w:hAnsi="Arial" w:cs="Arial"/>
          <w:lang w:val="en-GB"/>
        </w:rPr>
      </w:pPr>
      <w:r w:rsidRPr="00CB4CDE">
        <w:rPr>
          <w:rFonts w:ascii="Arial" w:hAnsi="Arial" w:cs="Arial"/>
          <w:lang w:val="en-GB"/>
        </w:rPr>
        <w:t>ARR is a percentage of initial investment used to calculate average annual accounting profit. The total depreciation per year is straight-line at a rate of £10 million annually which was obtained by dividing the cost of the equipment of 50 million by a 5-year life.</w:t>
      </w:r>
    </w:p>
    <w:p w14:paraId="5EB37E5F" w14:textId="239B3E1B" w:rsidR="008C2B93" w:rsidRPr="00CB4CDE" w:rsidRDefault="0096571C" w:rsidP="0096571C">
      <w:pPr>
        <w:rPr>
          <w:rFonts w:ascii="Arial" w:hAnsi="Arial" w:cs="Arial"/>
          <w:lang w:val="en-GB"/>
        </w:rPr>
      </w:pPr>
      <w:r w:rsidRPr="00CB4CDE">
        <w:rPr>
          <w:rFonts w:ascii="Arial" w:hAnsi="Arial" w:cs="Arial"/>
          <w:lang w:val="en-GB"/>
        </w:rPr>
        <w:t>ARR results calculated are:</w:t>
      </w:r>
    </w:p>
    <w:p w14:paraId="5A1ADB03" w14:textId="77777777" w:rsidR="008C2B93" w:rsidRPr="00CB4CDE" w:rsidRDefault="008C2B93" w:rsidP="008C2B93">
      <w:pPr>
        <w:rPr>
          <w:rFonts w:ascii="Arial" w:hAnsi="Arial" w:cs="Arial"/>
          <w:lang w:val="en-GB"/>
        </w:rPr>
      </w:pPr>
      <w:r w:rsidRPr="00CB4CDE">
        <w:rPr>
          <w:rFonts w:ascii="Arial" w:hAnsi="Arial" w:cs="Arial"/>
          <w:b/>
          <w:bCs/>
          <w:lang w:val="en-GB"/>
        </w:rPr>
        <w:t>Project A:</w:t>
      </w:r>
      <w:r w:rsidRPr="00CB4CDE">
        <w:rPr>
          <w:rFonts w:ascii="Arial" w:hAnsi="Arial" w:cs="Arial"/>
          <w:lang w:val="en-GB"/>
        </w:rPr>
        <w:t xml:space="preserve"> 1.60%</w:t>
      </w:r>
    </w:p>
    <w:p w14:paraId="5350F015" w14:textId="77777777" w:rsidR="008C2B93" w:rsidRPr="00CB4CDE" w:rsidRDefault="008C2B93" w:rsidP="008C2B93">
      <w:pPr>
        <w:rPr>
          <w:rFonts w:ascii="Arial" w:hAnsi="Arial" w:cs="Arial"/>
          <w:lang w:val="en-GB"/>
        </w:rPr>
      </w:pPr>
      <w:r w:rsidRPr="00CB4CDE">
        <w:rPr>
          <w:rFonts w:ascii="Arial" w:hAnsi="Arial" w:cs="Arial"/>
          <w:b/>
          <w:bCs/>
          <w:lang w:val="en-GB"/>
        </w:rPr>
        <w:t>Project B:</w:t>
      </w:r>
      <w:r w:rsidRPr="00CB4CDE">
        <w:rPr>
          <w:rFonts w:ascii="Arial" w:hAnsi="Arial" w:cs="Arial"/>
          <w:lang w:val="en-GB"/>
        </w:rPr>
        <w:t xml:space="preserve"> 2.00%</w:t>
      </w:r>
    </w:p>
    <w:p w14:paraId="63174858" w14:textId="77777777" w:rsidR="008C2B93" w:rsidRPr="00CB4CDE" w:rsidRDefault="008C2B93" w:rsidP="008C2B93">
      <w:pPr>
        <w:rPr>
          <w:rFonts w:ascii="Arial" w:hAnsi="Arial" w:cs="Arial"/>
          <w:lang w:val="en-GB"/>
        </w:rPr>
      </w:pPr>
      <w:r w:rsidRPr="00CB4CDE">
        <w:rPr>
          <w:rFonts w:ascii="Arial" w:hAnsi="Arial" w:cs="Arial"/>
          <w:b/>
          <w:bCs/>
          <w:lang w:val="en-GB"/>
        </w:rPr>
        <w:t>Project C:</w:t>
      </w:r>
      <w:r w:rsidRPr="00CB4CDE">
        <w:rPr>
          <w:rFonts w:ascii="Arial" w:hAnsi="Arial" w:cs="Arial"/>
          <w:lang w:val="en-GB"/>
        </w:rPr>
        <w:t xml:space="preserve"> 6.00%</w:t>
      </w:r>
    </w:p>
    <w:p w14:paraId="09BBF073" w14:textId="77777777" w:rsidR="0096571C" w:rsidRPr="00CB4CDE" w:rsidRDefault="0096571C" w:rsidP="0096571C">
      <w:pPr>
        <w:rPr>
          <w:rFonts w:ascii="Arial" w:hAnsi="Arial" w:cs="Arial"/>
          <w:lang w:val="en-GB"/>
        </w:rPr>
      </w:pPr>
      <w:r w:rsidRPr="00CB4CDE">
        <w:rPr>
          <w:rFonts w:ascii="Arial" w:hAnsi="Arial" w:cs="Arial"/>
          <w:lang w:val="en-GB"/>
        </w:rPr>
        <w:t>Project C has the top accounting profitability, yielding three times the profit of Project B and nearly four times that of Project A. This implies that Project C would contribute the highest to the reported earnings of Hilton.</w:t>
      </w:r>
    </w:p>
    <w:p w14:paraId="5DF2A62C" w14:textId="5952A7C1" w:rsidR="008C2B93" w:rsidRPr="00CB4CDE" w:rsidRDefault="0096571C" w:rsidP="0096571C">
      <w:pPr>
        <w:rPr>
          <w:rFonts w:ascii="Arial" w:hAnsi="Arial" w:cs="Arial"/>
          <w:lang w:val="en-GB"/>
        </w:rPr>
      </w:pPr>
      <w:r w:rsidRPr="00CB4CDE">
        <w:rPr>
          <w:rFonts w:ascii="Arial" w:hAnsi="Arial" w:cs="Arial"/>
          <w:lang w:val="en-GB"/>
        </w:rPr>
        <w:lastRenderedPageBreak/>
        <w:t>Nevertheless, there are significant drawbacks with ARR. It is founded on accounting profit instead of cash flow and does not focus on returns timing. This is significant since the highest cash receipts of Project C will be experienced in Years 3 and 4, but Project B will have constant annual cash receipts. Thus, ARR can be an informative supplement to NPV and IRR in the assessment of the shareholder value but must not be used as a primary tool.</w:t>
      </w:r>
    </w:p>
    <w:p w14:paraId="40DDCC09" w14:textId="77777777" w:rsidR="008C2B93" w:rsidRPr="00CB4CDE" w:rsidRDefault="008C2B93" w:rsidP="008C2B93">
      <w:pPr>
        <w:rPr>
          <w:rFonts w:ascii="Arial" w:hAnsi="Arial" w:cs="Arial"/>
          <w:lang w:val="en-GB"/>
        </w:rPr>
      </w:pPr>
    </w:p>
    <w:p w14:paraId="17E95E3F" w14:textId="77777777" w:rsidR="008C2B93" w:rsidRPr="00CB4CDE" w:rsidRDefault="008C2B93" w:rsidP="008C2B93">
      <w:pPr>
        <w:rPr>
          <w:rFonts w:ascii="Arial" w:hAnsi="Arial" w:cs="Arial"/>
          <w:b/>
          <w:bCs/>
          <w:lang w:val="en-GB"/>
        </w:rPr>
      </w:pPr>
      <w:r w:rsidRPr="00CB4CDE">
        <w:rPr>
          <w:rFonts w:ascii="Arial" w:hAnsi="Arial" w:cs="Arial"/>
          <w:b/>
          <w:bCs/>
          <w:lang w:val="en-GB"/>
        </w:rPr>
        <w:t>4.4 Net Present Value</w:t>
      </w:r>
    </w:p>
    <w:p w14:paraId="70DEE3C5" w14:textId="02F3CB59" w:rsidR="008C2B93" w:rsidRPr="00CB4CDE" w:rsidRDefault="0096571C" w:rsidP="008C2B93">
      <w:pPr>
        <w:rPr>
          <w:rFonts w:ascii="Arial" w:hAnsi="Arial" w:cs="Arial"/>
          <w:lang w:val="en-GB"/>
        </w:rPr>
      </w:pPr>
      <w:r w:rsidRPr="00CB4CDE">
        <w:rPr>
          <w:rFonts w:ascii="Arial" w:hAnsi="Arial" w:cs="Arial"/>
          <w:lang w:val="en-GB"/>
        </w:rPr>
        <w:t>NPV discounts cash inflows in the future at the required discount of Hilton 8% and subtracts the initial investment. It is the most theoretically sound approach since it quantifies the absolute value created or destroyed through a project.</w:t>
      </w:r>
    </w:p>
    <w:p w14:paraId="0B60DB47" w14:textId="64F5FBA9" w:rsidR="008C2B93" w:rsidRPr="00CB4CDE" w:rsidRDefault="008C3ED8" w:rsidP="008C2B93">
      <w:pPr>
        <w:rPr>
          <w:rFonts w:ascii="Arial" w:hAnsi="Arial" w:cs="Arial"/>
          <w:lang w:val="en-GB"/>
        </w:rPr>
      </w:pPr>
      <w:r w:rsidRPr="00CB4CDE">
        <w:rPr>
          <w:rFonts w:ascii="Arial" w:hAnsi="Arial" w:cs="Arial"/>
          <w:lang w:val="en-GB"/>
        </w:rPr>
        <w:t>The present value of cash inflows and resulting NPVs are:</w:t>
      </w:r>
    </w:p>
    <w:p w14:paraId="42AB6311" w14:textId="16209C46" w:rsidR="00F357CE" w:rsidRPr="00CB4CDE" w:rsidRDefault="00F357CE" w:rsidP="00F357CE">
      <w:pPr>
        <w:pStyle w:val="Caption"/>
        <w:jc w:val="center"/>
        <w:rPr>
          <w:rFonts w:ascii="Arial" w:hAnsi="Arial" w:cs="Arial"/>
          <w:sz w:val="24"/>
          <w:szCs w:val="24"/>
          <w:lang w:val="en-GB"/>
        </w:rPr>
      </w:pPr>
      <w:bookmarkStart w:id="8" w:name="_Toc236928792"/>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0015369D" w:rsidRPr="00CB4CDE">
        <w:rPr>
          <w:rFonts w:ascii="Arial" w:hAnsi="Arial" w:cs="Arial"/>
          <w:b/>
          <w:bCs/>
          <w:noProof/>
          <w:sz w:val="24"/>
          <w:szCs w:val="24"/>
        </w:rPr>
        <w:t>2</w:t>
      </w:r>
      <w:r w:rsidRPr="00CB4CDE">
        <w:rPr>
          <w:rFonts w:ascii="Arial" w:hAnsi="Arial" w:cs="Arial"/>
          <w:b/>
          <w:bCs/>
          <w:sz w:val="24"/>
          <w:szCs w:val="24"/>
        </w:rPr>
        <w:fldChar w:fldCharType="end"/>
      </w:r>
      <w:r w:rsidRPr="00CB4CDE">
        <w:rPr>
          <w:rFonts w:ascii="Arial" w:hAnsi="Arial" w:cs="Arial"/>
          <w:b/>
          <w:bCs/>
          <w:sz w:val="24"/>
          <w:szCs w:val="24"/>
        </w:rPr>
        <w:t>:</w:t>
      </w:r>
      <w:r w:rsidRPr="00CB4CDE">
        <w:rPr>
          <w:rFonts w:ascii="Arial" w:hAnsi="Arial" w:cs="Arial"/>
          <w:sz w:val="24"/>
          <w:szCs w:val="24"/>
        </w:rPr>
        <w:t xml:space="preserve"> Net Present Value</w:t>
      </w:r>
      <w:r w:rsidR="0031749C" w:rsidRPr="00CB4CDE">
        <w:rPr>
          <w:rFonts w:ascii="Arial" w:hAnsi="Arial" w:cs="Arial"/>
          <w:sz w:val="24"/>
          <w:szCs w:val="24"/>
        </w:rPr>
        <w:t xml:space="preserve"> results</w:t>
      </w:r>
      <w:bookmarkEnd w:id="8"/>
    </w:p>
    <w:tbl>
      <w:tblPr>
        <w:tblStyle w:val="TableGrid"/>
        <w:tblW w:w="0" w:type="auto"/>
        <w:jc w:val="center"/>
        <w:tblLook w:val="04A0" w:firstRow="1" w:lastRow="0" w:firstColumn="1" w:lastColumn="0" w:noHBand="0" w:noVBand="1"/>
      </w:tblPr>
      <w:tblGrid>
        <w:gridCol w:w="1075"/>
        <w:gridCol w:w="1150"/>
        <w:gridCol w:w="1659"/>
        <w:gridCol w:w="1856"/>
      </w:tblGrid>
      <w:tr w:rsidR="008C2B93" w:rsidRPr="00CB4CDE" w14:paraId="421B2484" w14:textId="77777777" w:rsidTr="006E51E5">
        <w:trPr>
          <w:trHeight w:val="300"/>
          <w:jc w:val="center"/>
        </w:trPr>
        <w:tc>
          <w:tcPr>
            <w:tcW w:w="1075" w:type="dxa"/>
            <w:noWrap/>
            <w:hideMark/>
          </w:tcPr>
          <w:p w14:paraId="2E5C5A96" w14:textId="77777777" w:rsidR="008C2B93" w:rsidRPr="00CB4CDE" w:rsidRDefault="008C2B93" w:rsidP="006E51E5">
            <w:pPr>
              <w:jc w:val="center"/>
              <w:rPr>
                <w:rFonts w:ascii="Arial" w:hAnsi="Arial" w:cs="Arial"/>
                <w:b/>
                <w:bCs/>
              </w:rPr>
            </w:pPr>
            <w:r w:rsidRPr="00CB4CDE">
              <w:rPr>
                <w:rFonts w:ascii="Arial" w:hAnsi="Arial" w:cs="Arial"/>
                <w:b/>
                <w:bCs/>
              </w:rPr>
              <w:t>Project</w:t>
            </w:r>
          </w:p>
        </w:tc>
        <w:tc>
          <w:tcPr>
            <w:tcW w:w="1080" w:type="dxa"/>
            <w:noWrap/>
            <w:hideMark/>
          </w:tcPr>
          <w:p w14:paraId="280BFAF2" w14:textId="77777777" w:rsidR="008C2B93" w:rsidRPr="00CB4CDE" w:rsidRDefault="008C2B93" w:rsidP="006E51E5">
            <w:pPr>
              <w:jc w:val="center"/>
              <w:rPr>
                <w:rFonts w:ascii="Arial" w:hAnsi="Arial" w:cs="Arial"/>
                <w:b/>
                <w:bCs/>
              </w:rPr>
            </w:pPr>
            <w:r w:rsidRPr="00CB4CDE">
              <w:rPr>
                <w:rFonts w:ascii="Arial" w:hAnsi="Arial" w:cs="Arial"/>
                <w:b/>
                <w:bCs/>
              </w:rPr>
              <w:t>Present value of inflows</w:t>
            </w:r>
          </w:p>
        </w:tc>
        <w:tc>
          <w:tcPr>
            <w:tcW w:w="1659" w:type="dxa"/>
            <w:noWrap/>
            <w:hideMark/>
          </w:tcPr>
          <w:p w14:paraId="6EA6D035" w14:textId="77777777" w:rsidR="008C2B93" w:rsidRPr="00CB4CDE" w:rsidRDefault="008C2B93" w:rsidP="006E51E5">
            <w:pPr>
              <w:jc w:val="center"/>
              <w:rPr>
                <w:rFonts w:ascii="Arial" w:hAnsi="Arial" w:cs="Arial"/>
                <w:b/>
                <w:bCs/>
              </w:rPr>
            </w:pPr>
            <w:r w:rsidRPr="00CB4CDE">
              <w:rPr>
                <w:rFonts w:ascii="Arial" w:hAnsi="Arial" w:cs="Arial"/>
                <w:b/>
                <w:bCs/>
              </w:rPr>
              <w:t>Initial investment</w:t>
            </w:r>
          </w:p>
        </w:tc>
        <w:tc>
          <w:tcPr>
            <w:tcW w:w="1856" w:type="dxa"/>
            <w:noWrap/>
            <w:hideMark/>
          </w:tcPr>
          <w:p w14:paraId="108E673C" w14:textId="77777777" w:rsidR="008C2B93" w:rsidRPr="00CB4CDE" w:rsidRDefault="008C2B93" w:rsidP="006E51E5">
            <w:pPr>
              <w:jc w:val="center"/>
              <w:rPr>
                <w:rFonts w:ascii="Arial" w:hAnsi="Arial" w:cs="Arial"/>
                <w:b/>
                <w:bCs/>
              </w:rPr>
            </w:pPr>
            <w:r w:rsidRPr="00CB4CDE">
              <w:rPr>
                <w:rFonts w:ascii="Arial" w:hAnsi="Arial" w:cs="Arial"/>
                <w:b/>
                <w:bCs/>
              </w:rPr>
              <w:t>NPV</w:t>
            </w:r>
          </w:p>
        </w:tc>
      </w:tr>
      <w:tr w:rsidR="008C2B93" w:rsidRPr="00CB4CDE" w14:paraId="12BD4985" w14:textId="77777777" w:rsidTr="006E51E5">
        <w:trPr>
          <w:trHeight w:val="300"/>
          <w:jc w:val="center"/>
        </w:trPr>
        <w:tc>
          <w:tcPr>
            <w:tcW w:w="1075" w:type="dxa"/>
            <w:noWrap/>
            <w:hideMark/>
          </w:tcPr>
          <w:p w14:paraId="2654ACE1" w14:textId="77777777" w:rsidR="008C2B93" w:rsidRPr="00CB4CDE" w:rsidRDefault="008C2B93" w:rsidP="006E51E5">
            <w:pPr>
              <w:jc w:val="center"/>
              <w:rPr>
                <w:rFonts w:ascii="Arial" w:hAnsi="Arial" w:cs="Arial"/>
              </w:rPr>
            </w:pPr>
            <w:r w:rsidRPr="00CB4CDE">
              <w:rPr>
                <w:rFonts w:ascii="Arial" w:hAnsi="Arial" w:cs="Arial"/>
              </w:rPr>
              <w:t>A</w:t>
            </w:r>
          </w:p>
        </w:tc>
        <w:tc>
          <w:tcPr>
            <w:tcW w:w="1080" w:type="dxa"/>
            <w:noWrap/>
            <w:hideMark/>
          </w:tcPr>
          <w:p w14:paraId="1978EDCF" w14:textId="77777777" w:rsidR="008C2B93" w:rsidRPr="00CB4CDE" w:rsidRDefault="008C2B93" w:rsidP="006E51E5">
            <w:pPr>
              <w:jc w:val="center"/>
              <w:rPr>
                <w:rFonts w:ascii="Arial" w:hAnsi="Arial" w:cs="Arial"/>
              </w:rPr>
            </w:pPr>
            <w:r w:rsidRPr="00CB4CDE">
              <w:rPr>
                <w:rFonts w:ascii="Arial" w:hAnsi="Arial" w:cs="Arial"/>
              </w:rPr>
              <w:t>£43.46m</w:t>
            </w:r>
          </w:p>
        </w:tc>
        <w:tc>
          <w:tcPr>
            <w:tcW w:w="1659" w:type="dxa"/>
            <w:noWrap/>
            <w:hideMark/>
          </w:tcPr>
          <w:p w14:paraId="4F47EF45" w14:textId="77777777" w:rsidR="008C2B93" w:rsidRPr="00CB4CDE" w:rsidRDefault="008C2B93" w:rsidP="006E51E5">
            <w:pPr>
              <w:jc w:val="center"/>
              <w:rPr>
                <w:rFonts w:ascii="Arial" w:hAnsi="Arial" w:cs="Arial"/>
              </w:rPr>
            </w:pPr>
            <w:r w:rsidRPr="00CB4CDE">
              <w:rPr>
                <w:rFonts w:ascii="Arial" w:hAnsi="Arial" w:cs="Arial"/>
              </w:rPr>
              <w:t>£50m</w:t>
            </w:r>
          </w:p>
        </w:tc>
        <w:tc>
          <w:tcPr>
            <w:tcW w:w="1856" w:type="dxa"/>
            <w:noWrap/>
            <w:hideMark/>
          </w:tcPr>
          <w:p w14:paraId="15B31870" w14:textId="30CF9B00" w:rsidR="008C2B93" w:rsidRPr="00CB4CDE" w:rsidRDefault="00EE4243" w:rsidP="006E51E5">
            <w:pPr>
              <w:jc w:val="center"/>
              <w:rPr>
                <w:rFonts w:ascii="Arial" w:hAnsi="Arial" w:cs="Arial"/>
              </w:rPr>
            </w:pPr>
            <w:r w:rsidRPr="00CB4CDE">
              <w:rPr>
                <w:rFonts w:ascii="Arial" w:hAnsi="Arial" w:cs="Arial"/>
              </w:rPr>
              <w:t>-</w:t>
            </w:r>
            <w:r w:rsidR="008C2B93" w:rsidRPr="00CB4CDE">
              <w:rPr>
                <w:rFonts w:ascii="Arial" w:hAnsi="Arial" w:cs="Arial"/>
              </w:rPr>
              <w:t>£6.54m</w:t>
            </w:r>
          </w:p>
        </w:tc>
      </w:tr>
      <w:tr w:rsidR="008C2B93" w:rsidRPr="00CB4CDE" w14:paraId="64AB0C85" w14:textId="77777777" w:rsidTr="006E51E5">
        <w:trPr>
          <w:trHeight w:val="300"/>
          <w:jc w:val="center"/>
        </w:trPr>
        <w:tc>
          <w:tcPr>
            <w:tcW w:w="1075" w:type="dxa"/>
            <w:noWrap/>
            <w:hideMark/>
          </w:tcPr>
          <w:p w14:paraId="02BA3C13" w14:textId="77777777" w:rsidR="008C2B93" w:rsidRPr="00CB4CDE" w:rsidRDefault="008C2B93" w:rsidP="006E51E5">
            <w:pPr>
              <w:jc w:val="center"/>
              <w:rPr>
                <w:rFonts w:ascii="Arial" w:hAnsi="Arial" w:cs="Arial"/>
              </w:rPr>
            </w:pPr>
            <w:r w:rsidRPr="00CB4CDE">
              <w:rPr>
                <w:rFonts w:ascii="Arial" w:hAnsi="Arial" w:cs="Arial"/>
              </w:rPr>
              <w:t>B</w:t>
            </w:r>
          </w:p>
        </w:tc>
        <w:tc>
          <w:tcPr>
            <w:tcW w:w="1080" w:type="dxa"/>
            <w:noWrap/>
            <w:hideMark/>
          </w:tcPr>
          <w:p w14:paraId="3D9F66B1" w14:textId="77777777" w:rsidR="008C2B93" w:rsidRPr="00CB4CDE" w:rsidRDefault="008C2B93" w:rsidP="006E51E5">
            <w:pPr>
              <w:jc w:val="center"/>
              <w:rPr>
                <w:rFonts w:ascii="Arial" w:hAnsi="Arial" w:cs="Arial"/>
              </w:rPr>
            </w:pPr>
            <w:r w:rsidRPr="00CB4CDE">
              <w:rPr>
                <w:rFonts w:ascii="Arial" w:hAnsi="Arial" w:cs="Arial"/>
              </w:rPr>
              <w:t>£43.92m</w:t>
            </w:r>
          </w:p>
        </w:tc>
        <w:tc>
          <w:tcPr>
            <w:tcW w:w="1659" w:type="dxa"/>
            <w:noWrap/>
            <w:hideMark/>
          </w:tcPr>
          <w:p w14:paraId="27335A37" w14:textId="77777777" w:rsidR="008C2B93" w:rsidRPr="00CB4CDE" w:rsidRDefault="008C2B93" w:rsidP="006E51E5">
            <w:pPr>
              <w:jc w:val="center"/>
              <w:rPr>
                <w:rFonts w:ascii="Arial" w:hAnsi="Arial" w:cs="Arial"/>
              </w:rPr>
            </w:pPr>
            <w:r w:rsidRPr="00CB4CDE">
              <w:rPr>
                <w:rFonts w:ascii="Arial" w:hAnsi="Arial" w:cs="Arial"/>
              </w:rPr>
              <w:t>£50m</w:t>
            </w:r>
          </w:p>
        </w:tc>
        <w:tc>
          <w:tcPr>
            <w:tcW w:w="1856" w:type="dxa"/>
            <w:noWrap/>
            <w:hideMark/>
          </w:tcPr>
          <w:p w14:paraId="7818A627" w14:textId="03470620" w:rsidR="008C2B93" w:rsidRPr="00CB4CDE" w:rsidRDefault="000F0855" w:rsidP="006E51E5">
            <w:pPr>
              <w:jc w:val="center"/>
              <w:rPr>
                <w:rFonts w:ascii="Arial" w:hAnsi="Arial" w:cs="Arial"/>
              </w:rPr>
            </w:pPr>
            <w:r w:rsidRPr="00CB4CDE">
              <w:rPr>
                <w:rFonts w:ascii="Arial" w:hAnsi="Arial" w:cs="Arial"/>
              </w:rPr>
              <w:t>-</w:t>
            </w:r>
            <w:r w:rsidR="008C2B93" w:rsidRPr="00CB4CDE">
              <w:rPr>
                <w:rFonts w:ascii="Arial" w:hAnsi="Arial" w:cs="Arial"/>
              </w:rPr>
              <w:t>£6.08m</w:t>
            </w:r>
          </w:p>
        </w:tc>
      </w:tr>
      <w:tr w:rsidR="008C2B93" w:rsidRPr="00CB4CDE" w14:paraId="6EFFC2F8" w14:textId="77777777" w:rsidTr="006E51E5">
        <w:trPr>
          <w:trHeight w:val="300"/>
          <w:jc w:val="center"/>
        </w:trPr>
        <w:tc>
          <w:tcPr>
            <w:tcW w:w="1075" w:type="dxa"/>
            <w:noWrap/>
            <w:hideMark/>
          </w:tcPr>
          <w:p w14:paraId="110C28F4" w14:textId="77777777" w:rsidR="008C2B93" w:rsidRPr="00CB4CDE" w:rsidRDefault="008C2B93" w:rsidP="006E51E5">
            <w:pPr>
              <w:jc w:val="center"/>
              <w:rPr>
                <w:rFonts w:ascii="Arial" w:hAnsi="Arial" w:cs="Arial"/>
              </w:rPr>
            </w:pPr>
            <w:r w:rsidRPr="00CB4CDE">
              <w:rPr>
                <w:rFonts w:ascii="Arial" w:hAnsi="Arial" w:cs="Arial"/>
              </w:rPr>
              <w:t>C</w:t>
            </w:r>
          </w:p>
        </w:tc>
        <w:tc>
          <w:tcPr>
            <w:tcW w:w="1080" w:type="dxa"/>
            <w:noWrap/>
            <w:hideMark/>
          </w:tcPr>
          <w:p w14:paraId="1A8BDBEE" w14:textId="77777777" w:rsidR="008C2B93" w:rsidRPr="00CB4CDE" w:rsidRDefault="008C2B93" w:rsidP="006E51E5">
            <w:pPr>
              <w:jc w:val="center"/>
              <w:rPr>
                <w:rFonts w:ascii="Arial" w:hAnsi="Arial" w:cs="Arial"/>
              </w:rPr>
            </w:pPr>
            <w:r w:rsidRPr="00CB4CDE">
              <w:rPr>
                <w:rFonts w:ascii="Arial" w:hAnsi="Arial" w:cs="Arial"/>
              </w:rPr>
              <w:t>£50.86m</w:t>
            </w:r>
          </w:p>
        </w:tc>
        <w:tc>
          <w:tcPr>
            <w:tcW w:w="1659" w:type="dxa"/>
            <w:noWrap/>
            <w:hideMark/>
          </w:tcPr>
          <w:p w14:paraId="0280F149" w14:textId="77777777" w:rsidR="008C2B93" w:rsidRPr="00CB4CDE" w:rsidRDefault="008C2B93" w:rsidP="006E51E5">
            <w:pPr>
              <w:jc w:val="center"/>
              <w:rPr>
                <w:rFonts w:ascii="Arial" w:hAnsi="Arial" w:cs="Arial"/>
              </w:rPr>
            </w:pPr>
            <w:r w:rsidRPr="00CB4CDE">
              <w:rPr>
                <w:rFonts w:ascii="Arial" w:hAnsi="Arial" w:cs="Arial"/>
              </w:rPr>
              <w:t>£50m</w:t>
            </w:r>
          </w:p>
        </w:tc>
        <w:tc>
          <w:tcPr>
            <w:tcW w:w="1856" w:type="dxa"/>
            <w:noWrap/>
            <w:hideMark/>
          </w:tcPr>
          <w:p w14:paraId="27B53D5C" w14:textId="77777777" w:rsidR="008C2B93" w:rsidRPr="00CB4CDE" w:rsidRDefault="008C2B93" w:rsidP="006E51E5">
            <w:pPr>
              <w:jc w:val="center"/>
              <w:rPr>
                <w:rFonts w:ascii="Arial" w:hAnsi="Arial" w:cs="Arial"/>
              </w:rPr>
            </w:pPr>
            <w:r w:rsidRPr="00CB4CDE">
              <w:rPr>
                <w:rFonts w:ascii="Arial" w:hAnsi="Arial" w:cs="Arial"/>
              </w:rPr>
              <w:t>£0.86m</w:t>
            </w:r>
          </w:p>
        </w:tc>
      </w:tr>
    </w:tbl>
    <w:p w14:paraId="389FE65E" w14:textId="77777777" w:rsidR="006822A5" w:rsidRPr="00CB4CDE" w:rsidRDefault="006822A5" w:rsidP="006822A5">
      <w:pPr>
        <w:jc w:val="center"/>
        <w:rPr>
          <w:rFonts w:ascii="Arial" w:hAnsi="Arial" w:cs="Arial"/>
          <w:lang w:val="en-GB"/>
        </w:rPr>
      </w:pPr>
      <w:r w:rsidRPr="00CB4CDE">
        <w:rPr>
          <w:rFonts w:ascii="Arial" w:hAnsi="Arial" w:cs="Arial"/>
          <w:b/>
          <w:bCs/>
          <w:lang w:val="en-GB"/>
        </w:rPr>
        <w:t>Data Source:</w:t>
      </w:r>
      <w:r w:rsidRPr="00CB4CDE">
        <w:rPr>
          <w:rFonts w:ascii="Arial" w:hAnsi="Arial" w:cs="Arial"/>
          <w:lang w:val="en-GB"/>
        </w:rPr>
        <w:t xml:space="preserve"> Appendix</w:t>
      </w:r>
    </w:p>
    <w:p w14:paraId="2494B9EE" w14:textId="489A02A7" w:rsidR="009108D5" w:rsidRPr="00CB4CDE" w:rsidRDefault="009108D5" w:rsidP="009108D5">
      <w:pPr>
        <w:rPr>
          <w:rFonts w:ascii="Arial" w:hAnsi="Arial" w:cs="Arial"/>
          <w:lang w:val="en-GB"/>
        </w:rPr>
      </w:pPr>
      <w:r w:rsidRPr="00CB4CDE">
        <w:rPr>
          <w:rFonts w:ascii="Arial" w:hAnsi="Arial" w:cs="Arial"/>
          <w:lang w:val="en-GB"/>
        </w:rPr>
        <w:t>Projects A and B cannot be accepted since the discounted cash inflows are not able to justify the initial cost. Their acceptance would decrease shareholder wealth by about £6.54 million and 6.08 million respectively</w:t>
      </w:r>
      <w:r w:rsidR="00E74F85" w:rsidRPr="00CB4CDE">
        <w:rPr>
          <w:rFonts w:ascii="Arial" w:hAnsi="Arial" w:cs="Arial"/>
          <w:lang w:val="en-GB"/>
        </w:rPr>
        <w:t xml:space="preserve"> (Fan, 2025)</w:t>
      </w:r>
      <w:r w:rsidRPr="00CB4CDE">
        <w:rPr>
          <w:rFonts w:ascii="Arial" w:hAnsi="Arial" w:cs="Arial"/>
          <w:lang w:val="en-GB"/>
        </w:rPr>
        <w:t>. The only project with a positive NPV and thus the only project that is likely to generate economic value after taking into account the required 8% is project C.</w:t>
      </w:r>
    </w:p>
    <w:p w14:paraId="1B549406" w14:textId="362FCFC2" w:rsidR="008C2B93" w:rsidRPr="00CB4CDE" w:rsidRDefault="009108D5" w:rsidP="009108D5">
      <w:pPr>
        <w:rPr>
          <w:rFonts w:ascii="Arial" w:hAnsi="Arial" w:cs="Arial"/>
          <w:lang w:val="en-GB"/>
        </w:rPr>
      </w:pPr>
      <w:r w:rsidRPr="00CB4CDE">
        <w:rPr>
          <w:rFonts w:ascii="Arial" w:hAnsi="Arial" w:cs="Arial"/>
          <w:lang w:val="en-GB"/>
        </w:rPr>
        <w:t>The positive NPV is quite small, and it has a narrow margin of safety. The anticipated value can be fabricated by a small change in the inflows of forecasts or an upsurge in the cost of the project. Project C ought to be thus sensitive and scenario analysed before implementation. However, based on the given assumptions, it is the only project that can be acceptable.</w:t>
      </w:r>
    </w:p>
    <w:p w14:paraId="16BF7BEE" w14:textId="77777777" w:rsidR="008C2B93" w:rsidRPr="00CB4CDE" w:rsidRDefault="008C2B93" w:rsidP="008C2B93">
      <w:pPr>
        <w:rPr>
          <w:rFonts w:ascii="Arial" w:hAnsi="Arial" w:cs="Arial"/>
          <w:lang w:val="en-GB"/>
        </w:rPr>
      </w:pPr>
    </w:p>
    <w:p w14:paraId="4B021375" w14:textId="77777777" w:rsidR="008C2B93" w:rsidRPr="00CB4CDE" w:rsidRDefault="008C2B93" w:rsidP="008C2B93">
      <w:pPr>
        <w:rPr>
          <w:rFonts w:ascii="Arial" w:hAnsi="Arial" w:cs="Arial"/>
          <w:b/>
          <w:bCs/>
          <w:lang w:val="en-GB"/>
        </w:rPr>
      </w:pPr>
      <w:r w:rsidRPr="00CB4CDE">
        <w:rPr>
          <w:rFonts w:ascii="Arial" w:hAnsi="Arial" w:cs="Arial"/>
          <w:b/>
          <w:bCs/>
          <w:lang w:val="en-GB"/>
        </w:rPr>
        <w:t>4.5 Profitability Index</w:t>
      </w:r>
    </w:p>
    <w:p w14:paraId="06DE9FBE" w14:textId="1F1F6E01" w:rsidR="008C2B93" w:rsidRPr="00CB4CDE" w:rsidRDefault="00F606DC" w:rsidP="008C2B93">
      <w:pPr>
        <w:rPr>
          <w:rFonts w:ascii="Arial" w:hAnsi="Arial" w:cs="Arial"/>
          <w:lang w:val="en-GB"/>
        </w:rPr>
      </w:pPr>
      <w:r w:rsidRPr="00CB4CDE">
        <w:rPr>
          <w:rFonts w:ascii="Arial" w:hAnsi="Arial" w:cs="Arial"/>
          <w:lang w:val="en-GB"/>
        </w:rPr>
        <w:lastRenderedPageBreak/>
        <w:t>PI is a measure of the value of future cash inflows that would be obtained per pound invested. A PI of above 1 means value creation</w:t>
      </w:r>
      <w:r w:rsidR="00E74F85" w:rsidRPr="00CB4CDE">
        <w:rPr>
          <w:rFonts w:ascii="Arial" w:hAnsi="Arial" w:cs="Arial"/>
          <w:lang w:val="en-GB"/>
        </w:rPr>
        <w:t xml:space="preserve"> (Khaliq, 2025)</w:t>
      </w:r>
      <w:r w:rsidRPr="00CB4CDE">
        <w:rPr>
          <w:rFonts w:ascii="Arial" w:hAnsi="Arial" w:cs="Arial"/>
          <w:lang w:val="en-GB"/>
        </w:rPr>
        <w:t>.</w:t>
      </w:r>
    </w:p>
    <w:p w14:paraId="7520F431" w14:textId="77777777" w:rsidR="008C2B93" w:rsidRPr="00CB4CDE" w:rsidRDefault="008C2B93" w:rsidP="008C2B93">
      <w:pPr>
        <w:rPr>
          <w:rFonts w:ascii="Arial" w:hAnsi="Arial" w:cs="Arial"/>
          <w:lang w:val="en-GB"/>
        </w:rPr>
      </w:pPr>
      <w:r w:rsidRPr="00CB4CDE">
        <w:rPr>
          <w:rFonts w:ascii="Arial" w:hAnsi="Arial" w:cs="Arial"/>
          <w:lang w:val="en-GB"/>
        </w:rPr>
        <w:t>The results are:</w:t>
      </w:r>
    </w:p>
    <w:p w14:paraId="4ADB42D6" w14:textId="77777777" w:rsidR="008C2B93" w:rsidRPr="00CB4CDE" w:rsidRDefault="008C2B93" w:rsidP="008C2B93">
      <w:pPr>
        <w:rPr>
          <w:rFonts w:ascii="Arial" w:hAnsi="Arial" w:cs="Arial"/>
          <w:lang w:val="en-GB"/>
        </w:rPr>
      </w:pPr>
      <w:r w:rsidRPr="00CB4CDE">
        <w:rPr>
          <w:rFonts w:ascii="Arial" w:hAnsi="Arial" w:cs="Arial"/>
          <w:b/>
          <w:bCs/>
          <w:lang w:val="en-GB"/>
        </w:rPr>
        <w:t>Project A:</w:t>
      </w:r>
      <w:r w:rsidRPr="00CB4CDE">
        <w:rPr>
          <w:rFonts w:ascii="Arial" w:hAnsi="Arial" w:cs="Arial"/>
          <w:lang w:val="en-GB"/>
        </w:rPr>
        <w:t xml:space="preserve"> 0.869</w:t>
      </w:r>
    </w:p>
    <w:p w14:paraId="589FDE50" w14:textId="77777777" w:rsidR="008C2B93" w:rsidRPr="00CB4CDE" w:rsidRDefault="008C2B93" w:rsidP="008C2B93">
      <w:pPr>
        <w:rPr>
          <w:rFonts w:ascii="Arial" w:hAnsi="Arial" w:cs="Arial"/>
          <w:lang w:val="en-GB"/>
        </w:rPr>
      </w:pPr>
      <w:r w:rsidRPr="00CB4CDE">
        <w:rPr>
          <w:rFonts w:ascii="Arial" w:hAnsi="Arial" w:cs="Arial"/>
          <w:b/>
          <w:bCs/>
          <w:lang w:val="en-GB"/>
        </w:rPr>
        <w:t>Project B:</w:t>
      </w:r>
      <w:r w:rsidRPr="00CB4CDE">
        <w:rPr>
          <w:rFonts w:ascii="Arial" w:hAnsi="Arial" w:cs="Arial"/>
          <w:lang w:val="en-GB"/>
        </w:rPr>
        <w:t xml:space="preserve"> 0.878</w:t>
      </w:r>
    </w:p>
    <w:p w14:paraId="08208359" w14:textId="77777777" w:rsidR="008C2B93" w:rsidRPr="00CB4CDE" w:rsidRDefault="008C2B93" w:rsidP="008C2B93">
      <w:pPr>
        <w:rPr>
          <w:rFonts w:ascii="Arial" w:hAnsi="Arial" w:cs="Arial"/>
          <w:lang w:val="en-GB"/>
        </w:rPr>
      </w:pPr>
      <w:r w:rsidRPr="00CB4CDE">
        <w:rPr>
          <w:rFonts w:ascii="Arial" w:hAnsi="Arial" w:cs="Arial"/>
          <w:b/>
          <w:bCs/>
          <w:lang w:val="en-GB"/>
        </w:rPr>
        <w:t>Project C:</w:t>
      </w:r>
      <w:r w:rsidRPr="00CB4CDE">
        <w:rPr>
          <w:rFonts w:ascii="Arial" w:hAnsi="Arial" w:cs="Arial"/>
          <w:lang w:val="en-GB"/>
        </w:rPr>
        <w:t xml:space="preserve"> 1.017</w:t>
      </w:r>
    </w:p>
    <w:p w14:paraId="01694831" w14:textId="77777777" w:rsidR="00F606DC" w:rsidRPr="00CB4CDE" w:rsidRDefault="00F606DC" w:rsidP="00F606DC">
      <w:pPr>
        <w:rPr>
          <w:rFonts w:ascii="Arial" w:hAnsi="Arial" w:cs="Arial"/>
          <w:lang w:val="en-GB"/>
        </w:rPr>
      </w:pPr>
      <w:r w:rsidRPr="00CB4CDE">
        <w:rPr>
          <w:rFonts w:ascii="Arial" w:hAnsi="Arial" w:cs="Arial"/>
          <w:lang w:val="en-GB"/>
        </w:rPr>
        <w:t>Project A and B produce less than one pound of present value per pound invested in the project and thus do not pass the acceptance criteria. Project C yields around £ 1.017 on every pound invested. Even though this is just a marginal economic surplus, it validates the NPV outcome.</w:t>
      </w:r>
    </w:p>
    <w:p w14:paraId="4783922C" w14:textId="4C24DA36" w:rsidR="008C2B93" w:rsidRPr="00CB4CDE" w:rsidRDefault="00F606DC" w:rsidP="00F606DC">
      <w:pPr>
        <w:rPr>
          <w:rFonts w:ascii="Arial" w:hAnsi="Arial" w:cs="Arial"/>
          <w:lang w:val="en-GB"/>
        </w:rPr>
      </w:pPr>
      <w:r w:rsidRPr="00CB4CDE">
        <w:rPr>
          <w:rFonts w:ascii="Arial" w:hAnsi="Arial" w:cs="Arial"/>
          <w:lang w:val="en-GB"/>
        </w:rPr>
        <w:t>PI comes in handy especially when capital is rationed as it quantifies the relative capital efficiency. But in the indivisible case the optimum PI is not necessarily the one that produces the optimum investment portfolio, the total NPV of all combinations that are feasible also needs to be considered.</w:t>
      </w:r>
    </w:p>
    <w:p w14:paraId="1D8B748F" w14:textId="77777777" w:rsidR="008C2B93" w:rsidRPr="00CB4CDE" w:rsidRDefault="008C2B93" w:rsidP="008C2B93">
      <w:pPr>
        <w:rPr>
          <w:rFonts w:ascii="Arial" w:hAnsi="Arial" w:cs="Arial"/>
          <w:lang w:val="en-GB"/>
        </w:rPr>
      </w:pPr>
    </w:p>
    <w:p w14:paraId="0A034BDF" w14:textId="77777777" w:rsidR="008C2B93" w:rsidRPr="00CB4CDE" w:rsidRDefault="008C2B93" w:rsidP="008C2B93">
      <w:pPr>
        <w:rPr>
          <w:rFonts w:ascii="Arial" w:hAnsi="Arial" w:cs="Arial"/>
          <w:b/>
          <w:bCs/>
          <w:lang w:val="en-GB"/>
        </w:rPr>
      </w:pPr>
      <w:r w:rsidRPr="00CB4CDE">
        <w:rPr>
          <w:rFonts w:ascii="Arial" w:hAnsi="Arial" w:cs="Arial"/>
          <w:b/>
          <w:bCs/>
          <w:lang w:val="en-GB"/>
        </w:rPr>
        <w:t>4.6 Internal Rate of Return</w:t>
      </w:r>
    </w:p>
    <w:p w14:paraId="15A21B0E" w14:textId="07FCBA32" w:rsidR="008C2B93" w:rsidRPr="00CB4CDE" w:rsidRDefault="00B42716" w:rsidP="008C2B93">
      <w:pPr>
        <w:rPr>
          <w:rFonts w:ascii="Arial" w:hAnsi="Arial" w:cs="Arial"/>
          <w:lang w:val="en-GB"/>
        </w:rPr>
      </w:pPr>
      <w:r w:rsidRPr="00CB4CDE">
        <w:rPr>
          <w:rFonts w:ascii="Arial" w:hAnsi="Arial" w:cs="Arial"/>
          <w:lang w:val="en-GB"/>
        </w:rPr>
        <w:t>IRR is the discount rate where the NPV of a project will be zero. The IRRs obtained are:</w:t>
      </w:r>
    </w:p>
    <w:p w14:paraId="7417316B" w14:textId="77777777" w:rsidR="008C2B93" w:rsidRPr="00CB4CDE" w:rsidRDefault="008C2B93" w:rsidP="008C2B93">
      <w:pPr>
        <w:rPr>
          <w:rFonts w:ascii="Arial" w:hAnsi="Arial" w:cs="Arial"/>
          <w:lang w:val="en-GB"/>
        </w:rPr>
      </w:pPr>
      <w:r w:rsidRPr="00CB4CDE">
        <w:rPr>
          <w:rFonts w:ascii="Arial" w:hAnsi="Arial" w:cs="Arial"/>
          <w:b/>
          <w:bCs/>
          <w:lang w:val="en-GB"/>
        </w:rPr>
        <w:t>Project A:</w:t>
      </w:r>
      <w:r w:rsidRPr="00CB4CDE">
        <w:rPr>
          <w:rFonts w:ascii="Arial" w:hAnsi="Arial" w:cs="Arial"/>
          <w:lang w:val="en-GB"/>
        </w:rPr>
        <w:t xml:space="preserve"> 2.74%</w:t>
      </w:r>
    </w:p>
    <w:p w14:paraId="38CFC0DF" w14:textId="77777777" w:rsidR="008C2B93" w:rsidRPr="00CB4CDE" w:rsidRDefault="008C2B93" w:rsidP="008C2B93">
      <w:pPr>
        <w:rPr>
          <w:rFonts w:ascii="Arial" w:hAnsi="Arial" w:cs="Arial"/>
          <w:lang w:val="en-GB"/>
        </w:rPr>
      </w:pPr>
      <w:r w:rsidRPr="00CB4CDE">
        <w:rPr>
          <w:rFonts w:ascii="Arial" w:hAnsi="Arial" w:cs="Arial"/>
          <w:b/>
          <w:bCs/>
          <w:lang w:val="en-GB"/>
        </w:rPr>
        <w:t>Project B:</w:t>
      </w:r>
      <w:r w:rsidRPr="00CB4CDE">
        <w:rPr>
          <w:rFonts w:ascii="Arial" w:hAnsi="Arial" w:cs="Arial"/>
          <w:lang w:val="en-GB"/>
        </w:rPr>
        <w:t xml:space="preserve"> 3.28%</w:t>
      </w:r>
    </w:p>
    <w:p w14:paraId="1526ED2D" w14:textId="77777777" w:rsidR="008C2B93" w:rsidRPr="00CB4CDE" w:rsidRDefault="008C2B93" w:rsidP="008C2B93">
      <w:pPr>
        <w:rPr>
          <w:rFonts w:ascii="Arial" w:hAnsi="Arial" w:cs="Arial"/>
          <w:lang w:val="en-GB"/>
        </w:rPr>
      </w:pPr>
      <w:r w:rsidRPr="00CB4CDE">
        <w:rPr>
          <w:rFonts w:ascii="Arial" w:hAnsi="Arial" w:cs="Arial"/>
          <w:b/>
          <w:bCs/>
          <w:lang w:val="en-GB"/>
        </w:rPr>
        <w:t>Project C:</w:t>
      </w:r>
      <w:r w:rsidRPr="00CB4CDE">
        <w:rPr>
          <w:rFonts w:ascii="Arial" w:hAnsi="Arial" w:cs="Arial"/>
          <w:lang w:val="en-GB"/>
        </w:rPr>
        <w:t xml:space="preserve"> 8.60%</w:t>
      </w:r>
    </w:p>
    <w:p w14:paraId="189BE2B9" w14:textId="77777777" w:rsidR="00752291" w:rsidRPr="00CB4CDE" w:rsidRDefault="00752291" w:rsidP="00752291">
      <w:pPr>
        <w:rPr>
          <w:rFonts w:ascii="Arial" w:hAnsi="Arial" w:cs="Arial"/>
          <w:lang w:val="en-GB"/>
        </w:rPr>
      </w:pPr>
      <w:r w:rsidRPr="00CB4CDE">
        <w:rPr>
          <w:rFonts w:ascii="Arial" w:hAnsi="Arial" w:cs="Arial"/>
          <w:lang w:val="en-GB"/>
        </w:rPr>
        <w:t>Projects A and B generate returns that are significantly lower than the 8% hurdle rate of Hilton and thus should not be adopted. Project C has a surplus of 0.60 percentage points over the necessary return, and is financially acceptable.</w:t>
      </w:r>
    </w:p>
    <w:p w14:paraId="61D92213" w14:textId="58810557" w:rsidR="008C2B93" w:rsidRPr="00CB4CDE" w:rsidRDefault="00752291" w:rsidP="00752291">
      <w:pPr>
        <w:rPr>
          <w:rFonts w:ascii="Arial" w:hAnsi="Arial" w:cs="Arial"/>
          <w:lang w:val="en-GB"/>
        </w:rPr>
      </w:pPr>
      <w:r w:rsidRPr="00CB4CDE">
        <w:rPr>
          <w:rFonts w:ascii="Arial" w:hAnsi="Arial" w:cs="Arial"/>
          <w:lang w:val="en-GB"/>
        </w:rPr>
        <w:t>IRR is very simple as it represents returns in terms of percentage. Nonetheless, it may lead to distorted rankings in which projects vary in magnitude, timing or the cash-flow pattern. NPV should thus be given preference since it is a direct measure of shareholder wealth creation. NPV and IRR would give the same decision in this appraisal, making a case even stronger in favour of Project C.</w:t>
      </w:r>
    </w:p>
    <w:p w14:paraId="61FD0B64" w14:textId="77777777" w:rsidR="008C2B93" w:rsidRPr="00CB4CDE" w:rsidRDefault="008C2B93" w:rsidP="008C2B93">
      <w:pPr>
        <w:rPr>
          <w:rFonts w:ascii="Arial" w:hAnsi="Arial" w:cs="Arial"/>
          <w:lang w:val="en-GB"/>
        </w:rPr>
      </w:pPr>
    </w:p>
    <w:p w14:paraId="1F4F47AA" w14:textId="77777777" w:rsidR="008C2B93" w:rsidRPr="00CB4CDE" w:rsidRDefault="008C2B93" w:rsidP="008C2B93">
      <w:pPr>
        <w:rPr>
          <w:rFonts w:ascii="Arial" w:hAnsi="Arial" w:cs="Arial"/>
          <w:b/>
          <w:bCs/>
          <w:lang w:val="en-GB"/>
        </w:rPr>
      </w:pPr>
      <w:r w:rsidRPr="00CB4CDE">
        <w:rPr>
          <w:rFonts w:ascii="Arial" w:hAnsi="Arial" w:cs="Arial"/>
          <w:b/>
          <w:bCs/>
          <w:lang w:val="en-GB"/>
        </w:rPr>
        <w:t>4.7 Comparative Decision</w:t>
      </w:r>
    </w:p>
    <w:p w14:paraId="78608C60" w14:textId="4DB86A6F" w:rsidR="00F357CE" w:rsidRPr="00CB4CDE" w:rsidRDefault="00F357CE" w:rsidP="00F357CE">
      <w:pPr>
        <w:pStyle w:val="Caption"/>
        <w:jc w:val="center"/>
        <w:rPr>
          <w:rFonts w:ascii="Arial" w:hAnsi="Arial" w:cs="Arial"/>
          <w:sz w:val="24"/>
          <w:szCs w:val="24"/>
          <w:lang w:val="en-GB"/>
        </w:rPr>
      </w:pPr>
      <w:bookmarkStart w:id="9" w:name="_Toc236928793"/>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0015369D" w:rsidRPr="00CB4CDE">
        <w:rPr>
          <w:rFonts w:ascii="Arial" w:hAnsi="Arial" w:cs="Arial"/>
          <w:b/>
          <w:bCs/>
          <w:noProof/>
          <w:sz w:val="24"/>
          <w:szCs w:val="24"/>
        </w:rPr>
        <w:t>3</w:t>
      </w:r>
      <w:r w:rsidRPr="00CB4CDE">
        <w:rPr>
          <w:rFonts w:ascii="Arial" w:hAnsi="Arial" w:cs="Arial"/>
          <w:b/>
          <w:bCs/>
          <w:sz w:val="24"/>
          <w:szCs w:val="24"/>
        </w:rPr>
        <w:fldChar w:fldCharType="end"/>
      </w:r>
      <w:r w:rsidRPr="00CB4CDE">
        <w:rPr>
          <w:rFonts w:ascii="Arial" w:hAnsi="Arial" w:cs="Arial"/>
          <w:b/>
          <w:bCs/>
          <w:sz w:val="24"/>
          <w:szCs w:val="24"/>
        </w:rPr>
        <w:t>:</w:t>
      </w:r>
      <w:r w:rsidRPr="00CB4CDE">
        <w:rPr>
          <w:rFonts w:ascii="Arial" w:hAnsi="Arial" w:cs="Arial"/>
          <w:sz w:val="24"/>
          <w:szCs w:val="24"/>
        </w:rPr>
        <w:t xml:space="preserve"> Comparative analysis using all methods</w:t>
      </w:r>
      <w:bookmarkEnd w:id="9"/>
    </w:p>
    <w:tbl>
      <w:tblPr>
        <w:tblStyle w:val="TableGrid"/>
        <w:tblW w:w="0" w:type="auto"/>
        <w:jc w:val="center"/>
        <w:tblLook w:val="04A0" w:firstRow="1" w:lastRow="0" w:firstColumn="1" w:lastColumn="0" w:noHBand="0" w:noVBand="1"/>
      </w:tblPr>
      <w:tblGrid>
        <w:gridCol w:w="1070"/>
        <w:gridCol w:w="1337"/>
        <w:gridCol w:w="1337"/>
        <w:gridCol w:w="1337"/>
        <w:gridCol w:w="1284"/>
      </w:tblGrid>
      <w:tr w:rsidR="008C2B93" w:rsidRPr="00CB4CDE" w14:paraId="703EECC5" w14:textId="77777777" w:rsidTr="006E51E5">
        <w:trPr>
          <w:trHeight w:val="300"/>
          <w:jc w:val="center"/>
        </w:trPr>
        <w:tc>
          <w:tcPr>
            <w:tcW w:w="0" w:type="auto"/>
            <w:noWrap/>
            <w:hideMark/>
          </w:tcPr>
          <w:p w14:paraId="538F9B5A" w14:textId="77777777" w:rsidR="008C2B93" w:rsidRPr="00CB4CDE" w:rsidRDefault="008C2B93" w:rsidP="008C2B93">
            <w:pPr>
              <w:rPr>
                <w:rFonts w:ascii="Arial" w:hAnsi="Arial" w:cs="Arial"/>
                <w:b/>
                <w:bCs/>
              </w:rPr>
            </w:pPr>
            <w:r w:rsidRPr="00CB4CDE">
              <w:rPr>
                <w:rFonts w:ascii="Arial" w:hAnsi="Arial" w:cs="Arial"/>
                <w:b/>
                <w:bCs/>
              </w:rPr>
              <w:t>Method</w:t>
            </w:r>
          </w:p>
        </w:tc>
        <w:tc>
          <w:tcPr>
            <w:tcW w:w="0" w:type="auto"/>
            <w:noWrap/>
            <w:hideMark/>
          </w:tcPr>
          <w:p w14:paraId="4747B56B" w14:textId="77777777" w:rsidR="008C2B93" w:rsidRPr="00CB4CDE" w:rsidRDefault="008C2B93">
            <w:pPr>
              <w:rPr>
                <w:rFonts w:ascii="Arial" w:hAnsi="Arial" w:cs="Arial"/>
                <w:b/>
                <w:bCs/>
              </w:rPr>
            </w:pPr>
            <w:r w:rsidRPr="00CB4CDE">
              <w:rPr>
                <w:rFonts w:ascii="Arial" w:hAnsi="Arial" w:cs="Arial"/>
                <w:b/>
                <w:bCs/>
              </w:rPr>
              <w:t>Project A</w:t>
            </w:r>
          </w:p>
        </w:tc>
        <w:tc>
          <w:tcPr>
            <w:tcW w:w="0" w:type="auto"/>
            <w:noWrap/>
            <w:hideMark/>
          </w:tcPr>
          <w:p w14:paraId="2507AF07" w14:textId="77777777" w:rsidR="008C2B93" w:rsidRPr="00CB4CDE" w:rsidRDefault="008C2B93">
            <w:pPr>
              <w:rPr>
                <w:rFonts w:ascii="Arial" w:hAnsi="Arial" w:cs="Arial"/>
                <w:b/>
                <w:bCs/>
              </w:rPr>
            </w:pPr>
            <w:r w:rsidRPr="00CB4CDE">
              <w:rPr>
                <w:rFonts w:ascii="Arial" w:hAnsi="Arial" w:cs="Arial"/>
                <w:b/>
                <w:bCs/>
              </w:rPr>
              <w:t>Project B</w:t>
            </w:r>
          </w:p>
        </w:tc>
        <w:tc>
          <w:tcPr>
            <w:tcW w:w="0" w:type="auto"/>
            <w:noWrap/>
            <w:hideMark/>
          </w:tcPr>
          <w:p w14:paraId="32D25B43" w14:textId="77777777" w:rsidR="008C2B93" w:rsidRPr="00CB4CDE" w:rsidRDefault="008C2B93">
            <w:pPr>
              <w:rPr>
                <w:rFonts w:ascii="Arial" w:hAnsi="Arial" w:cs="Arial"/>
                <w:b/>
                <w:bCs/>
              </w:rPr>
            </w:pPr>
            <w:r w:rsidRPr="00CB4CDE">
              <w:rPr>
                <w:rFonts w:ascii="Arial" w:hAnsi="Arial" w:cs="Arial"/>
                <w:b/>
                <w:bCs/>
              </w:rPr>
              <w:t>Project C</w:t>
            </w:r>
          </w:p>
        </w:tc>
        <w:tc>
          <w:tcPr>
            <w:tcW w:w="0" w:type="auto"/>
            <w:noWrap/>
            <w:hideMark/>
          </w:tcPr>
          <w:p w14:paraId="4B03EA43" w14:textId="77777777" w:rsidR="008C2B93" w:rsidRPr="00CB4CDE" w:rsidRDefault="008C2B93">
            <w:pPr>
              <w:rPr>
                <w:rFonts w:ascii="Arial" w:hAnsi="Arial" w:cs="Arial"/>
                <w:b/>
                <w:bCs/>
              </w:rPr>
            </w:pPr>
            <w:r w:rsidRPr="00CB4CDE">
              <w:rPr>
                <w:rFonts w:ascii="Arial" w:hAnsi="Arial" w:cs="Arial"/>
                <w:b/>
                <w:bCs/>
              </w:rPr>
              <w:t>Preferred</w:t>
            </w:r>
          </w:p>
        </w:tc>
      </w:tr>
      <w:tr w:rsidR="008C2B93" w:rsidRPr="00CB4CDE" w14:paraId="33D372DA" w14:textId="77777777" w:rsidTr="006E51E5">
        <w:trPr>
          <w:trHeight w:val="300"/>
          <w:jc w:val="center"/>
        </w:trPr>
        <w:tc>
          <w:tcPr>
            <w:tcW w:w="0" w:type="auto"/>
            <w:noWrap/>
            <w:hideMark/>
          </w:tcPr>
          <w:p w14:paraId="390E3901" w14:textId="77777777" w:rsidR="008C2B93" w:rsidRPr="00CB4CDE" w:rsidRDefault="008C2B93">
            <w:pPr>
              <w:rPr>
                <w:rFonts w:ascii="Arial" w:hAnsi="Arial" w:cs="Arial"/>
                <w:b/>
                <w:bCs/>
              </w:rPr>
            </w:pPr>
            <w:r w:rsidRPr="00CB4CDE">
              <w:rPr>
                <w:rFonts w:ascii="Arial" w:hAnsi="Arial" w:cs="Arial"/>
                <w:b/>
                <w:bCs/>
              </w:rPr>
              <w:lastRenderedPageBreak/>
              <w:t>PBP</w:t>
            </w:r>
          </w:p>
        </w:tc>
        <w:tc>
          <w:tcPr>
            <w:tcW w:w="0" w:type="auto"/>
            <w:noWrap/>
            <w:hideMark/>
          </w:tcPr>
          <w:p w14:paraId="71ADA384" w14:textId="77777777" w:rsidR="008C2B93" w:rsidRPr="00CB4CDE" w:rsidRDefault="008C2B93">
            <w:pPr>
              <w:rPr>
                <w:rFonts w:ascii="Arial" w:hAnsi="Arial" w:cs="Arial"/>
              </w:rPr>
            </w:pPr>
            <w:r w:rsidRPr="00CB4CDE">
              <w:rPr>
                <w:rFonts w:ascii="Arial" w:hAnsi="Arial" w:cs="Arial"/>
              </w:rPr>
              <w:t>4.50 years</w:t>
            </w:r>
          </w:p>
        </w:tc>
        <w:tc>
          <w:tcPr>
            <w:tcW w:w="0" w:type="auto"/>
            <w:noWrap/>
            <w:hideMark/>
          </w:tcPr>
          <w:p w14:paraId="2D66FC16" w14:textId="77777777" w:rsidR="008C2B93" w:rsidRPr="00CB4CDE" w:rsidRDefault="008C2B93">
            <w:pPr>
              <w:rPr>
                <w:rFonts w:ascii="Arial" w:hAnsi="Arial" w:cs="Arial"/>
              </w:rPr>
            </w:pPr>
            <w:r w:rsidRPr="00CB4CDE">
              <w:rPr>
                <w:rFonts w:ascii="Arial" w:hAnsi="Arial" w:cs="Arial"/>
              </w:rPr>
              <w:t>4.55 years</w:t>
            </w:r>
          </w:p>
        </w:tc>
        <w:tc>
          <w:tcPr>
            <w:tcW w:w="0" w:type="auto"/>
            <w:noWrap/>
            <w:hideMark/>
          </w:tcPr>
          <w:p w14:paraId="62E198A7" w14:textId="77777777" w:rsidR="008C2B93" w:rsidRPr="00CB4CDE" w:rsidRDefault="008C2B93">
            <w:pPr>
              <w:rPr>
                <w:rFonts w:ascii="Arial" w:hAnsi="Arial" w:cs="Arial"/>
              </w:rPr>
            </w:pPr>
            <w:r w:rsidRPr="00CB4CDE">
              <w:rPr>
                <w:rFonts w:ascii="Arial" w:hAnsi="Arial" w:cs="Arial"/>
              </w:rPr>
              <w:t>3.60 years</w:t>
            </w:r>
          </w:p>
        </w:tc>
        <w:tc>
          <w:tcPr>
            <w:tcW w:w="0" w:type="auto"/>
            <w:noWrap/>
            <w:hideMark/>
          </w:tcPr>
          <w:p w14:paraId="03AA3582" w14:textId="77777777" w:rsidR="008C2B93" w:rsidRPr="00CB4CDE" w:rsidRDefault="008C2B93">
            <w:pPr>
              <w:rPr>
                <w:rFonts w:ascii="Arial" w:hAnsi="Arial" w:cs="Arial"/>
              </w:rPr>
            </w:pPr>
            <w:r w:rsidRPr="00CB4CDE">
              <w:rPr>
                <w:rFonts w:ascii="Arial" w:hAnsi="Arial" w:cs="Arial"/>
              </w:rPr>
              <w:t>C</w:t>
            </w:r>
          </w:p>
        </w:tc>
      </w:tr>
      <w:tr w:rsidR="008C2B93" w:rsidRPr="00CB4CDE" w14:paraId="3026B750" w14:textId="77777777" w:rsidTr="006E51E5">
        <w:trPr>
          <w:trHeight w:val="300"/>
          <w:jc w:val="center"/>
        </w:trPr>
        <w:tc>
          <w:tcPr>
            <w:tcW w:w="0" w:type="auto"/>
            <w:noWrap/>
            <w:hideMark/>
          </w:tcPr>
          <w:p w14:paraId="51E9D8A1" w14:textId="77777777" w:rsidR="008C2B93" w:rsidRPr="00CB4CDE" w:rsidRDefault="008C2B93">
            <w:pPr>
              <w:rPr>
                <w:rFonts w:ascii="Arial" w:hAnsi="Arial" w:cs="Arial"/>
                <w:b/>
                <w:bCs/>
              </w:rPr>
            </w:pPr>
            <w:r w:rsidRPr="00CB4CDE">
              <w:rPr>
                <w:rFonts w:ascii="Arial" w:hAnsi="Arial" w:cs="Arial"/>
                <w:b/>
                <w:bCs/>
              </w:rPr>
              <w:t>ARR</w:t>
            </w:r>
          </w:p>
        </w:tc>
        <w:tc>
          <w:tcPr>
            <w:tcW w:w="0" w:type="auto"/>
            <w:noWrap/>
            <w:hideMark/>
          </w:tcPr>
          <w:p w14:paraId="1328849D" w14:textId="77777777" w:rsidR="008C2B93" w:rsidRPr="00CB4CDE" w:rsidRDefault="008C2B93" w:rsidP="008C2B93">
            <w:pPr>
              <w:rPr>
                <w:rFonts w:ascii="Arial" w:hAnsi="Arial" w:cs="Arial"/>
              </w:rPr>
            </w:pPr>
            <w:r w:rsidRPr="00CB4CDE">
              <w:rPr>
                <w:rFonts w:ascii="Arial" w:hAnsi="Arial" w:cs="Arial"/>
              </w:rPr>
              <w:t>1.60%</w:t>
            </w:r>
          </w:p>
        </w:tc>
        <w:tc>
          <w:tcPr>
            <w:tcW w:w="0" w:type="auto"/>
            <w:noWrap/>
            <w:hideMark/>
          </w:tcPr>
          <w:p w14:paraId="147432A3" w14:textId="77777777" w:rsidR="008C2B93" w:rsidRPr="00CB4CDE" w:rsidRDefault="008C2B93" w:rsidP="008C2B93">
            <w:pPr>
              <w:rPr>
                <w:rFonts w:ascii="Arial" w:hAnsi="Arial" w:cs="Arial"/>
              </w:rPr>
            </w:pPr>
            <w:r w:rsidRPr="00CB4CDE">
              <w:rPr>
                <w:rFonts w:ascii="Arial" w:hAnsi="Arial" w:cs="Arial"/>
              </w:rPr>
              <w:t>2.00%</w:t>
            </w:r>
          </w:p>
        </w:tc>
        <w:tc>
          <w:tcPr>
            <w:tcW w:w="0" w:type="auto"/>
            <w:noWrap/>
            <w:hideMark/>
          </w:tcPr>
          <w:p w14:paraId="48C74226" w14:textId="77777777" w:rsidR="008C2B93" w:rsidRPr="00CB4CDE" w:rsidRDefault="008C2B93" w:rsidP="008C2B93">
            <w:pPr>
              <w:rPr>
                <w:rFonts w:ascii="Arial" w:hAnsi="Arial" w:cs="Arial"/>
              </w:rPr>
            </w:pPr>
            <w:r w:rsidRPr="00CB4CDE">
              <w:rPr>
                <w:rFonts w:ascii="Arial" w:hAnsi="Arial" w:cs="Arial"/>
              </w:rPr>
              <w:t>6.00%</w:t>
            </w:r>
          </w:p>
        </w:tc>
        <w:tc>
          <w:tcPr>
            <w:tcW w:w="0" w:type="auto"/>
            <w:noWrap/>
            <w:hideMark/>
          </w:tcPr>
          <w:p w14:paraId="1F4188B8" w14:textId="77777777" w:rsidR="008C2B93" w:rsidRPr="00CB4CDE" w:rsidRDefault="008C2B93" w:rsidP="008C2B93">
            <w:pPr>
              <w:rPr>
                <w:rFonts w:ascii="Arial" w:hAnsi="Arial" w:cs="Arial"/>
              </w:rPr>
            </w:pPr>
            <w:r w:rsidRPr="00CB4CDE">
              <w:rPr>
                <w:rFonts w:ascii="Arial" w:hAnsi="Arial" w:cs="Arial"/>
              </w:rPr>
              <w:t>C</w:t>
            </w:r>
          </w:p>
        </w:tc>
      </w:tr>
      <w:tr w:rsidR="008C2B93" w:rsidRPr="00CB4CDE" w14:paraId="6790C0C9" w14:textId="77777777" w:rsidTr="006E51E5">
        <w:trPr>
          <w:trHeight w:val="300"/>
          <w:jc w:val="center"/>
        </w:trPr>
        <w:tc>
          <w:tcPr>
            <w:tcW w:w="0" w:type="auto"/>
            <w:noWrap/>
            <w:hideMark/>
          </w:tcPr>
          <w:p w14:paraId="585341F1" w14:textId="77777777" w:rsidR="008C2B93" w:rsidRPr="00CB4CDE" w:rsidRDefault="008C2B93">
            <w:pPr>
              <w:rPr>
                <w:rFonts w:ascii="Arial" w:hAnsi="Arial" w:cs="Arial"/>
                <w:b/>
                <w:bCs/>
              </w:rPr>
            </w:pPr>
            <w:r w:rsidRPr="00CB4CDE">
              <w:rPr>
                <w:rFonts w:ascii="Arial" w:hAnsi="Arial" w:cs="Arial"/>
                <w:b/>
                <w:bCs/>
              </w:rPr>
              <w:t>NPV</w:t>
            </w:r>
          </w:p>
        </w:tc>
        <w:tc>
          <w:tcPr>
            <w:tcW w:w="0" w:type="auto"/>
            <w:noWrap/>
            <w:hideMark/>
          </w:tcPr>
          <w:p w14:paraId="0D159824" w14:textId="77777777" w:rsidR="008C2B93" w:rsidRPr="00CB4CDE" w:rsidRDefault="008C2B93">
            <w:pPr>
              <w:rPr>
                <w:rFonts w:ascii="Arial" w:hAnsi="Arial" w:cs="Arial"/>
              </w:rPr>
            </w:pPr>
            <w:r w:rsidRPr="00CB4CDE">
              <w:rPr>
                <w:rFonts w:ascii="Arial" w:hAnsi="Arial" w:cs="Arial"/>
              </w:rPr>
              <w:t>–£6.54m</w:t>
            </w:r>
          </w:p>
        </w:tc>
        <w:tc>
          <w:tcPr>
            <w:tcW w:w="0" w:type="auto"/>
            <w:noWrap/>
            <w:hideMark/>
          </w:tcPr>
          <w:p w14:paraId="107A4B89" w14:textId="77777777" w:rsidR="008C2B93" w:rsidRPr="00CB4CDE" w:rsidRDefault="008C2B93">
            <w:pPr>
              <w:rPr>
                <w:rFonts w:ascii="Arial" w:hAnsi="Arial" w:cs="Arial"/>
              </w:rPr>
            </w:pPr>
            <w:r w:rsidRPr="00CB4CDE">
              <w:rPr>
                <w:rFonts w:ascii="Arial" w:hAnsi="Arial" w:cs="Arial"/>
              </w:rPr>
              <w:t>–£6.08m</w:t>
            </w:r>
          </w:p>
        </w:tc>
        <w:tc>
          <w:tcPr>
            <w:tcW w:w="0" w:type="auto"/>
            <w:noWrap/>
            <w:hideMark/>
          </w:tcPr>
          <w:p w14:paraId="3EB091EC" w14:textId="77777777" w:rsidR="008C2B93" w:rsidRPr="00CB4CDE" w:rsidRDefault="008C2B93">
            <w:pPr>
              <w:rPr>
                <w:rFonts w:ascii="Arial" w:hAnsi="Arial" w:cs="Arial"/>
              </w:rPr>
            </w:pPr>
            <w:r w:rsidRPr="00CB4CDE">
              <w:rPr>
                <w:rFonts w:ascii="Arial" w:hAnsi="Arial" w:cs="Arial"/>
              </w:rPr>
              <w:t>£0.86m</w:t>
            </w:r>
          </w:p>
        </w:tc>
        <w:tc>
          <w:tcPr>
            <w:tcW w:w="0" w:type="auto"/>
            <w:noWrap/>
            <w:hideMark/>
          </w:tcPr>
          <w:p w14:paraId="16DAEBB2" w14:textId="77777777" w:rsidR="008C2B93" w:rsidRPr="00CB4CDE" w:rsidRDefault="008C2B93">
            <w:pPr>
              <w:rPr>
                <w:rFonts w:ascii="Arial" w:hAnsi="Arial" w:cs="Arial"/>
              </w:rPr>
            </w:pPr>
            <w:r w:rsidRPr="00CB4CDE">
              <w:rPr>
                <w:rFonts w:ascii="Arial" w:hAnsi="Arial" w:cs="Arial"/>
              </w:rPr>
              <w:t>C</w:t>
            </w:r>
          </w:p>
        </w:tc>
      </w:tr>
      <w:tr w:rsidR="008C2B93" w:rsidRPr="00CB4CDE" w14:paraId="75C25607" w14:textId="77777777" w:rsidTr="006E51E5">
        <w:trPr>
          <w:trHeight w:val="300"/>
          <w:jc w:val="center"/>
        </w:trPr>
        <w:tc>
          <w:tcPr>
            <w:tcW w:w="0" w:type="auto"/>
            <w:noWrap/>
            <w:hideMark/>
          </w:tcPr>
          <w:p w14:paraId="3740D6E8" w14:textId="77777777" w:rsidR="008C2B93" w:rsidRPr="00CB4CDE" w:rsidRDefault="008C2B93">
            <w:pPr>
              <w:rPr>
                <w:rFonts w:ascii="Arial" w:hAnsi="Arial" w:cs="Arial"/>
                <w:b/>
                <w:bCs/>
              </w:rPr>
            </w:pPr>
            <w:r w:rsidRPr="00CB4CDE">
              <w:rPr>
                <w:rFonts w:ascii="Arial" w:hAnsi="Arial" w:cs="Arial"/>
                <w:b/>
                <w:bCs/>
              </w:rPr>
              <w:t>PI</w:t>
            </w:r>
          </w:p>
        </w:tc>
        <w:tc>
          <w:tcPr>
            <w:tcW w:w="0" w:type="auto"/>
            <w:noWrap/>
            <w:hideMark/>
          </w:tcPr>
          <w:p w14:paraId="4D814DBC" w14:textId="77777777" w:rsidR="008C2B93" w:rsidRPr="00CB4CDE" w:rsidRDefault="008C2B93" w:rsidP="008C2B93">
            <w:pPr>
              <w:rPr>
                <w:rFonts w:ascii="Arial" w:hAnsi="Arial" w:cs="Arial"/>
              </w:rPr>
            </w:pPr>
            <w:r w:rsidRPr="00CB4CDE">
              <w:rPr>
                <w:rFonts w:ascii="Arial" w:hAnsi="Arial" w:cs="Arial"/>
              </w:rPr>
              <w:t>0.869</w:t>
            </w:r>
          </w:p>
        </w:tc>
        <w:tc>
          <w:tcPr>
            <w:tcW w:w="0" w:type="auto"/>
            <w:noWrap/>
            <w:hideMark/>
          </w:tcPr>
          <w:p w14:paraId="748FFBC3" w14:textId="77777777" w:rsidR="008C2B93" w:rsidRPr="00CB4CDE" w:rsidRDefault="008C2B93" w:rsidP="008C2B93">
            <w:pPr>
              <w:rPr>
                <w:rFonts w:ascii="Arial" w:hAnsi="Arial" w:cs="Arial"/>
              </w:rPr>
            </w:pPr>
            <w:r w:rsidRPr="00CB4CDE">
              <w:rPr>
                <w:rFonts w:ascii="Arial" w:hAnsi="Arial" w:cs="Arial"/>
              </w:rPr>
              <w:t>0.878</w:t>
            </w:r>
          </w:p>
        </w:tc>
        <w:tc>
          <w:tcPr>
            <w:tcW w:w="0" w:type="auto"/>
            <w:noWrap/>
            <w:hideMark/>
          </w:tcPr>
          <w:p w14:paraId="52BA5935" w14:textId="77777777" w:rsidR="008C2B93" w:rsidRPr="00CB4CDE" w:rsidRDefault="008C2B93" w:rsidP="008C2B93">
            <w:pPr>
              <w:rPr>
                <w:rFonts w:ascii="Arial" w:hAnsi="Arial" w:cs="Arial"/>
              </w:rPr>
            </w:pPr>
            <w:r w:rsidRPr="00CB4CDE">
              <w:rPr>
                <w:rFonts w:ascii="Arial" w:hAnsi="Arial" w:cs="Arial"/>
              </w:rPr>
              <w:t>1.017</w:t>
            </w:r>
          </w:p>
        </w:tc>
        <w:tc>
          <w:tcPr>
            <w:tcW w:w="0" w:type="auto"/>
            <w:noWrap/>
            <w:hideMark/>
          </w:tcPr>
          <w:p w14:paraId="51FD1959" w14:textId="77777777" w:rsidR="008C2B93" w:rsidRPr="00CB4CDE" w:rsidRDefault="008C2B93" w:rsidP="008C2B93">
            <w:pPr>
              <w:rPr>
                <w:rFonts w:ascii="Arial" w:hAnsi="Arial" w:cs="Arial"/>
              </w:rPr>
            </w:pPr>
            <w:r w:rsidRPr="00CB4CDE">
              <w:rPr>
                <w:rFonts w:ascii="Arial" w:hAnsi="Arial" w:cs="Arial"/>
              </w:rPr>
              <w:t>C</w:t>
            </w:r>
          </w:p>
        </w:tc>
      </w:tr>
      <w:tr w:rsidR="008C2B93" w:rsidRPr="00CB4CDE" w14:paraId="37B943AA" w14:textId="77777777" w:rsidTr="006E51E5">
        <w:trPr>
          <w:trHeight w:val="300"/>
          <w:jc w:val="center"/>
        </w:trPr>
        <w:tc>
          <w:tcPr>
            <w:tcW w:w="0" w:type="auto"/>
            <w:noWrap/>
            <w:hideMark/>
          </w:tcPr>
          <w:p w14:paraId="3B6B3D8F" w14:textId="77777777" w:rsidR="008C2B93" w:rsidRPr="00CB4CDE" w:rsidRDefault="008C2B93">
            <w:pPr>
              <w:rPr>
                <w:rFonts w:ascii="Arial" w:hAnsi="Arial" w:cs="Arial"/>
                <w:b/>
                <w:bCs/>
              </w:rPr>
            </w:pPr>
            <w:r w:rsidRPr="00CB4CDE">
              <w:rPr>
                <w:rFonts w:ascii="Arial" w:hAnsi="Arial" w:cs="Arial"/>
                <w:b/>
                <w:bCs/>
              </w:rPr>
              <w:t>IRR</w:t>
            </w:r>
          </w:p>
        </w:tc>
        <w:tc>
          <w:tcPr>
            <w:tcW w:w="0" w:type="auto"/>
            <w:noWrap/>
            <w:hideMark/>
          </w:tcPr>
          <w:p w14:paraId="1C2569E6" w14:textId="77777777" w:rsidR="008C2B93" w:rsidRPr="00CB4CDE" w:rsidRDefault="008C2B93" w:rsidP="008C2B93">
            <w:pPr>
              <w:rPr>
                <w:rFonts w:ascii="Arial" w:hAnsi="Arial" w:cs="Arial"/>
              </w:rPr>
            </w:pPr>
            <w:r w:rsidRPr="00CB4CDE">
              <w:rPr>
                <w:rFonts w:ascii="Arial" w:hAnsi="Arial" w:cs="Arial"/>
              </w:rPr>
              <w:t>2.74%</w:t>
            </w:r>
          </w:p>
        </w:tc>
        <w:tc>
          <w:tcPr>
            <w:tcW w:w="0" w:type="auto"/>
            <w:noWrap/>
            <w:hideMark/>
          </w:tcPr>
          <w:p w14:paraId="625C52F3" w14:textId="77777777" w:rsidR="008C2B93" w:rsidRPr="00CB4CDE" w:rsidRDefault="008C2B93" w:rsidP="008C2B93">
            <w:pPr>
              <w:rPr>
                <w:rFonts w:ascii="Arial" w:hAnsi="Arial" w:cs="Arial"/>
              </w:rPr>
            </w:pPr>
            <w:r w:rsidRPr="00CB4CDE">
              <w:rPr>
                <w:rFonts w:ascii="Arial" w:hAnsi="Arial" w:cs="Arial"/>
              </w:rPr>
              <w:t>3.28%</w:t>
            </w:r>
          </w:p>
        </w:tc>
        <w:tc>
          <w:tcPr>
            <w:tcW w:w="0" w:type="auto"/>
            <w:noWrap/>
            <w:hideMark/>
          </w:tcPr>
          <w:p w14:paraId="0AE72F8A" w14:textId="77777777" w:rsidR="008C2B93" w:rsidRPr="00CB4CDE" w:rsidRDefault="008C2B93" w:rsidP="008C2B93">
            <w:pPr>
              <w:rPr>
                <w:rFonts w:ascii="Arial" w:hAnsi="Arial" w:cs="Arial"/>
              </w:rPr>
            </w:pPr>
            <w:r w:rsidRPr="00CB4CDE">
              <w:rPr>
                <w:rFonts w:ascii="Arial" w:hAnsi="Arial" w:cs="Arial"/>
              </w:rPr>
              <w:t>8.60%</w:t>
            </w:r>
          </w:p>
        </w:tc>
        <w:tc>
          <w:tcPr>
            <w:tcW w:w="0" w:type="auto"/>
            <w:noWrap/>
            <w:hideMark/>
          </w:tcPr>
          <w:p w14:paraId="62176CE4" w14:textId="77777777" w:rsidR="008C2B93" w:rsidRPr="00CB4CDE" w:rsidRDefault="008C2B93" w:rsidP="008C2B93">
            <w:pPr>
              <w:rPr>
                <w:rFonts w:ascii="Arial" w:hAnsi="Arial" w:cs="Arial"/>
              </w:rPr>
            </w:pPr>
            <w:r w:rsidRPr="00CB4CDE">
              <w:rPr>
                <w:rFonts w:ascii="Arial" w:hAnsi="Arial" w:cs="Arial"/>
              </w:rPr>
              <w:t>C</w:t>
            </w:r>
          </w:p>
        </w:tc>
      </w:tr>
    </w:tbl>
    <w:p w14:paraId="7382992B" w14:textId="77D2A533" w:rsidR="008C2B93" w:rsidRPr="00CB4CDE" w:rsidRDefault="006822A5" w:rsidP="006822A5">
      <w:pPr>
        <w:jc w:val="center"/>
        <w:rPr>
          <w:rFonts w:ascii="Arial" w:hAnsi="Arial" w:cs="Arial"/>
          <w:lang w:val="en-GB"/>
        </w:rPr>
      </w:pPr>
      <w:r w:rsidRPr="00CB4CDE">
        <w:rPr>
          <w:rFonts w:ascii="Arial" w:hAnsi="Arial" w:cs="Arial"/>
          <w:b/>
          <w:bCs/>
          <w:lang w:val="en-GB"/>
        </w:rPr>
        <w:t>Data Source:</w:t>
      </w:r>
      <w:r w:rsidRPr="00CB4CDE">
        <w:rPr>
          <w:rFonts w:ascii="Arial" w:hAnsi="Arial" w:cs="Arial"/>
          <w:lang w:val="en-GB"/>
        </w:rPr>
        <w:t xml:space="preserve"> Appendix</w:t>
      </w:r>
    </w:p>
    <w:p w14:paraId="1AD76FC5" w14:textId="12F08A61" w:rsidR="008C2B93" w:rsidRPr="00CB4CDE" w:rsidRDefault="00F87E66" w:rsidP="008C2B93">
      <w:pPr>
        <w:rPr>
          <w:rFonts w:ascii="Arial" w:hAnsi="Arial" w:cs="Arial"/>
          <w:lang w:val="en-GB"/>
        </w:rPr>
      </w:pPr>
      <w:r w:rsidRPr="00CB4CDE">
        <w:rPr>
          <w:rFonts w:ascii="Arial" w:hAnsi="Arial" w:cs="Arial"/>
          <w:lang w:val="en-GB"/>
        </w:rPr>
        <w:t>All five appraisal methods rank Project C first. It has the quickest recovery, maximum accounting profitability, only positive NPV, only PI exceeds one and only IRR exceeds the required return</w:t>
      </w:r>
      <w:r w:rsidR="00E74F85" w:rsidRPr="00CB4CDE">
        <w:rPr>
          <w:rFonts w:ascii="Arial" w:hAnsi="Arial" w:cs="Arial"/>
          <w:lang w:val="en-GB"/>
        </w:rPr>
        <w:t xml:space="preserve"> (Sinaga et al., 2023)</w:t>
      </w:r>
      <w:r w:rsidRPr="00CB4CDE">
        <w:rPr>
          <w:rFonts w:ascii="Arial" w:hAnsi="Arial" w:cs="Arial"/>
          <w:lang w:val="en-GB"/>
        </w:rPr>
        <w:t>.</w:t>
      </w:r>
    </w:p>
    <w:p w14:paraId="55E78A51" w14:textId="77777777" w:rsidR="008C2B93" w:rsidRPr="00CB4CDE" w:rsidRDefault="008C2B93" w:rsidP="008C2B93">
      <w:pPr>
        <w:rPr>
          <w:rFonts w:ascii="Arial" w:hAnsi="Arial" w:cs="Arial"/>
          <w:lang w:val="en-GB"/>
        </w:rPr>
      </w:pPr>
    </w:p>
    <w:p w14:paraId="2EB236A5" w14:textId="77777777" w:rsidR="008C2B93" w:rsidRPr="00CB4CDE" w:rsidRDefault="008C2B93" w:rsidP="008C2B93">
      <w:pPr>
        <w:rPr>
          <w:rFonts w:ascii="Arial" w:hAnsi="Arial" w:cs="Arial"/>
          <w:b/>
          <w:bCs/>
          <w:lang w:val="en-GB"/>
        </w:rPr>
      </w:pPr>
      <w:r w:rsidRPr="00CB4CDE">
        <w:rPr>
          <w:rFonts w:ascii="Arial" w:hAnsi="Arial" w:cs="Arial"/>
          <w:b/>
          <w:bCs/>
          <w:lang w:val="en-GB"/>
        </w:rPr>
        <w:t>4.8 Recommended Project</w:t>
      </w:r>
    </w:p>
    <w:p w14:paraId="44A08DB9" w14:textId="77777777" w:rsidR="007707C1" w:rsidRPr="00CB4CDE" w:rsidRDefault="007707C1" w:rsidP="007707C1">
      <w:pPr>
        <w:rPr>
          <w:rFonts w:ascii="Arial" w:hAnsi="Arial" w:cs="Arial"/>
          <w:lang w:val="en-GB"/>
        </w:rPr>
      </w:pPr>
      <w:r w:rsidRPr="00CB4CDE">
        <w:rPr>
          <w:rFonts w:ascii="Arial" w:hAnsi="Arial" w:cs="Arial"/>
          <w:lang w:val="en-GB"/>
        </w:rPr>
        <w:t>Project C should be accepted, while Projects A and B should be rejected.</w:t>
      </w:r>
    </w:p>
    <w:p w14:paraId="5E69D603" w14:textId="77777777" w:rsidR="007707C1" w:rsidRPr="00CB4CDE" w:rsidRDefault="007707C1" w:rsidP="007707C1">
      <w:pPr>
        <w:rPr>
          <w:rFonts w:ascii="Arial" w:hAnsi="Arial" w:cs="Arial"/>
          <w:lang w:val="en-GB"/>
        </w:rPr>
      </w:pPr>
      <w:r w:rsidRPr="00CB4CDE">
        <w:rPr>
          <w:rFonts w:ascii="Arial" w:hAnsi="Arial" w:cs="Arial"/>
          <w:lang w:val="en-GB"/>
        </w:rPr>
        <w:t>This suggestion is in line with the financial status of Hilton. The company achieved high operating cash flow and operating and net profit margin that were above benchmark. Nevertheless, Hilton also reported decreased liquidity, growing interest-paying debt, negative shareholders equity, and growing interest expense. It must therefore not invest in areas that do not pay back the necessary returns.</w:t>
      </w:r>
    </w:p>
    <w:p w14:paraId="1D4408D5" w14:textId="77777777" w:rsidR="007707C1" w:rsidRPr="00CB4CDE" w:rsidRDefault="007707C1" w:rsidP="007707C1">
      <w:pPr>
        <w:rPr>
          <w:rFonts w:ascii="Arial" w:hAnsi="Arial" w:cs="Arial"/>
          <w:lang w:val="en-GB"/>
        </w:rPr>
      </w:pPr>
      <w:r w:rsidRPr="00CB4CDE">
        <w:rPr>
          <w:rFonts w:ascii="Arial" w:hAnsi="Arial" w:cs="Arial"/>
          <w:lang w:val="en-GB"/>
        </w:rPr>
        <w:t>The shorter payback of project C is desirable in that it minimizes the liquidity risk whereas positive NPV implies direct shareholder-value generation. Projects A and B would consume limited capital and decrease the firm value. The alternative would be inconsistent with the need of Hilton to build its balance sheet and spend internally-generated funds more selectively.</w:t>
      </w:r>
    </w:p>
    <w:p w14:paraId="5613A1C1" w14:textId="77777777" w:rsidR="007707C1" w:rsidRPr="00CB4CDE" w:rsidRDefault="007707C1" w:rsidP="007707C1">
      <w:pPr>
        <w:rPr>
          <w:rFonts w:ascii="Arial" w:hAnsi="Arial" w:cs="Arial"/>
          <w:lang w:val="en-GB"/>
        </w:rPr>
      </w:pPr>
      <w:r w:rsidRPr="00CB4CDE">
        <w:rPr>
          <w:rFonts w:ascii="Arial" w:hAnsi="Arial" w:cs="Arial"/>
          <w:lang w:val="en-GB"/>
        </w:rPr>
        <w:t>Non-financial risks are crucial and should not be overlooked. The cash flows of Project C are highly concentrated in Years 3 and 4 and relies more on the demand forecasts over the medium-term. The realised returns may be lower due to political instability, taxation, licensing, and inflation and exchange-rate movements in case the investment is international. Hilton should hence favour a politically stable market and where feasible; align project cash flows and financing currencies.</w:t>
      </w:r>
    </w:p>
    <w:p w14:paraId="0A5423A6" w14:textId="5EDC9C92" w:rsidR="008C2B93" w:rsidRPr="00CB4CDE" w:rsidRDefault="007707C1" w:rsidP="007707C1">
      <w:pPr>
        <w:rPr>
          <w:rFonts w:ascii="Arial" w:hAnsi="Arial" w:cs="Arial"/>
          <w:lang w:val="en-GB"/>
        </w:rPr>
      </w:pPr>
      <w:r w:rsidRPr="00CB4CDE">
        <w:rPr>
          <w:rFonts w:ascii="Arial" w:hAnsi="Arial" w:cs="Arial"/>
          <w:lang w:val="en-GB"/>
        </w:rPr>
        <w:t xml:space="preserve">Viability is also affected by Customer Loyalty. The project is to reinforce the engagement of Hilton Honors, quality of service, uniformity of brand, and the digital customer experience. Short-term cash flow projects that undermine customer confidence or brand quality can hurt long-term franchise and management revenues. </w:t>
      </w:r>
      <w:r w:rsidRPr="00CB4CDE">
        <w:rPr>
          <w:rFonts w:ascii="Arial" w:hAnsi="Arial" w:cs="Arial"/>
          <w:lang w:val="en-GB"/>
        </w:rPr>
        <w:lastRenderedPageBreak/>
        <w:t>Before approval, regulatory, cybersecurity, ESG and execution risks should be assessed as well.</w:t>
      </w:r>
    </w:p>
    <w:p w14:paraId="58E83F2A" w14:textId="77777777" w:rsidR="008C2B93" w:rsidRPr="00CB4CDE" w:rsidRDefault="008C2B93" w:rsidP="008C2B93">
      <w:pPr>
        <w:rPr>
          <w:rFonts w:ascii="Arial" w:hAnsi="Arial" w:cs="Arial"/>
          <w:lang w:val="en-GB"/>
        </w:rPr>
      </w:pPr>
    </w:p>
    <w:p w14:paraId="60CC205F" w14:textId="77777777" w:rsidR="008C2B93" w:rsidRPr="00CB4CDE" w:rsidRDefault="008C2B93" w:rsidP="008C2B93">
      <w:pPr>
        <w:rPr>
          <w:rFonts w:ascii="Arial" w:hAnsi="Arial" w:cs="Arial"/>
          <w:b/>
          <w:bCs/>
          <w:lang w:val="en-GB"/>
        </w:rPr>
      </w:pPr>
      <w:r w:rsidRPr="00CB4CDE">
        <w:rPr>
          <w:rFonts w:ascii="Arial" w:hAnsi="Arial" w:cs="Arial"/>
          <w:b/>
          <w:bCs/>
          <w:lang w:val="en-GB"/>
        </w:rPr>
        <w:t>4.9 Capital Rationing Decision</w:t>
      </w:r>
    </w:p>
    <w:p w14:paraId="09598DAB" w14:textId="5F40CFBA" w:rsidR="008C2B93" w:rsidRPr="00CB4CDE" w:rsidRDefault="00DF4154" w:rsidP="008C2B93">
      <w:pPr>
        <w:rPr>
          <w:rFonts w:ascii="Arial" w:hAnsi="Arial" w:cs="Arial"/>
          <w:lang w:val="en-GB"/>
        </w:rPr>
      </w:pPr>
      <w:r w:rsidRPr="00CB4CDE">
        <w:rPr>
          <w:rFonts w:ascii="Arial" w:hAnsi="Arial" w:cs="Arial"/>
          <w:lang w:val="en-GB"/>
        </w:rPr>
        <w:t>Hilton would be able to invest two projects with a maximum of 100 million. The combinations that can be made are:</w:t>
      </w:r>
    </w:p>
    <w:p w14:paraId="6C2E63C7" w14:textId="6E7CD6BB" w:rsidR="00F357CE" w:rsidRPr="00CB4CDE" w:rsidRDefault="00F357CE" w:rsidP="00F357CE">
      <w:pPr>
        <w:pStyle w:val="Caption"/>
        <w:jc w:val="center"/>
        <w:rPr>
          <w:rFonts w:ascii="Arial" w:hAnsi="Arial" w:cs="Arial"/>
          <w:sz w:val="24"/>
          <w:szCs w:val="24"/>
          <w:lang w:val="en-GB"/>
        </w:rPr>
      </w:pPr>
      <w:bookmarkStart w:id="10" w:name="_Toc236928794"/>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0015369D" w:rsidRPr="00CB4CDE">
        <w:rPr>
          <w:rFonts w:ascii="Arial" w:hAnsi="Arial" w:cs="Arial"/>
          <w:b/>
          <w:bCs/>
          <w:noProof/>
          <w:sz w:val="24"/>
          <w:szCs w:val="24"/>
        </w:rPr>
        <w:t>4</w:t>
      </w:r>
      <w:r w:rsidRPr="00CB4CDE">
        <w:rPr>
          <w:rFonts w:ascii="Arial" w:hAnsi="Arial" w:cs="Arial"/>
          <w:b/>
          <w:bCs/>
          <w:sz w:val="24"/>
          <w:szCs w:val="24"/>
        </w:rPr>
        <w:fldChar w:fldCharType="end"/>
      </w:r>
      <w:r w:rsidRPr="00CB4CDE">
        <w:rPr>
          <w:rFonts w:ascii="Arial" w:hAnsi="Arial" w:cs="Arial"/>
          <w:b/>
          <w:bCs/>
          <w:sz w:val="24"/>
          <w:szCs w:val="24"/>
        </w:rPr>
        <w:t xml:space="preserve">: </w:t>
      </w:r>
      <w:r w:rsidRPr="00CB4CDE">
        <w:rPr>
          <w:rFonts w:ascii="Arial" w:hAnsi="Arial" w:cs="Arial"/>
          <w:sz w:val="24"/>
          <w:szCs w:val="24"/>
        </w:rPr>
        <w:t>Capital Rationing Decision</w:t>
      </w:r>
      <w:bookmarkEnd w:id="10"/>
    </w:p>
    <w:tbl>
      <w:tblPr>
        <w:tblStyle w:val="TableGrid"/>
        <w:tblW w:w="0" w:type="auto"/>
        <w:jc w:val="center"/>
        <w:tblLook w:val="04A0" w:firstRow="1" w:lastRow="0" w:firstColumn="1" w:lastColumn="0" w:noHBand="0" w:noVBand="1"/>
      </w:tblPr>
      <w:tblGrid>
        <w:gridCol w:w="1683"/>
        <w:gridCol w:w="1484"/>
        <w:gridCol w:w="1390"/>
      </w:tblGrid>
      <w:tr w:rsidR="008C2B93" w:rsidRPr="00CB4CDE" w14:paraId="57C2235A" w14:textId="77777777" w:rsidTr="006822A5">
        <w:trPr>
          <w:trHeight w:val="300"/>
          <w:jc w:val="center"/>
        </w:trPr>
        <w:tc>
          <w:tcPr>
            <w:tcW w:w="1563" w:type="dxa"/>
            <w:noWrap/>
            <w:hideMark/>
          </w:tcPr>
          <w:p w14:paraId="28DBB3F0" w14:textId="77777777" w:rsidR="008C2B93" w:rsidRPr="00CB4CDE" w:rsidRDefault="008C2B93" w:rsidP="008C2B93">
            <w:pPr>
              <w:rPr>
                <w:rFonts w:ascii="Arial" w:hAnsi="Arial" w:cs="Arial"/>
                <w:b/>
                <w:bCs/>
              </w:rPr>
            </w:pPr>
            <w:r w:rsidRPr="00CB4CDE">
              <w:rPr>
                <w:rFonts w:ascii="Arial" w:hAnsi="Arial" w:cs="Arial"/>
                <w:b/>
                <w:bCs/>
              </w:rPr>
              <w:t>Combination</w:t>
            </w:r>
          </w:p>
        </w:tc>
        <w:tc>
          <w:tcPr>
            <w:tcW w:w="1336" w:type="dxa"/>
            <w:noWrap/>
            <w:hideMark/>
          </w:tcPr>
          <w:p w14:paraId="0F92D28F" w14:textId="77777777" w:rsidR="008C2B93" w:rsidRPr="00CB4CDE" w:rsidRDefault="008C2B93">
            <w:pPr>
              <w:rPr>
                <w:rFonts w:ascii="Arial" w:hAnsi="Arial" w:cs="Arial"/>
                <w:b/>
                <w:bCs/>
              </w:rPr>
            </w:pPr>
            <w:r w:rsidRPr="00CB4CDE">
              <w:rPr>
                <w:rFonts w:ascii="Arial" w:hAnsi="Arial" w:cs="Arial"/>
                <w:b/>
                <w:bCs/>
              </w:rPr>
              <w:t>Total investment</w:t>
            </w:r>
          </w:p>
        </w:tc>
        <w:tc>
          <w:tcPr>
            <w:tcW w:w="1283" w:type="dxa"/>
            <w:noWrap/>
            <w:hideMark/>
          </w:tcPr>
          <w:p w14:paraId="0EA47FA9" w14:textId="77777777" w:rsidR="008C2B93" w:rsidRPr="00CB4CDE" w:rsidRDefault="008C2B93">
            <w:pPr>
              <w:rPr>
                <w:rFonts w:ascii="Arial" w:hAnsi="Arial" w:cs="Arial"/>
                <w:b/>
                <w:bCs/>
              </w:rPr>
            </w:pPr>
            <w:r w:rsidRPr="00CB4CDE">
              <w:rPr>
                <w:rFonts w:ascii="Arial" w:hAnsi="Arial" w:cs="Arial"/>
                <w:b/>
                <w:bCs/>
              </w:rPr>
              <w:t>Combined NPV</w:t>
            </w:r>
          </w:p>
        </w:tc>
      </w:tr>
      <w:tr w:rsidR="008C2B93" w:rsidRPr="00CB4CDE" w14:paraId="376805A8" w14:textId="77777777" w:rsidTr="006822A5">
        <w:trPr>
          <w:trHeight w:val="300"/>
          <w:jc w:val="center"/>
        </w:trPr>
        <w:tc>
          <w:tcPr>
            <w:tcW w:w="1563" w:type="dxa"/>
            <w:noWrap/>
            <w:hideMark/>
          </w:tcPr>
          <w:p w14:paraId="4DD30CEF" w14:textId="77777777" w:rsidR="008C2B93" w:rsidRPr="00CB4CDE" w:rsidRDefault="008C2B93">
            <w:pPr>
              <w:rPr>
                <w:rFonts w:ascii="Arial" w:hAnsi="Arial" w:cs="Arial"/>
              </w:rPr>
            </w:pPr>
            <w:r w:rsidRPr="00CB4CDE">
              <w:rPr>
                <w:rFonts w:ascii="Arial" w:hAnsi="Arial" w:cs="Arial"/>
              </w:rPr>
              <w:t>A + B</w:t>
            </w:r>
          </w:p>
        </w:tc>
        <w:tc>
          <w:tcPr>
            <w:tcW w:w="1336" w:type="dxa"/>
            <w:noWrap/>
            <w:hideMark/>
          </w:tcPr>
          <w:p w14:paraId="34A4137A" w14:textId="77777777" w:rsidR="008C2B93" w:rsidRPr="00CB4CDE" w:rsidRDefault="008C2B93">
            <w:pPr>
              <w:rPr>
                <w:rFonts w:ascii="Arial" w:hAnsi="Arial" w:cs="Arial"/>
              </w:rPr>
            </w:pPr>
            <w:r w:rsidRPr="00CB4CDE">
              <w:rPr>
                <w:rFonts w:ascii="Arial" w:hAnsi="Arial" w:cs="Arial"/>
              </w:rPr>
              <w:t>£100m</w:t>
            </w:r>
          </w:p>
        </w:tc>
        <w:tc>
          <w:tcPr>
            <w:tcW w:w="1283" w:type="dxa"/>
            <w:noWrap/>
            <w:hideMark/>
          </w:tcPr>
          <w:p w14:paraId="158C0351" w14:textId="77777777" w:rsidR="008C2B93" w:rsidRPr="00CB4CDE" w:rsidRDefault="008C2B93">
            <w:pPr>
              <w:rPr>
                <w:rFonts w:ascii="Arial" w:hAnsi="Arial" w:cs="Arial"/>
              </w:rPr>
            </w:pPr>
            <w:r w:rsidRPr="00CB4CDE">
              <w:rPr>
                <w:rFonts w:ascii="Arial" w:hAnsi="Arial" w:cs="Arial"/>
              </w:rPr>
              <w:t>–£12.62m</w:t>
            </w:r>
          </w:p>
        </w:tc>
      </w:tr>
      <w:tr w:rsidR="008C2B93" w:rsidRPr="00CB4CDE" w14:paraId="3A702943" w14:textId="77777777" w:rsidTr="006822A5">
        <w:trPr>
          <w:trHeight w:val="300"/>
          <w:jc w:val="center"/>
        </w:trPr>
        <w:tc>
          <w:tcPr>
            <w:tcW w:w="1563" w:type="dxa"/>
            <w:noWrap/>
            <w:hideMark/>
          </w:tcPr>
          <w:p w14:paraId="2CADBF98" w14:textId="77777777" w:rsidR="008C2B93" w:rsidRPr="00CB4CDE" w:rsidRDefault="008C2B93">
            <w:pPr>
              <w:rPr>
                <w:rFonts w:ascii="Arial" w:hAnsi="Arial" w:cs="Arial"/>
              </w:rPr>
            </w:pPr>
            <w:r w:rsidRPr="00CB4CDE">
              <w:rPr>
                <w:rFonts w:ascii="Arial" w:hAnsi="Arial" w:cs="Arial"/>
              </w:rPr>
              <w:t>A + C</w:t>
            </w:r>
          </w:p>
        </w:tc>
        <w:tc>
          <w:tcPr>
            <w:tcW w:w="1336" w:type="dxa"/>
            <w:noWrap/>
            <w:hideMark/>
          </w:tcPr>
          <w:p w14:paraId="209C0196" w14:textId="77777777" w:rsidR="008C2B93" w:rsidRPr="00CB4CDE" w:rsidRDefault="008C2B93">
            <w:pPr>
              <w:rPr>
                <w:rFonts w:ascii="Arial" w:hAnsi="Arial" w:cs="Arial"/>
              </w:rPr>
            </w:pPr>
            <w:r w:rsidRPr="00CB4CDE">
              <w:rPr>
                <w:rFonts w:ascii="Arial" w:hAnsi="Arial" w:cs="Arial"/>
              </w:rPr>
              <w:t>£100m</w:t>
            </w:r>
          </w:p>
        </w:tc>
        <w:tc>
          <w:tcPr>
            <w:tcW w:w="1283" w:type="dxa"/>
            <w:noWrap/>
            <w:hideMark/>
          </w:tcPr>
          <w:p w14:paraId="1BF5A964" w14:textId="77777777" w:rsidR="008C2B93" w:rsidRPr="00CB4CDE" w:rsidRDefault="008C2B93">
            <w:pPr>
              <w:rPr>
                <w:rFonts w:ascii="Arial" w:hAnsi="Arial" w:cs="Arial"/>
              </w:rPr>
            </w:pPr>
            <w:r w:rsidRPr="00CB4CDE">
              <w:rPr>
                <w:rFonts w:ascii="Arial" w:hAnsi="Arial" w:cs="Arial"/>
              </w:rPr>
              <w:t>–£5.68m</w:t>
            </w:r>
          </w:p>
        </w:tc>
      </w:tr>
      <w:tr w:rsidR="008C2B93" w:rsidRPr="00CB4CDE" w14:paraId="507F985B" w14:textId="77777777" w:rsidTr="006822A5">
        <w:trPr>
          <w:trHeight w:val="300"/>
          <w:jc w:val="center"/>
        </w:trPr>
        <w:tc>
          <w:tcPr>
            <w:tcW w:w="1563" w:type="dxa"/>
            <w:noWrap/>
            <w:hideMark/>
          </w:tcPr>
          <w:p w14:paraId="7BEBB133" w14:textId="77777777" w:rsidR="008C2B93" w:rsidRPr="00CB4CDE" w:rsidRDefault="008C2B93">
            <w:pPr>
              <w:rPr>
                <w:rFonts w:ascii="Arial" w:hAnsi="Arial" w:cs="Arial"/>
              </w:rPr>
            </w:pPr>
            <w:r w:rsidRPr="00CB4CDE">
              <w:rPr>
                <w:rFonts w:ascii="Arial" w:hAnsi="Arial" w:cs="Arial"/>
              </w:rPr>
              <w:t>B + C</w:t>
            </w:r>
          </w:p>
        </w:tc>
        <w:tc>
          <w:tcPr>
            <w:tcW w:w="1336" w:type="dxa"/>
            <w:noWrap/>
            <w:hideMark/>
          </w:tcPr>
          <w:p w14:paraId="1BF9E4C5" w14:textId="77777777" w:rsidR="008C2B93" w:rsidRPr="00CB4CDE" w:rsidRDefault="008C2B93">
            <w:pPr>
              <w:rPr>
                <w:rFonts w:ascii="Arial" w:hAnsi="Arial" w:cs="Arial"/>
              </w:rPr>
            </w:pPr>
            <w:r w:rsidRPr="00CB4CDE">
              <w:rPr>
                <w:rFonts w:ascii="Arial" w:hAnsi="Arial" w:cs="Arial"/>
              </w:rPr>
              <w:t>£100m</w:t>
            </w:r>
          </w:p>
        </w:tc>
        <w:tc>
          <w:tcPr>
            <w:tcW w:w="1283" w:type="dxa"/>
            <w:noWrap/>
            <w:hideMark/>
          </w:tcPr>
          <w:p w14:paraId="5CCA1B21" w14:textId="77777777" w:rsidR="008C2B93" w:rsidRPr="00CB4CDE" w:rsidRDefault="008C2B93">
            <w:pPr>
              <w:rPr>
                <w:rFonts w:ascii="Arial" w:hAnsi="Arial" w:cs="Arial"/>
              </w:rPr>
            </w:pPr>
            <w:r w:rsidRPr="00CB4CDE">
              <w:rPr>
                <w:rFonts w:ascii="Arial" w:hAnsi="Arial" w:cs="Arial"/>
              </w:rPr>
              <w:t>–£5.22m</w:t>
            </w:r>
          </w:p>
        </w:tc>
      </w:tr>
    </w:tbl>
    <w:p w14:paraId="6DA117E9" w14:textId="77777777" w:rsidR="006822A5" w:rsidRPr="00CB4CDE" w:rsidRDefault="006822A5" w:rsidP="006822A5">
      <w:pPr>
        <w:jc w:val="center"/>
        <w:rPr>
          <w:rFonts w:ascii="Arial" w:hAnsi="Arial" w:cs="Arial"/>
          <w:lang w:val="en-GB"/>
        </w:rPr>
      </w:pPr>
      <w:r w:rsidRPr="00CB4CDE">
        <w:rPr>
          <w:rFonts w:ascii="Arial" w:hAnsi="Arial" w:cs="Arial"/>
          <w:b/>
          <w:bCs/>
          <w:lang w:val="en-GB"/>
        </w:rPr>
        <w:t>Data Source:</w:t>
      </w:r>
      <w:r w:rsidRPr="00CB4CDE">
        <w:rPr>
          <w:rFonts w:ascii="Arial" w:hAnsi="Arial" w:cs="Arial"/>
          <w:lang w:val="en-GB"/>
        </w:rPr>
        <w:t xml:space="preserve"> Appendix</w:t>
      </w:r>
    </w:p>
    <w:p w14:paraId="1F252EBB" w14:textId="1091A231" w:rsidR="00DF4154" w:rsidRPr="00CB4CDE" w:rsidRDefault="00DF4154" w:rsidP="00DF4154">
      <w:pPr>
        <w:rPr>
          <w:rFonts w:ascii="Arial" w:hAnsi="Arial" w:cs="Arial"/>
          <w:lang w:val="en-GB"/>
        </w:rPr>
      </w:pPr>
      <w:r w:rsidRPr="00CB4CDE">
        <w:rPr>
          <w:rFonts w:ascii="Arial" w:hAnsi="Arial" w:cs="Arial"/>
          <w:lang w:val="en-GB"/>
        </w:rPr>
        <w:t>B and C are the two project combinations that give the most combined NPV. Nevertheless, the net effect is negative and would decline about £5.22 million worth</w:t>
      </w:r>
      <w:r w:rsidR="00E74F85" w:rsidRPr="00CB4CDE">
        <w:rPr>
          <w:rFonts w:ascii="Arial" w:hAnsi="Arial" w:cs="Arial"/>
          <w:lang w:val="en-GB"/>
        </w:rPr>
        <w:t xml:space="preserve"> (Azlika et al., 2023)</w:t>
      </w:r>
      <w:r w:rsidRPr="00CB4CDE">
        <w:rPr>
          <w:rFonts w:ascii="Arial" w:hAnsi="Arial" w:cs="Arial"/>
          <w:lang w:val="en-GB"/>
        </w:rPr>
        <w:t>.</w:t>
      </w:r>
    </w:p>
    <w:p w14:paraId="3C09FCB0" w14:textId="28CFBD2B" w:rsidR="008C2B93" w:rsidRPr="00CB4CDE" w:rsidRDefault="00F70DE8" w:rsidP="00DF4154">
      <w:pPr>
        <w:rPr>
          <w:rFonts w:ascii="Arial" w:hAnsi="Arial" w:cs="Arial"/>
          <w:lang w:val="en-GB"/>
        </w:rPr>
      </w:pPr>
      <w:r w:rsidRPr="00CB4CDE">
        <w:rPr>
          <w:rFonts w:ascii="Arial" w:hAnsi="Arial" w:cs="Arial"/>
          <w:lang w:val="en-GB"/>
        </w:rPr>
        <w:t xml:space="preserve">The £100 million does not constitute an obligatory amount but a maximum amount of spending. Thus, the decision of the best capital-rationing is to invest in Project C only to the extent of </w:t>
      </w:r>
      <w:r w:rsidR="006A5A5B" w:rsidRPr="00CB4CDE">
        <w:rPr>
          <w:rFonts w:ascii="Arial" w:hAnsi="Arial" w:cs="Arial"/>
          <w:lang w:val="en-GB"/>
        </w:rPr>
        <w:t>£</w:t>
      </w:r>
      <w:r w:rsidRPr="00CB4CDE">
        <w:rPr>
          <w:rFonts w:ascii="Arial" w:hAnsi="Arial" w:cs="Arial"/>
          <w:lang w:val="en-GB"/>
        </w:rPr>
        <w:t>50 million. The rest of the £50 million should be held back to either enhance liquidity, decrease debt, or finance a future, positive-NPV opportunity. This is better than compelling a second investment just to deplete the budget at hand.</w:t>
      </w:r>
    </w:p>
    <w:p w14:paraId="662FC9AC" w14:textId="77777777" w:rsidR="008C2B93" w:rsidRPr="00CB4CDE" w:rsidRDefault="008C2B93" w:rsidP="008C2B93">
      <w:pPr>
        <w:rPr>
          <w:rFonts w:ascii="Arial" w:hAnsi="Arial" w:cs="Arial"/>
          <w:lang w:val="en-GB"/>
        </w:rPr>
      </w:pPr>
    </w:p>
    <w:p w14:paraId="5258AE3D" w14:textId="77777777" w:rsidR="008C2B93" w:rsidRPr="00CB4CDE" w:rsidRDefault="008C2B93" w:rsidP="008C2B93">
      <w:pPr>
        <w:rPr>
          <w:rFonts w:ascii="Arial" w:hAnsi="Arial" w:cs="Arial"/>
          <w:b/>
          <w:bCs/>
          <w:lang w:val="en-GB"/>
        </w:rPr>
      </w:pPr>
      <w:r w:rsidRPr="00CB4CDE">
        <w:rPr>
          <w:rFonts w:ascii="Arial" w:hAnsi="Arial" w:cs="Arial"/>
          <w:b/>
          <w:bCs/>
          <w:lang w:val="en-GB"/>
        </w:rPr>
        <w:t>4.10 Final Decision</w:t>
      </w:r>
    </w:p>
    <w:p w14:paraId="79B1F4B8" w14:textId="04186C41" w:rsidR="006E51E5" w:rsidRPr="00CB4CDE" w:rsidRDefault="00FF04EA" w:rsidP="008C2B93">
      <w:pPr>
        <w:rPr>
          <w:rFonts w:ascii="Arial" w:hAnsi="Arial" w:cs="Arial"/>
          <w:lang w:val="en-GB"/>
        </w:rPr>
      </w:pPr>
      <w:r w:rsidRPr="00CB4CDE">
        <w:rPr>
          <w:rFonts w:ascii="Arial" w:hAnsi="Arial" w:cs="Arial"/>
          <w:lang w:val="en-GB"/>
        </w:rPr>
        <w:t>Only project C is in line with rational capital investment and shareholder-wealth maximisation. It prevails in all five appraisal options and best suits the requirements of Hilton to strike a balance between growth and liquidity and leverage management. In capital rationing, it means that by choosing Project C, the financial flexibility is retained and the value destruction of Projects A and B is avoided.</w:t>
      </w:r>
    </w:p>
    <w:p w14:paraId="782FDC77" w14:textId="77777777" w:rsidR="006E51E5" w:rsidRPr="00CB4CDE" w:rsidRDefault="006E51E5" w:rsidP="008C2B93">
      <w:pPr>
        <w:rPr>
          <w:rFonts w:ascii="Arial" w:hAnsi="Arial" w:cs="Arial"/>
          <w:lang w:val="en-GB"/>
        </w:rPr>
      </w:pPr>
    </w:p>
    <w:p w14:paraId="445A5A63" w14:textId="01B49697" w:rsidR="0097374C" w:rsidRPr="00CB4CDE" w:rsidRDefault="0097374C" w:rsidP="006A66BA">
      <w:pPr>
        <w:pStyle w:val="Heading2"/>
        <w:rPr>
          <w:rFonts w:ascii="Arial" w:hAnsi="Arial" w:cs="Arial"/>
        </w:rPr>
      </w:pPr>
      <w:bookmarkStart w:id="11" w:name="_Toc236928806"/>
      <w:r w:rsidRPr="00CB4CDE">
        <w:rPr>
          <w:rFonts w:ascii="Arial" w:hAnsi="Arial" w:cs="Arial"/>
        </w:rPr>
        <w:t>5. Critical Reflection on AI Usage</w:t>
      </w:r>
      <w:bookmarkEnd w:id="11"/>
    </w:p>
    <w:p w14:paraId="7685657F" w14:textId="77777777" w:rsidR="007D56CC" w:rsidRPr="00CB4CDE" w:rsidRDefault="007D56CC" w:rsidP="007D56CC">
      <w:pPr>
        <w:rPr>
          <w:rFonts w:ascii="Arial" w:hAnsi="Arial" w:cs="Arial"/>
          <w:lang w:val="en-GB"/>
        </w:rPr>
      </w:pPr>
      <w:r w:rsidRPr="00CB4CDE">
        <w:rPr>
          <w:rFonts w:ascii="Arial" w:hAnsi="Arial" w:cs="Arial"/>
          <w:lang w:val="en-GB"/>
        </w:rPr>
        <w:t xml:space="preserve">The usage of Artificial Intelligence was within the boundaries allowed by the assessment guidelines. ChatGPT aided research and data analysis by explaining financial-management concepts, describing ratio methodologies, finding problems that </w:t>
      </w:r>
      <w:r w:rsidRPr="00CB4CDE">
        <w:rPr>
          <w:rFonts w:ascii="Arial" w:hAnsi="Arial" w:cs="Arial"/>
          <w:lang w:val="en-GB"/>
        </w:rPr>
        <w:lastRenderedPageBreak/>
        <w:t>needed more research, and testing the consistency of interpretations. It was also applicable in proofreading to spot grammatical mistakes, make better sense of sentences and recommend restatement of the sentences once the substantive part was done. The calculation and verification of ratios and investment-appraisal results were performed using Microsoft Excel without considering it as a generative AI tool. The report structure, the generation of headings, text to submit, and code were not designed using AI. This application is registered in the AI-use acknowledgement to enhance transparency.</w:t>
      </w:r>
    </w:p>
    <w:p w14:paraId="1879FB8D" w14:textId="1D3686AE" w:rsidR="007D56CC" w:rsidRPr="00CB4CDE" w:rsidRDefault="007D56CC" w:rsidP="007D56CC">
      <w:pPr>
        <w:rPr>
          <w:rFonts w:ascii="Arial" w:hAnsi="Arial" w:cs="Arial"/>
          <w:lang w:val="en-GB"/>
        </w:rPr>
      </w:pPr>
      <w:r w:rsidRPr="00CB4CDE">
        <w:rPr>
          <w:rFonts w:ascii="Arial" w:hAnsi="Arial" w:cs="Arial"/>
          <w:lang w:val="en-GB"/>
        </w:rPr>
        <w:t xml:space="preserve">Outputs of AI were considered as tentative and not official. The financial numbers were compared to those of Hilton Worldwide Holdings Inc. annual reports, and calculations were made in Excel with the help of appropriate formulas. This assessment exercise revealed some plausible yet inappropriate recommendations. To illustrate the point the total liabilities were first taken as a potential debt measure but the </w:t>
      </w:r>
      <w:r w:rsidR="00C77B98" w:rsidRPr="00CB4CDE">
        <w:rPr>
          <w:rFonts w:ascii="Arial" w:hAnsi="Arial" w:cs="Arial"/>
          <w:lang w:val="en-GB"/>
        </w:rPr>
        <w:t>debt-to-equity</w:t>
      </w:r>
      <w:r w:rsidRPr="00CB4CDE">
        <w:rPr>
          <w:rFonts w:ascii="Arial" w:hAnsi="Arial" w:cs="Arial"/>
          <w:lang w:val="en-GB"/>
        </w:rPr>
        <w:t xml:space="preserve"> ratio was made right to take into account only the current maturities of long-term debt and long-term borrowings. On the same note, AI proposed that Days Payable Outstanding could be computed, but Hilton does not provide purchases or conventional cost of sales separately. The result would have been distorted with the use of total operating expenses since it includes labour, depreciation, technology and marketing. This calculation was thus omitted and this limitation clarified. These cases demonstrated that AI is able to come up with confident interpretations without using the right accounting definition or recognising disclosure limitations.</w:t>
      </w:r>
    </w:p>
    <w:p w14:paraId="3630604D" w14:textId="77777777" w:rsidR="006260A7" w:rsidRPr="00CB4CDE" w:rsidRDefault="007D56CC" w:rsidP="006260A7">
      <w:pPr>
        <w:rPr>
          <w:rFonts w:ascii="Arial" w:hAnsi="Arial" w:cs="Arial"/>
          <w:lang w:val="en-GB"/>
        </w:rPr>
      </w:pPr>
      <w:r w:rsidRPr="00CB4CDE">
        <w:rPr>
          <w:rFonts w:ascii="Arial" w:hAnsi="Arial" w:cs="Arial"/>
          <w:lang w:val="en-GB"/>
        </w:rPr>
        <w:t xml:space="preserve">My input was still different to the AI assistance that was allowed. I chose Hilton and the 20212025 period, retrieved and structured the financial information, figured out the structure of the report, developed the written discussion, and handled the calculations. I also determined benchmark comparability, interpreted relationship between profitability, liquidity, leverage, and cash generation and drew the final strategic recommendations. These comprised gradual de-leveraging, enhanced working-capital controls, and Project C being chosen as the subject of capital rationing. </w:t>
      </w:r>
      <w:r w:rsidR="006260A7" w:rsidRPr="00CB4CDE">
        <w:rPr>
          <w:rFonts w:ascii="Arial" w:hAnsi="Arial" w:cs="Arial"/>
          <w:lang w:val="en-GB"/>
        </w:rPr>
        <w:t>AI was only helpful in carrying out research on the background, conceptualization, analysis, and proofreading, whereas synthesis, argumentation and the wording were done by me.</w:t>
      </w:r>
    </w:p>
    <w:p w14:paraId="794A7918" w14:textId="721A10D0" w:rsidR="003A7F9A" w:rsidRPr="00CB4CDE" w:rsidRDefault="006260A7" w:rsidP="006260A7">
      <w:pPr>
        <w:rPr>
          <w:rFonts w:ascii="Arial" w:hAnsi="Arial" w:cs="Arial"/>
          <w:lang w:val="en-GB"/>
        </w:rPr>
      </w:pPr>
      <w:r w:rsidRPr="00CB4CDE">
        <w:rPr>
          <w:rFonts w:ascii="Arial" w:hAnsi="Arial" w:cs="Arial"/>
          <w:lang w:val="en-GB"/>
        </w:rPr>
        <w:t xml:space="preserve">The ethical concerns associated with the practice of use of AI in finance are highly important. The issue of transparency is important as the concealed usage of the tool can make it pose as an author of the paper. Confidentiality of data is another aspect that should be considered in that confidential data belonging to the firm, its employees, </w:t>
      </w:r>
      <w:r w:rsidRPr="00CB4CDE">
        <w:rPr>
          <w:rFonts w:ascii="Arial" w:hAnsi="Arial" w:cs="Arial"/>
          <w:lang w:val="en-GB"/>
        </w:rPr>
        <w:lastRenderedPageBreak/>
        <w:t xml:space="preserve">customers or shareholders should not be obtained by external AI tools. </w:t>
      </w:r>
      <w:r w:rsidR="007D56CC" w:rsidRPr="00CB4CDE">
        <w:rPr>
          <w:rFonts w:ascii="Arial" w:hAnsi="Arial" w:cs="Arial"/>
          <w:lang w:val="en-GB"/>
        </w:rPr>
        <w:t>Financial professionals should hence confirm evidence, exercise professional scepticism, keep audit trail and be answerable to consequences to stakeholders. AI must be used as a research, analytical and proofreading aid and not as a replacement of independent writing and professional judgement, governance and executive responsibility. This experience further enhanced my belief that the responsible use of AI needs well-articulated limits, high-quality primary evidence, recorded verification, and responsible human control. The next time working on financial matters I would put these controls in place prior to commencement of analysis itself and document all material corrections on their own.</w:t>
      </w:r>
    </w:p>
    <w:p w14:paraId="45EE5C04" w14:textId="77777777" w:rsidR="00CF434F" w:rsidRPr="00CB4CDE" w:rsidRDefault="00CF434F" w:rsidP="003A7F9A">
      <w:pPr>
        <w:rPr>
          <w:rFonts w:ascii="Arial" w:hAnsi="Arial" w:cs="Arial"/>
          <w:lang w:val="en-GB"/>
        </w:rPr>
      </w:pPr>
    </w:p>
    <w:p w14:paraId="571FF3C0" w14:textId="77777777" w:rsidR="0018230E" w:rsidRPr="00CB4CDE" w:rsidRDefault="0018230E">
      <w:pPr>
        <w:spacing w:after="160" w:line="278" w:lineRule="auto"/>
        <w:jc w:val="left"/>
        <w:rPr>
          <w:rFonts w:ascii="Arial" w:hAnsi="Arial" w:cs="Arial"/>
          <w:b/>
          <w:bCs/>
          <w:sz w:val="28"/>
          <w:szCs w:val="28"/>
          <w:lang w:val="en-GB"/>
        </w:rPr>
      </w:pPr>
      <w:r w:rsidRPr="00CB4CDE">
        <w:rPr>
          <w:rFonts w:ascii="Arial" w:hAnsi="Arial" w:cs="Arial"/>
          <w:lang w:val="en-GB"/>
        </w:rPr>
        <w:br w:type="page"/>
      </w:r>
    </w:p>
    <w:p w14:paraId="1328BDE5" w14:textId="764884EA" w:rsidR="0097374C" w:rsidRPr="00CB4CDE" w:rsidRDefault="0097374C" w:rsidP="0097374C">
      <w:pPr>
        <w:pStyle w:val="Heading1"/>
        <w:rPr>
          <w:rFonts w:ascii="Arial" w:hAnsi="Arial" w:cs="Arial"/>
          <w:lang w:val="en-GB"/>
        </w:rPr>
      </w:pPr>
      <w:bookmarkStart w:id="12" w:name="_Toc236928807"/>
      <w:r w:rsidRPr="00CB4CDE">
        <w:rPr>
          <w:rFonts w:ascii="Arial" w:hAnsi="Arial" w:cs="Arial"/>
          <w:lang w:val="en-GB"/>
        </w:rPr>
        <w:lastRenderedPageBreak/>
        <w:t>Conclusion</w:t>
      </w:r>
      <w:bookmarkEnd w:id="12"/>
    </w:p>
    <w:p w14:paraId="2708E162" w14:textId="641D5875" w:rsidR="004F49BA" w:rsidRPr="00CB4CDE" w:rsidRDefault="006A12A8" w:rsidP="004F49BA">
      <w:pPr>
        <w:rPr>
          <w:rFonts w:ascii="Arial" w:hAnsi="Arial" w:cs="Arial"/>
          <w:lang w:val="en-GB"/>
        </w:rPr>
      </w:pPr>
      <w:r w:rsidRPr="00CB4CDE">
        <w:rPr>
          <w:rFonts w:ascii="Arial" w:hAnsi="Arial" w:cs="Arial"/>
          <w:lang w:val="en-GB"/>
        </w:rPr>
        <w:t>The financial results of Hilton have improved substantially during the period 2021-25 with the help of high growth in revenues, above-average profitability, better utilisation of assets and high operating cash generation. However, the diminishing liquidity, growing interest-bearing debt, growing finance costs and negative accumulating shareholders equity shows that operational improvement was not accompanied by similar balance-sheet strength. The working capital analysis revealed that there was better receivables collection but full conversion cycle of cash could not be determined since inventory, purchases and cost of sales were not reported separately. The suggested reorganisation plan thus focuses on step-by-step deleveraging, refinancing, selective share buybacks and targeted asset sales. Project C is the only project that was found to generate shareholder value by investment appraisal, and capital rationing supports the choice of that project instead of spending the entire budget of £100 million. In general, Hilton is operationally healthy but financially geared and needs a tight liquidity management, capital allocation and governance to continue long-term growth and shareholder value.</w:t>
      </w:r>
    </w:p>
    <w:p w14:paraId="37F3C571" w14:textId="77777777" w:rsidR="00101D52" w:rsidRPr="00CB4CDE" w:rsidRDefault="00101D52" w:rsidP="00101D52">
      <w:pPr>
        <w:rPr>
          <w:rFonts w:ascii="Arial" w:hAnsi="Arial" w:cs="Arial"/>
          <w:lang w:val="en-GB"/>
        </w:rPr>
      </w:pPr>
    </w:p>
    <w:p w14:paraId="6EBCFD5D" w14:textId="77777777" w:rsidR="00AF0CA3" w:rsidRPr="00CB4CDE" w:rsidRDefault="00AF0CA3" w:rsidP="00AF0CA3">
      <w:pPr>
        <w:rPr>
          <w:rFonts w:ascii="Arial" w:hAnsi="Arial" w:cs="Arial"/>
          <w:lang w:val="en-GB"/>
        </w:rPr>
      </w:pPr>
    </w:p>
    <w:p w14:paraId="5FABA370" w14:textId="77777777" w:rsidR="000D7F94" w:rsidRPr="00CB4CDE" w:rsidRDefault="000D7F94" w:rsidP="000D7F94">
      <w:pPr>
        <w:rPr>
          <w:rFonts w:ascii="Arial" w:hAnsi="Arial" w:cs="Arial"/>
          <w:lang w:val="en-GB"/>
        </w:rPr>
      </w:pPr>
    </w:p>
    <w:p w14:paraId="465AA14B" w14:textId="77777777" w:rsidR="00E34DAB" w:rsidRPr="00CB4CDE" w:rsidRDefault="00E34DAB">
      <w:pPr>
        <w:spacing w:after="160" w:line="278" w:lineRule="auto"/>
        <w:jc w:val="left"/>
        <w:rPr>
          <w:rFonts w:ascii="Arial" w:hAnsi="Arial" w:cs="Arial"/>
          <w:b/>
          <w:bCs/>
          <w:sz w:val="28"/>
          <w:szCs w:val="28"/>
        </w:rPr>
      </w:pPr>
      <w:r w:rsidRPr="00CB4CDE">
        <w:rPr>
          <w:rFonts w:ascii="Arial" w:hAnsi="Arial" w:cs="Arial"/>
        </w:rPr>
        <w:br w:type="page"/>
      </w:r>
    </w:p>
    <w:p w14:paraId="5CA3DA1C" w14:textId="6EAB8D5A" w:rsidR="000D7F94" w:rsidRPr="00CB4CDE" w:rsidRDefault="000D7F94" w:rsidP="000D7F94">
      <w:pPr>
        <w:pStyle w:val="Heading1"/>
        <w:rPr>
          <w:rFonts w:ascii="Arial" w:hAnsi="Arial" w:cs="Arial"/>
        </w:rPr>
      </w:pPr>
      <w:bookmarkStart w:id="13" w:name="_Toc236928808"/>
      <w:r w:rsidRPr="00CB4CDE">
        <w:rPr>
          <w:rFonts w:ascii="Arial" w:hAnsi="Arial" w:cs="Arial"/>
        </w:rPr>
        <w:lastRenderedPageBreak/>
        <w:t>References</w:t>
      </w:r>
      <w:bookmarkEnd w:id="13"/>
    </w:p>
    <w:p w14:paraId="5183EB8D" w14:textId="77777777" w:rsidR="00E74F85" w:rsidRPr="00CB4CDE" w:rsidRDefault="00E74F85" w:rsidP="00E74F85">
      <w:pPr>
        <w:spacing w:line="240" w:lineRule="auto"/>
        <w:ind w:left="720" w:hanging="720"/>
        <w:rPr>
          <w:rFonts w:ascii="Arial" w:hAnsi="Arial" w:cs="Arial"/>
        </w:rPr>
      </w:pPr>
      <w:r w:rsidRPr="00CB4CDE">
        <w:rPr>
          <w:rFonts w:ascii="Arial" w:hAnsi="Arial" w:cs="Arial"/>
        </w:rPr>
        <w:t xml:space="preserve">Atrill, P. (2019). </w:t>
      </w:r>
      <w:r w:rsidRPr="00CB4CDE">
        <w:rPr>
          <w:rFonts w:ascii="Arial" w:hAnsi="Arial" w:cs="Arial"/>
          <w:i/>
          <w:iCs/>
        </w:rPr>
        <w:t>Financial management for decision makers</w:t>
      </w:r>
      <w:r w:rsidRPr="00CB4CDE">
        <w:rPr>
          <w:rFonts w:ascii="Arial" w:hAnsi="Arial" w:cs="Arial"/>
        </w:rPr>
        <w:t>. 9th ed. Harlow, England ; New York: Pearson.</w:t>
      </w:r>
    </w:p>
    <w:p w14:paraId="4CF050B2" w14:textId="7DF568E2" w:rsidR="00E74F85" w:rsidRPr="00CB4CDE" w:rsidRDefault="00E74F85" w:rsidP="00E74F85">
      <w:pPr>
        <w:spacing w:line="240" w:lineRule="auto"/>
        <w:ind w:left="720" w:hanging="720"/>
        <w:rPr>
          <w:rFonts w:ascii="Arial" w:hAnsi="Arial" w:cs="Arial"/>
        </w:rPr>
      </w:pPr>
      <w:r w:rsidRPr="00CB4CDE">
        <w:rPr>
          <w:rFonts w:ascii="Arial" w:hAnsi="Arial" w:cs="Arial"/>
        </w:rPr>
        <w:t xml:space="preserve">Azlika, S.A., Diana, K., Gumilang, M.A., Sihotang, E.M., Indrayani, Khaddafi, M. and Damsar (2023). The importance of capital budgeting in long term investment decision making. </w:t>
      </w:r>
      <w:r w:rsidRPr="00CB4CDE">
        <w:rPr>
          <w:rFonts w:ascii="Arial" w:hAnsi="Arial" w:cs="Arial"/>
          <w:i/>
          <w:iCs/>
        </w:rPr>
        <w:t>Journal of Accounting Research, Utility Finance and Digital Assets</w:t>
      </w:r>
      <w:r w:rsidRPr="00CB4CDE">
        <w:rPr>
          <w:rFonts w:ascii="Arial" w:hAnsi="Arial" w:cs="Arial"/>
        </w:rPr>
        <w:t xml:space="preserve">, [online] 1(4), pp.602–606. Available at: </w:t>
      </w:r>
      <w:hyperlink r:id="rId9" w:history="1">
        <w:r w:rsidR="00DE1481" w:rsidRPr="00CB4CDE">
          <w:rPr>
            <w:rStyle w:val="Hyperlink"/>
            <w:rFonts w:ascii="Arial" w:hAnsi="Arial" w:cs="Arial"/>
          </w:rPr>
          <w:t>https://jaruda.id/index.php/go/article/view/89</w:t>
        </w:r>
      </w:hyperlink>
      <w:r w:rsidRPr="00CB4CDE">
        <w:rPr>
          <w:rFonts w:ascii="Arial" w:hAnsi="Arial" w:cs="Arial"/>
        </w:rPr>
        <w:t>.</w:t>
      </w:r>
      <w:r w:rsidR="00DE1481" w:rsidRPr="00CB4CDE">
        <w:rPr>
          <w:rFonts w:ascii="Arial" w:hAnsi="Arial" w:cs="Arial"/>
        </w:rPr>
        <w:t xml:space="preserve"> </w:t>
      </w:r>
    </w:p>
    <w:p w14:paraId="3A5499A7" w14:textId="045CCDFE" w:rsidR="00E74F85" w:rsidRPr="00CB4CDE" w:rsidRDefault="00E74F85" w:rsidP="00E74F85">
      <w:pPr>
        <w:spacing w:line="240" w:lineRule="auto"/>
        <w:ind w:left="720" w:hanging="720"/>
        <w:rPr>
          <w:rFonts w:ascii="Arial" w:hAnsi="Arial" w:cs="Arial"/>
        </w:rPr>
      </w:pPr>
      <w:r w:rsidRPr="00CB4CDE">
        <w:rPr>
          <w:rFonts w:ascii="Arial" w:hAnsi="Arial" w:cs="Arial"/>
        </w:rPr>
        <w:t xml:space="preserve">Burkart, M. and Zhong, H. (2022). Equity issuance methods and dilution. </w:t>
      </w:r>
      <w:r w:rsidRPr="00CB4CDE">
        <w:rPr>
          <w:rFonts w:ascii="Arial" w:hAnsi="Arial" w:cs="Arial"/>
          <w:i/>
          <w:iCs/>
        </w:rPr>
        <w:t>The Review of Corporate Finance Studies</w:t>
      </w:r>
      <w:r w:rsidRPr="00CB4CDE">
        <w:rPr>
          <w:rFonts w:ascii="Arial" w:hAnsi="Arial" w:cs="Arial"/>
        </w:rPr>
        <w:t>, 12(1). doi:</w:t>
      </w:r>
      <w:r w:rsidR="0015554A" w:rsidRPr="00CB4CDE">
        <w:rPr>
          <w:rFonts w:ascii="Arial" w:hAnsi="Arial" w:cs="Arial"/>
        </w:rPr>
        <w:t xml:space="preserve"> </w:t>
      </w:r>
      <w:hyperlink r:id="rId10" w:history="1">
        <w:r w:rsidR="0015554A" w:rsidRPr="00CB4CDE">
          <w:rPr>
            <w:rStyle w:val="Hyperlink"/>
            <w:rFonts w:ascii="Arial" w:hAnsi="Arial" w:cs="Arial"/>
          </w:rPr>
          <w:t>https://doi.org/10.1093/rcfs/cfac029</w:t>
        </w:r>
      </w:hyperlink>
      <w:r w:rsidRPr="00CB4CDE">
        <w:rPr>
          <w:rFonts w:ascii="Arial" w:hAnsi="Arial" w:cs="Arial"/>
        </w:rPr>
        <w:t>.</w:t>
      </w:r>
      <w:r w:rsidR="0015554A" w:rsidRPr="00CB4CDE">
        <w:rPr>
          <w:rFonts w:ascii="Arial" w:hAnsi="Arial" w:cs="Arial"/>
        </w:rPr>
        <w:t xml:space="preserve"> </w:t>
      </w:r>
    </w:p>
    <w:p w14:paraId="5A975F1A" w14:textId="68B8E57D" w:rsidR="00E74F85" w:rsidRPr="00CB4CDE" w:rsidRDefault="00E74F85" w:rsidP="00E74F85">
      <w:pPr>
        <w:spacing w:line="240" w:lineRule="auto"/>
        <w:ind w:left="720" w:hanging="720"/>
        <w:rPr>
          <w:rFonts w:ascii="Arial" w:hAnsi="Arial" w:cs="Arial"/>
        </w:rPr>
      </w:pPr>
      <w:r w:rsidRPr="00CB4CDE">
        <w:rPr>
          <w:rFonts w:ascii="Arial" w:hAnsi="Arial" w:cs="Arial"/>
        </w:rPr>
        <w:t xml:space="preserve">Christine, A.F., Hakam, D.F., Nainggolan, Y.A., Wiryono, S.K. and Hakam, L.I. (2025). Environmental, social, and governance (ESG) impact on corporate financial strategy of energy and utilities companies worldwide. </w:t>
      </w:r>
      <w:r w:rsidRPr="00CB4CDE">
        <w:rPr>
          <w:rFonts w:ascii="Arial" w:hAnsi="Arial" w:cs="Arial"/>
          <w:i/>
          <w:iCs/>
        </w:rPr>
        <w:t>Energy Strategy Reviews</w:t>
      </w:r>
      <w:r w:rsidRPr="00CB4CDE">
        <w:rPr>
          <w:rFonts w:ascii="Arial" w:hAnsi="Arial" w:cs="Arial"/>
        </w:rPr>
        <w:t>, [online] 62, p.101916. doi:</w:t>
      </w:r>
      <w:r w:rsidR="00415E4A" w:rsidRPr="00CB4CDE">
        <w:rPr>
          <w:rFonts w:ascii="Arial" w:hAnsi="Arial" w:cs="Arial"/>
        </w:rPr>
        <w:t xml:space="preserve"> </w:t>
      </w:r>
      <w:hyperlink r:id="rId11" w:history="1">
        <w:r w:rsidR="00415E4A" w:rsidRPr="00CB4CDE">
          <w:rPr>
            <w:rStyle w:val="Hyperlink"/>
            <w:rFonts w:ascii="Arial" w:hAnsi="Arial" w:cs="Arial"/>
          </w:rPr>
          <w:t>https://doi.org/10.1016/j.esr.2025.101916</w:t>
        </w:r>
      </w:hyperlink>
      <w:r w:rsidRPr="00CB4CDE">
        <w:rPr>
          <w:rFonts w:ascii="Arial" w:hAnsi="Arial" w:cs="Arial"/>
        </w:rPr>
        <w:t>.</w:t>
      </w:r>
      <w:r w:rsidR="00415E4A" w:rsidRPr="00CB4CDE">
        <w:rPr>
          <w:rFonts w:ascii="Arial" w:hAnsi="Arial" w:cs="Arial"/>
        </w:rPr>
        <w:t xml:space="preserve"> </w:t>
      </w:r>
    </w:p>
    <w:p w14:paraId="7C285490" w14:textId="41421241" w:rsidR="00E74F85" w:rsidRPr="00CB4CDE" w:rsidRDefault="00E74F85" w:rsidP="00E74F85">
      <w:pPr>
        <w:spacing w:line="240" w:lineRule="auto"/>
        <w:ind w:left="720" w:hanging="720"/>
        <w:rPr>
          <w:rFonts w:ascii="Arial" w:hAnsi="Arial" w:cs="Arial"/>
        </w:rPr>
      </w:pPr>
      <w:r w:rsidRPr="00CB4CDE">
        <w:rPr>
          <w:rFonts w:ascii="Arial" w:hAnsi="Arial" w:cs="Arial"/>
        </w:rPr>
        <w:t xml:space="preserve">Duffin, D. and Gunawan, E. (2023). Liquidity ratio analysis in financing short term liabilities. </w:t>
      </w:r>
      <w:r w:rsidRPr="00CB4CDE">
        <w:rPr>
          <w:rFonts w:ascii="Arial" w:hAnsi="Arial" w:cs="Arial"/>
          <w:i/>
          <w:iCs/>
        </w:rPr>
        <w:t>International Journal of Health Economics and Social Sciences (IJHESS)</w:t>
      </w:r>
      <w:r w:rsidRPr="00CB4CDE">
        <w:rPr>
          <w:rFonts w:ascii="Arial" w:hAnsi="Arial" w:cs="Arial"/>
        </w:rPr>
        <w:t>, 5(2), pp.157–162. doi:</w:t>
      </w:r>
      <w:r w:rsidR="000D5256" w:rsidRPr="00CB4CDE">
        <w:rPr>
          <w:rFonts w:ascii="Arial" w:hAnsi="Arial" w:cs="Arial"/>
        </w:rPr>
        <w:t xml:space="preserve"> </w:t>
      </w:r>
      <w:hyperlink r:id="rId12" w:history="1">
        <w:r w:rsidR="000D5256" w:rsidRPr="00CB4CDE">
          <w:rPr>
            <w:rStyle w:val="Hyperlink"/>
            <w:rFonts w:ascii="Arial" w:hAnsi="Arial" w:cs="Arial"/>
          </w:rPr>
          <w:t>https://doi.org/10.56338/ijhess.v5i2.3611</w:t>
        </w:r>
      </w:hyperlink>
      <w:r w:rsidRPr="00CB4CDE">
        <w:rPr>
          <w:rFonts w:ascii="Arial" w:hAnsi="Arial" w:cs="Arial"/>
        </w:rPr>
        <w:t>.</w:t>
      </w:r>
      <w:r w:rsidR="000D5256" w:rsidRPr="00CB4CDE">
        <w:rPr>
          <w:rFonts w:ascii="Arial" w:hAnsi="Arial" w:cs="Arial"/>
        </w:rPr>
        <w:t xml:space="preserve"> </w:t>
      </w:r>
    </w:p>
    <w:p w14:paraId="32411CA3" w14:textId="110742DF" w:rsidR="00E74F85" w:rsidRPr="00CB4CDE" w:rsidRDefault="00E74F85" w:rsidP="00E74F85">
      <w:pPr>
        <w:spacing w:line="240" w:lineRule="auto"/>
        <w:ind w:left="720" w:hanging="720"/>
        <w:rPr>
          <w:rFonts w:ascii="Arial" w:hAnsi="Arial" w:cs="Arial"/>
        </w:rPr>
      </w:pPr>
      <w:r w:rsidRPr="00CB4CDE">
        <w:rPr>
          <w:rFonts w:ascii="Arial" w:hAnsi="Arial" w:cs="Arial"/>
        </w:rPr>
        <w:t xml:space="preserve">Eton, M., Mwosi, F., Ogwel, B.P. and Olupot, S.P. (2025). Working Capital Management, accounts receivable, and performance of small and medium enterprises (SMEs). </w:t>
      </w:r>
      <w:r w:rsidRPr="00CB4CDE">
        <w:rPr>
          <w:rFonts w:ascii="Arial" w:hAnsi="Arial" w:cs="Arial"/>
          <w:i/>
          <w:iCs/>
        </w:rPr>
        <w:t>International Journal of Financial Accounting and Management</w:t>
      </w:r>
      <w:r w:rsidRPr="00CB4CDE">
        <w:rPr>
          <w:rFonts w:ascii="Arial" w:hAnsi="Arial" w:cs="Arial"/>
        </w:rPr>
        <w:t>, [online] 7(3), pp.453–471. doi:</w:t>
      </w:r>
      <w:r w:rsidR="001A2970" w:rsidRPr="00CB4CDE">
        <w:rPr>
          <w:rFonts w:ascii="Arial" w:hAnsi="Arial" w:cs="Arial"/>
        </w:rPr>
        <w:t xml:space="preserve"> </w:t>
      </w:r>
      <w:hyperlink r:id="rId13" w:history="1">
        <w:r w:rsidR="001A2970" w:rsidRPr="00CB4CDE">
          <w:rPr>
            <w:rStyle w:val="Hyperlink"/>
            <w:rFonts w:ascii="Arial" w:hAnsi="Arial" w:cs="Arial"/>
          </w:rPr>
          <w:t>https://doi.org/10.35912/ijfam.v7i3.3371</w:t>
        </w:r>
      </w:hyperlink>
      <w:r w:rsidRPr="00CB4CDE">
        <w:rPr>
          <w:rFonts w:ascii="Arial" w:hAnsi="Arial" w:cs="Arial"/>
        </w:rPr>
        <w:t>.</w:t>
      </w:r>
      <w:r w:rsidR="001A2970" w:rsidRPr="00CB4CDE">
        <w:rPr>
          <w:rFonts w:ascii="Arial" w:hAnsi="Arial" w:cs="Arial"/>
        </w:rPr>
        <w:t xml:space="preserve"> </w:t>
      </w:r>
    </w:p>
    <w:p w14:paraId="06F46AAA" w14:textId="76908A15" w:rsidR="00E74F85" w:rsidRPr="00CB4CDE" w:rsidRDefault="00E74F85" w:rsidP="00E74F85">
      <w:pPr>
        <w:spacing w:line="240" w:lineRule="auto"/>
        <w:ind w:left="720" w:hanging="720"/>
        <w:rPr>
          <w:rFonts w:ascii="Arial" w:hAnsi="Arial" w:cs="Arial"/>
        </w:rPr>
      </w:pPr>
      <w:r w:rsidRPr="00CB4CDE">
        <w:rPr>
          <w:rFonts w:ascii="Arial" w:hAnsi="Arial" w:cs="Arial"/>
        </w:rPr>
        <w:t xml:space="preserve">Fan, J. (2025). Beyond NPV and IRR: An Integrated Capital Budgeting rule for real-world investment decisions. </w:t>
      </w:r>
      <w:r w:rsidRPr="00CB4CDE">
        <w:rPr>
          <w:rFonts w:ascii="Arial" w:hAnsi="Arial" w:cs="Arial"/>
          <w:i/>
          <w:iCs/>
        </w:rPr>
        <w:t>Transactions on Economics, Business and Management Research</w:t>
      </w:r>
      <w:r w:rsidRPr="00CB4CDE">
        <w:rPr>
          <w:rFonts w:ascii="Arial" w:hAnsi="Arial" w:cs="Arial"/>
        </w:rPr>
        <w:t>, [online] 16, pp.161–165. doi:</w:t>
      </w:r>
      <w:r w:rsidR="00935EA7" w:rsidRPr="00CB4CDE">
        <w:rPr>
          <w:rFonts w:ascii="Arial" w:hAnsi="Arial" w:cs="Arial"/>
        </w:rPr>
        <w:t xml:space="preserve"> </w:t>
      </w:r>
      <w:hyperlink r:id="rId14" w:history="1">
        <w:r w:rsidR="00935EA7" w:rsidRPr="00CB4CDE">
          <w:rPr>
            <w:rStyle w:val="Hyperlink"/>
            <w:rFonts w:ascii="Arial" w:hAnsi="Arial" w:cs="Arial"/>
          </w:rPr>
          <w:t>https://doi.org/10.62051/a4ybws71</w:t>
        </w:r>
      </w:hyperlink>
      <w:r w:rsidRPr="00CB4CDE">
        <w:rPr>
          <w:rFonts w:ascii="Arial" w:hAnsi="Arial" w:cs="Arial"/>
        </w:rPr>
        <w:t>.</w:t>
      </w:r>
      <w:r w:rsidR="00935EA7" w:rsidRPr="00CB4CDE">
        <w:rPr>
          <w:rFonts w:ascii="Arial" w:hAnsi="Arial" w:cs="Arial"/>
        </w:rPr>
        <w:t xml:space="preserve"> </w:t>
      </w:r>
    </w:p>
    <w:p w14:paraId="69ACC03D" w14:textId="1CB23F1A" w:rsidR="00E74F85" w:rsidRPr="00CB4CDE" w:rsidRDefault="00E74F85" w:rsidP="00E74F85">
      <w:pPr>
        <w:spacing w:line="240" w:lineRule="auto"/>
        <w:ind w:left="720" w:hanging="720"/>
        <w:rPr>
          <w:rFonts w:ascii="Arial" w:hAnsi="Arial" w:cs="Arial"/>
        </w:rPr>
      </w:pPr>
      <w:r w:rsidRPr="00CB4CDE">
        <w:rPr>
          <w:rFonts w:ascii="Arial" w:hAnsi="Arial" w:cs="Arial"/>
        </w:rPr>
        <w:t xml:space="preserve">Hayes, A. (2024). </w:t>
      </w:r>
      <w:r w:rsidRPr="00CB4CDE">
        <w:rPr>
          <w:rFonts w:ascii="Arial" w:hAnsi="Arial" w:cs="Arial"/>
          <w:i/>
          <w:iCs/>
        </w:rPr>
        <w:t>Cash conversion cycle - CCC</w:t>
      </w:r>
      <w:r w:rsidRPr="00CB4CDE">
        <w:rPr>
          <w:rFonts w:ascii="Arial" w:hAnsi="Arial" w:cs="Arial"/>
        </w:rPr>
        <w:t xml:space="preserve">. [online] </w:t>
      </w:r>
      <w:r w:rsidRPr="00CB4CDE">
        <w:rPr>
          <w:rFonts w:ascii="Arial" w:hAnsi="Arial" w:cs="Arial"/>
          <w:i/>
          <w:iCs/>
        </w:rPr>
        <w:t>Investopedia</w:t>
      </w:r>
      <w:r w:rsidRPr="00CB4CDE">
        <w:rPr>
          <w:rFonts w:ascii="Arial" w:hAnsi="Arial" w:cs="Arial"/>
        </w:rPr>
        <w:t xml:space="preserve">. Available at: </w:t>
      </w:r>
      <w:hyperlink r:id="rId15" w:history="1">
        <w:r w:rsidR="00DE753B" w:rsidRPr="00CB4CDE">
          <w:rPr>
            <w:rStyle w:val="Hyperlink"/>
            <w:rFonts w:ascii="Arial" w:hAnsi="Arial" w:cs="Arial"/>
          </w:rPr>
          <w:t>https://www.investopedia.com/terms/c/cashconversioncycle.asp</w:t>
        </w:r>
      </w:hyperlink>
      <w:r w:rsidRPr="00CB4CDE">
        <w:rPr>
          <w:rFonts w:ascii="Arial" w:hAnsi="Arial" w:cs="Arial"/>
        </w:rPr>
        <w:t>.</w:t>
      </w:r>
      <w:r w:rsidR="00DE753B" w:rsidRPr="00CB4CDE">
        <w:rPr>
          <w:rFonts w:ascii="Arial" w:hAnsi="Arial" w:cs="Arial"/>
        </w:rPr>
        <w:t xml:space="preserve"> </w:t>
      </w:r>
    </w:p>
    <w:p w14:paraId="2357E51D" w14:textId="79CFB7EA" w:rsidR="00E74F85" w:rsidRPr="00CB4CDE" w:rsidRDefault="00E74F85" w:rsidP="00E74F85">
      <w:pPr>
        <w:spacing w:line="240" w:lineRule="auto"/>
        <w:ind w:left="720" w:hanging="720"/>
        <w:rPr>
          <w:rFonts w:ascii="Arial" w:hAnsi="Arial" w:cs="Arial"/>
        </w:rPr>
      </w:pPr>
      <w:r w:rsidRPr="00CB4CDE">
        <w:rPr>
          <w:rFonts w:ascii="Arial" w:hAnsi="Arial" w:cs="Arial"/>
        </w:rPr>
        <w:t xml:space="preserve">Hilton (2025). </w:t>
      </w:r>
      <w:r w:rsidRPr="00CB4CDE">
        <w:rPr>
          <w:rFonts w:ascii="Arial" w:hAnsi="Arial" w:cs="Arial"/>
          <w:i/>
          <w:iCs/>
        </w:rPr>
        <w:t>Annual reports</w:t>
      </w:r>
      <w:r w:rsidRPr="00CB4CDE">
        <w:rPr>
          <w:rFonts w:ascii="Arial" w:hAnsi="Arial" w:cs="Arial"/>
        </w:rPr>
        <w:t xml:space="preserve">. [online] </w:t>
      </w:r>
      <w:r w:rsidRPr="00CB4CDE">
        <w:rPr>
          <w:rFonts w:ascii="Arial" w:hAnsi="Arial" w:cs="Arial"/>
          <w:i/>
          <w:iCs/>
        </w:rPr>
        <w:t>Hilton.com</w:t>
      </w:r>
      <w:r w:rsidRPr="00CB4CDE">
        <w:rPr>
          <w:rFonts w:ascii="Arial" w:hAnsi="Arial" w:cs="Arial"/>
        </w:rPr>
        <w:t xml:space="preserve">. Available at: </w:t>
      </w:r>
      <w:hyperlink r:id="rId16" w:history="1">
        <w:r w:rsidR="00366540" w:rsidRPr="00CB4CDE">
          <w:rPr>
            <w:rStyle w:val="Hyperlink"/>
            <w:rFonts w:ascii="Arial" w:hAnsi="Arial" w:cs="Arial"/>
          </w:rPr>
          <w:t>https://ir.hilton.com/financial-reporting/annual-reports</w:t>
        </w:r>
      </w:hyperlink>
      <w:r w:rsidRPr="00CB4CDE">
        <w:rPr>
          <w:rFonts w:ascii="Arial" w:hAnsi="Arial" w:cs="Arial"/>
        </w:rPr>
        <w:t>.</w:t>
      </w:r>
      <w:r w:rsidR="00366540" w:rsidRPr="00CB4CDE">
        <w:rPr>
          <w:rFonts w:ascii="Arial" w:hAnsi="Arial" w:cs="Arial"/>
        </w:rPr>
        <w:t xml:space="preserve"> </w:t>
      </w:r>
    </w:p>
    <w:p w14:paraId="7DFD5429" w14:textId="41BA25B9" w:rsidR="00E74F85" w:rsidRPr="00CB4CDE" w:rsidRDefault="00E74F85" w:rsidP="00E74F85">
      <w:pPr>
        <w:spacing w:line="240" w:lineRule="auto"/>
        <w:ind w:left="720" w:hanging="720"/>
        <w:rPr>
          <w:rFonts w:ascii="Arial" w:hAnsi="Arial" w:cs="Arial"/>
        </w:rPr>
      </w:pPr>
      <w:r w:rsidRPr="00CB4CDE">
        <w:rPr>
          <w:rFonts w:ascii="Arial" w:hAnsi="Arial" w:cs="Arial"/>
        </w:rPr>
        <w:t xml:space="preserve">Investing (2025). </w:t>
      </w:r>
      <w:r w:rsidRPr="00CB4CDE">
        <w:rPr>
          <w:rFonts w:ascii="Arial" w:hAnsi="Arial" w:cs="Arial"/>
          <w:i/>
          <w:iCs/>
        </w:rPr>
        <w:t>Hilton Worldwide Holdings Inc (HLT) financial ratios - investing.Com India</w:t>
      </w:r>
      <w:r w:rsidRPr="00CB4CDE">
        <w:rPr>
          <w:rFonts w:ascii="Arial" w:hAnsi="Arial" w:cs="Arial"/>
        </w:rPr>
        <w:t xml:space="preserve">. [online] </w:t>
      </w:r>
      <w:r w:rsidRPr="00CB4CDE">
        <w:rPr>
          <w:rFonts w:ascii="Arial" w:hAnsi="Arial" w:cs="Arial"/>
          <w:i/>
          <w:iCs/>
        </w:rPr>
        <w:t>Investing.com</w:t>
      </w:r>
      <w:r w:rsidRPr="00CB4CDE">
        <w:rPr>
          <w:rFonts w:ascii="Arial" w:hAnsi="Arial" w:cs="Arial"/>
        </w:rPr>
        <w:t xml:space="preserve">. Available at: </w:t>
      </w:r>
      <w:hyperlink r:id="rId17" w:history="1">
        <w:r w:rsidR="006E4BE9" w:rsidRPr="00CB4CDE">
          <w:rPr>
            <w:rStyle w:val="Hyperlink"/>
            <w:rFonts w:ascii="Arial" w:hAnsi="Arial" w:cs="Arial"/>
          </w:rPr>
          <w:t>https://in.investing.com/equities/hilton-worldwide-ratios</w:t>
        </w:r>
      </w:hyperlink>
      <w:r w:rsidRPr="00CB4CDE">
        <w:rPr>
          <w:rFonts w:ascii="Arial" w:hAnsi="Arial" w:cs="Arial"/>
        </w:rPr>
        <w:t>.</w:t>
      </w:r>
      <w:r w:rsidR="006E4BE9" w:rsidRPr="00CB4CDE">
        <w:rPr>
          <w:rFonts w:ascii="Arial" w:hAnsi="Arial" w:cs="Arial"/>
        </w:rPr>
        <w:t xml:space="preserve"> </w:t>
      </w:r>
    </w:p>
    <w:p w14:paraId="7A92A5CC" w14:textId="46D9F2ED" w:rsidR="00E74F85" w:rsidRPr="00CB4CDE" w:rsidRDefault="00E74F85" w:rsidP="00E74F85">
      <w:pPr>
        <w:spacing w:line="240" w:lineRule="auto"/>
        <w:ind w:left="720" w:hanging="720"/>
        <w:rPr>
          <w:rFonts w:ascii="Arial" w:hAnsi="Arial" w:cs="Arial"/>
        </w:rPr>
      </w:pPr>
      <w:r w:rsidRPr="00CB4CDE">
        <w:rPr>
          <w:rFonts w:ascii="Arial" w:hAnsi="Arial" w:cs="Arial"/>
        </w:rPr>
        <w:t xml:space="preserve">Khaliq, A. (2025). Making the right choice: A literature-based analysis on investment appraisal. </w:t>
      </w:r>
      <w:r w:rsidRPr="00CB4CDE">
        <w:rPr>
          <w:rFonts w:ascii="Arial" w:hAnsi="Arial" w:cs="Arial"/>
          <w:i/>
          <w:iCs/>
        </w:rPr>
        <w:t>International Research Journal of Economics and Management Studies IRJEMS</w:t>
      </w:r>
      <w:r w:rsidRPr="00CB4CDE">
        <w:rPr>
          <w:rFonts w:ascii="Arial" w:hAnsi="Arial" w:cs="Arial"/>
        </w:rPr>
        <w:t xml:space="preserve">, [online] 4(11). Available at: </w:t>
      </w:r>
      <w:hyperlink r:id="rId18" w:history="1">
        <w:r w:rsidR="0062447D" w:rsidRPr="00CB4CDE">
          <w:rPr>
            <w:rStyle w:val="Hyperlink"/>
            <w:rFonts w:ascii="Arial" w:hAnsi="Arial" w:cs="Arial"/>
          </w:rPr>
          <w:t>https://irjems.org/irjems-v4i11p113.html</w:t>
        </w:r>
      </w:hyperlink>
      <w:r w:rsidRPr="00CB4CDE">
        <w:rPr>
          <w:rFonts w:ascii="Arial" w:hAnsi="Arial" w:cs="Arial"/>
        </w:rPr>
        <w:t>.</w:t>
      </w:r>
      <w:r w:rsidR="0062447D" w:rsidRPr="00CB4CDE">
        <w:rPr>
          <w:rFonts w:ascii="Arial" w:hAnsi="Arial" w:cs="Arial"/>
        </w:rPr>
        <w:t xml:space="preserve"> </w:t>
      </w:r>
    </w:p>
    <w:p w14:paraId="66EF7B84" w14:textId="1321F632" w:rsidR="00E74F85" w:rsidRPr="00CB4CDE" w:rsidRDefault="00E74F85" w:rsidP="00E74F85">
      <w:pPr>
        <w:spacing w:line="240" w:lineRule="auto"/>
        <w:ind w:left="720" w:hanging="720"/>
        <w:rPr>
          <w:rFonts w:ascii="Arial" w:hAnsi="Arial" w:cs="Arial"/>
        </w:rPr>
      </w:pPr>
      <w:r w:rsidRPr="00CB4CDE">
        <w:rPr>
          <w:rFonts w:ascii="Arial" w:hAnsi="Arial" w:cs="Arial"/>
        </w:rPr>
        <w:t xml:space="preserve">Kiran, S. and Karthik (2026). A study on the impact of Working Capital Management on profitability. </w:t>
      </w:r>
      <w:r w:rsidRPr="00CB4CDE">
        <w:rPr>
          <w:rFonts w:ascii="Arial" w:hAnsi="Arial" w:cs="Arial"/>
          <w:i/>
          <w:iCs/>
        </w:rPr>
        <w:t>AIJFR26035499</w:t>
      </w:r>
      <w:r w:rsidRPr="00CB4CDE">
        <w:rPr>
          <w:rFonts w:ascii="Arial" w:hAnsi="Arial" w:cs="Arial"/>
        </w:rPr>
        <w:t xml:space="preserve">, [online] 7(3), p.1. Available at: </w:t>
      </w:r>
      <w:hyperlink r:id="rId19" w:history="1">
        <w:r w:rsidR="00641D91" w:rsidRPr="00CB4CDE">
          <w:rPr>
            <w:rStyle w:val="Hyperlink"/>
            <w:rFonts w:ascii="Arial" w:hAnsi="Arial" w:cs="Arial"/>
          </w:rPr>
          <w:t>https://www.aijfr.com/papers/2026/3/5499.pdf</w:t>
        </w:r>
      </w:hyperlink>
      <w:r w:rsidRPr="00CB4CDE">
        <w:rPr>
          <w:rFonts w:ascii="Arial" w:hAnsi="Arial" w:cs="Arial"/>
        </w:rPr>
        <w:t>.</w:t>
      </w:r>
      <w:r w:rsidR="00641D91" w:rsidRPr="00CB4CDE">
        <w:rPr>
          <w:rFonts w:ascii="Arial" w:hAnsi="Arial" w:cs="Arial"/>
        </w:rPr>
        <w:t xml:space="preserve"> </w:t>
      </w:r>
    </w:p>
    <w:p w14:paraId="0C627343" w14:textId="15B42372" w:rsidR="00E74F85" w:rsidRPr="00CB4CDE" w:rsidRDefault="00E74F85" w:rsidP="00E74F85">
      <w:pPr>
        <w:spacing w:line="240" w:lineRule="auto"/>
        <w:ind w:left="720" w:hanging="720"/>
        <w:rPr>
          <w:rFonts w:ascii="Arial" w:hAnsi="Arial" w:cs="Arial"/>
        </w:rPr>
      </w:pPr>
      <w:r w:rsidRPr="00CB4CDE">
        <w:rPr>
          <w:rFonts w:ascii="Arial" w:hAnsi="Arial" w:cs="Arial"/>
        </w:rPr>
        <w:t xml:space="preserve">MarketBeat (2026). </w:t>
      </w:r>
      <w:r w:rsidRPr="00CB4CDE">
        <w:rPr>
          <w:rFonts w:ascii="Arial" w:hAnsi="Arial" w:cs="Arial"/>
          <w:i/>
          <w:iCs/>
        </w:rPr>
        <w:t>Hilton Worldwide Holdings Inc. $HLT stock holdings lessened by Baader Bank Aktiengesellschaft</w:t>
      </w:r>
      <w:r w:rsidRPr="00CB4CDE">
        <w:rPr>
          <w:rFonts w:ascii="Arial" w:hAnsi="Arial" w:cs="Arial"/>
        </w:rPr>
        <w:t xml:space="preserve">. [online] MarketBeat. Available at: </w:t>
      </w:r>
      <w:hyperlink r:id="rId20" w:history="1">
        <w:r w:rsidR="00C82D41" w:rsidRPr="00CB4CDE">
          <w:rPr>
            <w:rStyle w:val="Hyperlink"/>
            <w:rFonts w:ascii="Arial" w:hAnsi="Arial" w:cs="Arial"/>
          </w:rPr>
          <w:t>https://www.marketbeat.com/instant-alerts/filing-hilton-worldwide-holdings-inc-hlt-stock-holdings-lessened-by-baader-bank-aktiengesellschaft-2026-07-21/</w:t>
        </w:r>
      </w:hyperlink>
      <w:r w:rsidRPr="00CB4CDE">
        <w:rPr>
          <w:rFonts w:ascii="Arial" w:hAnsi="Arial" w:cs="Arial"/>
        </w:rPr>
        <w:t>.</w:t>
      </w:r>
      <w:r w:rsidR="00C82D41" w:rsidRPr="00CB4CDE">
        <w:rPr>
          <w:rFonts w:ascii="Arial" w:hAnsi="Arial" w:cs="Arial"/>
        </w:rPr>
        <w:t xml:space="preserve"> </w:t>
      </w:r>
    </w:p>
    <w:p w14:paraId="37EC91EE" w14:textId="4BBB7935" w:rsidR="00E74F85" w:rsidRPr="00CB4CDE" w:rsidRDefault="00E74F85" w:rsidP="00E74F85">
      <w:pPr>
        <w:spacing w:line="240" w:lineRule="auto"/>
        <w:ind w:left="720" w:hanging="720"/>
        <w:rPr>
          <w:rFonts w:ascii="Arial" w:hAnsi="Arial" w:cs="Arial"/>
        </w:rPr>
      </w:pPr>
      <w:r w:rsidRPr="00CB4CDE">
        <w:rPr>
          <w:rFonts w:ascii="Arial" w:hAnsi="Arial" w:cs="Arial"/>
        </w:rPr>
        <w:t xml:space="preserve">Olayinka, A.A. (2022). Financial statement analysis as a tool for investment decisions and assessment of companies’ performance. </w:t>
      </w:r>
      <w:r w:rsidRPr="00CB4CDE">
        <w:rPr>
          <w:rFonts w:ascii="Arial" w:hAnsi="Arial" w:cs="Arial"/>
          <w:i/>
          <w:iCs/>
        </w:rPr>
        <w:t>International Journal of Financial, Accounting, and Management</w:t>
      </w:r>
      <w:r w:rsidRPr="00CB4CDE">
        <w:rPr>
          <w:rFonts w:ascii="Arial" w:hAnsi="Arial" w:cs="Arial"/>
        </w:rPr>
        <w:t>, 4(1), pp.49–66. doi:</w:t>
      </w:r>
      <w:r w:rsidR="002B2AC0" w:rsidRPr="00CB4CDE">
        <w:rPr>
          <w:rFonts w:ascii="Arial" w:hAnsi="Arial" w:cs="Arial"/>
        </w:rPr>
        <w:t xml:space="preserve"> </w:t>
      </w:r>
      <w:hyperlink r:id="rId21" w:history="1">
        <w:r w:rsidR="001A3B22" w:rsidRPr="00CB4CDE">
          <w:rPr>
            <w:rStyle w:val="Hyperlink"/>
            <w:rFonts w:ascii="Arial" w:hAnsi="Arial" w:cs="Arial"/>
          </w:rPr>
          <w:t>https://doi.org/10.35912/ijfam.v4i1.852</w:t>
        </w:r>
      </w:hyperlink>
      <w:r w:rsidRPr="00CB4CDE">
        <w:rPr>
          <w:rFonts w:ascii="Arial" w:hAnsi="Arial" w:cs="Arial"/>
        </w:rPr>
        <w:t>.</w:t>
      </w:r>
      <w:r w:rsidR="001A3B22" w:rsidRPr="00CB4CDE">
        <w:rPr>
          <w:rFonts w:ascii="Arial" w:hAnsi="Arial" w:cs="Arial"/>
        </w:rPr>
        <w:t xml:space="preserve"> </w:t>
      </w:r>
    </w:p>
    <w:p w14:paraId="09A720F8" w14:textId="09208CC7" w:rsidR="00E74F85" w:rsidRPr="00CB4CDE" w:rsidRDefault="00E74F85" w:rsidP="00E74F85">
      <w:pPr>
        <w:spacing w:line="240" w:lineRule="auto"/>
        <w:ind w:left="720" w:hanging="720"/>
        <w:rPr>
          <w:rFonts w:ascii="Arial" w:hAnsi="Arial" w:cs="Arial"/>
        </w:rPr>
      </w:pPr>
      <w:r w:rsidRPr="00CB4CDE">
        <w:rPr>
          <w:rFonts w:ascii="Arial" w:hAnsi="Arial" w:cs="Arial"/>
        </w:rPr>
        <w:lastRenderedPageBreak/>
        <w:t xml:space="preserve">Qin, J. (2024). Application of trade-off theory in real-life corporate capital structure adjustments. </w:t>
      </w:r>
      <w:r w:rsidRPr="00CB4CDE">
        <w:rPr>
          <w:rFonts w:ascii="Arial" w:hAnsi="Arial" w:cs="Arial"/>
          <w:i/>
          <w:iCs/>
        </w:rPr>
        <w:t>Advances in economics, management and political sciences</w:t>
      </w:r>
      <w:r w:rsidRPr="00CB4CDE">
        <w:rPr>
          <w:rFonts w:ascii="Arial" w:hAnsi="Arial" w:cs="Arial"/>
        </w:rPr>
        <w:t>, 76(1), pp.88–93. doi:</w:t>
      </w:r>
      <w:r w:rsidR="0019469C" w:rsidRPr="00CB4CDE">
        <w:rPr>
          <w:rFonts w:ascii="Arial" w:hAnsi="Arial" w:cs="Arial"/>
        </w:rPr>
        <w:t xml:space="preserve"> </w:t>
      </w:r>
      <w:hyperlink r:id="rId22" w:history="1">
        <w:r w:rsidR="0019469C" w:rsidRPr="00CB4CDE">
          <w:rPr>
            <w:rStyle w:val="Hyperlink"/>
            <w:rFonts w:ascii="Arial" w:hAnsi="Arial" w:cs="Arial"/>
          </w:rPr>
          <w:t>https://doi.org/10.54254/2754-1169/76/20241901</w:t>
        </w:r>
      </w:hyperlink>
      <w:r w:rsidRPr="00CB4CDE">
        <w:rPr>
          <w:rFonts w:ascii="Arial" w:hAnsi="Arial" w:cs="Arial"/>
        </w:rPr>
        <w:t>.</w:t>
      </w:r>
      <w:r w:rsidR="0019469C" w:rsidRPr="00CB4CDE">
        <w:rPr>
          <w:rFonts w:ascii="Arial" w:hAnsi="Arial" w:cs="Arial"/>
        </w:rPr>
        <w:t xml:space="preserve"> </w:t>
      </w:r>
    </w:p>
    <w:p w14:paraId="6BA884D6" w14:textId="753BE444" w:rsidR="00E74F85" w:rsidRPr="00CB4CDE" w:rsidRDefault="00E74F85" w:rsidP="00E74F85">
      <w:pPr>
        <w:spacing w:line="240" w:lineRule="auto"/>
        <w:ind w:left="720" w:hanging="720"/>
        <w:rPr>
          <w:rFonts w:ascii="Arial" w:hAnsi="Arial" w:cs="Arial"/>
        </w:rPr>
      </w:pPr>
      <w:r w:rsidRPr="00CB4CDE">
        <w:rPr>
          <w:rFonts w:ascii="Arial" w:hAnsi="Arial" w:cs="Arial"/>
        </w:rPr>
        <w:t xml:space="preserve">Rejison, P. (2025). Identifying the importance of financial statements in strategic decision making. </w:t>
      </w:r>
      <w:r w:rsidRPr="00CB4CDE">
        <w:rPr>
          <w:rFonts w:ascii="Arial" w:hAnsi="Arial" w:cs="Arial"/>
          <w:i/>
          <w:iCs/>
        </w:rPr>
        <w:t>SSRN Electronic Journal</w:t>
      </w:r>
      <w:r w:rsidRPr="00CB4CDE">
        <w:rPr>
          <w:rFonts w:ascii="Arial" w:hAnsi="Arial" w:cs="Arial"/>
        </w:rPr>
        <w:t>. [online] doi:</w:t>
      </w:r>
      <w:r w:rsidR="00E15AB9" w:rsidRPr="00CB4CDE">
        <w:rPr>
          <w:rFonts w:ascii="Arial" w:hAnsi="Arial" w:cs="Arial"/>
        </w:rPr>
        <w:t xml:space="preserve"> </w:t>
      </w:r>
      <w:hyperlink r:id="rId23" w:history="1">
        <w:r w:rsidR="00E15AB9" w:rsidRPr="00CB4CDE">
          <w:rPr>
            <w:rStyle w:val="Hyperlink"/>
            <w:rFonts w:ascii="Arial" w:hAnsi="Arial" w:cs="Arial"/>
          </w:rPr>
          <w:t>https://doi.org/10.2139/ssrn.5083705</w:t>
        </w:r>
      </w:hyperlink>
      <w:r w:rsidRPr="00CB4CDE">
        <w:rPr>
          <w:rFonts w:ascii="Arial" w:hAnsi="Arial" w:cs="Arial"/>
        </w:rPr>
        <w:t>.</w:t>
      </w:r>
      <w:r w:rsidR="00E15AB9" w:rsidRPr="00CB4CDE">
        <w:rPr>
          <w:rFonts w:ascii="Arial" w:hAnsi="Arial" w:cs="Arial"/>
        </w:rPr>
        <w:t xml:space="preserve"> </w:t>
      </w:r>
    </w:p>
    <w:p w14:paraId="3AFCEF2B" w14:textId="3DE20D77" w:rsidR="00E74F85" w:rsidRPr="00CB4CDE" w:rsidRDefault="00E74F85" w:rsidP="00E74F85">
      <w:pPr>
        <w:spacing w:line="240" w:lineRule="auto"/>
        <w:ind w:left="720" w:hanging="720"/>
        <w:rPr>
          <w:rFonts w:ascii="Arial" w:hAnsi="Arial" w:cs="Arial"/>
        </w:rPr>
      </w:pPr>
      <w:r w:rsidRPr="00CB4CDE">
        <w:rPr>
          <w:rFonts w:ascii="Arial" w:hAnsi="Arial" w:cs="Arial"/>
        </w:rPr>
        <w:t xml:space="preserve">Rickman, J. (2023). </w:t>
      </w:r>
      <w:r w:rsidRPr="00CB4CDE">
        <w:rPr>
          <w:rFonts w:ascii="Arial" w:hAnsi="Arial" w:cs="Arial"/>
          <w:i/>
          <w:iCs/>
        </w:rPr>
        <w:t>Short-term vs long-term financing</w:t>
      </w:r>
      <w:r w:rsidRPr="00CB4CDE">
        <w:rPr>
          <w:rFonts w:ascii="Arial" w:hAnsi="Arial" w:cs="Arial"/>
        </w:rPr>
        <w:t xml:space="preserve">. [online] </w:t>
      </w:r>
      <w:r w:rsidRPr="00CB4CDE">
        <w:rPr>
          <w:rFonts w:ascii="Arial" w:hAnsi="Arial" w:cs="Arial"/>
          <w:i/>
          <w:iCs/>
        </w:rPr>
        <w:t>legalvision.co.uk</w:t>
      </w:r>
      <w:r w:rsidRPr="00CB4CDE">
        <w:rPr>
          <w:rFonts w:ascii="Arial" w:hAnsi="Arial" w:cs="Arial"/>
        </w:rPr>
        <w:t xml:space="preserve">. Available at: </w:t>
      </w:r>
      <w:hyperlink r:id="rId24" w:history="1">
        <w:r w:rsidR="00A430FB" w:rsidRPr="00CB4CDE">
          <w:rPr>
            <w:rStyle w:val="Hyperlink"/>
            <w:rFonts w:ascii="Arial" w:hAnsi="Arial" w:cs="Arial"/>
          </w:rPr>
          <w:t>https://legalvision.co.uk/corporations/term-financing/</w:t>
        </w:r>
      </w:hyperlink>
      <w:r w:rsidRPr="00CB4CDE">
        <w:rPr>
          <w:rFonts w:ascii="Arial" w:hAnsi="Arial" w:cs="Arial"/>
        </w:rPr>
        <w:t>.</w:t>
      </w:r>
      <w:r w:rsidR="00A430FB" w:rsidRPr="00CB4CDE">
        <w:rPr>
          <w:rFonts w:ascii="Arial" w:hAnsi="Arial" w:cs="Arial"/>
        </w:rPr>
        <w:t xml:space="preserve"> </w:t>
      </w:r>
    </w:p>
    <w:p w14:paraId="14700DFB" w14:textId="45037BCF" w:rsidR="00E74F85" w:rsidRPr="00CB4CDE" w:rsidRDefault="00E74F85" w:rsidP="00E74F85">
      <w:pPr>
        <w:spacing w:line="240" w:lineRule="auto"/>
        <w:ind w:left="720" w:hanging="720"/>
        <w:rPr>
          <w:rFonts w:ascii="Arial" w:hAnsi="Arial" w:cs="Arial"/>
        </w:rPr>
      </w:pPr>
      <w:r w:rsidRPr="00CB4CDE">
        <w:rPr>
          <w:rFonts w:ascii="Arial" w:hAnsi="Arial" w:cs="Arial"/>
        </w:rPr>
        <w:t xml:space="preserve">Sinaga, A., Mediatrix, M., Hutasuhut, N.A.A., Zahara, T., Amanda, N.A., Fitri, A. and Muhammad, N. (2023). Comparison of capital budgeting methods: NPV, IRR, payback period. </w:t>
      </w:r>
      <w:r w:rsidRPr="00CB4CDE">
        <w:rPr>
          <w:rFonts w:ascii="Arial" w:hAnsi="Arial" w:cs="Arial"/>
          <w:i/>
          <w:iCs/>
        </w:rPr>
        <w:t>World Journal Of Advanced Research and Reviews</w:t>
      </w:r>
      <w:r w:rsidRPr="00CB4CDE">
        <w:rPr>
          <w:rFonts w:ascii="Arial" w:hAnsi="Arial" w:cs="Arial"/>
        </w:rPr>
        <w:t>, 19(2), pp.1078–1081. doi:</w:t>
      </w:r>
      <w:r w:rsidR="005B49D5" w:rsidRPr="00CB4CDE">
        <w:rPr>
          <w:rFonts w:ascii="Arial" w:hAnsi="Arial" w:cs="Arial"/>
        </w:rPr>
        <w:t xml:space="preserve"> </w:t>
      </w:r>
      <w:hyperlink r:id="rId25" w:history="1">
        <w:r w:rsidR="005B49D5" w:rsidRPr="00CB4CDE">
          <w:rPr>
            <w:rStyle w:val="Hyperlink"/>
            <w:rFonts w:ascii="Arial" w:hAnsi="Arial" w:cs="Arial"/>
          </w:rPr>
          <w:t>https://doi.org/10.30574/wjarr.2023.19.2.1483</w:t>
        </w:r>
      </w:hyperlink>
      <w:r w:rsidRPr="00CB4CDE">
        <w:rPr>
          <w:rFonts w:ascii="Arial" w:hAnsi="Arial" w:cs="Arial"/>
        </w:rPr>
        <w:t>.</w:t>
      </w:r>
      <w:r w:rsidR="005B49D5" w:rsidRPr="00CB4CDE">
        <w:rPr>
          <w:rFonts w:ascii="Arial" w:hAnsi="Arial" w:cs="Arial"/>
        </w:rPr>
        <w:t xml:space="preserve"> </w:t>
      </w:r>
    </w:p>
    <w:p w14:paraId="29D502FE" w14:textId="1CB99C02" w:rsidR="00E74F85" w:rsidRPr="00CB4CDE" w:rsidRDefault="00E74F85" w:rsidP="00E74F85">
      <w:pPr>
        <w:spacing w:line="240" w:lineRule="auto"/>
        <w:ind w:left="720" w:hanging="720"/>
        <w:rPr>
          <w:rFonts w:ascii="Arial" w:hAnsi="Arial" w:cs="Arial"/>
        </w:rPr>
      </w:pPr>
      <w:r w:rsidRPr="00CB4CDE">
        <w:rPr>
          <w:rFonts w:ascii="Arial" w:hAnsi="Arial" w:cs="Arial"/>
        </w:rPr>
        <w:t xml:space="preserve">Singh, A.D. and Chatterjee, V. (2025). Capital budgeting decisions using net present value and internal rate of return techniques. </w:t>
      </w:r>
      <w:r w:rsidRPr="00CB4CDE">
        <w:rPr>
          <w:rFonts w:ascii="Arial" w:hAnsi="Arial" w:cs="Arial"/>
          <w:i/>
          <w:iCs/>
        </w:rPr>
        <w:t>Global Perspectives in Management</w:t>
      </w:r>
      <w:r w:rsidRPr="00CB4CDE">
        <w:rPr>
          <w:rFonts w:ascii="Arial" w:hAnsi="Arial" w:cs="Arial"/>
        </w:rPr>
        <w:t xml:space="preserve">, [online] 3(1), pp.48–59. Available at: </w:t>
      </w:r>
      <w:hyperlink r:id="rId26" w:history="1">
        <w:r w:rsidR="00C02345" w:rsidRPr="00CB4CDE">
          <w:rPr>
            <w:rStyle w:val="Hyperlink"/>
            <w:rFonts w:ascii="Arial" w:hAnsi="Arial" w:cs="Arial"/>
          </w:rPr>
          <w:t>https://gpim.in/index.php/journal/article/view/GPM25105</w:t>
        </w:r>
      </w:hyperlink>
      <w:r w:rsidRPr="00CB4CDE">
        <w:rPr>
          <w:rFonts w:ascii="Arial" w:hAnsi="Arial" w:cs="Arial"/>
        </w:rPr>
        <w:t>.</w:t>
      </w:r>
      <w:r w:rsidR="00C02345" w:rsidRPr="00CB4CDE">
        <w:rPr>
          <w:rFonts w:ascii="Arial" w:hAnsi="Arial" w:cs="Arial"/>
        </w:rPr>
        <w:t xml:space="preserve"> </w:t>
      </w:r>
    </w:p>
    <w:p w14:paraId="6BE09593" w14:textId="0CF51970" w:rsidR="00E74F85" w:rsidRPr="00CB4CDE" w:rsidRDefault="00E74F85" w:rsidP="00E74F85">
      <w:pPr>
        <w:spacing w:line="240" w:lineRule="auto"/>
        <w:ind w:left="720" w:hanging="720"/>
        <w:rPr>
          <w:rFonts w:ascii="Arial" w:hAnsi="Arial" w:cs="Arial"/>
        </w:rPr>
      </w:pPr>
      <w:r w:rsidRPr="00CB4CDE">
        <w:rPr>
          <w:rFonts w:ascii="Arial" w:hAnsi="Arial" w:cs="Arial"/>
        </w:rPr>
        <w:t xml:space="preserve">Yahoo finance (2025). </w:t>
      </w:r>
      <w:r w:rsidRPr="00CB4CDE">
        <w:rPr>
          <w:rFonts w:ascii="Arial" w:hAnsi="Arial" w:cs="Arial"/>
          <w:i/>
          <w:iCs/>
        </w:rPr>
        <w:t>Hilton Worldwide Holdings Inc. (HLT) stock historical prices &amp; Data - Yahoo Finance</w:t>
      </w:r>
      <w:r w:rsidRPr="00CB4CDE">
        <w:rPr>
          <w:rFonts w:ascii="Arial" w:hAnsi="Arial" w:cs="Arial"/>
        </w:rPr>
        <w:t xml:space="preserve">. [online] Yahoo Finance. Available at: </w:t>
      </w:r>
      <w:hyperlink r:id="rId27" w:history="1">
        <w:r w:rsidR="00C02345" w:rsidRPr="00CB4CDE">
          <w:rPr>
            <w:rStyle w:val="Hyperlink"/>
            <w:rFonts w:ascii="Arial" w:hAnsi="Arial" w:cs="Arial"/>
          </w:rPr>
          <w:t>https://finance.yahoo.com/quote/HLT/history/?period1=1386858600&amp;period2=1785933708</w:t>
        </w:r>
      </w:hyperlink>
      <w:r w:rsidRPr="00CB4CDE">
        <w:rPr>
          <w:rFonts w:ascii="Arial" w:hAnsi="Arial" w:cs="Arial"/>
        </w:rPr>
        <w:t>.</w:t>
      </w:r>
      <w:r w:rsidR="00C02345" w:rsidRPr="00CB4CDE">
        <w:rPr>
          <w:rFonts w:ascii="Arial" w:hAnsi="Arial" w:cs="Arial"/>
        </w:rPr>
        <w:t xml:space="preserve"> </w:t>
      </w:r>
    </w:p>
    <w:p w14:paraId="21D7174C" w14:textId="36A25B2D" w:rsidR="00E74F85" w:rsidRPr="00CB4CDE" w:rsidRDefault="00E74F85" w:rsidP="00E74F85">
      <w:pPr>
        <w:spacing w:line="240" w:lineRule="auto"/>
        <w:ind w:left="720" w:hanging="720"/>
        <w:rPr>
          <w:rFonts w:ascii="Arial" w:hAnsi="Arial" w:cs="Arial"/>
        </w:rPr>
      </w:pPr>
      <w:r w:rsidRPr="00CB4CDE">
        <w:rPr>
          <w:rFonts w:ascii="Arial" w:hAnsi="Arial" w:cs="Arial"/>
        </w:rPr>
        <w:t xml:space="preserve">Yusup, W.E. and Hariani, S. (2023). The effect of receivables turnover, inventory turnover and current ratio on profitability. </w:t>
      </w:r>
      <w:r w:rsidRPr="00CB4CDE">
        <w:rPr>
          <w:rFonts w:ascii="Arial" w:hAnsi="Arial" w:cs="Arial"/>
          <w:i/>
          <w:iCs/>
        </w:rPr>
        <w:t>Jurnal Riset Manajemen dan Bisnis</w:t>
      </w:r>
      <w:r w:rsidRPr="00CB4CDE">
        <w:rPr>
          <w:rFonts w:ascii="Arial" w:hAnsi="Arial" w:cs="Arial"/>
        </w:rPr>
        <w:t>, [online] 8(1), pp.23–32. doi:</w:t>
      </w:r>
      <w:r w:rsidR="009C12F0" w:rsidRPr="00CB4CDE">
        <w:rPr>
          <w:rFonts w:ascii="Arial" w:hAnsi="Arial" w:cs="Arial"/>
        </w:rPr>
        <w:t xml:space="preserve"> </w:t>
      </w:r>
      <w:hyperlink r:id="rId28" w:history="1">
        <w:r w:rsidR="009C12F0" w:rsidRPr="00CB4CDE">
          <w:rPr>
            <w:rStyle w:val="Hyperlink"/>
            <w:rFonts w:ascii="Arial" w:hAnsi="Arial" w:cs="Arial"/>
          </w:rPr>
          <w:t>https://doi.org/10.36407/jrmb.v8i1.987</w:t>
        </w:r>
      </w:hyperlink>
      <w:r w:rsidRPr="00CB4CDE">
        <w:rPr>
          <w:rFonts w:ascii="Arial" w:hAnsi="Arial" w:cs="Arial"/>
        </w:rPr>
        <w:t>.</w:t>
      </w:r>
      <w:r w:rsidR="009C12F0" w:rsidRPr="00CB4CDE">
        <w:rPr>
          <w:rFonts w:ascii="Arial" w:hAnsi="Arial" w:cs="Arial"/>
        </w:rPr>
        <w:t xml:space="preserve"> </w:t>
      </w:r>
    </w:p>
    <w:p w14:paraId="53A591DB" w14:textId="36A6E6CD" w:rsidR="00E74F85" w:rsidRPr="00CB4CDE" w:rsidRDefault="00E74F85" w:rsidP="00E74F85">
      <w:pPr>
        <w:spacing w:line="240" w:lineRule="auto"/>
        <w:ind w:left="720" w:hanging="720"/>
        <w:rPr>
          <w:rFonts w:ascii="Arial" w:hAnsi="Arial" w:cs="Arial"/>
        </w:rPr>
      </w:pPr>
      <w:r w:rsidRPr="00CB4CDE">
        <w:rPr>
          <w:rFonts w:ascii="Arial" w:hAnsi="Arial" w:cs="Arial"/>
        </w:rPr>
        <w:t xml:space="preserve">Zahwa, A., Alsura, T., Alhidrah, S. and Mawatdah, H. (2025). Financial ratio analysis. </w:t>
      </w:r>
      <w:r w:rsidRPr="00CB4CDE">
        <w:rPr>
          <w:rFonts w:ascii="Arial" w:hAnsi="Arial" w:cs="Arial"/>
          <w:i/>
          <w:iCs/>
        </w:rPr>
        <w:t>Global Economics Research and Actual Management</w:t>
      </w:r>
      <w:r w:rsidRPr="00CB4CDE">
        <w:rPr>
          <w:rFonts w:ascii="Arial" w:hAnsi="Arial" w:cs="Arial"/>
        </w:rPr>
        <w:t xml:space="preserve">, [online] 2(2), pp.91–105. Available at: </w:t>
      </w:r>
      <w:hyperlink r:id="rId29" w:history="1">
        <w:r w:rsidR="009C12F0" w:rsidRPr="00CB4CDE">
          <w:rPr>
            <w:rStyle w:val="Hyperlink"/>
            <w:rFonts w:ascii="Arial" w:hAnsi="Arial" w:cs="Arial"/>
          </w:rPr>
          <w:t>https://geramjournal.org/index.php/go/article/view/21</w:t>
        </w:r>
      </w:hyperlink>
      <w:r w:rsidRPr="00CB4CDE">
        <w:rPr>
          <w:rFonts w:ascii="Arial" w:hAnsi="Arial" w:cs="Arial"/>
        </w:rPr>
        <w:t>.</w:t>
      </w:r>
      <w:r w:rsidR="009C12F0" w:rsidRPr="00CB4CDE">
        <w:rPr>
          <w:rFonts w:ascii="Arial" w:hAnsi="Arial" w:cs="Arial"/>
        </w:rPr>
        <w:t xml:space="preserve"> </w:t>
      </w:r>
    </w:p>
    <w:p w14:paraId="27B3A693" w14:textId="77777777" w:rsidR="00E74F85" w:rsidRPr="00CB4CDE" w:rsidRDefault="00E74F85" w:rsidP="00E74F85">
      <w:pPr>
        <w:rPr>
          <w:rFonts w:ascii="Arial" w:hAnsi="Arial" w:cs="Arial"/>
        </w:rPr>
      </w:pPr>
    </w:p>
    <w:p w14:paraId="01CA359C" w14:textId="77777777" w:rsidR="00CE6182" w:rsidRPr="00CB4CDE" w:rsidRDefault="00CE6182">
      <w:pPr>
        <w:spacing w:after="160" w:line="278" w:lineRule="auto"/>
        <w:jc w:val="left"/>
        <w:rPr>
          <w:rFonts w:ascii="Arial" w:hAnsi="Arial" w:cs="Arial"/>
          <w:b/>
          <w:bCs/>
          <w:sz w:val="28"/>
          <w:szCs w:val="28"/>
          <w:lang w:val="en-GB"/>
        </w:rPr>
      </w:pPr>
      <w:r w:rsidRPr="00CB4CDE">
        <w:rPr>
          <w:rFonts w:ascii="Arial" w:hAnsi="Arial" w:cs="Arial"/>
          <w:lang w:val="en-GB"/>
        </w:rPr>
        <w:br w:type="page"/>
      </w:r>
    </w:p>
    <w:p w14:paraId="1B29C8E9" w14:textId="2083F7E8" w:rsidR="0097374C" w:rsidRPr="00CB4CDE" w:rsidRDefault="0097374C" w:rsidP="0097374C">
      <w:pPr>
        <w:pStyle w:val="Heading1"/>
        <w:rPr>
          <w:rFonts w:ascii="Arial" w:hAnsi="Arial" w:cs="Arial"/>
          <w:lang w:val="en-GB"/>
        </w:rPr>
      </w:pPr>
      <w:bookmarkStart w:id="14" w:name="_Toc236928809"/>
      <w:r w:rsidRPr="00CB4CDE">
        <w:rPr>
          <w:rFonts w:ascii="Arial" w:hAnsi="Arial" w:cs="Arial"/>
          <w:lang w:val="en-GB"/>
        </w:rPr>
        <w:lastRenderedPageBreak/>
        <w:t>Appendix</w:t>
      </w:r>
      <w:bookmarkEnd w:id="14"/>
    </w:p>
    <w:p w14:paraId="3786A1E2" w14:textId="45933FA9" w:rsidR="00987E51" w:rsidRPr="00CB4CDE" w:rsidRDefault="00987E51" w:rsidP="00B11D7B">
      <w:pPr>
        <w:pStyle w:val="Heading2"/>
        <w:rPr>
          <w:rFonts w:ascii="Arial" w:hAnsi="Arial" w:cs="Arial"/>
        </w:rPr>
      </w:pPr>
      <w:bookmarkStart w:id="15" w:name="_Toc236928810"/>
      <w:r w:rsidRPr="00CB4CDE">
        <w:rPr>
          <w:rFonts w:ascii="Arial" w:hAnsi="Arial" w:cs="Arial"/>
        </w:rPr>
        <w:t>Calculation of ratios</w:t>
      </w:r>
      <w:bookmarkEnd w:id="15"/>
    </w:p>
    <w:p w14:paraId="441E981D" w14:textId="6AC24D4E" w:rsidR="00BD7462" w:rsidRPr="00CB4CDE" w:rsidRDefault="00BD7462" w:rsidP="00BD7462">
      <w:pPr>
        <w:pStyle w:val="Caption"/>
        <w:jc w:val="center"/>
        <w:rPr>
          <w:rFonts w:ascii="Arial" w:hAnsi="Arial" w:cs="Arial"/>
          <w:sz w:val="24"/>
          <w:szCs w:val="24"/>
          <w:lang w:val="en-GB"/>
        </w:rPr>
      </w:pPr>
      <w:bookmarkStart w:id="16" w:name="_Toc236928795"/>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0015369D" w:rsidRPr="00CB4CDE">
        <w:rPr>
          <w:rFonts w:ascii="Arial" w:hAnsi="Arial" w:cs="Arial"/>
          <w:b/>
          <w:bCs/>
          <w:noProof/>
          <w:sz w:val="24"/>
          <w:szCs w:val="24"/>
        </w:rPr>
        <w:t>5</w:t>
      </w:r>
      <w:r w:rsidRPr="00CB4CDE">
        <w:rPr>
          <w:rFonts w:ascii="Arial" w:hAnsi="Arial" w:cs="Arial"/>
          <w:b/>
          <w:bCs/>
          <w:sz w:val="24"/>
          <w:szCs w:val="24"/>
        </w:rPr>
        <w:fldChar w:fldCharType="end"/>
      </w:r>
      <w:r w:rsidRPr="00CB4CDE">
        <w:rPr>
          <w:rFonts w:ascii="Arial" w:hAnsi="Arial" w:cs="Arial"/>
          <w:b/>
          <w:bCs/>
          <w:sz w:val="24"/>
          <w:szCs w:val="24"/>
        </w:rPr>
        <w:t>:</w:t>
      </w:r>
      <w:r w:rsidRPr="00CB4CDE">
        <w:rPr>
          <w:rFonts w:ascii="Arial" w:hAnsi="Arial" w:cs="Arial"/>
          <w:sz w:val="24"/>
          <w:szCs w:val="24"/>
        </w:rPr>
        <w:t xml:space="preserve"> Financial </w:t>
      </w:r>
      <w:r w:rsidR="0076751A" w:rsidRPr="00CB4CDE">
        <w:rPr>
          <w:rFonts w:ascii="Arial" w:hAnsi="Arial" w:cs="Arial"/>
          <w:sz w:val="24"/>
          <w:szCs w:val="24"/>
        </w:rPr>
        <w:t>calculation</w:t>
      </w:r>
      <w:r w:rsidRPr="00CB4CDE">
        <w:rPr>
          <w:rFonts w:ascii="Arial" w:hAnsi="Arial" w:cs="Arial"/>
          <w:sz w:val="24"/>
          <w:szCs w:val="24"/>
        </w:rPr>
        <w:t xml:space="preserve"> of ratios</w:t>
      </w:r>
      <w:bookmarkEnd w:id="16"/>
    </w:p>
    <w:tbl>
      <w:tblPr>
        <w:tblW w:w="0" w:type="auto"/>
        <w:tblLook w:val="04A0" w:firstRow="1" w:lastRow="0" w:firstColumn="1" w:lastColumn="0" w:noHBand="0" w:noVBand="1"/>
      </w:tblPr>
      <w:tblGrid>
        <w:gridCol w:w="1585"/>
        <w:gridCol w:w="1633"/>
        <w:gridCol w:w="539"/>
        <w:gridCol w:w="539"/>
        <w:gridCol w:w="539"/>
        <w:gridCol w:w="539"/>
        <w:gridCol w:w="539"/>
        <w:gridCol w:w="609"/>
        <w:gridCol w:w="609"/>
        <w:gridCol w:w="609"/>
        <w:gridCol w:w="667"/>
        <w:gridCol w:w="609"/>
      </w:tblGrid>
      <w:tr w:rsidR="00987E51" w:rsidRPr="00CB4CDE" w14:paraId="67E1ECDC" w14:textId="77777777" w:rsidTr="00987E51">
        <w:trPr>
          <w:trHeight w:val="300"/>
        </w:trPr>
        <w:tc>
          <w:tcPr>
            <w:tcW w:w="0" w:type="auto"/>
            <w:gridSpan w:val="12"/>
            <w:tcBorders>
              <w:top w:val="single" w:sz="4" w:space="0" w:color="auto"/>
              <w:left w:val="single" w:sz="4" w:space="0" w:color="auto"/>
              <w:bottom w:val="single" w:sz="4" w:space="0" w:color="auto"/>
              <w:right w:val="single" w:sz="4" w:space="0" w:color="auto"/>
            </w:tcBorders>
            <w:noWrap/>
            <w:vAlign w:val="bottom"/>
            <w:hideMark/>
          </w:tcPr>
          <w:p w14:paraId="74226DF9"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Financial ratios for Hilton Worldwide</w:t>
            </w:r>
          </w:p>
        </w:tc>
      </w:tr>
      <w:tr w:rsidR="00987E51" w:rsidRPr="00CB4CDE" w14:paraId="4A541BEC"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6148ACA1"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Ratio</w:t>
            </w:r>
          </w:p>
        </w:tc>
        <w:tc>
          <w:tcPr>
            <w:tcW w:w="0" w:type="auto"/>
            <w:tcBorders>
              <w:top w:val="nil"/>
              <w:left w:val="nil"/>
              <w:bottom w:val="single" w:sz="4" w:space="0" w:color="auto"/>
              <w:right w:val="single" w:sz="4" w:space="0" w:color="auto"/>
            </w:tcBorders>
            <w:noWrap/>
            <w:vAlign w:val="bottom"/>
            <w:hideMark/>
          </w:tcPr>
          <w:p w14:paraId="3C138E3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Formula</w:t>
            </w:r>
          </w:p>
        </w:tc>
        <w:tc>
          <w:tcPr>
            <w:tcW w:w="0" w:type="auto"/>
            <w:gridSpan w:val="5"/>
            <w:tcBorders>
              <w:top w:val="single" w:sz="4" w:space="0" w:color="auto"/>
              <w:left w:val="nil"/>
              <w:bottom w:val="single" w:sz="4" w:space="0" w:color="auto"/>
              <w:right w:val="single" w:sz="4" w:space="0" w:color="auto"/>
            </w:tcBorders>
            <w:noWrap/>
            <w:vAlign w:val="bottom"/>
            <w:hideMark/>
          </w:tcPr>
          <w:p w14:paraId="55443CEE"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Workings ($m)</w:t>
            </w:r>
          </w:p>
        </w:tc>
        <w:tc>
          <w:tcPr>
            <w:tcW w:w="0" w:type="auto"/>
            <w:gridSpan w:val="5"/>
            <w:tcBorders>
              <w:top w:val="single" w:sz="4" w:space="0" w:color="auto"/>
              <w:left w:val="nil"/>
              <w:bottom w:val="single" w:sz="4" w:space="0" w:color="auto"/>
              <w:right w:val="single" w:sz="4" w:space="0" w:color="auto"/>
            </w:tcBorders>
            <w:noWrap/>
            <w:vAlign w:val="bottom"/>
            <w:hideMark/>
          </w:tcPr>
          <w:p w14:paraId="35E26BF3"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Results</w:t>
            </w:r>
          </w:p>
        </w:tc>
      </w:tr>
      <w:tr w:rsidR="00987E51" w:rsidRPr="00CB4CDE" w14:paraId="67B0E35D"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17C013FD"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ECB8FED"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25D47B9"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0" w:type="auto"/>
            <w:tcBorders>
              <w:top w:val="nil"/>
              <w:left w:val="nil"/>
              <w:bottom w:val="single" w:sz="4" w:space="0" w:color="auto"/>
              <w:right w:val="single" w:sz="4" w:space="0" w:color="auto"/>
            </w:tcBorders>
            <w:noWrap/>
            <w:vAlign w:val="bottom"/>
            <w:hideMark/>
          </w:tcPr>
          <w:p w14:paraId="6F9548C4"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0" w:type="auto"/>
            <w:tcBorders>
              <w:top w:val="nil"/>
              <w:left w:val="nil"/>
              <w:bottom w:val="single" w:sz="4" w:space="0" w:color="auto"/>
              <w:right w:val="single" w:sz="4" w:space="0" w:color="auto"/>
            </w:tcBorders>
            <w:noWrap/>
            <w:vAlign w:val="bottom"/>
            <w:hideMark/>
          </w:tcPr>
          <w:p w14:paraId="4D1568C2"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0" w:type="auto"/>
            <w:tcBorders>
              <w:top w:val="nil"/>
              <w:left w:val="nil"/>
              <w:bottom w:val="single" w:sz="4" w:space="0" w:color="auto"/>
              <w:right w:val="single" w:sz="4" w:space="0" w:color="auto"/>
            </w:tcBorders>
            <w:noWrap/>
            <w:vAlign w:val="bottom"/>
            <w:hideMark/>
          </w:tcPr>
          <w:p w14:paraId="4960C77F"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0" w:type="auto"/>
            <w:tcBorders>
              <w:top w:val="nil"/>
              <w:left w:val="nil"/>
              <w:bottom w:val="single" w:sz="4" w:space="0" w:color="auto"/>
              <w:right w:val="single" w:sz="4" w:space="0" w:color="auto"/>
            </w:tcBorders>
            <w:noWrap/>
            <w:vAlign w:val="bottom"/>
            <w:hideMark/>
          </w:tcPr>
          <w:p w14:paraId="20D237FE"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c>
          <w:tcPr>
            <w:tcW w:w="0" w:type="auto"/>
            <w:tcBorders>
              <w:top w:val="nil"/>
              <w:left w:val="nil"/>
              <w:bottom w:val="single" w:sz="4" w:space="0" w:color="auto"/>
              <w:right w:val="single" w:sz="4" w:space="0" w:color="auto"/>
            </w:tcBorders>
            <w:noWrap/>
            <w:vAlign w:val="bottom"/>
            <w:hideMark/>
          </w:tcPr>
          <w:p w14:paraId="3BBAD17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0" w:type="auto"/>
            <w:tcBorders>
              <w:top w:val="nil"/>
              <w:left w:val="nil"/>
              <w:bottom w:val="single" w:sz="4" w:space="0" w:color="auto"/>
              <w:right w:val="single" w:sz="4" w:space="0" w:color="auto"/>
            </w:tcBorders>
            <w:noWrap/>
            <w:vAlign w:val="bottom"/>
            <w:hideMark/>
          </w:tcPr>
          <w:p w14:paraId="09033D18"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0" w:type="auto"/>
            <w:tcBorders>
              <w:top w:val="nil"/>
              <w:left w:val="nil"/>
              <w:bottom w:val="single" w:sz="4" w:space="0" w:color="auto"/>
              <w:right w:val="single" w:sz="4" w:space="0" w:color="auto"/>
            </w:tcBorders>
            <w:noWrap/>
            <w:vAlign w:val="bottom"/>
            <w:hideMark/>
          </w:tcPr>
          <w:p w14:paraId="5C4B7A4A"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0" w:type="auto"/>
            <w:tcBorders>
              <w:top w:val="nil"/>
              <w:left w:val="nil"/>
              <w:bottom w:val="single" w:sz="4" w:space="0" w:color="auto"/>
              <w:right w:val="single" w:sz="4" w:space="0" w:color="auto"/>
            </w:tcBorders>
            <w:noWrap/>
            <w:vAlign w:val="bottom"/>
            <w:hideMark/>
          </w:tcPr>
          <w:p w14:paraId="569F480A"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0" w:type="auto"/>
            <w:tcBorders>
              <w:top w:val="nil"/>
              <w:left w:val="nil"/>
              <w:bottom w:val="single" w:sz="4" w:space="0" w:color="auto"/>
              <w:right w:val="single" w:sz="4" w:space="0" w:color="auto"/>
            </w:tcBorders>
            <w:noWrap/>
            <w:vAlign w:val="bottom"/>
            <w:hideMark/>
          </w:tcPr>
          <w:p w14:paraId="379B9BB3"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r>
      <w:tr w:rsidR="00987E51" w:rsidRPr="00CB4CDE" w14:paraId="5D4D2E00"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080F4F9D" w14:textId="77777777" w:rsidR="00987E51" w:rsidRPr="00CB4CDE" w:rsidRDefault="00987E51" w:rsidP="00987E51">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Profitability ratio</w:t>
            </w:r>
          </w:p>
        </w:tc>
        <w:tc>
          <w:tcPr>
            <w:tcW w:w="0" w:type="auto"/>
            <w:tcBorders>
              <w:top w:val="nil"/>
              <w:left w:val="nil"/>
              <w:bottom w:val="single" w:sz="4" w:space="0" w:color="auto"/>
              <w:right w:val="single" w:sz="4" w:space="0" w:color="auto"/>
            </w:tcBorders>
            <w:noWrap/>
            <w:vAlign w:val="bottom"/>
            <w:hideMark/>
          </w:tcPr>
          <w:p w14:paraId="4E6DF1E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AE724A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075274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970B31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3948E6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52876C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C60F32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E5CF09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E87A1E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45A35B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3CA91E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5885AFE6"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74EAAE55"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Operating profit margin (%)</w:t>
            </w:r>
          </w:p>
        </w:tc>
        <w:tc>
          <w:tcPr>
            <w:tcW w:w="0" w:type="auto"/>
            <w:tcBorders>
              <w:top w:val="nil"/>
              <w:left w:val="nil"/>
              <w:bottom w:val="single" w:sz="4" w:space="0" w:color="auto"/>
              <w:right w:val="single" w:sz="4" w:space="0" w:color="auto"/>
            </w:tcBorders>
            <w:noWrap/>
            <w:vAlign w:val="bottom"/>
            <w:hideMark/>
          </w:tcPr>
          <w:p w14:paraId="6A2EE82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Operating profit</w:t>
            </w:r>
          </w:p>
        </w:tc>
        <w:tc>
          <w:tcPr>
            <w:tcW w:w="0" w:type="auto"/>
            <w:tcBorders>
              <w:top w:val="nil"/>
              <w:left w:val="nil"/>
              <w:bottom w:val="single" w:sz="4" w:space="0" w:color="auto"/>
              <w:right w:val="single" w:sz="4" w:space="0" w:color="auto"/>
            </w:tcBorders>
            <w:noWrap/>
            <w:vAlign w:val="bottom"/>
            <w:hideMark/>
          </w:tcPr>
          <w:p w14:paraId="248C914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2693</w:t>
            </w:r>
          </w:p>
        </w:tc>
        <w:tc>
          <w:tcPr>
            <w:tcW w:w="0" w:type="auto"/>
            <w:tcBorders>
              <w:top w:val="nil"/>
              <w:left w:val="nil"/>
              <w:bottom w:val="single" w:sz="4" w:space="0" w:color="auto"/>
              <w:right w:val="single" w:sz="4" w:space="0" w:color="auto"/>
            </w:tcBorders>
            <w:noWrap/>
            <w:vAlign w:val="bottom"/>
            <w:hideMark/>
          </w:tcPr>
          <w:p w14:paraId="3FAD653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2370</w:t>
            </w:r>
          </w:p>
        </w:tc>
        <w:tc>
          <w:tcPr>
            <w:tcW w:w="0" w:type="auto"/>
            <w:tcBorders>
              <w:top w:val="nil"/>
              <w:left w:val="nil"/>
              <w:bottom w:val="single" w:sz="4" w:space="0" w:color="auto"/>
              <w:right w:val="single" w:sz="4" w:space="0" w:color="auto"/>
            </w:tcBorders>
            <w:noWrap/>
            <w:vAlign w:val="bottom"/>
            <w:hideMark/>
          </w:tcPr>
          <w:p w14:paraId="7A100F4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2225</w:t>
            </w:r>
          </w:p>
        </w:tc>
        <w:tc>
          <w:tcPr>
            <w:tcW w:w="0" w:type="auto"/>
            <w:tcBorders>
              <w:top w:val="nil"/>
              <w:left w:val="nil"/>
              <w:bottom w:val="single" w:sz="4" w:space="0" w:color="auto"/>
              <w:right w:val="single" w:sz="4" w:space="0" w:color="auto"/>
            </w:tcBorders>
            <w:noWrap/>
            <w:vAlign w:val="bottom"/>
            <w:hideMark/>
          </w:tcPr>
          <w:p w14:paraId="5527B22C"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2094</w:t>
            </w:r>
          </w:p>
        </w:tc>
        <w:tc>
          <w:tcPr>
            <w:tcW w:w="0" w:type="auto"/>
            <w:tcBorders>
              <w:top w:val="nil"/>
              <w:left w:val="nil"/>
              <w:bottom w:val="single" w:sz="4" w:space="0" w:color="auto"/>
              <w:right w:val="single" w:sz="4" w:space="0" w:color="auto"/>
            </w:tcBorders>
            <w:noWrap/>
            <w:vAlign w:val="bottom"/>
            <w:hideMark/>
          </w:tcPr>
          <w:p w14:paraId="6EEB1A9F"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1010</w:t>
            </w:r>
          </w:p>
        </w:tc>
        <w:tc>
          <w:tcPr>
            <w:tcW w:w="0" w:type="auto"/>
            <w:tcBorders>
              <w:top w:val="nil"/>
              <w:left w:val="nil"/>
              <w:bottom w:val="single" w:sz="4" w:space="0" w:color="auto"/>
              <w:right w:val="single" w:sz="4" w:space="0" w:color="auto"/>
            </w:tcBorders>
            <w:noWrap/>
            <w:vAlign w:val="bottom"/>
            <w:hideMark/>
          </w:tcPr>
          <w:p w14:paraId="4C694165"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22.37%</w:t>
            </w:r>
          </w:p>
        </w:tc>
        <w:tc>
          <w:tcPr>
            <w:tcW w:w="0" w:type="auto"/>
            <w:tcBorders>
              <w:top w:val="nil"/>
              <w:left w:val="nil"/>
              <w:bottom w:val="single" w:sz="4" w:space="0" w:color="auto"/>
              <w:right w:val="single" w:sz="4" w:space="0" w:color="auto"/>
            </w:tcBorders>
            <w:noWrap/>
            <w:vAlign w:val="bottom"/>
            <w:hideMark/>
          </w:tcPr>
          <w:p w14:paraId="7CFE8E70"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21.21%</w:t>
            </w:r>
          </w:p>
        </w:tc>
        <w:tc>
          <w:tcPr>
            <w:tcW w:w="0" w:type="auto"/>
            <w:tcBorders>
              <w:top w:val="nil"/>
              <w:left w:val="nil"/>
              <w:bottom w:val="single" w:sz="4" w:space="0" w:color="auto"/>
              <w:right w:val="single" w:sz="4" w:space="0" w:color="auto"/>
            </w:tcBorders>
            <w:noWrap/>
            <w:vAlign w:val="bottom"/>
            <w:hideMark/>
          </w:tcPr>
          <w:p w14:paraId="4CAB5B38"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21.74%</w:t>
            </w:r>
          </w:p>
        </w:tc>
        <w:tc>
          <w:tcPr>
            <w:tcW w:w="0" w:type="auto"/>
            <w:tcBorders>
              <w:top w:val="nil"/>
              <w:left w:val="nil"/>
              <w:bottom w:val="single" w:sz="4" w:space="0" w:color="auto"/>
              <w:right w:val="single" w:sz="4" w:space="0" w:color="auto"/>
            </w:tcBorders>
            <w:noWrap/>
            <w:vAlign w:val="bottom"/>
            <w:hideMark/>
          </w:tcPr>
          <w:p w14:paraId="64D748FC"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23.87%</w:t>
            </w:r>
          </w:p>
        </w:tc>
        <w:tc>
          <w:tcPr>
            <w:tcW w:w="0" w:type="auto"/>
            <w:tcBorders>
              <w:top w:val="nil"/>
              <w:left w:val="nil"/>
              <w:bottom w:val="single" w:sz="4" w:space="0" w:color="auto"/>
              <w:right w:val="single" w:sz="4" w:space="0" w:color="auto"/>
            </w:tcBorders>
            <w:noWrap/>
            <w:vAlign w:val="bottom"/>
            <w:hideMark/>
          </w:tcPr>
          <w:p w14:paraId="3217DCFD"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17.45%</w:t>
            </w:r>
          </w:p>
        </w:tc>
      </w:tr>
      <w:tr w:rsidR="00987E51" w:rsidRPr="00CB4CDE" w14:paraId="46D4ABE7"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1BB9EA2A"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6591E6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Sales revenues</w:t>
            </w:r>
          </w:p>
        </w:tc>
        <w:tc>
          <w:tcPr>
            <w:tcW w:w="0" w:type="auto"/>
            <w:tcBorders>
              <w:top w:val="nil"/>
              <w:left w:val="nil"/>
              <w:bottom w:val="single" w:sz="4" w:space="0" w:color="auto"/>
              <w:right w:val="single" w:sz="4" w:space="0" w:color="auto"/>
            </w:tcBorders>
            <w:noWrap/>
            <w:vAlign w:val="bottom"/>
            <w:hideMark/>
          </w:tcPr>
          <w:p w14:paraId="63F04AC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12039</w:t>
            </w:r>
          </w:p>
        </w:tc>
        <w:tc>
          <w:tcPr>
            <w:tcW w:w="0" w:type="auto"/>
            <w:tcBorders>
              <w:top w:val="nil"/>
              <w:left w:val="nil"/>
              <w:bottom w:val="single" w:sz="4" w:space="0" w:color="auto"/>
              <w:right w:val="single" w:sz="4" w:space="0" w:color="auto"/>
            </w:tcBorders>
            <w:noWrap/>
            <w:vAlign w:val="bottom"/>
            <w:hideMark/>
          </w:tcPr>
          <w:p w14:paraId="1470B930"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11174</w:t>
            </w:r>
          </w:p>
        </w:tc>
        <w:tc>
          <w:tcPr>
            <w:tcW w:w="0" w:type="auto"/>
            <w:tcBorders>
              <w:top w:val="nil"/>
              <w:left w:val="nil"/>
              <w:bottom w:val="single" w:sz="4" w:space="0" w:color="auto"/>
              <w:right w:val="single" w:sz="4" w:space="0" w:color="auto"/>
            </w:tcBorders>
            <w:noWrap/>
            <w:vAlign w:val="bottom"/>
            <w:hideMark/>
          </w:tcPr>
          <w:p w14:paraId="437D2F9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10235</w:t>
            </w:r>
          </w:p>
        </w:tc>
        <w:tc>
          <w:tcPr>
            <w:tcW w:w="0" w:type="auto"/>
            <w:tcBorders>
              <w:top w:val="nil"/>
              <w:left w:val="nil"/>
              <w:bottom w:val="single" w:sz="4" w:space="0" w:color="auto"/>
              <w:right w:val="single" w:sz="4" w:space="0" w:color="auto"/>
            </w:tcBorders>
            <w:noWrap/>
            <w:vAlign w:val="bottom"/>
            <w:hideMark/>
          </w:tcPr>
          <w:p w14:paraId="3496B24E"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8773</w:t>
            </w:r>
          </w:p>
        </w:tc>
        <w:tc>
          <w:tcPr>
            <w:tcW w:w="0" w:type="auto"/>
            <w:tcBorders>
              <w:top w:val="nil"/>
              <w:left w:val="nil"/>
              <w:bottom w:val="single" w:sz="4" w:space="0" w:color="auto"/>
              <w:right w:val="single" w:sz="4" w:space="0" w:color="auto"/>
            </w:tcBorders>
            <w:noWrap/>
            <w:vAlign w:val="bottom"/>
            <w:hideMark/>
          </w:tcPr>
          <w:p w14:paraId="1443320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5788</w:t>
            </w:r>
          </w:p>
        </w:tc>
        <w:tc>
          <w:tcPr>
            <w:tcW w:w="0" w:type="auto"/>
            <w:tcBorders>
              <w:top w:val="nil"/>
              <w:left w:val="nil"/>
              <w:bottom w:val="single" w:sz="4" w:space="0" w:color="auto"/>
              <w:right w:val="single" w:sz="4" w:space="0" w:color="auto"/>
            </w:tcBorders>
            <w:noWrap/>
            <w:vAlign w:val="bottom"/>
            <w:hideMark/>
          </w:tcPr>
          <w:p w14:paraId="70E217C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CB6BE6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9B2529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9179CB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9E4BA8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5A3EA0D6"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67D3951B"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B0C24F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BF40B9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C6DD8E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D27EEF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0073EA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0FBDDC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9788D0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0C684E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AE48EF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D4CA04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FAD666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50EBE1DE"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2FAD11A7"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Net profit margin (%)</w:t>
            </w:r>
          </w:p>
        </w:tc>
        <w:tc>
          <w:tcPr>
            <w:tcW w:w="0" w:type="auto"/>
            <w:tcBorders>
              <w:top w:val="nil"/>
              <w:left w:val="nil"/>
              <w:bottom w:val="single" w:sz="4" w:space="0" w:color="auto"/>
              <w:right w:val="single" w:sz="4" w:space="0" w:color="auto"/>
            </w:tcBorders>
            <w:noWrap/>
            <w:vAlign w:val="bottom"/>
            <w:hideMark/>
          </w:tcPr>
          <w:p w14:paraId="1D8AFA5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Net income</w:t>
            </w:r>
          </w:p>
        </w:tc>
        <w:tc>
          <w:tcPr>
            <w:tcW w:w="0" w:type="auto"/>
            <w:tcBorders>
              <w:top w:val="nil"/>
              <w:left w:val="nil"/>
              <w:bottom w:val="single" w:sz="4" w:space="0" w:color="auto"/>
              <w:right w:val="single" w:sz="4" w:space="0" w:color="auto"/>
            </w:tcBorders>
            <w:noWrap/>
            <w:vAlign w:val="bottom"/>
            <w:hideMark/>
          </w:tcPr>
          <w:p w14:paraId="77B22701"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1461</w:t>
            </w:r>
          </w:p>
        </w:tc>
        <w:tc>
          <w:tcPr>
            <w:tcW w:w="0" w:type="auto"/>
            <w:tcBorders>
              <w:top w:val="nil"/>
              <w:left w:val="nil"/>
              <w:bottom w:val="single" w:sz="4" w:space="0" w:color="auto"/>
              <w:right w:val="single" w:sz="4" w:space="0" w:color="auto"/>
            </w:tcBorders>
            <w:noWrap/>
            <w:vAlign w:val="bottom"/>
            <w:hideMark/>
          </w:tcPr>
          <w:p w14:paraId="088F3DF0"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1539</w:t>
            </w:r>
          </w:p>
        </w:tc>
        <w:tc>
          <w:tcPr>
            <w:tcW w:w="0" w:type="auto"/>
            <w:tcBorders>
              <w:top w:val="nil"/>
              <w:left w:val="nil"/>
              <w:bottom w:val="single" w:sz="4" w:space="0" w:color="auto"/>
              <w:right w:val="single" w:sz="4" w:space="0" w:color="auto"/>
            </w:tcBorders>
            <w:noWrap/>
            <w:vAlign w:val="bottom"/>
            <w:hideMark/>
          </w:tcPr>
          <w:p w14:paraId="7A47DB4D"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1151</w:t>
            </w:r>
          </w:p>
        </w:tc>
        <w:tc>
          <w:tcPr>
            <w:tcW w:w="0" w:type="auto"/>
            <w:tcBorders>
              <w:top w:val="nil"/>
              <w:left w:val="nil"/>
              <w:bottom w:val="single" w:sz="4" w:space="0" w:color="auto"/>
              <w:right w:val="single" w:sz="4" w:space="0" w:color="auto"/>
            </w:tcBorders>
            <w:noWrap/>
            <w:vAlign w:val="bottom"/>
            <w:hideMark/>
          </w:tcPr>
          <w:p w14:paraId="31B5253D"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1257</w:t>
            </w:r>
          </w:p>
        </w:tc>
        <w:tc>
          <w:tcPr>
            <w:tcW w:w="0" w:type="auto"/>
            <w:tcBorders>
              <w:top w:val="nil"/>
              <w:left w:val="nil"/>
              <w:bottom w:val="single" w:sz="4" w:space="0" w:color="auto"/>
              <w:right w:val="single" w:sz="4" w:space="0" w:color="auto"/>
            </w:tcBorders>
            <w:noWrap/>
            <w:vAlign w:val="bottom"/>
            <w:hideMark/>
          </w:tcPr>
          <w:p w14:paraId="0D62703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407</w:t>
            </w:r>
          </w:p>
        </w:tc>
        <w:tc>
          <w:tcPr>
            <w:tcW w:w="0" w:type="auto"/>
            <w:tcBorders>
              <w:top w:val="nil"/>
              <w:left w:val="nil"/>
              <w:bottom w:val="single" w:sz="4" w:space="0" w:color="auto"/>
              <w:right w:val="single" w:sz="4" w:space="0" w:color="auto"/>
            </w:tcBorders>
            <w:noWrap/>
            <w:vAlign w:val="bottom"/>
            <w:hideMark/>
          </w:tcPr>
          <w:p w14:paraId="1477229B"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12.14%</w:t>
            </w:r>
          </w:p>
        </w:tc>
        <w:tc>
          <w:tcPr>
            <w:tcW w:w="0" w:type="auto"/>
            <w:tcBorders>
              <w:top w:val="nil"/>
              <w:left w:val="nil"/>
              <w:bottom w:val="single" w:sz="4" w:space="0" w:color="auto"/>
              <w:right w:val="single" w:sz="4" w:space="0" w:color="auto"/>
            </w:tcBorders>
            <w:noWrap/>
            <w:vAlign w:val="bottom"/>
            <w:hideMark/>
          </w:tcPr>
          <w:p w14:paraId="39775220"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13.77%</w:t>
            </w:r>
          </w:p>
        </w:tc>
        <w:tc>
          <w:tcPr>
            <w:tcW w:w="0" w:type="auto"/>
            <w:tcBorders>
              <w:top w:val="nil"/>
              <w:left w:val="nil"/>
              <w:bottom w:val="single" w:sz="4" w:space="0" w:color="auto"/>
              <w:right w:val="single" w:sz="4" w:space="0" w:color="auto"/>
            </w:tcBorders>
            <w:noWrap/>
            <w:vAlign w:val="bottom"/>
            <w:hideMark/>
          </w:tcPr>
          <w:p w14:paraId="319669D8"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11.25%</w:t>
            </w:r>
          </w:p>
        </w:tc>
        <w:tc>
          <w:tcPr>
            <w:tcW w:w="0" w:type="auto"/>
            <w:tcBorders>
              <w:top w:val="nil"/>
              <w:left w:val="nil"/>
              <w:bottom w:val="single" w:sz="4" w:space="0" w:color="auto"/>
              <w:right w:val="single" w:sz="4" w:space="0" w:color="auto"/>
            </w:tcBorders>
            <w:noWrap/>
            <w:vAlign w:val="bottom"/>
            <w:hideMark/>
          </w:tcPr>
          <w:p w14:paraId="72676399"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14.33%</w:t>
            </w:r>
          </w:p>
        </w:tc>
        <w:tc>
          <w:tcPr>
            <w:tcW w:w="0" w:type="auto"/>
            <w:tcBorders>
              <w:top w:val="nil"/>
              <w:left w:val="nil"/>
              <w:bottom w:val="single" w:sz="4" w:space="0" w:color="auto"/>
              <w:right w:val="single" w:sz="4" w:space="0" w:color="auto"/>
            </w:tcBorders>
            <w:noWrap/>
            <w:vAlign w:val="bottom"/>
            <w:hideMark/>
          </w:tcPr>
          <w:p w14:paraId="0364E683"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7.03%</w:t>
            </w:r>
          </w:p>
        </w:tc>
      </w:tr>
      <w:tr w:rsidR="00987E51" w:rsidRPr="00CB4CDE" w14:paraId="0585285E"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0444D6EC"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FF5C3F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Sales revenues</w:t>
            </w:r>
          </w:p>
        </w:tc>
        <w:tc>
          <w:tcPr>
            <w:tcW w:w="0" w:type="auto"/>
            <w:tcBorders>
              <w:top w:val="nil"/>
              <w:left w:val="nil"/>
              <w:bottom w:val="single" w:sz="4" w:space="0" w:color="auto"/>
              <w:right w:val="single" w:sz="4" w:space="0" w:color="auto"/>
            </w:tcBorders>
            <w:noWrap/>
            <w:vAlign w:val="bottom"/>
            <w:hideMark/>
          </w:tcPr>
          <w:p w14:paraId="726BEFA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12039</w:t>
            </w:r>
          </w:p>
        </w:tc>
        <w:tc>
          <w:tcPr>
            <w:tcW w:w="0" w:type="auto"/>
            <w:tcBorders>
              <w:top w:val="nil"/>
              <w:left w:val="nil"/>
              <w:bottom w:val="single" w:sz="4" w:space="0" w:color="auto"/>
              <w:right w:val="single" w:sz="4" w:space="0" w:color="auto"/>
            </w:tcBorders>
            <w:noWrap/>
            <w:vAlign w:val="bottom"/>
            <w:hideMark/>
          </w:tcPr>
          <w:p w14:paraId="31D710AD"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11174</w:t>
            </w:r>
          </w:p>
        </w:tc>
        <w:tc>
          <w:tcPr>
            <w:tcW w:w="0" w:type="auto"/>
            <w:tcBorders>
              <w:top w:val="nil"/>
              <w:left w:val="nil"/>
              <w:bottom w:val="single" w:sz="4" w:space="0" w:color="auto"/>
              <w:right w:val="single" w:sz="4" w:space="0" w:color="auto"/>
            </w:tcBorders>
            <w:noWrap/>
            <w:vAlign w:val="bottom"/>
            <w:hideMark/>
          </w:tcPr>
          <w:p w14:paraId="22A7795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10235</w:t>
            </w:r>
          </w:p>
        </w:tc>
        <w:tc>
          <w:tcPr>
            <w:tcW w:w="0" w:type="auto"/>
            <w:tcBorders>
              <w:top w:val="nil"/>
              <w:left w:val="nil"/>
              <w:bottom w:val="single" w:sz="4" w:space="0" w:color="auto"/>
              <w:right w:val="single" w:sz="4" w:space="0" w:color="auto"/>
            </w:tcBorders>
            <w:noWrap/>
            <w:vAlign w:val="bottom"/>
            <w:hideMark/>
          </w:tcPr>
          <w:p w14:paraId="0DE5E24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8773</w:t>
            </w:r>
          </w:p>
        </w:tc>
        <w:tc>
          <w:tcPr>
            <w:tcW w:w="0" w:type="auto"/>
            <w:tcBorders>
              <w:top w:val="nil"/>
              <w:left w:val="nil"/>
              <w:bottom w:val="single" w:sz="4" w:space="0" w:color="auto"/>
              <w:right w:val="single" w:sz="4" w:space="0" w:color="auto"/>
            </w:tcBorders>
            <w:noWrap/>
            <w:vAlign w:val="bottom"/>
            <w:hideMark/>
          </w:tcPr>
          <w:p w14:paraId="4727A7EC"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5788</w:t>
            </w:r>
          </w:p>
        </w:tc>
        <w:tc>
          <w:tcPr>
            <w:tcW w:w="0" w:type="auto"/>
            <w:tcBorders>
              <w:top w:val="nil"/>
              <w:left w:val="nil"/>
              <w:bottom w:val="single" w:sz="4" w:space="0" w:color="auto"/>
              <w:right w:val="single" w:sz="4" w:space="0" w:color="auto"/>
            </w:tcBorders>
            <w:noWrap/>
            <w:vAlign w:val="bottom"/>
            <w:hideMark/>
          </w:tcPr>
          <w:p w14:paraId="5761DD8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07D5BB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435429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A4982E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12F0FF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097B9142"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606A4E40"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948EA1C"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D4A349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2D0B82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C35C9E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690321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4DE374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BFA9A7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804CFF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BAB704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AFE3D9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68C8FF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01343F9E"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64805024"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Return on equity (%)</w:t>
            </w:r>
          </w:p>
        </w:tc>
        <w:tc>
          <w:tcPr>
            <w:tcW w:w="0" w:type="auto"/>
            <w:tcBorders>
              <w:top w:val="nil"/>
              <w:left w:val="nil"/>
              <w:bottom w:val="single" w:sz="4" w:space="0" w:color="auto"/>
              <w:right w:val="single" w:sz="4" w:space="0" w:color="auto"/>
            </w:tcBorders>
            <w:noWrap/>
            <w:vAlign w:val="bottom"/>
            <w:hideMark/>
          </w:tcPr>
          <w:p w14:paraId="298F53A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Net income to stockholders</w:t>
            </w:r>
          </w:p>
        </w:tc>
        <w:tc>
          <w:tcPr>
            <w:tcW w:w="0" w:type="auto"/>
            <w:tcBorders>
              <w:top w:val="nil"/>
              <w:left w:val="nil"/>
              <w:bottom w:val="single" w:sz="4" w:space="0" w:color="auto"/>
              <w:right w:val="single" w:sz="4" w:space="0" w:color="auto"/>
            </w:tcBorders>
            <w:noWrap/>
            <w:vAlign w:val="bottom"/>
            <w:hideMark/>
          </w:tcPr>
          <w:p w14:paraId="7A8876E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1457</w:t>
            </w:r>
          </w:p>
        </w:tc>
        <w:tc>
          <w:tcPr>
            <w:tcW w:w="0" w:type="auto"/>
            <w:tcBorders>
              <w:top w:val="nil"/>
              <w:left w:val="nil"/>
              <w:bottom w:val="single" w:sz="4" w:space="0" w:color="auto"/>
              <w:right w:val="single" w:sz="4" w:space="0" w:color="auto"/>
            </w:tcBorders>
            <w:noWrap/>
            <w:vAlign w:val="bottom"/>
            <w:hideMark/>
          </w:tcPr>
          <w:p w14:paraId="6046117F"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1535</w:t>
            </w:r>
          </w:p>
        </w:tc>
        <w:tc>
          <w:tcPr>
            <w:tcW w:w="0" w:type="auto"/>
            <w:tcBorders>
              <w:top w:val="nil"/>
              <w:left w:val="nil"/>
              <w:bottom w:val="single" w:sz="4" w:space="0" w:color="auto"/>
              <w:right w:val="single" w:sz="4" w:space="0" w:color="auto"/>
            </w:tcBorders>
            <w:noWrap/>
            <w:vAlign w:val="bottom"/>
            <w:hideMark/>
          </w:tcPr>
          <w:p w14:paraId="7B1A1AF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1141</w:t>
            </w:r>
          </w:p>
        </w:tc>
        <w:tc>
          <w:tcPr>
            <w:tcW w:w="0" w:type="auto"/>
            <w:tcBorders>
              <w:top w:val="nil"/>
              <w:left w:val="nil"/>
              <w:bottom w:val="single" w:sz="4" w:space="0" w:color="auto"/>
              <w:right w:val="single" w:sz="4" w:space="0" w:color="auto"/>
            </w:tcBorders>
            <w:noWrap/>
            <w:vAlign w:val="bottom"/>
            <w:hideMark/>
          </w:tcPr>
          <w:p w14:paraId="338949CD"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1255</w:t>
            </w:r>
          </w:p>
        </w:tc>
        <w:tc>
          <w:tcPr>
            <w:tcW w:w="0" w:type="auto"/>
            <w:tcBorders>
              <w:top w:val="nil"/>
              <w:left w:val="nil"/>
              <w:bottom w:val="single" w:sz="4" w:space="0" w:color="auto"/>
              <w:right w:val="single" w:sz="4" w:space="0" w:color="auto"/>
            </w:tcBorders>
            <w:noWrap/>
            <w:vAlign w:val="bottom"/>
            <w:hideMark/>
          </w:tcPr>
          <w:p w14:paraId="34E10FD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410</w:t>
            </w:r>
          </w:p>
        </w:tc>
        <w:tc>
          <w:tcPr>
            <w:tcW w:w="0" w:type="auto"/>
            <w:tcBorders>
              <w:top w:val="nil"/>
              <w:left w:val="nil"/>
              <w:bottom w:val="single" w:sz="4" w:space="0" w:color="auto"/>
              <w:right w:val="single" w:sz="4" w:space="0" w:color="auto"/>
            </w:tcBorders>
            <w:noWrap/>
            <w:vAlign w:val="bottom"/>
            <w:hideMark/>
          </w:tcPr>
          <w:p w14:paraId="3928B6AB"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-27.19%</w:t>
            </w:r>
          </w:p>
        </w:tc>
        <w:tc>
          <w:tcPr>
            <w:tcW w:w="0" w:type="auto"/>
            <w:tcBorders>
              <w:top w:val="nil"/>
              <w:left w:val="nil"/>
              <w:bottom w:val="single" w:sz="4" w:space="0" w:color="auto"/>
              <w:right w:val="single" w:sz="4" w:space="0" w:color="auto"/>
            </w:tcBorders>
            <w:noWrap/>
            <w:vAlign w:val="bottom"/>
            <w:hideMark/>
          </w:tcPr>
          <w:p w14:paraId="69F48D9E"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-41.42%</w:t>
            </w:r>
          </w:p>
        </w:tc>
        <w:tc>
          <w:tcPr>
            <w:tcW w:w="0" w:type="auto"/>
            <w:tcBorders>
              <w:top w:val="nil"/>
              <w:left w:val="nil"/>
              <w:bottom w:val="single" w:sz="4" w:space="0" w:color="auto"/>
              <w:right w:val="single" w:sz="4" w:space="0" w:color="auto"/>
            </w:tcBorders>
            <w:noWrap/>
            <w:vAlign w:val="bottom"/>
            <w:hideMark/>
          </w:tcPr>
          <w:p w14:paraId="65E9DBE2"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-48.62%</w:t>
            </w:r>
          </w:p>
        </w:tc>
        <w:tc>
          <w:tcPr>
            <w:tcW w:w="0" w:type="auto"/>
            <w:tcBorders>
              <w:top w:val="nil"/>
              <w:left w:val="nil"/>
              <w:bottom w:val="single" w:sz="4" w:space="0" w:color="auto"/>
              <w:right w:val="single" w:sz="4" w:space="0" w:color="auto"/>
            </w:tcBorders>
            <w:noWrap/>
            <w:vAlign w:val="bottom"/>
            <w:hideMark/>
          </w:tcPr>
          <w:p w14:paraId="57A5661C"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-114.30%</w:t>
            </w:r>
          </w:p>
        </w:tc>
        <w:tc>
          <w:tcPr>
            <w:tcW w:w="0" w:type="auto"/>
            <w:tcBorders>
              <w:top w:val="nil"/>
              <w:left w:val="nil"/>
              <w:bottom w:val="single" w:sz="4" w:space="0" w:color="auto"/>
              <w:right w:val="single" w:sz="4" w:space="0" w:color="auto"/>
            </w:tcBorders>
            <w:noWrap/>
            <w:vAlign w:val="bottom"/>
            <w:hideMark/>
          </w:tcPr>
          <w:p w14:paraId="7F4B276B" w14:textId="77777777" w:rsidR="00987E51" w:rsidRPr="00CB4CDE" w:rsidRDefault="00987E51" w:rsidP="00987E51">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-50.06%</w:t>
            </w:r>
          </w:p>
        </w:tc>
      </w:tr>
      <w:tr w:rsidR="00987E51" w:rsidRPr="00CB4CDE" w14:paraId="0487D99A"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4C793AB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1CF09D3" w14:textId="222AC908" w:rsidR="00987E51" w:rsidRPr="00CB4CDE" w:rsidRDefault="008C30A3"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Shareholders’</w:t>
            </w:r>
            <w:r w:rsidR="00987E51" w:rsidRPr="00CB4CDE">
              <w:rPr>
                <w:rFonts w:ascii="Arial" w:eastAsia="Times New Roman" w:hAnsi="Arial" w:cs="Arial"/>
                <w:color w:val="000000"/>
                <w:kern w:val="0"/>
                <w14:ligatures w14:val="none"/>
              </w:rPr>
              <w:t xml:space="preserve"> equity</w:t>
            </w:r>
          </w:p>
        </w:tc>
        <w:tc>
          <w:tcPr>
            <w:tcW w:w="0" w:type="auto"/>
            <w:tcBorders>
              <w:top w:val="nil"/>
              <w:left w:val="nil"/>
              <w:bottom w:val="single" w:sz="4" w:space="0" w:color="auto"/>
              <w:right w:val="single" w:sz="4" w:space="0" w:color="auto"/>
            </w:tcBorders>
            <w:noWrap/>
            <w:vAlign w:val="bottom"/>
            <w:hideMark/>
          </w:tcPr>
          <w:p w14:paraId="5EB8CC8D"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-5359</w:t>
            </w:r>
          </w:p>
        </w:tc>
        <w:tc>
          <w:tcPr>
            <w:tcW w:w="0" w:type="auto"/>
            <w:tcBorders>
              <w:top w:val="nil"/>
              <w:left w:val="nil"/>
              <w:bottom w:val="single" w:sz="4" w:space="0" w:color="auto"/>
              <w:right w:val="single" w:sz="4" w:space="0" w:color="auto"/>
            </w:tcBorders>
            <w:noWrap/>
            <w:vAlign w:val="bottom"/>
            <w:hideMark/>
          </w:tcPr>
          <w:p w14:paraId="728C2273"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-3706</w:t>
            </w:r>
          </w:p>
        </w:tc>
        <w:tc>
          <w:tcPr>
            <w:tcW w:w="0" w:type="auto"/>
            <w:tcBorders>
              <w:top w:val="nil"/>
              <w:left w:val="nil"/>
              <w:bottom w:val="single" w:sz="4" w:space="0" w:color="auto"/>
              <w:right w:val="single" w:sz="4" w:space="0" w:color="auto"/>
            </w:tcBorders>
            <w:noWrap/>
            <w:vAlign w:val="bottom"/>
            <w:hideMark/>
          </w:tcPr>
          <w:p w14:paraId="05127ED5"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-2347</w:t>
            </w:r>
          </w:p>
        </w:tc>
        <w:tc>
          <w:tcPr>
            <w:tcW w:w="0" w:type="auto"/>
            <w:tcBorders>
              <w:top w:val="nil"/>
              <w:left w:val="nil"/>
              <w:bottom w:val="single" w:sz="4" w:space="0" w:color="auto"/>
              <w:right w:val="single" w:sz="4" w:space="0" w:color="auto"/>
            </w:tcBorders>
            <w:noWrap/>
            <w:vAlign w:val="bottom"/>
            <w:hideMark/>
          </w:tcPr>
          <w:p w14:paraId="319857F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-1098</w:t>
            </w:r>
          </w:p>
        </w:tc>
        <w:tc>
          <w:tcPr>
            <w:tcW w:w="0" w:type="auto"/>
            <w:tcBorders>
              <w:top w:val="nil"/>
              <w:left w:val="nil"/>
              <w:bottom w:val="single" w:sz="4" w:space="0" w:color="auto"/>
              <w:right w:val="single" w:sz="4" w:space="0" w:color="auto"/>
            </w:tcBorders>
            <w:noWrap/>
            <w:vAlign w:val="bottom"/>
            <w:hideMark/>
          </w:tcPr>
          <w:p w14:paraId="3C738D7A"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-819</w:t>
            </w:r>
          </w:p>
        </w:tc>
        <w:tc>
          <w:tcPr>
            <w:tcW w:w="0" w:type="auto"/>
            <w:tcBorders>
              <w:top w:val="nil"/>
              <w:left w:val="nil"/>
              <w:bottom w:val="single" w:sz="4" w:space="0" w:color="auto"/>
              <w:right w:val="single" w:sz="4" w:space="0" w:color="auto"/>
            </w:tcBorders>
            <w:noWrap/>
            <w:vAlign w:val="bottom"/>
            <w:hideMark/>
          </w:tcPr>
          <w:p w14:paraId="380746A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A2D690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B220F0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4A733D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D7CB71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4A689274"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6AB394E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66539D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468BC9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118556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D9255F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1F8F26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678DF3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61833D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989E7C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A8D458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8B171D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A69DDA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0CA72AD2"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28C736B2" w14:textId="77777777" w:rsidR="00987E51" w:rsidRPr="00CB4CDE" w:rsidRDefault="00987E51" w:rsidP="00987E51">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Liquidity ratios</w:t>
            </w:r>
          </w:p>
        </w:tc>
        <w:tc>
          <w:tcPr>
            <w:tcW w:w="0" w:type="auto"/>
            <w:tcBorders>
              <w:top w:val="nil"/>
              <w:left w:val="nil"/>
              <w:bottom w:val="single" w:sz="4" w:space="0" w:color="auto"/>
              <w:right w:val="single" w:sz="4" w:space="0" w:color="auto"/>
            </w:tcBorders>
            <w:noWrap/>
            <w:vAlign w:val="bottom"/>
            <w:hideMark/>
          </w:tcPr>
          <w:p w14:paraId="7D8A1A3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61D6C4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1CEC83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4E3AE3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D9F2B5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E4EFE7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7846B3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E11732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E7C2B3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C919FD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9AEA97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5AC28A6C"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04227ACE"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Current ratio</w:t>
            </w:r>
          </w:p>
        </w:tc>
        <w:tc>
          <w:tcPr>
            <w:tcW w:w="0" w:type="auto"/>
            <w:tcBorders>
              <w:top w:val="nil"/>
              <w:left w:val="nil"/>
              <w:bottom w:val="single" w:sz="4" w:space="0" w:color="auto"/>
              <w:right w:val="single" w:sz="4" w:space="0" w:color="auto"/>
            </w:tcBorders>
            <w:noWrap/>
            <w:vAlign w:val="bottom"/>
            <w:hideMark/>
          </w:tcPr>
          <w:p w14:paraId="39CDF35F"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Current assets</w:t>
            </w:r>
          </w:p>
        </w:tc>
        <w:tc>
          <w:tcPr>
            <w:tcW w:w="0" w:type="auto"/>
            <w:tcBorders>
              <w:top w:val="nil"/>
              <w:left w:val="nil"/>
              <w:bottom w:val="single" w:sz="4" w:space="0" w:color="auto"/>
              <w:right w:val="single" w:sz="4" w:space="0" w:color="auto"/>
            </w:tcBorders>
            <w:noWrap/>
            <w:vAlign w:val="bottom"/>
            <w:hideMark/>
          </w:tcPr>
          <w:p w14:paraId="2CFE68BE"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2996</w:t>
            </w:r>
          </w:p>
        </w:tc>
        <w:tc>
          <w:tcPr>
            <w:tcW w:w="0" w:type="auto"/>
            <w:tcBorders>
              <w:top w:val="nil"/>
              <w:left w:val="nil"/>
              <w:bottom w:val="single" w:sz="4" w:space="0" w:color="auto"/>
              <w:right w:val="single" w:sz="4" w:space="0" w:color="auto"/>
            </w:tcBorders>
            <w:noWrap/>
            <w:vAlign w:val="bottom"/>
            <w:hideMark/>
          </w:tcPr>
          <w:p w14:paraId="370503B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3272</w:t>
            </w:r>
          </w:p>
        </w:tc>
        <w:tc>
          <w:tcPr>
            <w:tcW w:w="0" w:type="auto"/>
            <w:tcBorders>
              <w:top w:val="nil"/>
              <w:left w:val="nil"/>
              <w:bottom w:val="single" w:sz="4" w:space="0" w:color="auto"/>
              <w:right w:val="single" w:sz="4" w:space="0" w:color="auto"/>
            </w:tcBorders>
            <w:noWrap/>
            <w:vAlign w:val="bottom"/>
            <w:hideMark/>
          </w:tcPr>
          <w:p w14:paraId="566C29E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2614</w:t>
            </w:r>
          </w:p>
        </w:tc>
        <w:tc>
          <w:tcPr>
            <w:tcW w:w="0" w:type="auto"/>
            <w:tcBorders>
              <w:top w:val="nil"/>
              <w:left w:val="nil"/>
              <w:bottom w:val="single" w:sz="4" w:space="0" w:color="auto"/>
              <w:right w:val="single" w:sz="4" w:space="0" w:color="auto"/>
            </w:tcBorders>
            <w:noWrap/>
            <w:vAlign w:val="bottom"/>
            <w:hideMark/>
          </w:tcPr>
          <w:p w14:paraId="0E90FD2F"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2870</w:t>
            </w:r>
          </w:p>
        </w:tc>
        <w:tc>
          <w:tcPr>
            <w:tcW w:w="0" w:type="auto"/>
            <w:tcBorders>
              <w:top w:val="nil"/>
              <w:left w:val="nil"/>
              <w:bottom w:val="single" w:sz="4" w:space="0" w:color="auto"/>
              <w:right w:val="single" w:sz="4" w:space="0" w:color="auto"/>
            </w:tcBorders>
            <w:noWrap/>
            <w:vAlign w:val="bottom"/>
            <w:hideMark/>
          </w:tcPr>
          <w:p w14:paraId="6B4D9B4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2871</w:t>
            </w:r>
          </w:p>
        </w:tc>
        <w:tc>
          <w:tcPr>
            <w:tcW w:w="0" w:type="auto"/>
            <w:tcBorders>
              <w:top w:val="nil"/>
              <w:left w:val="nil"/>
              <w:bottom w:val="single" w:sz="4" w:space="0" w:color="auto"/>
              <w:right w:val="single" w:sz="4" w:space="0" w:color="auto"/>
            </w:tcBorders>
            <w:noWrap/>
            <w:vAlign w:val="bottom"/>
            <w:hideMark/>
          </w:tcPr>
          <w:p w14:paraId="1B4A331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0.66</w:t>
            </w:r>
          </w:p>
        </w:tc>
        <w:tc>
          <w:tcPr>
            <w:tcW w:w="0" w:type="auto"/>
            <w:tcBorders>
              <w:top w:val="nil"/>
              <w:left w:val="nil"/>
              <w:bottom w:val="single" w:sz="4" w:space="0" w:color="auto"/>
              <w:right w:val="single" w:sz="4" w:space="0" w:color="auto"/>
            </w:tcBorders>
            <w:noWrap/>
            <w:vAlign w:val="bottom"/>
            <w:hideMark/>
          </w:tcPr>
          <w:p w14:paraId="08975DAA"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0.70</w:t>
            </w:r>
          </w:p>
        </w:tc>
        <w:tc>
          <w:tcPr>
            <w:tcW w:w="0" w:type="auto"/>
            <w:tcBorders>
              <w:top w:val="nil"/>
              <w:left w:val="nil"/>
              <w:bottom w:val="single" w:sz="4" w:space="0" w:color="auto"/>
              <w:right w:val="single" w:sz="4" w:space="0" w:color="auto"/>
            </w:tcBorders>
            <w:noWrap/>
            <w:vAlign w:val="bottom"/>
            <w:hideMark/>
          </w:tcPr>
          <w:p w14:paraId="31F107D8"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0.70</w:t>
            </w:r>
          </w:p>
        </w:tc>
        <w:tc>
          <w:tcPr>
            <w:tcW w:w="0" w:type="auto"/>
            <w:tcBorders>
              <w:top w:val="nil"/>
              <w:left w:val="nil"/>
              <w:bottom w:val="single" w:sz="4" w:space="0" w:color="auto"/>
              <w:right w:val="single" w:sz="4" w:space="0" w:color="auto"/>
            </w:tcBorders>
            <w:noWrap/>
            <w:vAlign w:val="bottom"/>
            <w:hideMark/>
          </w:tcPr>
          <w:p w14:paraId="06C6AF15"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0.85</w:t>
            </w:r>
          </w:p>
        </w:tc>
        <w:tc>
          <w:tcPr>
            <w:tcW w:w="0" w:type="auto"/>
            <w:tcBorders>
              <w:top w:val="nil"/>
              <w:left w:val="nil"/>
              <w:bottom w:val="single" w:sz="4" w:space="0" w:color="auto"/>
              <w:right w:val="single" w:sz="4" w:space="0" w:color="auto"/>
            </w:tcBorders>
            <w:noWrap/>
            <w:vAlign w:val="bottom"/>
            <w:hideMark/>
          </w:tcPr>
          <w:p w14:paraId="0F37624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0.95</w:t>
            </w:r>
          </w:p>
        </w:tc>
      </w:tr>
      <w:tr w:rsidR="00987E51" w:rsidRPr="00CB4CDE" w14:paraId="2B8947E8"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74452D6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CEB659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Current liability</w:t>
            </w:r>
          </w:p>
        </w:tc>
        <w:tc>
          <w:tcPr>
            <w:tcW w:w="0" w:type="auto"/>
            <w:tcBorders>
              <w:top w:val="nil"/>
              <w:left w:val="nil"/>
              <w:bottom w:val="single" w:sz="4" w:space="0" w:color="auto"/>
              <w:right w:val="single" w:sz="4" w:space="0" w:color="auto"/>
            </w:tcBorders>
            <w:noWrap/>
            <w:vAlign w:val="bottom"/>
            <w:hideMark/>
          </w:tcPr>
          <w:p w14:paraId="0DA4387B"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4508</w:t>
            </w:r>
          </w:p>
        </w:tc>
        <w:tc>
          <w:tcPr>
            <w:tcW w:w="0" w:type="auto"/>
            <w:tcBorders>
              <w:top w:val="nil"/>
              <w:left w:val="nil"/>
              <w:bottom w:val="single" w:sz="4" w:space="0" w:color="auto"/>
              <w:right w:val="single" w:sz="4" w:space="0" w:color="auto"/>
            </w:tcBorders>
            <w:noWrap/>
            <w:vAlign w:val="bottom"/>
            <w:hideMark/>
          </w:tcPr>
          <w:p w14:paraId="70178120"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4700</w:t>
            </w:r>
          </w:p>
        </w:tc>
        <w:tc>
          <w:tcPr>
            <w:tcW w:w="0" w:type="auto"/>
            <w:tcBorders>
              <w:top w:val="nil"/>
              <w:left w:val="nil"/>
              <w:bottom w:val="single" w:sz="4" w:space="0" w:color="auto"/>
              <w:right w:val="single" w:sz="4" w:space="0" w:color="auto"/>
            </w:tcBorders>
            <w:noWrap/>
            <w:vAlign w:val="bottom"/>
            <w:hideMark/>
          </w:tcPr>
          <w:p w14:paraId="50C19C8A"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3722</w:t>
            </w:r>
          </w:p>
        </w:tc>
        <w:tc>
          <w:tcPr>
            <w:tcW w:w="0" w:type="auto"/>
            <w:tcBorders>
              <w:top w:val="nil"/>
              <w:left w:val="nil"/>
              <w:bottom w:val="single" w:sz="4" w:space="0" w:color="auto"/>
              <w:right w:val="single" w:sz="4" w:space="0" w:color="auto"/>
            </w:tcBorders>
            <w:noWrap/>
            <w:vAlign w:val="bottom"/>
            <w:hideMark/>
          </w:tcPr>
          <w:p w14:paraId="2E9F33F9"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3372</w:t>
            </w:r>
          </w:p>
        </w:tc>
        <w:tc>
          <w:tcPr>
            <w:tcW w:w="0" w:type="auto"/>
            <w:tcBorders>
              <w:top w:val="nil"/>
              <w:left w:val="nil"/>
              <w:bottom w:val="single" w:sz="4" w:space="0" w:color="auto"/>
              <w:right w:val="single" w:sz="4" w:space="0" w:color="auto"/>
            </w:tcBorders>
            <w:noWrap/>
            <w:vAlign w:val="bottom"/>
            <w:hideMark/>
          </w:tcPr>
          <w:p w14:paraId="2C99A92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3019</w:t>
            </w:r>
          </w:p>
        </w:tc>
        <w:tc>
          <w:tcPr>
            <w:tcW w:w="0" w:type="auto"/>
            <w:tcBorders>
              <w:top w:val="nil"/>
              <w:left w:val="nil"/>
              <w:bottom w:val="single" w:sz="4" w:space="0" w:color="auto"/>
              <w:right w:val="single" w:sz="4" w:space="0" w:color="auto"/>
            </w:tcBorders>
            <w:noWrap/>
            <w:vAlign w:val="bottom"/>
            <w:hideMark/>
          </w:tcPr>
          <w:p w14:paraId="1DFA306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21EC77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1D6EBF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D27EE8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FF66B8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105ED860"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4C986BF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E72D706"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6AFB10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D2868E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24D920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4E7F939"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250E204"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3FB72E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074757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ECA424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05C4EB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043B40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288AA6F2"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219F8E34"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ratio</w:t>
            </w:r>
          </w:p>
        </w:tc>
        <w:tc>
          <w:tcPr>
            <w:tcW w:w="0" w:type="auto"/>
            <w:tcBorders>
              <w:top w:val="nil"/>
              <w:left w:val="nil"/>
              <w:bottom w:val="single" w:sz="4" w:space="0" w:color="auto"/>
              <w:right w:val="single" w:sz="4" w:space="0" w:color="auto"/>
            </w:tcBorders>
            <w:noWrap/>
            <w:vAlign w:val="bottom"/>
            <w:hideMark/>
          </w:tcPr>
          <w:p w14:paraId="011F24A1"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Cash and cash equivalents</w:t>
            </w:r>
          </w:p>
        </w:tc>
        <w:tc>
          <w:tcPr>
            <w:tcW w:w="0" w:type="auto"/>
            <w:tcBorders>
              <w:top w:val="nil"/>
              <w:left w:val="nil"/>
              <w:bottom w:val="single" w:sz="4" w:space="0" w:color="auto"/>
              <w:right w:val="single" w:sz="4" w:space="0" w:color="auto"/>
            </w:tcBorders>
            <w:noWrap/>
            <w:vAlign w:val="bottom"/>
            <w:hideMark/>
          </w:tcPr>
          <w:p w14:paraId="22CCEFC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918</w:t>
            </w:r>
          </w:p>
        </w:tc>
        <w:tc>
          <w:tcPr>
            <w:tcW w:w="0" w:type="auto"/>
            <w:tcBorders>
              <w:top w:val="nil"/>
              <w:left w:val="nil"/>
              <w:bottom w:val="single" w:sz="4" w:space="0" w:color="auto"/>
              <w:right w:val="single" w:sz="4" w:space="0" w:color="auto"/>
            </w:tcBorders>
            <w:noWrap/>
            <w:vAlign w:val="bottom"/>
            <w:hideMark/>
          </w:tcPr>
          <w:p w14:paraId="2B16B2F5"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1301</w:t>
            </w:r>
          </w:p>
        </w:tc>
        <w:tc>
          <w:tcPr>
            <w:tcW w:w="0" w:type="auto"/>
            <w:tcBorders>
              <w:top w:val="nil"/>
              <w:left w:val="nil"/>
              <w:bottom w:val="single" w:sz="4" w:space="0" w:color="auto"/>
              <w:right w:val="single" w:sz="4" w:space="0" w:color="auto"/>
            </w:tcBorders>
            <w:noWrap/>
            <w:vAlign w:val="bottom"/>
            <w:hideMark/>
          </w:tcPr>
          <w:p w14:paraId="20DC18F1"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800</w:t>
            </w:r>
          </w:p>
        </w:tc>
        <w:tc>
          <w:tcPr>
            <w:tcW w:w="0" w:type="auto"/>
            <w:tcBorders>
              <w:top w:val="nil"/>
              <w:left w:val="nil"/>
              <w:bottom w:val="single" w:sz="4" w:space="0" w:color="auto"/>
              <w:right w:val="single" w:sz="4" w:space="0" w:color="auto"/>
            </w:tcBorders>
            <w:noWrap/>
            <w:vAlign w:val="bottom"/>
            <w:hideMark/>
          </w:tcPr>
          <w:p w14:paraId="36B58CA9"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1209</w:t>
            </w:r>
          </w:p>
        </w:tc>
        <w:tc>
          <w:tcPr>
            <w:tcW w:w="0" w:type="auto"/>
            <w:tcBorders>
              <w:top w:val="nil"/>
              <w:left w:val="nil"/>
              <w:bottom w:val="single" w:sz="4" w:space="0" w:color="auto"/>
              <w:right w:val="single" w:sz="4" w:space="0" w:color="auto"/>
            </w:tcBorders>
            <w:noWrap/>
            <w:vAlign w:val="bottom"/>
            <w:hideMark/>
          </w:tcPr>
          <w:p w14:paraId="6DE20CF1"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1427</w:t>
            </w:r>
          </w:p>
        </w:tc>
        <w:tc>
          <w:tcPr>
            <w:tcW w:w="0" w:type="auto"/>
            <w:tcBorders>
              <w:top w:val="nil"/>
              <w:left w:val="nil"/>
              <w:bottom w:val="single" w:sz="4" w:space="0" w:color="auto"/>
              <w:right w:val="single" w:sz="4" w:space="0" w:color="auto"/>
            </w:tcBorders>
            <w:noWrap/>
            <w:vAlign w:val="bottom"/>
            <w:hideMark/>
          </w:tcPr>
          <w:p w14:paraId="14175E1C"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0.20</w:t>
            </w:r>
          </w:p>
        </w:tc>
        <w:tc>
          <w:tcPr>
            <w:tcW w:w="0" w:type="auto"/>
            <w:tcBorders>
              <w:top w:val="nil"/>
              <w:left w:val="nil"/>
              <w:bottom w:val="single" w:sz="4" w:space="0" w:color="auto"/>
              <w:right w:val="single" w:sz="4" w:space="0" w:color="auto"/>
            </w:tcBorders>
            <w:noWrap/>
            <w:vAlign w:val="bottom"/>
            <w:hideMark/>
          </w:tcPr>
          <w:p w14:paraId="5F8202A8"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0.28</w:t>
            </w:r>
          </w:p>
        </w:tc>
        <w:tc>
          <w:tcPr>
            <w:tcW w:w="0" w:type="auto"/>
            <w:tcBorders>
              <w:top w:val="nil"/>
              <w:left w:val="nil"/>
              <w:bottom w:val="single" w:sz="4" w:space="0" w:color="auto"/>
              <w:right w:val="single" w:sz="4" w:space="0" w:color="auto"/>
            </w:tcBorders>
            <w:noWrap/>
            <w:vAlign w:val="bottom"/>
            <w:hideMark/>
          </w:tcPr>
          <w:p w14:paraId="19ACC080"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0.21</w:t>
            </w:r>
          </w:p>
        </w:tc>
        <w:tc>
          <w:tcPr>
            <w:tcW w:w="0" w:type="auto"/>
            <w:tcBorders>
              <w:top w:val="nil"/>
              <w:left w:val="nil"/>
              <w:bottom w:val="single" w:sz="4" w:space="0" w:color="auto"/>
              <w:right w:val="single" w:sz="4" w:space="0" w:color="auto"/>
            </w:tcBorders>
            <w:noWrap/>
            <w:vAlign w:val="bottom"/>
            <w:hideMark/>
          </w:tcPr>
          <w:p w14:paraId="13619D55"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0.36</w:t>
            </w:r>
          </w:p>
        </w:tc>
        <w:tc>
          <w:tcPr>
            <w:tcW w:w="0" w:type="auto"/>
            <w:tcBorders>
              <w:top w:val="nil"/>
              <w:left w:val="nil"/>
              <w:bottom w:val="single" w:sz="4" w:space="0" w:color="auto"/>
              <w:right w:val="single" w:sz="4" w:space="0" w:color="auto"/>
            </w:tcBorders>
            <w:noWrap/>
            <w:vAlign w:val="bottom"/>
            <w:hideMark/>
          </w:tcPr>
          <w:p w14:paraId="22DD8D83"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0.47</w:t>
            </w:r>
          </w:p>
        </w:tc>
      </w:tr>
      <w:tr w:rsidR="00987E51" w:rsidRPr="00CB4CDE" w14:paraId="2FFAC9F1"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6A3348E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C80F8EC"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Current liability</w:t>
            </w:r>
          </w:p>
        </w:tc>
        <w:tc>
          <w:tcPr>
            <w:tcW w:w="0" w:type="auto"/>
            <w:tcBorders>
              <w:top w:val="nil"/>
              <w:left w:val="nil"/>
              <w:bottom w:val="single" w:sz="4" w:space="0" w:color="auto"/>
              <w:right w:val="single" w:sz="4" w:space="0" w:color="auto"/>
            </w:tcBorders>
            <w:noWrap/>
            <w:vAlign w:val="bottom"/>
            <w:hideMark/>
          </w:tcPr>
          <w:p w14:paraId="0ADA4D4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4508</w:t>
            </w:r>
          </w:p>
        </w:tc>
        <w:tc>
          <w:tcPr>
            <w:tcW w:w="0" w:type="auto"/>
            <w:tcBorders>
              <w:top w:val="nil"/>
              <w:left w:val="nil"/>
              <w:bottom w:val="single" w:sz="4" w:space="0" w:color="auto"/>
              <w:right w:val="single" w:sz="4" w:space="0" w:color="auto"/>
            </w:tcBorders>
            <w:noWrap/>
            <w:vAlign w:val="bottom"/>
            <w:hideMark/>
          </w:tcPr>
          <w:p w14:paraId="73D27015"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4700</w:t>
            </w:r>
          </w:p>
        </w:tc>
        <w:tc>
          <w:tcPr>
            <w:tcW w:w="0" w:type="auto"/>
            <w:tcBorders>
              <w:top w:val="nil"/>
              <w:left w:val="nil"/>
              <w:bottom w:val="single" w:sz="4" w:space="0" w:color="auto"/>
              <w:right w:val="single" w:sz="4" w:space="0" w:color="auto"/>
            </w:tcBorders>
            <w:noWrap/>
            <w:vAlign w:val="bottom"/>
            <w:hideMark/>
          </w:tcPr>
          <w:p w14:paraId="6B22BBAE"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3722</w:t>
            </w:r>
          </w:p>
        </w:tc>
        <w:tc>
          <w:tcPr>
            <w:tcW w:w="0" w:type="auto"/>
            <w:tcBorders>
              <w:top w:val="nil"/>
              <w:left w:val="nil"/>
              <w:bottom w:val="single" w:sz="4" w:space="0" w:color="auto"/>
              <w:right w:val="single" w:sz="4" w:space="0" w:color="auto"/>
            </w:tcBorders>
            <w:noWrap/>
            <w:vAlign w:val="bottom"/>
            <w:hideMark/>
          </w:tcPr>
          <w:p w14:paraId="2E86EB56"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3372</w:t>
            </w:r>
          </w:p>
        </w:tc>
        <w:tc>
          <w:tcPr>
            <w:tcW w:w="0" w:type="auto"/>
            <w:tcBorders>
              <w:top w:val="nil"/>
              <w:left w:val="nil"/>
              <w:bottom w:val="single" w:sz="4" w:space="0" w:color="auto"/>
              <w:right w:val="single" w:sz="4" w:space="0" w:color="auto"/>
            </w:tcBorders>
            <w:noWrap/>
            <w:vAlign w:val="bottom"/>
            <w:hideMark/>
          </w:tcPr>
          <w:p w14:paraId="08FF1617"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3019</w:t>
            </w:r>
          </w:p>
        </w:tc>
        <w:tc>
          <w:tcPr>
            <w:tcW w:w="0" w:type="auto"/>
            <w:tcBorders>
              <w:top w:val="nil"/>
              <w:left w:val="nil"/>
              <w:bottom w:val="single" w:sz="4" w:space="0" w:color="auto"/>
              <w:right w:val="single" w:sz="4" w:space="0" w:color="auto"/>
            </w:tcBorders>
            <w:noWrap/>
            <w:vAlign w:val="bottom"/>
            <w:hideMark/>
          </w:tcPr>
          <w:p w14:paraId="3CFF2DA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487031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A8F1FC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FC3615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57977E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6DC13CCC"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4321EC4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77255C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8529CE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459EDF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90AB80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B41DCB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8BC8CC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472832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81DE0C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D45374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366FB8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0CC6EB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1930A244"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29464CEE" w14:textId="77777777" w:rsidR="00987E51" w:rsidRPr="00CB4CDE" w:rsidRDefault="00987E51" w:rsidP="00987E51">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Efficiency ratios</w:t>
            </w:r>
          </w:p>
        </w:tc>
        <w:tc>
          <w:tcPr>
            <w:tcW w:w="0" w:type="auto"/>
            <w:tcBorders>
              <w:top w:val="nil"/>
              <w:left w:val="nil"/>
              <w:bottom w:val="single" w:sz="4" w:space="0" w:color="auto"/>
              <w:right w:val="single" w:sz="4" w:space="0" w:color="auto"/>
            </w:tcBorders>
            <w:noWrap/>
            <w:vAlign w:val="bottom"/>
            <w:hideMark/>
          </w:tcPr>
          <w:p w14:paraId="090212D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F9892E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B494E0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642A09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5183A2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D7B5D2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0B0A3F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38F009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015793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2D90CC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BCBEC2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414FEE31"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79CDC059"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lastRenderedPageBreak/>
              <w:t>Asset turnover ratio</w:t>
            </w:r>
          </w:p>
        </w:tc>
        <w:tc>
          <w:tcPr>
            <w:tcW w:w="0" w:type="auto"/>
            <w:tcBorders>
              <w:top w:val="nil"/>
              <w:left w:val="nil"/>
              <w:bottom w:val="single" w:sz="4" w:space="0" w:color="auto"/>
              <w:right w:val="single" w:sz="4" w:space="0" w:color="auto"/>
            </w:tcBorders>
            <w:noWrap/>
            <w:vAlign w:val="bottom"/>
            <w:hideMark/>
          </w:tcPr>
          <w:p w14:paraId="655918A1"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Sales revenues</w:t>
            </w:r>
          </w:p>
        </w:tc>
        <w:tc>
          <w:tcPr>
            <w:tcW w:w="0" w:type="auto"/>
            <w:tcBorders>
              <w:top w:val="nil"/>
              <w:left w:val="nil"/>
              <w:bottom w:val="single" w:sz="4" w:space="0" w:color="auto"/>
              <w:right w:val="single" w:sz="4" w:space="0" w:color="auto"/>
            </w:tcBorders>
            <w:noWrap/>
            <w:vAlign w:val="bottom"/>
            <w:hideMark/>
          </w:tcPr>
          <w:p w14:paraId="2612D3E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12039</w:t>
            </w:r>
          </w:p>
        </w:tc>
        <w:tc>
          <w:tcPr>
            <w:tcW w:w="0" w:type="auto"/>
            <w:tcBorders>
              <w:top w:val="nil"/>
              <w:left w:val="nil"/>
              <w:bottom w:val="single" w:sz="4" w:space="0" w:color="auto"/>
              <w:right w:val="single" w:sz="4" w:space="0" w:color="auto"/>
            </w:tcBorders>
            <w:noWrap/>
            <w:vAlign w:val="bottom"/>
            <w:hideMark/>
          </w:tcPr>
          <w:p w14:paraId="3B57D840"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11174</w:t>
            </w:r>
          </w:p>
        </w:tc>
        <w:tc>
          <w:tcPr>
            <w:tcW w:w="0" w:type="auto"/>
            <w:tcBorders>
              <w:top w:val="nil"/>
              <w:left w:val="nil"/>
              <w:bottom w:val="single" w:sz="4" w:space="0" w:color="auto"/>
              <w:right w:val="single" w:sz="4" w:space="0" w:color="auto"/>
            </w:tcBorders>
            <w:noWrap/>
            <w:vAlign w:val="bottom"/>
            <w:hideMark/>
          </w:tcPr>
          <w:p w14:paraId="340FE3D8"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10235</w:t>
            </w:r>
          </w:p>
        </w:tc>
        <w:tc>
          <w:tcPr>
            <w:tcW w:w="0" w:type="auto"/>
            <w:tcBorders>
              <w:top w:val="nil"/>
              <w:left w:val="nil"/>
              <w:bottom w:val="single" w:sz="4" w:space="0" w:color="auto"/>
              <w:right w:val="single" w:sz="4" w:space="0" w:color="auto"/>
            </w:tcBorders>
            <w:noWrap/>
            <w:vAlign w:val="bottom"/>
            <w:hideMark/>
          </w:tcPr>
          <w:p w14:paraId="60A4B21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8773</w:t>
            </w:r>
          </w:p>
        </w:tc>
        <w:tc>
          <w:tcPr>
            <w:tcW w:w="0" w:type="auto"/>
            <w:tcBorders>
              <w:top w:val="nil"/>
              <w:left w:val="nil"/>
              <w:bottom w:val="single" w:sz="4" w:space="0" w:color="auto"/>
              <w:right w:val="single" w:sz="4" w:space="0" w:color="auto"/>
            </w:tcBorders>
            <w:noWrap/>
            <w:vAlign w:val="bottom"/>
            <w:hideMark/>
          </w:tcPr>
          <w:p w14:paraId="2950969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5788</w:t>
            </w:r>
          </w:p>
        </w:tc>
        <w:tc>
          <w:tcPr>
            <w:tcW w:w="0" w:type="auto"/>
            <w:tcBorders>
              <w:top w:val="nil"/>
              <w:left w:val="nil"/>
              <w:bottom w:val="single" w:sz="4" w:space="0" w:color="auto"/>
              <w:right w:val="single" w:sz="4" w:space="0" w:color="auto"/>
            </w:tcBorders>
            <w:noWrap/>
            <w:vAlign w:val="bottom"/>
            <w:hideMark/>
          </w:tcPr>
          <w:p w14:paraId="13ADD2DC"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0.72</w:t>
            </w:r>
          </w:p>
        </w:tc>
        <w:tc>
          <w:tcPr>
            <w:tcW w:w="0" w:type="auto"/>
            <w:tcBorders>
              <w:top w:val="nil"/>
              <w:left w:val="nil"/>
              <w:bottom w:val="single" w:sz="4" w:space="0" w:color="auto"/>
              <w:right w:val="single" w:sz="4" w:space="0" w:color="auto"/>
            </w:tcBorders>
            <w:noWrap/>
            <w:vAlign w:val="bottom"/>
            <w:hideMark/>
          </w:tcPr>
          <w:p w14:paraId="0E7EF7A6"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0.70</w:t>
            </w:r>
          </w:p>
        </w:tc>
        <w:tc>
          <w:tcPr>
            <w:tcW w:w="0" w:type="auto"/>
            <w:tcBorders>
              <w:top w:val="nil"/>
              <w:left w:val="nil"/>
              <w:bottom w:val="single" w:sz="4" w:space="0" w:color="auto"/>
              <w:right w:val="single" w:sz="4" w:space="0" w:color="auto"/>
            </w:tcBorders>
            <w:noWrap/>
            <w:vAlign w:val="bottom"/>
            <w:hideMark/>
          </w:tcPr>
          <w:p w14:paraId="37EF57D9"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0.66</w:t>
            </w:r>
          </w:p>
        </w:tc>
        <w:tc>
          <w:tcPr>
            <w:tcW w:w="0" w:type="auto"/>
            <w:tcBorders>
              <w:top w:val="nil"/>
              <w:left w:val="nil"/>
              <w:bottom w:val="single" w:sz="4" w:space="0" w:color="auto"/>
              <w:right w:val="single" w:sz="4" w:space="0" w:color="auto"/>
            </w:tcBorders>
            <w:noWrap/>
            <w:vAlign w:val="bottom"/>
            <w:hideMark/>
          </w:tcPr>
          <w:p w14:paraId="7409F0AD"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0.57</w:t>
            </w:r>
          </w:p>
        </w:tc>
        <w:tc>
          <w:tcPr>
            <w:tcW w:w="0" w:type="auto"/>
            <w:tcBorders>
              <w:top w:val="nil"/>
              <w:left w:val="nil"/>
              <w:bottom w:val="single" w:sz="4" w:space="0" w:color="auto"/>
              <w:right w:val="single" w:sz="4" w:space="0" w:color="auto"/>
            </w:tcBorders>
            <w:noWrap/>
            <w:vAlign w:val="bottom"/>
            <w:hideMark/>
          </w:tcPr>
          <w:p w14:paraId="3C631CAD"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0.37</w:t>
            </w:r>
          </w:p>
        </w:tc>
      </w:tr>
      <w:tr w:rsidR="00987E51" w:rsidRPr="00CB4CDE" w14:paraId="492511D5"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3271A35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C95379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Average assets</w:t>
            </w:r>
          </w:p>
        </w:tc>
        <w:tc>
          <w:tcPr>
            <w:tcW w:w="0" w:type="auto"/>
            <w:tcBorders>
              <w:top w:val="nil"/>
              <w:left w:val="nil"/>
              <w:bottom w:val="single" w:sz="4" w:space="0" w:color="auto"/>
              <w:right w:val="single" w:sz="4" w:space="0" w:color="auto"/>
            </w:tcBorders>
            <w:noWrap/>
            <w:vAlign w:val="bottom"/>
            <w:hideMark/>
          </w:tcPr>
          <w:p w14:paraId="1383ACE0"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16648</w:t>
            </w:r>
          </w:p>
        </w:tc>
        <w:tc>
          <w:tcPr>
            <w:tcW w:w="0" w:type="auto"/>
            <w:tcBorders>
              <w:top w:val="nil"/>
              <w:left w:val="nil"/>
              <w:bottom w:val="single" w:sz="4" w:space="0" w:color="auto"/>
              <w:right w:val="single" w:sz="4" w:space="0" w:color="auto"/>
            </w:tcBorders>
            <w:noWrap/>
            <w:vAlign w:val="bottom"/>
            <w:hideMark/>
          </w:tcPr>
          <w:p w14:paraId="3D8BC63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15962</w:t>
            </w:r>
          </w:p>
        </w:tc>
        <w:tc>
          <w:tcPr>
            <w:tcW w:w="0" w:type="auto"/>
            <w:tcBorders>
              <w:top w:val="nil"/>
              <w:left w:val="nil"/>
              <w:bottom w:val="single" w:sz="4" w:space="0" w:color="auto"/>
              <w:right w:val="single" w:sz="4" w:space="0" w:color="auto"/>
            </w:tcBorders>
            <w:noWrap/>
            <w:vAlign w:val="bottom"/>
            <w:hideMark/>
          </w:tcPr>
          <w:p w14:paraId="3641338E"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15457</w:t>
            </w:r>
          </w:p>
        </w:tc>
        <w:tc>
          <w:tcPr>
            <w:tcW w:w="0" w:type="auto"/>
            <w:tcBorders>
              <w:top w:val="nil"/>
              <w:left w:val="nil"/>
              <w:bottom w:val="single" w:sz="4" w:space="0" w:color="auto"/>
              <w:right w:val="single" w:sz="4" w:space="0" w:color="auto"/>
            </w:tcBorders>
            <w:noWrap/>
            <w:vAlign w:val="bottom"/>
            <w:hideMark/>
          </w:tcPr>
          <w:p w14:paraId="7E63B22A"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15477</w:t>
            </w:r>
          </w:p>
        </w:tc>
        <w:tc>
          <w:tcPr>
            <w:tcW w:w="0" w:type="auto"/>
            <w:tcBorders>
              <w:top w:val="nil"/>
              <w:left w:val="nil"/>
              <w:bottom w:val="single" w:sz="4" w:space="0" w:color="auto"/>
              <w:right w:val="single" w:sz="4" w:space="0" w:color="auto"/>
            </w:tcBorders>
            <w:noWrap/>
            <w:vAlign w:val="bottom"/>
            <w:hideMark/>
          </w:tcPr>
          <w:p w14:paraId="51B6DE75"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15441</w:t>
            </w:r>
          </w:p>
        </w:tc>
        <w:tc>
          <w:tcPr>
            <w:tcW w:w="0" w:type="auto"/>
            <w:tcBorders>
              <w:top w:val="nil"/>
              <w:left w:val="nil"/>
              <w:bottom w:val="single" w:sz="4" w:space="0" w:color="auto"/>
              <w:right w:val="single" w:sz="4" w:space="0" w:color="auto"/>
            </w:tcBorders>
            <w:noWrap/>
            <w:vAlign w:val="bottom"/>
            <w:hideMark/>
          </w:tcPr>
          <w:p w14:paraId="6F81093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44C681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24208C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A58A77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61E72C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326F8B74"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2E29E94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8E80F6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9A3D9D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DE96E9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F43798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A9938F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32BDD5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4D6F22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51487B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FA6E47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096E45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7C3ED3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6A797874"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7C45B76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999071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EB0D05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035B08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6C164B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440784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852F07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0DFF9A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B79F94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15DD33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77BDEE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624526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2088BA17"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510EE7E9"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Receivable turnover ratio</w:t>
            </w:r>
          </w:p>
        </w:tc>
        <w:tc>
          <w:tcPr>
            <w:tcW w:w="0" w:type="auto"/>
            <w:tcBorders>
              <w:top w:val="nil"/>
              <w:left w:val="nil"/>
              <w:bottom w:val="single" w:sz="4" w:space="0" w:color="auto"/>
              <w:right w:val="single" w:sz="4" w:space="0" w:color="auto"/>
            </w:tcBorders>
            <w:noWrap/>
            <w:vAlign w:val="bottom"/>
            <w:hideMark/>
          </w:tcPr>
          <w:p w14:paraId="43E3B37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Sales revenues</w:t>
            </w:r>
          </w:p>
        </w:tc>
        <w:tc>
          <w:tcPr>
            <w:tcW w:w="0" w:type="auto"/>
            <w:tcBorders>
              <w:top w:val="nil"/>
              <w:left w:val="nil"/>
              <w:bottom w:val="single" w:sz="4" w:space="0" w:color="auto"/>
              <w:right w:val="single" w:sz="4" w:space="0" w:color="auto"/>
            </w:tcBorders>
            <w:noWrap/>
            <w:vAlign w:val="bottom"/>
            <w:hideMark/>
          </w:tcPr>
          <w:p w14:paraId="116852DE"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12039</w:t>
            </w:r>
          </w:p>
        </w:tc>
        <w:tc>
          <w:tcPr>
            <w:tcW w:w="0" w:type="auto"/>
            <w:tcBorders>
              <w:top w:val="nil"/>
              <w:left w:val="nil"/>
              <w:bottom w:val="single" w:sz="4" w:space="0" w:color="auto"/>
              <w:right w:val="single" w:sz="4" w:space="0" w:color="auto"/>
            </w:tcBorders>
            <w:noWrap/>
            <w:vAlign w:val="bottom"/>
            <w:hideMark/>
          </w:tcPr>
          <w:p w14:paraId="6A3FCD70"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11174</w:t>
            </w:r>
          </w:p>
        </w:tc>
        <w:tc>
          <w:tcPr>
            <w:tcW w:w="0" w:type="auto"/>
            <w:tcBorders>
              <w:top w:val="nil"/>
              <w:left w:val="nil"/>
              <w:bottom w:val="single" w:sz="4" w:space="0" w:color="auto"/>
              <w:right w:val="single" w:sz="4" w:space="0" w:color="auto"/>
            </w:tcBorders>
            <w:noWrap/>
            <w:vAlign w:val="bottom"/>
            <w:hideMark/>
          </w:tcPr>
          <w:p w14:paraId="2CB923C5"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10235</w:t>
            </w:r>
          </w:p>
        </w:tc>
        <w:tc>
          <w:tcPr>
            <w:tcW w:w="0" w:type="auto"/>
            <w:tcBorders>
              <w:top w:val="nil"/>
              <w:left w:val="nil"/>
              <w:bottom w:val="single" w:sz="4" w:space="0" w:color="auto"/>
              <w:right w:val="single" w:sz="4" w:space="0" w:color="auto"/>
            </w:tcBorders>
            <w:noWrap/>
            <w:vAlign w:val="bottom"/>
            <w:hideMark/>
          </w:tcPr>
          <w:p w14:paraId="559E0D7D"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8773</w:t>
            </w:r>
          </w:p>
        </w:tc>
        <w:tc>
          <w:tcPr>
            <w:tcW w:w="0" w:type="auto"/>
            <w:tcBorders>
              <w:top w:val="nil"/>
              <w:left w:val="nil"/>
              <w:bottom w:val="single" w:sz="4" w:space="0" w:color="auto"/>
              <w:right w:val="single" w:sz="4" w:space="0" w:color="auto"/>
            </w:tcBorders>
            <w:noWrap/>
            <w:vAlign w:val="bottom"/>
            <w:hideMark/>
          </w:tcPr>
          <w:p w14:paraId="2B7854D8"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5788</w:t>
            </w:r>
          </w:p>
        </w:tc>
        <w:tc>
          <w:tcPr>
            <w:tcW w:w="0" w:type="auto"/>
            <w:tcBorders>
              <w:top w:val="nil"/>
              <w:left w:val="nil"/>
              <w:bottom w:val="single" w:sz="4" w:space="0" w:color="auto"/>
              <w:right w:val="single" w:sz="4" w:space="0" w:color="auto"/>
            </w:tcBorders>
            <w:noWrap/>
            <w:vAlign w:val="bottom"/>
            <w:hideMark/>
          </w:tcPr>
          <w:p w14:paraId="425BB38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7.36</w:t>
            </w:r>
          </w:p>
        </w:tc>
        <w:tc>
          <w:tcPr>
            <w:tcW w:w="0" w:type="auto"/>
            <w:tcBorders>
              <w:top w:val="nil"/>
              <w:left w:val="nil"/>
              <w:bottom w:val="single" w:sz="4" w:space="0" w:color="auto"/>
              <w:right w:val="single" w:sz="4" w:space="0" w:color="auto"/>
            </w:tcBorders>
            <w:noWrap/>
            <w:vAlign w:val="bottom"/>
            <w:hideMark/>
          </w:tcPr>
          <w:p w14:paraId="5303A380"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7.28</w:t>
            </w:r>
          </w:p>
        </w:tc>
        <w:tc>
          <w:tcPr>
            <w:tcW w:w="0" w:type="auto"/>
            <w:tcBorders>
              <w:top w:val="nil"/>
              <w:left w:val="nil"/>
              <w:bottom w:val="single" w:sz="4" w:space="0" w:color="auto"/>
              <w:right w:val="single" w:sz="4" w:space="0" w:color="auto"/>
            </w:tcBorders>
            <w:noWrap/>
            <w:vAlign w:val="bottom"/>
            <w:hideMark/>
          </w:tcPr>
          <w:p w14:paraId="4DA454B1"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7.27</w:t>
            </w:r>
          </w:p>
        </w:tc>
        <w:tc>
          <w:tcPr>
            <w:tcW w:w="0" w:type="auto"/>
            <w:tcBorders>
              <w:top w:val="nil"/>
              <w:left w:val="nil"/>
              <w:bottom w:val="single" w:sz="4" w:space="0" w:color="auto"/>
              <w:right w:val="single" w:sz="4" w:space="0" w:color="auto"/>
            </w:tcBorders>
            <w:noWrap/>
            <w:vAlign w:val="bottom"/>
            <w:hideMark/>
          </w:tcPr>
          <w:p w14:paraId="3451F96C"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7.33</w:t>
            </w:r>
          </w:p>
        </w:tc>
        <w:tc>
          <w:tcPr>
            <w:tcW w:w="0" w:type="auto"/>
            <w:tcBorders>
              <w:top w:val="nil"/>
              <w:left w:val="nil"/>
              <w:bottom w:val="single" w:sz="4" w:space="0" w:color="auto"/>
              <w:right w:val="single" w:sz="4" w:space="0" w:color="auto"/>
            </w:tcBorders>
            <w:noWrap/>
            <w:vAlign w:val="bottom"/>
            <w:hideMark/>
          </w:tcPr>
          <w:p w14:paraId="47DA6605"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5.42</w:t>
            </w:r>
          </w:p>
        </w:tc>
      </w:tr>
      <w:tr w:rsidR="00987E51" w:rsidRPr="00CB4CDE" w14:paraId="5CEBA788"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3857C9E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AE8F8E3"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Average Accounts receivables</w:t>
            </w:r>
          </w:p>
        </w:tc>
        <w:tc>
          <w:tcPr>
            <w:tcW w:w="0" w:type="auto"/>
            <w:tcBorders>
              <w:top w:val="nil"/>
              <w:left w:val="nil"/>
              <w:bottom w:val="single" w:sz="4" w:space="0" w:color="auto"/>
              <w:right w:val="single" w:sz="4" w:space="0" w:color="auto"/>
            </w:tcBorders>
            <w:noWrap/>
            <w:vAlign w:val="bottom"/>
            <w:hideMark/>
          </w:tcPr>
          <w:p w14:paraId="76A0D3C2"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1637</w:t>
            </w:r>
          </w:p>
        </w:tc>
        <w:tc>
          <w:tcPr>
            <w:tcW w:w="0" w:type="auto"/>
            <w:tcBorders>
              <w:top w:val="nil"/>
              <w:left w:val="nil"/>
              <w:bottom w:val="single" w:sz="4" w:space="0" w:color="auto"/>
              <w:right w:val="single" w:sz="4" w:space="0" w:color="auto"/>
            </w:tcBorders>
            <w:noWrap/>
            <w:vAlign w:val="bottom"/>
            <w:hideMark/>
          </w:tcPr>
          <w:p w14:paraId="12E8BBA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1535</w:t>
            </w:r>
          </w:p>
        </w:tc>
        <w:tc>
          <w:tcPr>
            <w:tcW w:w="0" w:type="auto"/>
            <w:tcBorders>
              <w:top w:val="nil"/>
              <w:left w:val="nil"/>
              <w:bottom w:val="single" w:sz="4" w:space="0" w:color="auto"/>
              <w:right w:val="single" w:sz="4" w:space="0" w:color="auto"/>
            </w:tcBorders>
            <w:noWrap/>
            <w:vAlign w:val="bottom"/>
            <w:hideMark/>
          </w:tcPr>
          <w:p w14:paraId="0572D699"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1407</w:t>
            </w:r>
          </w:p>
        </w:tc>
        <w:tc>
          <w:tcPr>
            <w:tcW w:w="0" w:type="auto"/>
            <w:tcBorders>
              <w:top w:val="nil"/>
              <w:left w:val="nil"/>
              <w:bottom w:val="single" w:sz="4" w:space="0" w:color="auto"/>
              <w:right w:val="single" w:sz="4" w:space="0" w:color="auto"/>
            </w:tcBorders>
            <w:noWrap/>
            <w:vAlign w:val="bottom"/>
            <w:hideMark/>
          </w:tcPr>
          <w:p w14:paraId="219F6D85"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1198</w:t>
            </w:r>
          </w:p>
        </w:tc>
        <w:tc>
          <w:tcPr>
            <w:tcW w:w="0" w:type="auto"/>
            <w:tcBorders>
              <w:top w:val="nil"/>
              <w:left w:val="nil"/>
              <w:bottom w:val="single" w:sz="4" w:space="0" w:color="auto"/>
              <w:right w:val="single" w:sz="4" w:space="0" w:color="auto"/>
            </w:tcBorders>
            <w:noWrap/>
            <w:vAlign w:val="bottom"/>
            <w:hideMark/>
          </w:tcPr>
          <w:p w14:paraId="7C395B2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1068</w:t>
            </w:r>
          </w:p>
        </w:tc>
        <w:tc>
          <w:tcPr>
            <w:tcW w:w="0" w:type="auto"/>
            <w:tcBorders>
              <w:top w:val="nil"/>
              <w:left w:val="nil"/>
              <w:bottom w:val="single" w:sz="4" w:space="0" w:color="auto"/>
              <w:right w:val="single" w:sz="4" w:space="0" w:color="auto"/>
            </w:tcBorders>
            <w:noWrap/>
            <w:vAlign w:val="bottom"/>
            <w:hideMark/>
          </w:tcPr>
          <w:p w14:paraId="3F6B178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A73462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35810E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48D3E9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9A7FEE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45D5FD71"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5786F9A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0244F0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BF9F90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FD3175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03385B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39D123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BD1DC2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CF7487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5A2D81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348B74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7AD1A1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6CE5D1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414853B6"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3D68B9D5" w14:textId="77777777" w:rsidR="00987E51" w:rsidRPr="00CB4CDE" w:rsidRDefault="00987E51" w:rsidP="00987E51">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Gearing ratios</w:t>
            </w:r>
          </w:p>
        </w:tc>
        <w:tc>
          <w:tcPr>
            <w:tcW w:w="0" w:type="auto"/>
            <w:tcBorders>
              <w:top w:val="nil"/>
              <w:left w:val="nil"/>
              <w:bottom w:val="single" w:sz="4" w:space="0" w:color="auto"/>
              <w:right w:val="single" w:sz="4" w:space="0" w:color="auto"/>
            </w:tcBorders>
            <w:noWrap/>
            <w:vAlign w:val="bottom"/>
            <w:hideMark/>
          </w:tcPr>
          <w:p w14:paraId="75ADFBC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EA1654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0B80AA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F7C52D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F82330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0ED939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543CE7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5537C9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EDEDDB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6ED2FF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455F94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0E3C1583"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0EC034D4"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Debt to equity ratio</w:t>
            </w:r>
          </w:p>
        </w:tc>
        <w:tc>
          <w:tcPr>
            <w:tcW w:w="0" w:type="auto"/>
            <w:tcBorders>
              <w:top w:val="nil"/>
              <w:left w:val="nil"/>
              <w:bottom w:val="single" w:sz="4" w:space="0" w:color="auto"/>
              <w:right w:val="single" w:sz="4" w:space="0" w:color="auto"/>
            </w:tcBorders>
            <w:noWrap/>
            <w:vAlign w:val="bottom"/>
            <w:hideMark/>
          </w:tcPr>
          <w:p w14:paraId="7EB755F8"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Interest-bearing Debt​</w:t>
            </w:r>
          </w:p>
        </w:tc>
        <w:tc>
          <w:tcPr>
            <w:tcW w:w="0" w:type="auto"/>
            <w:tcBorders>
              <w:top w:val="nil"/>
              <w:left w:val="nil"/>
              <w:bottom w:val="single" w:sz="4" w:space="0" w:color="auto"/>
              <w:right w:val="single" w:sz="4" w:space="0" w:color="auto"/>
            </w:tcBorders>
            <w:noWrap/>
            <w:vAlign w:val="bottom"/>
            <w:hideMark/>
          </w:tcPr>
          <w:p w14:paraId="5A6A0AB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12363</w:t>
            </w:r>
          </w:p>
        </w:tc>
        <w:tc>
          <w:tcPr>
            <w:tcW w:w="0" w:type="auto"/>
            <w:tcBorders>
              <w:top w:val="nil"/>
              <w:left w:val="nil"/>
              <w:bottom w:val="single" w:sz="4" w:space="0" w:color="auto"/>
              <w:right w:val="single" w:sz="4" w:space="0" w:color="auto"/>
            </w:tcBorders>
            <w:noWrap/>
            <w:vAlign w:val="bottom"/>
            <w:hideMark/>
          </w:tcPr>
          <w:p w14:paraId="3129356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11151</w:t>
            </w:r>
          </w:p>
        </w:tc>
        <w:tc>
          <w:tcPr>
            <w:tcW w:w="0" w:type="auto"/>
            <w:tcBorders>
              <w:top w:val="nil"/>
              <w:left w:val="nil"/>
              <w:bottom w:val="single" w:sz="4" w:space="0" w:color="auto"/>
              <w:right w:val="single" w:sz="4" w:space="0" w:color="auto"/>
            </w:tcBorders>
            <w:noWrap/>
            <w:vAlign w:val="bottom"/>
            <w:hideMark/>
          </w:tcPr>
          <w:p w14:paraId="14F2184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9196</w:t>
            </w:r>
          </w:p>
        </w:tc>
        <w:tc>
          <w:tcPr>
            <w:tcW w:w="0" w:type="auto"/>
            <w:tcBorders>
              <w:top w:val="nil"/>
              <w:left w:val="nil"/>
              <w:bottom w:val="single" w:sz="4" w:space="0" w:color="auto"/>
              <w:right w:val="single" w:sz="4" w:space="0" w:color="auto"/>
            </w:tcBorders>
            <w:noWrap/>
            <w:vAlign w:val="bottom"/>
            <w:hideMark/>
          </w:tcPr>
          <w:p w14:paraId="269ABC5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8747</w:t>
            </w:r>
          </w:p>
        </w:tc>
        <w:tc>
          <w:tcPr>
            <w:tcW w:w="0" w:type="auto"/>
            <w:tcBorders>
              <w:top w:val="nil"/>
              <w:left w:val="nil"/>
              <w:bottom w:val="single" w:sz="4" w:space="0" w:color="auto"/>
              <w:right w:val="single" w:sz="4" w:space="0" w:color="auto"/>
            </w:tcBorders>
            <w:noWrap/>
            <w:vAlign w:val="bottom"/>
            <w:hideMark/>
          </w:tcPr>
          <w:p w14:paraId="1938B100"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8766</w:t>
            </w:r>
          </w:p>
        </w:tc>
        <w:tc>
          <w:tcPr>
            <w:tcW w:w="0" w:type="auto"/>
            <w:tcBorders>
              <w:top w:val="nil"/>
              <w:left w:val="nil"/>
              <w:bottom w:val="single" w:sz="4" w:space="0" w:color="auto"/>
              <w:right w:val="single" w:sz="4" w:space="0" w:color="auto"/>
            </w:tcBorders>
            <w:noWrap/>
            <w:vAlign w:val="bottom"/>
            <w:hideMark/>
          </w:tcPr>
          <w:p w14:paraId="2EEAFA7C"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-2.29</w:t>
            </w:r>
          </w:p>
        </w:tc>
        <w:tc>
          <w:tcPr>
            <w:tcW w:w="0" w:type="auto"/>
            <w:tcBorders>
              <w:top w:val="nil"/>
              <w:left w:val="nil"/>
              <w:bottom w:val="single" w:sz="4" w:space="0" w:color="auto"/>
              <w:right w:val="single" w:sz="4" w:space="0" w:color="auto"/>
            </w:tcBorders>
            <w:noWrap/>
            <w:vAlign w:val="bottom"/>
            <w:hideMark/>
          </w:tcPr>
          <w:p w14:paraId="07982458"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-2.99</w:t>
            </w:r>
          </w:p>
        </w:tc>
        <w:tc>
          <w:tcPr>
            <w:tcW w:w="0" w:type="auto"/>
            <w:tcBorders>
              <w:top w:val="nil"/>
              <w:left w:val="nil"/>
              <w:bottom w:val="single" w:sz="4" w:space="0" w:color="auto"/>
              <w:right w:val="single" w:sz="4" w:space="0" w:color="auto"/>
            </w:tcBorders>
            <w:noWrap/>
            <w:vAlign w:val="bottom"/>
            <w:hideMark/>
          </w:tcPr>
          <w:p w14:paraId="72B6E768"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-3.90</w:t>
            </w:r>
          </w:p>
        </w:tc>
        <w:tc>
          <w:tcPr>
            <w:tcW w:w="0" w:type="auto"/>
            <w:tcBorders>
              <w:top w:val="nil"/>
              <w:left w:val="nil"/>
              <w:bottom w:val="single" w:sz="4" w:space="0" w:color="auto"/>
              <w:right w:val="single" w:sz="4" w:space="0" w:color="auto"/>
            </w:tcBorders>
            <w:noWrap/>
            <w:vAlign w:val="bottom"/>
            <w:hideMark/>
          </w:tcPr>
          <w:p w14:paraId="6DD87DC2"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-7.94</w:t>
            </w:r>
          </w:p>
        </w:tc>
        <w:tc>
          <w:tcPr>
            <w:tcW w:w="0" w:type="auto"/>
            <w:tcBorders>
              <w:top w:val="nil"/>
              <w:left w:val="nil"/>
              <w:bottom w:val="single" w:sz="4" w:space="0" w:color="auto"/>
              <w:right w:val="single" w:sz="4" w:space="0" w:color="auto"/>
            </w:tcBorders>
            <w:noWrap/>
            <w:vAlign w:val="bottom"/>
            <w:hideMark/>
          </w:tcPr>
          <w:p w14:paraId="255D7AC8"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-10.68</w:t>
            </w:r>
          </w:p>
        </w:tc>
      </w:tr>
      <w:tr w:rsidR="00987E51" w:rsidRPr="00CB4CDE" w14:paraId="4C694DC9"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321207A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8BD3D74"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Hilton stockholders’ deficit</w:t>
            </w:r>
          </w:p>
        </w:tc>
        <w:tc>
          <w:tcPr>
            <w:tcW w:w="0" w:type="auto"/>
            <w:tcBorders>
              <w:top w:val="nil"/>
              <w:left w:val="nil"/>
              <w:bottom w:val="single" w:sz="4" w:space="0" w:color="auto"/>
              <w:right w:val="single" w:sz="4" w:space="0" w:color="auto"/>
            </w:tcBorders>
            <w:noWrap/>
            <w:vAlign w:val="bottom"/>
            <w:hideMark/>
          </w:tcPr>
          <w:p w14:paraId="0EEB818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-5388</w:t>
            </w:r>
          </w:p>
        </w:tc>
        <w:tc>
          <w:tcPr>
            <w:tcW w:w="0" w:type="auto"/>
            <w:tcBorders>
              <w:top w:val="nil"/>
              <w:left w:val="nil"/>
              <w:bottom w:val="single" w:sz="4" w:space="0" w:color="auto"/>
              <w:right w:val="single" w:sz="4" w:space="0" w:color="auto"/>
            </w:tcBorders>
            <w:noWrap/>
            <w:vAlign w:val="bottom"/>
            <w:hideMark/>
          </w:tcPr>
          <w:p w14:paraId="7BD4F194"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-3727</w:t>
            </w:r>
          </w:p>
        </w:tc>
        <w:tc>
          <w:tcPr>
            <w:tcW w:w="0" w:type="auto"/>
            <w:tcBorders>
              <w:top w:val="nil"/>
              <w:left w:val="nil"/>
              <w:bottom w:val="single" w:sz="4" w:space="0" w:color="auto"/>
              <w:right w:val="single" w:sz="4" w:space="0" w:color="auto"/>
            </w:tcBorders>
            <w:noWrap/>
            <w:vAlign w:val="bottom"/>
            <w:hideMark/>
          </w:tcPr>
          <w:p w14:paraId="3344BD4B"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-2360</w:t>
            </w:r>
          </w:p>
        </w:tc>
        <w:tc>
          <w:tcPr>
            <w:tcW w:w="0" w:type="auto"/>
            <w:tcBorders>
              <w:top w:val="nil"/>
              <w:left w:val="nil"/>
              <w:bottom w:val="single" w:sz="4" w:space="0" w:color="auto"/>
              <w:right w:val="single" w:sz="4" w:space="0" w:color="auto"/>
            </w:tcBorders>
            <w:noWrap/>
            <w:vAlign w:val="bottom"/>
            <w:hideMark/>
          </w:tcPr>
          <w:p w14:paraId="6F1EA9E7"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-1102</w:t>
            </w:r>
          </w:p>
        </w:tc>
        <w:tc>
          <w:tcPr>
            <w:tcW w:w="0" w:type="auto"/>
            <w:tcBorders>
              <w:top w:val="nil"/>
              <w:left w:val="nil"/>
              <w:bottom w:val="single" w:sz="4" w:space="0" w:color="auto"/>
              <w:right w:val="single" w:sz="4" w:space="0" w:color="auto"/>
            </w:tcBorders>
            <w:noWrap/>
            <w:vAlign w:val="bottom"/>
            <w:hideMark/>
          </w:tcPr>
          <w:p w14:paraId="066903F3"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-821</w:t>
            </w:r>
          </w:p>
        </w:tc>
        <w:tc>
          <w:tcPr>
            <w:tcW w:w="0" w:type="auto"/>
            <w:tcBorders>
              <w:top w:val="nil"/>
              <w:left w:val="nil"/>
              <w:bottom w:val="single" w:sz="4" w:space="0" w:color="auto"/>
              <w:right w:val="single" w:sz="4" w:space="0" w:color="auto"/>
            </w:tcBorders>
            <w:noWrap/>
            <w:vAlign w:val="bottom"/>
            <w:hideMark/>
          </w:tcPr>
          <w:p w14:paraId="05C92CA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1C32FC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80BC93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733357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2972B6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09797890"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7ED9EE6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99C1C8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4FFD7A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6006B9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92B945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7E667F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D2FDF9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0A2D5F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1F8353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A1F0EF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48E27B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C969FB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79B94A8F"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1412DA52"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Interest coverage ratio</w:t>
            </w:r>
          </w:p>
        </w:tc>
        <w:tc>
          <w:tcPr>
            <w:tcW w:w="0" w:type="auto"/>
            <w:tcBorders>
              <w:top w:val="nil"/>
              <w:left w:val="nil"/>
              <w:bottom w:val="single" w:sz="4" w:space="0" w:color="auto"/>
              <w:right w:val="single" w:sz="4" w:space="0" w:color="auto"/>
            </w:tcBorders>
            <w:noWrap/>
            <w:vAlign w:val="bottom"/>
            <w:hideMark/>
          </w:tcPr>
          <w:p w14:paraId="324E437F"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EBIT</w:t>
            </w:r>
          </w:p>
        </w:tc>
        <w:tc>
          <w:tcPr>
            <w:tcW w:w="0" w:type="auto"/>
            <w:tcBorders>
              <w:top w:val="nil"/>
              <w:left w:val="nil"/>
              <w:bottom w:val="single" w:sz="4" w:space="0" w:color="auto"/>
              <w:right w:val="single" w:sz="4" w:space="0" w:color="auto"/>
            </w:tcBorders>
            <w:noWrap/>
            <w:vAlign w:val="bottom"/>
            <w:hideMark/>
          </w:tcPr>
          <w:p w14:paraId="7F80327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2693</w:t>
            </w:r>
          </w:p>
        </w:tc>
        <w:tc>
          <w:tcPr>
            <w:tcW w:w="0" w:type="auto"/>
            <w:tcBorders>
              <w:top w:val="nil"/>
              <w:left w:val="nil"/>
              <w:bottom w:val="single" w:sz="4" w:space="0" w:color="auto"/>
              <w:right w:val="single" w:sz="4" w:space="0" w:color="auto"/>
            </w:tcBorders>
            <w:noWrap/>
            <w:vAlign w:val="bottom"/>
            <w:hideMark/>
          </w:tcPr>
          <w:p w14:paraId="741C8BBE"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2370</w:t>
            </w:r>
          </w:p>
        </w:tc>
        <w:tc>
          <w:tcPr>
            <w:tcW w:w="0" w:type="auto"/>
            <w:tcBorders>
              <w:top w:val="nil"/>
              <w:left w:val="nil"/>
              <w:bottom w:val="single" w:sz="4" w:space="0" w:color="auto"/>
              <w:right w:val="single" w:sz="4" w:space="0" w:color="auto"/>
            </w:tcBorders>
            <w:noWrap/>
            <w:vAlign w:val="bottom"/>
            <w:hideMark/>
          </w:tcPr>
          <w:p w14:paraId="0629DEC1"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2225</w:t>
            </w:r>
          </w:p>
        </w:tc>
        <w:tc>
          <w:tcPr>
            <w:tcW w:w="0" w:type="auto"/>
            <w:tcBorders>
              <w:top w:val="nil"/>
              <w:left w:val="nil"/>
              <w:bottom w:val="single" w:sz="4" w:space="0" w:color="auto"/>
              <w:right w:val="single" w:sz="4" w:space="0" w:color="auto"/>
            </w:tcBorders>
            <w:noWrap/>
            <w:vAlign w:val="bottom"/>
            <w:hideMark/>
          </w:tcPr>
          <w:p w14:paraId="0F5346C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2094</w:t>
            </w:r>
          </w:p>
        </w:tc>
        <w:tc>
          <w:tcPr>
            <w:tcW w:w="0" w:type="auto"/>
            <w:tcBorders>
              <w:top w:val="nil"/>
              <w:left w:val="nil"/>
              <w:bottom w:val="single" w:sz="4" w:space="0" w:color="auto"/>
              <w:right w:val="single" w:sz="4" w:space="0" w:color="auto"/>
            </w:tcBorders>
            <w:noWrap/>
            <w:vAlign w:val="bottom"/>
            <w:hideMark/>
          </w:tcPr>
          <w:p w14:paraId="08CF817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1010</w:t>
            </w:r>
          </w:p>
        </w:tc>
        <w:tc>
          <w:tcPr>
            <w:tcW w:w="0" w:type="auto"/>
            <w:tcBorders>
              <w:top w:val="nil"/>
              <w:left w:val="nil"/>
              <w:bottom w:val="single" w:sz="4" w:space="0" w:color="auto"/>
              <w:right w:val="single" w:sz="4" w:space="0" w:color="auto"/>
            </w:tcBorders>
            <w:noWrap/>
            <w:vAlign w:val="bottom"/>
            <w:hideMark/>
          </w:tcPr>
          <w:p w14:paraId="1BA649B0"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4.34</w:t>
            </w:r>
          </w:p>
        </w:tc>
        <w:tc>
          <w:tcPr>
            <w:tcW w:w="0" w:type="auto"/>
            <w:tcBorders>
              <w:top w:val="nil"/>
              <w:left w:val="nil"/>
              <w:bottom w:val="single" w:sz="4" w:space="0" w:color="auto"/>
              <w:right w:val="single" w:sz="4" w:space="0" w:color="auto"/>
            </w:tcBorders>
            <w:noWrap/>
            <w:vAlign w:val="bottom"/>
            <w:hideMark/>
          </w:tcPr>
          <w:p w14:paraId="556592C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4.17</w:t>
            </w:r>
          </w:p>
        </w:tc>
        <w:tc>
          <w:tcPr>
            <w:tcW w:w="0" w:type="auto"/>
            <w:tcBorders>
              <w:top w:val="nil"/>
              <w:left w:val="nil"/>
              <w:bottom w:val="single" w:sz="4" w:space="0" w:color="auto"/>
              <w:right w:val="single" w:sz="4" w:space="0" w:color="auto"/>
            </w:tcBorders>
            <w:noWrap/>
            <w:vAlign w:val="bottom"/>
            <w:hideMark/>
          </w:tcPr>
          <w:p w14:paraId="34BD55E1"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4.80</w:t>
            </w:r>
          </w:p>
        </w:tc>
        <w:tc>
          <w:tcPr>
            <w:tcW w:w="0" w:type="auto"/>
            <w:tcBorders>
              <w:top w:val="nil"/>
              <w:left w:val="nil"/>
              <w:bottom w:val="single" w:sz="4" w:space="0" w:color="auto"/>
              <w:right w:val="single" w:sz="4" w:space="0" w:color="auto"/>
            </w:tcBorders>
            <w:noWrap/>
            <w:vAlign w:val="bottom"/>
            <w:hideMark/>
          </w:tcPr>
          <w:p w14:paraId="5E94744D"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5.05</w:t>
            </w:r>
          </w:p>
        </w:tc>
        <w:tc>
          <w:tcPr>
            <w:tcW w:w="0" w:type="auto"/>
            <w:tcBorders>
              <w:top w:val="nil"/>
              <w:left w:val="nil"/>
              <w:bottom w:val="single" w:sz="4" w:space="0" w:color="auto"/>
              <w:right w:val="single" w:sz="4" w:space="0" w:color="auto"/>
            </w:tcBorders>
            <w:noWrap/>
            <w:vAlign w:val="bottom"/>
            <w:hideMark/>
          </w:tcPr>
          <w:p w14:paraId="003E8678"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2.54</w:t>
            </w:r>
          </w:p>
        </w:tc>
      </w:tr>
      <w:tr w:rsidR="00987E51" w:rsidRPr="00CB4CDE" w14:paraId="4A7A1879"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546E4D2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692CD7A"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Interest expense</w:t>
            </w:r>
          </w:p>
        </w:tc>
        <w:tc>
          <w:tcPr>
            <w:tcW w:w="0" w:type="auto"/>
            <w:tcBorders>
              <w:top w:val="nil"/>
              <w:left w:val="nil"/>
              <w:bottom w:val="single" w:sz="4" w:space="0" w:color="auto"/>
              <w:right w:val="single" w:sz="4" w:space="0" w:color="auto"/>
            </w:tcBorders>
            <w:noWrap/>
            <w:vAlign w:val="bottom"/>
            <w:hideMark/>
          </w:tcPr>
          <w:p w14:paraId="68E181E8"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620</w:t>
            </w:r>
          </w:p>
        </w:tc>
        <w:tc>
          <w:tcPr>
            <w:tcW w:w="0" w:type="auto"/>
            <w:tcBorders>
              <w:top w:val="nil"/>
              <w:left w:val="nil"/>
              <w:bottom w:val="single" w:sz="4" w:space="0" w:color="auto"/>
              <w:right w:val="single" w:sz="4" w:space="0" w:color="auto"/>
            </w:tcBorders>
            <w:noWrap/>
            <w:vAlign w:val="bottom"/>
            <w:hideMark/>
          </w:tcPr>
          <w:p w14:paraId="2E419127"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569</w:t>
            </w:r>
          </w:p>
        </w:tc>
        <w:tc>
          <w:tcPr>
            <w:tcW w:w="0" w:type="auto"/>
            <w:tcBorders>
              <w:top w:val="nil"/>
              <w:left w:val="nil"/>
              <w:bottom w:val="single" w:sz="4" w:space="0" w:color="auto"/>
              <w:right w:val="single" w:sz="4" w:space="0" w:color="auto"/>
            </w:tcBorders>
            <w:noWrap/>
            <w:vAlign w:val="bottom"/>
            <w:hideMark/>
          </w:tcPr>
          <w:p w14:paraId="246A3FEA"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464</w:t>
            </w:r>
          </w:p>
        </w:tc>
        <w:tc>
          <w:tcPr>
            <w:tcW w:w="0" w:type="auto"/>
            <w:tcBorders>
              <w:top w:val="nil"/>
              <w:left w:val="nil"/>
              <w:bottom w:val="single" w:sz="4" w:space="0" w:color="auto"/>
              <w:right w:val="single" w:sz="4" w:space="0" w:color="auto"/>
            </w:tcBorders>
            <w:noWrap/>
            <w:vAlign w:val="bottom"/>
            <w:hideMark/>
          </w:tcPr>
          <w:p w14:paraId="1B22B712"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415</w:t>
            </w:r>
          </w:p>
        </w:tc>
        <w:tc>
          <w:tcPr>
            <w:tcW w:w="0" w:type="auto"/>
            <w:tcBorders>
              <w:top w:val="nil"/>
              <w:left w:val="nil"/>
              <w:bottom w:val="single" w:sz="4" w:space="0" w:color="auto"/>
              <w:right w:val="single" w:sz="4" w:space="0" w:color="auto"/>
            </w:tcBorders>
            <w:noWrap/>
            <w:vAlign w:val="bottom"/>
            <w:hideMark/>
          </w:tcPr>
          <w:p w14:paraId="1DD5F6D2"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397</w:t>
            </w:r>
          </w:p>
        </w:tc>
        <w:tc>
          <w:tcPr>
            <w:tcW w:w="0" w:type="auto"/>
            <w:tcBorders>
              <w:top w:val="nil"/>
              <w:left w:val="nil"/>
              <w:bottom w:val="single" w:sz="4" w:space="0" w:color="auto"/>
              <w:right w:val="single" w:sz="4" w:space="0" w:color="auto"/>
            </w:tcBorders>
            <w:noWrap/>
            <w:vAlign w:val="bottom"/>
            <w:hideMark/>
          </w:tcPr>
          <w:p w14:paraId="346AA27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9E88B3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930EBA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4CE6F6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E95235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0C190487"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4909BF8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606B67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A9344E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EC64E6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8BB412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2C0412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4912F6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0D4EE1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3BDFCF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A9F1E4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55A1FC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D81EAC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57868AFE"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36CF6AE9" w14:textId="77777777" w:rsidR="00987E51" w:rsidRPr="00CB4CDE" w:rsidRDefault="00987E51" w:rsidP="00987E51">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Investment ratio</w:t>
            </w:r>
          </w:p>
        </w:tc>
        <w:tc>
          <w:tcPr>
            <w:tcW w:w="0" w:type="auto"/>
            <w:tcBorders>
              <w:top w:val="nil"/>
              <w:left w:val="nil"/>
              <w:bottom w:val="single" w:sz="4" w:space="0" w:color="auto"/>
              <w:right w:val="single" w:sz="4" w:space="0" w:color="auto"/>
            </w:tcBorders>
            <w:noWrap/>
            <w:vAlign w:val="bottom"/>
            <w:hideMark/>
          </w:tcPr>
          <w:p w14:paraId="4E454B8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36E6C0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E3426E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1C5799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FD71BA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A4CC88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EB5F4B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5797B6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080DCD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AA5E31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905331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2FD82854"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5F8F1999"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Earning per share</w:t>
            </w:r>
          </w:p>
        </w:tc>
        <w:tc>
          <w:tcPr>
            <w:tcW w:w="0" w:type="auto"/>
            <w:tcBorders>
              <w:top w:val="nil"/>
              <w:left w:val="nil"/>
              <w:bottom w:val="single" w:sz="4" w:space="0" w:color="auto"/>
              <w:right w:val="single" w:sz="4" w:space="0" w:color="auto"/>
            </w:tcBorders>
            <w:noWrap/>
            <w:vAlign w:val="bottom"/>
            <w:hideMark/>
          </w:tcPr>
          <w:p w14:paraId="0FD5EEEE"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Net income to stockholders</w:t>
            </w:r>
          </w:p>
        </w:tc>
        <w:tc>
          <w:tcPr>
            <w:tcW w:w="0" w:type="auto"/>
            <w:tcBorders>
              <w:top w:val="nil"/>
              <w:left w:val="nil"/>
              <w:bottom w:val="single" w:sz="4" w:space="0" w:color="auto"/>
              <w:right w:val="single" w:sz="4" w:space="0" w:color="auto"/>
            </w:tcBorders>
            <w:noWrap/>
            <w:vAlign w:val="bottom"/>
            <w:hideMark/>
          </w:tcPr>
          <w:p w14:paraId="1D3BECF7"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1457</w:t>
            </w:r>
          </w:p>
        </w:tc>
        <w:tc>
          <w:tcPr>
            <w:tcW w:w="0" w:type="auto"/>
            <w:tcBorders>
              <w:top w:val="nil"/>
              <w:left w:val="nil"/>
              <w:bottom w:val="single" w:sz="4" w:space="0" w:color="auto"/>
              <w:right w:val="single" w:sz="4" w:space="0" w:color="auto"/>
            </w:tcBorders>
            <w:noWrap/>
            <w:vAlign w:val="bottom"/>
            <w:hideMark/>
          </w:tcPr>
          <w:p w14:paraId="1EFE84A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1535</w:t>
            </w:r>
          </w:p>
        </w:tc>
        <w:tc>
          <w:tcPr>
            <w:tcW w:w="0" w:type="auto"/>
            <w:tcBorders>
              <w:top w:val="nil"/>
              <w:left w:val="nil"/>
              <w:bottom w:val="single" w:sz="4" w:space="0" w:color="auto"/>
              <w:right w:val="single" w:sz="4" w:space="0" w:color="auto"/>
            </w:tcBorders>
            <w:noWrap/>
            <w:vAlign w:val="bottom"/>
            <w:hideMark/>
          </w:tcPr>
          <w:p w14:paraId="25344BC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1141</w:t>
            </w:r>
          </w:p>
        </w:tc>
        <w:tc>
          <w:tcPr>
            <w:tcW w:w="0" w:type="auto"/>
            <w:tcBorders>
              <w:top w:val="nil"/>
              <w:left w:val="nil"/>
              <w:bottom w:val="single" w:sz="4" w:space="0" w:color="auto"/>
              <w:right w:val="single" w:sz="4" w:space="0" w:color="auto"/>
            </w:tcBorders>
            <w:noWrap/>
            <w:vAlign w:val="bottom"/>
            <w:hideMark/>
          </w:tcPr>
          <w:p w14:paraId="624C8303"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1255</w:t>
            </w:r>
          </w:p>
        </w:tc>
        <w:tc>
          <w:tcPr>
            <w:tcW w:w="0" w:type="auto"/>
            <w:tcBorders>
              <w:top w:val="nil"/>
              <w:left w:val="nil"/>
              <w:bottom w:val="single" w:sz="4" w:space="0" w:color="auto"/>
              <w:right w:val="single" w:sz="4" w:space="0" w:color="auto"/>
            </w:tcBorders>
            <w:noWrap/>
            <w:vAlign w:val="bottom"/>
            <w:hideMark/>
          </w:tcPr>
          <w:p w14:paraId="2C4AE2E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410</w:t>
            </w:r>
          </w:p>
        </w:tc>
        <w:tc>
          <w:tcPr>
            <w:tcW w:w="0" w:type="auto"/>
            <w:tcBorders>
              <w:top w:val="nil"/>
              <w:left w:val="nil"/>
              <w:bottom w:val="single" w:sz="4" w:space="0" w:color="auto"/>
              <w:right w:val="single" w:sz="4" w:space="0" w:color="auto"/>
            </w:tcBorders>
            <w:noWrap/>
            <w:vAlign w:val="bottom"/>
            <w:hideMark/>
          </w:tcPr>
          <w:p w14:paraId="4FEEB4F1"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6.17</w:t>
            </w:r>
          </w:p>
        </w:tc>
        <w:tc>
          <w:tcPr>
            <w:tcW w:w="0" w:type="auto"/>
            <w:tcBorders>
              <w:top w:val="nil"/>
              <w:left w:val="nil"/>
              <w:bottom w:val="single" w:sz="4" w:space="0" w:color="auto"/>
              <w:right w:val="single" w:sz="4" w:space="0" w:color="auto"/>
            </w:tcBorders>
            <w:noWrap/>
            <w:vAlign w:val="bottom"/>
            <w:hideMark/>
          </w:tcPr>
          <w:p w14:paraId="13A06E46"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6.19</w:t>
            </w:r>
          </w:p>
        </w:tc>
        <w:tc>
          <w:tcPr>
            <w:tcW w:w="0" w:type="auto"/>
            <w:tcBorders>
              <w:top w:val="nil"/>
              <w:left w:val="nil"/>
              <w:bottom w:val="single" w:sz="4" w:space="0" w:color="auto"/>
              <w:right w:val="single" w:sz="4" w:space="0" w:color="auto"/>
            </w:tcBorders>
            <w:noWrap/>
            <w:vAlign w:val="bottom"/>
            <w:hideMark/>
          </w:tcPr>
          <w:p w14:paraId="0CB33C6A"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4.35</w:t>
            </w:r>
          </w:p>
        </w:tc>
        <w:tc>
          <w:tcPr>
            <w:tcW w:w="0" w:type="auto"/>
            <w:tcBorders>
              <w:top w:val="nil"/>
              <w:left w:val="nil"/>
              <w:bottom w:val="single" w:sz="4" w:space="0" w:color="auto"/>
              <w:right w:val="single" w:sz="4" w:space="0" w:color="auto"/>
            </w:tcBorders>
            <w:noWrap/>
            <w:vAlign w:val="bottom"/>
            <w:hideMark/>
          </w:tcPr>
          <w:p w14:paraId="53215ED6"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4.56</w:t>
            </w:r>
          </w:p>
        </w:tc>
        <w:tc>
          <w:tcPr>
            <w:tcW w:w="0" w:type="auto"/>
            <w:tcBorders>
              <w:top w:val="nil"/>
              <w:left w:val="nil"/>
              <w:bottom w:val="single" w:sz="4" w:space="0" w:color="auto"/>
              <w:right w:val="single" w:sz="4" w:space="0" w:color="auto"/>
            </w:tcBorders>
            <w:noWrap/>
            <w:vAlign w:val="bottom"/>
            <w:hideMark/>
          </w:tcPr>
          <w:p w14:paraId="424017A7"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1.47</w:t>
            </w:r>
          </w:p>
        </w:tc>
      </w:tr>
      <w:tr w:rsidR="00987E51" w:rsidRPr="00CB4CDE" w14:paraId="6266C636"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128FDD0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41E5BE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Number of shares</w:t>
            </w:r>
          </w:p>
        </w:tc>
        <w:tc>
          <w:tcPr>
            <w:tcW w:w="0" w:type="auto"/>
            <w:tcBorders>
              <w:top w:val="nil"/>
              <w:left w:val="nil"/>
              <w:bottom w:val="single" w:sz="4" w:space="0" w:color="auto"/>
              <w:right w:val="single" w:sz="4" w:space="0" w:color="auto"/>
            </w:tcBorders>
            <w:noWrap/>
            <w:vAlign w:val="bottom"/>
            <w:hideMark/>
          </w:tcPr>
          <w:p w14:paraId="0BB9C13C"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236</w:t>
            </w:r>
          </w:p>
        </w:tc>
        <w:tc>
          <w:tcPr>
            <w:tcW w:w="0" w:type="auto"/>
            <w:tcBorders>
              <w:top w:val="nil"/>
              <w:left w:val="nil"/>
              <w:bottom w:val="single" w:sz="4" w:space="0" w:color="auto"/>
              <w:right w:val="single" w:sz="4" w:space="0" w:color="auto"/>
            </w:tcBorders>
            <w:noWrap/>
            <w:vAlign w:val="bottom"/>
            <w:hideMark/>
          </w:tcPr>
          <w:p w14:paraId="7036D35D"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248</w:t>
            </w:r>
          </w:p>
        </w:tc>
        <w:tc>
          <w:tcPr>
            <w:tcW w:w="0" w:type="auto"/>
            <w:tcBorders>
              <w:top w:val="nil"/>
              <w:left w:val="nil"/>
              <w:bottom w:val="single" w:sz="4" w:space="0" w:color="auto"/>
              <w:right w:val="single" w:sz="4" w:space="0" w:color="auto"/>
            </w:tcBorders>
            <w:noWrap/>
            <w:vAlign w:val="bottom"/>
            <w:hideMark/>
          </w:tcPr>
          <w:p w14:paraId="02579C50"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262</w:t>
            </w:r>
          </w:p>
        </w:tc>
        <w:tc>
          <w:tcPr>
            <w:tcW w:w="0" w:type="auto"/>
            <w:tcBorders>
              <w:top w:val="nil"/>
              <w:left w:val="nil"/>
              <w:bottom w:val="single" w:sz="4" w:space="0" w:color="auto"/>
              <w:right w:val="single" w:sz="4" w:space="0" w:color="auto"/>
            </w:tcBorders>
            <w:noWrap/>
            <w:vAlign w:val="bottom"/>
            <w:hideMark/>
          </w:tcPr>
          <w:p w14:paraId="7614508C"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275</w:t>
            </w:r>
          </w:p>
        </w:tc>
        <w:tc>
          <w:tcPr>
            <w:tcW w:w="0" w:type="auto"/>
            <w:tcBorders>
              <w:top w:val="nil"/>
              <w:left w:val="nil"/>
              <w:bottom w:val="single" w:sz="4" w:space="0" w:color="auto"/>
              <w:right w:val="single" w:sz="4" w:space="0" w:color="auto"/>
            </w:tcBorders>
            <w:noWrap/>
            <w:vAlign w:val="bottom"/>
            <w:hideMark/>
          </w:tcPr>
          <w:p w14:paraId="04630081"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279</w:t>
            </w:r>
          </w:p>
        </w:tc>
        <w:tc>
          <w:tcPr>
            <w:tcW w:w="0" w:type="auto"/>
            <w:tcBorders>
              <w:top w:val="nil"/>
              <w:left w:val="nil"/>
              <w:bottom w:val="single" w:sz="4" w:space="0" w:color="auto"/>
              <w:right w:val="single" w:sz="4" w:space="0" w:color="auto"/>
            </w:tcBorders>
            <w:noWrap/>
            <w:vAlign w:val="bottom"/>
            <w:hideMark/>
          </w:tcPr>
          <w:p w14:paraId="6516FFC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E60120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6A02CA7"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9DDA62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73D36A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4285ADDD"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1BCEF72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DEBB44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671163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B6D010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FCD88B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B01C0A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D486BA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E57E83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D74AFC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087E2F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81B2C1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577730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7FCBF000"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1D6BBF98"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Price earnings ratio</w:t>
            </w:r>
          </w:p>
        </w:tc>
        <w:tc>
          <w:tcPr>
            <w:tcW w:w="0" w:type="auto"/>
            <w:tcBorders>
              <w:top w:val="nil"/>
              <w:left w:val="nil"/>
              <w:bottom w:val="single" w:sz="4" w:space="0" w:color="auto"/>
              <w:right w:val="single" w:sz="4" w:space="0" w:color="auto"/>
            </w:tcBorders>
            <w:noWrap/>
            <w:vAlign w:val="bottom"/>
            <w:hideMark/>
          </w:tcPr>
          <w:p w14:paraId="49A1E88F"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Stock price</w:t>
            </w:r>
          </w:p>
        </w:tc>
        <w:tc>
          <w:tcPr>
            <w:tcW w:w="0" w:type="auto"/>
            <w:tcBorders>
              <w:top w:val="nil"/>
              <w:left w:val="nil"/>
              <w:bottom w:val="single" w:sz="4" w:space="0" w:color="auto"/>
              <w:right w:val="single" w:sz="4" w:space="0" w:color="auto"/>
            </w:tcBorders>
            <w:noWrap/>
            <w:vAlign w:val="bottom"/>
            <w:hideMark/>
          </w:tcPr>
          <w:p w14:paraId="63639495"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287.25</w:t>
            </w:r>
          </w:p>
        </w:tc>
        <w:tc>
          <w:tcPr>
            <w:tcW w:w="0" w:type="auto"/>
            <w:tcBorders>
              <w:top w:val="nil"/>
              <w:left w:val="nil"/>
              <w:bottom w:val="single" w:sz="4" w:space="0" w:color="auto"/>
              <w:right w:val="single" w:sz="4" w:space="0" w:color="auto"/>
            </w:tcBorders>
            <w:noWrap/>
            <w:vAlign w:val="bottom"/>
            <w:hideMark/>
          </w:tcPr>
          <w:p w14:paraId="7E4801C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247.16</w:t>
            </w:r>
          </w:p>
        </w:tc>
        <w:tc>
          <w:tcPr>
            <w:tcW w:w="0" w:type="auto"/>
            <w:tcBorders>
              <w:top w:val="nil"/>
              <w:left w:val="nil"/>
              <w:bottom w:val="single" w:sz="4" w:space="0" w:color="auto"/>
              <w:right w:val="single" w:sz="4" w:space="0" w:color="auto"/>
            </w:tcBorders>
            <w:noWrap/>
            <w:vAlign w:val="bottom"/>
            <w:hideMark/>
          </w:tcPr>
          <w:p w14:paraId="2B790D7B"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182.09</w:t>
            </w:r>
          </w:p>
        </w:tc>
        <w:tc>
          <w:tcPr>
            <w:tcW w:w="0" w:type="auto"/>
            <w:tcBorders>
              <w:top w:val="nil"/>
              <w:left w:val="nil"/>
              <w:bottom w:val="single" w:sz="4" w:space="0" w:color="auto"/>
              <w:right w:val="single" w:sz="4" w:space="0" w:color="auto"/>
            </w:tcBorders>
            <w:noWrap/>
            <w:vAlign w:val="bottom"/>
            <w:hideMark/>
          </w:tcPr>
          <w:p w14:paraId="5E06E799"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126.36</w:t>
            </w:r>
          </w:p>
        </w:tc>
        <w:tc>
          <w:tcPr>
            <w:tcW w:w="0" w:type="auto"/>
            <w:tcBorders>
              <w:top w:val="nil"/>
              <w:left w:val="nil"/>
              <w:bottom w:val="single" w:sz="4" w:space="0" w:color="auto"/>
              <w:right w:val="single" w:sz="4" w:space="0" w:color="auto"/>
            </w:tcBorders>
            <w:noWrap/>
            <w:vAlign w:val="bottom"/>
            <w:hideMark/>
          </w:tcPr>
          <w:p w14:paraId="49EFB019"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155.99</w:t>
            </w:r>
          </w:p>
        </w:tc>
        <w:tc>
          <w:tcPr>
            <w:tcW w:w="0" w:type="auto"/>
            <w:tcBorders>
              <w:top w:val="nil"/>
              <w:left w:val="nil"/>
              <w:bottom w:val="single" w:sz="4" w:space="0" w:color="auto"/>
              <w:right w:val="single" w:sz="4" w:space="0" w:color="auto"/>
            </w:tcBorders>
            <w:noWrap/>
            <w:vAlign w:val="bottom"/>
            <w:hideMark/>
          </w:tcPr>
          <w:p w14:paraId="0B438EE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46.53</w:t>
            </w:r>
          </w:p>
        </w:tc>
        <w:tc>
          <w:tcPr>
            <w:tcW w:w="0" w:type="auto"/>
            <w:tcBorders>
              <w:top w:val="nil"/>
              <w:left w:val="nil"/>
              <w:bottom w:val="single" w:sz="4" w:space="0" w:color="auto"/>
              <w:right w:val="single" w:sz="4" w:space="0" w:color="auto"/>
            </w:tcBorders>
            <w:noWrap/>
            <w:vAlign w:val="bottom"/>
            <w:hideMark/>
          </w:tcPr>
          <w:p w14:paraId="39CE8D10"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39.93</w:t>
            </w:r>
          </w:p>
        </w:tc>
        <w:tc>
          <w:tcPr>
            <w:tcW w:w="0" w:type="auto"/>
            <w:tcBorders>
              <w:top w:val="nil"/>
              <w:left w:val="nil"/>
              <w:bottom w:val="single" w:sz="4" w:space="0" w:color="auto"/>
              <w:right w:val="single" w:sz="4" w:space="0" w:color="auto"/>
            </w:tcBorders>
            <w:noWrap/>
            <w:vAlign w:val="bottom"/>
            <w:hideMark/>
          </w:tcPr>
          <w:p w14:paraId="4406616D"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41.81</w:t>
            </w:r>
          </w:p>
        </w:tc>
        <w:tc>
          <w:tcPr>
            <w:tcW w:w="0" w:type="auto"/>
            <w:tcBorders>
              <w:top w:val="nil"/>
              <w:left w:val="nil"/>
              <w:bottom w:val="single" w:sz="4" w:space="0" w:color="auto"/>
              <w:right w:val="single" w:sz="4" w:space="0" w:color="auto"/>
            </w:tcBorders>
            <w:noWrap/>
            <w:vAlign w:val="bottom"/>
            <w:hideMark/>
          </w:tcPr>
          <w:p w14:paraId="43D4586E"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27.69</w:t>
            </w:r>
          </w:p>
        </w:tc>
        <w:tc>
          <w:tcPr>
            <w:tcW w:w="0" w:type="auto"/>
            <w:tcBorders>
              <w:top w:val="nil"/>
              <w:left w:val="nil"/>
              <w:bottom w:val="single" w:sz="4" w:space="0" w:color="auto"/>
              <w:right w:val="single" w:sz="4" w:space="0" w:color="auto"/>
            </w:tcBorders>
            <w:noWrap/>
            <w:vAlign w:val="bottom"/>
            <w:hideMark/>
          </w:tcPr>
          <w:p w14:paraId="445158E4"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106.15</w:t>
            </w:r>
          </w:p>
        </w:tc>
      </w:tr>
      <w:tr w:rsidR="00987E51" w:rsidRPr="00CB4CDE" w14:paraId="0052AE2F"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4DC333A6"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4A146B0"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Earnings per share</w:t>
            </w:r>
          </w:p>
        </w:tc>
        <w:tc>
          <w:tcPr>
            <w:tcW w:w="0" w:type="auto"/>
            <w:tcBorders>
              <w:top w:val="nil"/>
              <w:left w:val="nil"/>
              <w:bottom w:val="single" w:sz="4" w:space="0" w:color="auto"/>
              <w:right w:val="single" w:sz="4" w:space="0" w:color="auto"/>
            </w:tcBorders>
            <w:noWrap/>
            <w:vAlign w:val="bottom"/>
            <w:hideMark/>
          </w:tcPr>
          <w:p w14:paraId="4A21B08B"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6.17</w:t>
            </w:r>
          </w:p>
        </w:tc>
        <w:tc>
          <w:tcPr>
            <w:tcW w:w="0" w:type="auto"/>
            <w:tcBorders>
              <w:top w:val="nil"/>
              <w:left w:val="nil"/>
              <w:bottom w:val="single" w:sz="4" w:space="0" w:color="auto"/>
              <w:right w:val="single" w:sz="4" w:space="0" w:color="auto"/>
            </w:tcBorders>
            <w:noWrap/>
            <w:vAlign w:val="bottom"/>
            <w:hideMark/>
          </w:tcPr>
          <w:p w14:paraId="097E9FD6"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6.19</w:t>
            </w:r>
          </w:p>
        </w:tc>
        <w:tc>
          <w:tcPr>
            <w:tcW w:w="0" w:type="auto"/>
            <w:tcBorders>
              <w:top w:val="nil"/>
              <w:left w:val="nil"/>
              <w:bottom w:val="single" w:sz="4" w:space="0" w:color="auto"/>
              <w:right w:val="single" w:sz="4" w:space="0" w:color="auto"/>
            </w:tcBorders>
            <w:noWrap/>
            <w:vAlign w:val="bottom"/>
            <w:hideMark/>
          </w:tcPr>
          <w:p w14:paraId="59C69854"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4.35</w:t>
            </w:r>
          </w:p>
        </w:tc>
        <w:tc>
          <w:tcPr>
            <w:tcW w:w="0" w:type="auto"/>
            <w:tcBorders>
              <w:top w:val="nil"/>
              <w:left w:val="nil"/>
              <w:bottom w:val="single" w:sz="4" w:space="0" w:color="auto"/>
              <w:right w:val="single" w:sz="4" w:space="0" w:color="auto"/>
            </w:tcBorders>
            <w:noWrap/>
            <w:vAlign w:val="bottom"/>
            <w:hideMark/>
          </w:tcPr>
          <w:p w14:paraId="32CEA236"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4.56</w:t>
            </w:r>
          </w:p>
        </w:tc>
        <w:tc>
          <w:tcPr>
            <w:tcW w:w="0" w:type="auto"/>
            <w:tcBorders>
              <w:top w:val="nil"/>
              <w:left w:val="nil"/>
              <w:bottom w:val="single" w:sz="4" w:space="0" w:color="auto"/>
              <w:right w:val="single" w:sz="4" w:space="0" w:color="auto"/>
            </w:tcBorders>
            <w:noWrap/>
            <w:vAlign w:val="bottom"/>
            <w:hideMark/>
          </w:tcPr>
          <w:p w14:paraId="3C31C756"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1.47</w:t>
            </w:r>
          </w:p>
        </w:tc>
        <w:tc>
          <w:tcPr>
            <w:tcW w:w="0" w:type="auto"/>
            <w:tcBorders>
              <w:top w:val="nil"/>
              <w:left w:val="nil"/>
              <w:bottom w:val="single" w:sz="4" w:space="0" w:color="auto"/>
              <w:right w:val="single" w:sz="4" w:space="0" w:color="auto"/>
            </w:tcBorders>
            <w:noWrap/>
            <w:vAlign w:val="bottom"/>
            <w:hideMark/>
          </w:tcPr>
          <w:p w14:paraId="5CB9004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04CECC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22361B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26936E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96CDC7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6632B8F8"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7EF0E93B"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B308A6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03B418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C4EA2DA"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FCA5CD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15951B2"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A9FD13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028E8C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C76883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A55484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4C1B30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5FD6C5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4219821B"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42EF0119" w14:textId="77777777" w:rsidR="00987E51" w:rsidRPr="00CB4CDE" w:rsidRDefault="00987E51" w:rsidP="00987E51">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Cash flows</w:t>
            </w:r>
          </w:p>
        </w:tc>
        <w:tc>
          <w:tcPr>
            <w:tcW w:w="0" w:type="auto"/>
            <w:tcBorders>
              <w:top w:val="nil"/>
              <w:left w:val="nil"/>
              <w:bottom w:val="single" w:sz="4" w:space="0" w:color="auto"/>
              <w:right w:val="single" w:sz="4" w:space="0" w:color="auto"/>
            </w:tcBorders>
            <w:noWrap/>
            <w:vAlign w:val="bottom"/>
            <w:hideMark/>
          </w:tcPr>
          <w:p w14:paraId="6609F15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67CD84C"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E82A3D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4D44CD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F94B6DD"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7737FF31"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A4602D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AE8F975"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6B6CC2E"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DC3CFE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C0BF743"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987E51" w:rsidRPr="00CB4CDE" w14:paraId="05D6604B"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67A12B8F" w14:textId="77777777" w:rsidR="00987E51" w:rsidRPr="00CB4CDE" w:rsidRDefault="00987E51" w:rsidP="00987E51">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 to net income</w:t>
            </w:r>
          </w:p>
        </w:tc>
        <w:tc>
          <w:tcPr>
            <w:tcW w:w="0" w:type="auto"/>
            <w:tcBorders>
              <w:top w:val="nil"/>
              <w:left w:val="nil"/>
              <w:bottom w:val="single" w:sz="4" w:space="0" w:color="auto"/>
              <w:right w:val="single" w:sz="4" w:space="0" w:color="auto"/>
            </w:tcBorders>
            <w:noWrap/>
            <w:vAlign w:val="bottom"/>
            <w:hideMark/>
          </w:tcPr>
          <w:p w14:paraId="2D11006A"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Net operating Cash flows</w:t>
            </w:r>
          </w:p>
        </w:tc>
        <w:tc>
          <w:tcPr>
            <w:tcW w:w="0" w:type="auto"/>
            <w:tcBorders>
              <w:top w:val="nil"/>
              <w:left w:val="nil"/>
              <w:bottom w:val="single" w:sz="4" w:space="0" w:color="auto"/>
              <w:right w:val="single" w:sz="4" w:space="0" w:color="auto"/>
            </w:tcBorders>
            <w:noWrap/>
            <w:vAlign w:val="bottom"/>
            <w:hideMark/>
          </w:tcPr>
          <w:p w14:paraId="0049B8D4"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2129</w:t>
            </w:r>
          </w:p>
        </w:tc>
        <w:tc>
          <w:tcPr>
            <w:tcW w:w="0" w:type="auto"/>
            <w:tcBorders>
              <w:top w:val="nil"/>
              <w:left w:val="nil"/>
              <w:bottom w:val="single" w:sz="4" w:space="0" w:color="auto"/>
              <w:right w:val="single" w:sz="4" w:space="0" w:color="auto"/>
            </w:tcBorders>
            <w:noWrap/>
            <w:vAlign w:val="bottom"/>
            <w:hideMark/>
          </w:tcPr>
          <w:p w14:paraId="27445A1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2013</w:t>
            </w:r>
          </w:p>
        </w:tc>
        <w:tc>
          <w:tcPr>
            <w:tcW w:w="0" w:type="auto"/>
            <w:tcBorders>
              <w:top w:val="nil"/>
              <w:left w:val="nil"/>
              <w:bottom w:val="single" w:sz="4" w:space="0" w:color="auto"/>
              <w:right w:val="single" w:sz="4" w:space="0" w:color="auto"/>
            </w:tcBorders>
            <w:noWrap/>
            <w:vAlign w:val="bottom"/>
            <w:hideMark/>
          </w:tcPr>
          <w:p w14:paraId="0440B2E6"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1946</w:t>
            </w:r>
          </w:p>
        </w:tc>
        <w:tc>
          <w:tcPr>
            <w:tcW w:w="0" w:type="auto"/>
            <w:tcBorders>
              <w:top w:val="nil"/>
              <w:left w:val="nil"/>
              <w:bottom w:val="single" w:sz="4" w:space="0" w:color="auto"/>
              <w:right w:val="single" w:sz="4" w:space="0" w:color="auto"/>
            </w:tcBorders>
            <w:noWrap/>
            <w:vAlign w:val="bottom"/>
            <w:hideMark/>
          </w:tcPr>
          <w:p w14:paraId="411BC632"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1681</w:t>
            </w:r>
          </w:p>
        </w:tc>
        <w:tc>
          <w:tcPr>
            <w:tcW w:w="0" w:type="auto"/>
            <w:tcBorders>
              <w:top w:val="nil"/>
              <w:left w:val="nil"/>
              <w:bottom w:val="single" w:sz="4" w:space="0" w:color="auto"/>
              <w:right w:val="single" w:sz="4" w:space="0" w:color="auto"/>
            </w:tcBorders>
            <w:noWrap/>
            <w:vAlign w:val="bottom"/>
            <w:hideMark/>
          </w:tcPr>
          <w:p w14:paraId="618F3F2F" w14:textId="77777777" w:rsidR="00987E51" w:rsidRPr="00CB4CDE" w:rsidRDefault="00987E51" w:rsidP="00987E51">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109</w:t>
            </w:r>
          </w:p>
        </w:tc>
        <w:tc>
          <w:tcPr>
            <w:tcW w:w="0" w:type="auto"/>
            <w:tcBorders>
              <w:top w:val="nil"/>
              <w:left w:val="nil"/>
              <w:bottom w:val="single" w:sz="4" w:space="0" w:color="auto"/>
              <w:right w:val="single" w:sz="4" w:space="0" w:color="auto"/>
            </w:tcBorders>
            <w:noWrap/>
            <w:vAlign w:val="bottom"/>
            <w:hideMark/>
          </w:tcPr>
          <w:p w14:paraId="4F77D1CE"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1.46</w:t>
            </w:r>
          </w:p>
        </w:tc>
        <w:tc>
          <w:tcPr>
            <w:tcW w:w="0" w:type="auto"/>
            <w:tcBorders>
              <w:top w:val="nil"/>
              <w:left w:val="nil"/>
              <w:bottom w:val="single" w:sz="4" w:space="0" w:color="auto"/>
              <w:right w:val="single" w:sz="4" w:space="0" w:color="auto"/>
            </w:tcBorders>
            <w:noWrap/>
            <w:vAlign w:val="bottom"/>
            <w:hideMark/>
          </w:tcPr>
          <w:p w14:paraId="42B89C9C"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1.31</w:t>
            </w:r>
          </w:p>
        </w:tc>
        <w:tc>
          <w:tcPr>
            <w:tcW w:w="0" w:type="auto"/>
            <w:tcBorders>
              <w:top w:val="nil"/>
              <w:left w:val="nil"/>
              <w:bottom w:val="single" w:sz="4" w:space="0" w:color="auto"/>
              <w:right w:val="single" w:sz="4" w:space="0" w:color="auto"/>
            </w:tcBorders>
            <w:noWrap/>
            <w:vAlign w:val="bottom"/>
            <w:hideMark/>
          </w:tcPr>
          <w:p w14:paraId="3F5CDF2B"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1.69</w:t>
            </w:r>
          </w:p>
        </w:tc>
        <w:tc>
          <w:tcPr>
            <w:tcW w:w="0" w:type="auto"/>
            <w:tcBorders>
              <w:top w:val="nil"/>
              <w:left w:val="nil"/>
              <w:bottom w:val="single" w:sz="4" w:space="0" w:color="auto"/>
              <w:right w:val="single" w:sz="4" w:space="0" w:color="auto"/>
            </w:tcBorders>
            <w:noWrap/>
            <w:vAlign w:val="bottom"/>
            <w:hideMark/>
          </w:tcPr>
          <w:p w14:paraId="68EA4DEF"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1.34</w:t>
            </w:r>
          </w:p>
        </w:tc>
        <w:tc>
          <w:tcPr>
            <w:tcW w:w="0" w:type="auto"/>
            <w:tcBorders>
              <w:top w:val="nil"/>
              <w:left w:val="nil"/>
              <w:bottom w:val="single" w:sz="4" w:space="0" w:color="auto"/>
              <w:right w:val="single" w:sz="4" w:space="0" w:color="auto"/>
            </w:tcBorders>
            <w:noWrap/>
            <w:vAlign w:val="bottom"/>
            <w:hideMark/>
          </w:tcPr>
          <w:p w14:paraId="7FBCB771" w14:textId="77777777" w:rsidR="00987E51" w:rsidRPr="00CB4CDE" w:rsidRDefault="00987E51" w:rsidP="00987E51">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0.27</w:t>
            </w:r>
          </w:p>
        </w:tc>
      </w:tr>
      <w:tr w:rsidR="00987E51" w:rsidRPr="00CB4CDE" w14:paraId="3991CA26" w14:textId="77777777" w:rsidTr="00987E51">
        <w:trPr>
          <w:trHeight w:val="300"/>
        </w:trPr>
        <w:tc>
          <w:tcPr>
            <w:tcW w:w="0" w:type="auto"/>
            <w:tcBorders>
              <w:top w:val="nil"/>
              <w:left w:val="single" w:sz="4" w:space="0" w:color="auto"/>
              <w:bottom w:val="single" w:sz="4" w:space="0" w:color="auto"/>
              <w:right w:val="single" w:sz="4" w:space="0" w:color="auto"/>
            </w:tcBorders>
            <w:noWrap/>
            <w:vAlign w:val="bottom"/>
            <w:hideMark/>
          </w:tcPr>
          <w:p w14:paraId="0C38C2A4"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lastRenderedPageBreak/>
              <w:t> </w:t>
            </w:r>
          </w:p>
        </w:tc>
        <w:tc>
          <w:tcPr>
            <w:tcW w:w="0" w:type="auto"/>
            <w:tcBorders>
              <w:top w:val="nil"/>
              <w:left w:val="nil"/>
              <w:bottom w:val="single" w:sz="4" w:space="0" w:color="auto"/>
              <w:right w:val="single" w:sz="4" w:space="0" w:color="auto"/>
            </w:tcBorders>
            <w:noWrap/>
            <w:vAlign w:val="bottom"/>
            <w:hideMark/>
          </w:tcPr>
          <w:p w14:paraId="788FB330"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Net income</w:t>
            </w:r>
          </w:p>
        </w:tc>
        <w:tc>
          <w:tcPr>
            <w:tcW w:w="0" w:type="auto"/>
            <w:tcBorders>
              <w:top w:val="nil"/>
              <w:left w:val="nil"/>
              <w:bottom w:val="single" w:sz="4" w:space="0" w:color="auto"/>
              <w:right w:val="single" w:sz="4" w:space="0" w:color="auto"/>
            </w:tcBorders>
            <w:noWrap/>
            <w:vAlign w:val="bottom"/>
            <w:hideMark/>
          </w:tcPr>
          <w:p w14:paraId="3BDA3FAF"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1461</w:t>
            </w:r>
          </w:p>
        </w:tc>
        <w:tc>
          <w:tcPr>
            <w:tcW w:w="0" w:type="auto"/>
            <w:tcBorders>
              <w:top w:val="nil"/>
              <w:left w:val="nil"/>
              <w:bottom w:val="single" w:sz="4" w:space="0" w:color="auto"/>
              <w:right w:val="single" w:sz="4" w:space="0" w:color="auto"/>
            </w:tcBorders>
            <w:noWrap/>
            <w:vAlign w:val="bottom"/>
            <w:hideMark/>
          </w:tcPr>
          <w:p w14:paraId="3EC9F12B"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1539</w:t>
            </w:r>
          </w:p>
        </w:tc>
        <w:tc>
          <w:tcPr>
            <w:tcW w:w="0" w:type="auto"/>
            <w:tcBorders>
              <w:top w:val="nil"/>
              <w:left w:val="nil"/>
              <w:bottom w:val="single" w:sz="4" w:space="0" w:color="auto"/>
              <w:right w:val="single" w:sz="4" w:space="0" w:color="auto"/>
            </w:tcBorders>
            <w:noWrap/>
            <w:vAlign w:val="bottom"/>
            <w:hideMark/>
          </w:tcPr>
          <w:p w14:paraId="6435DB3B"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1151</w:t>
            </w:r>
          </w:p>
        </w:tc>
        <w:tc>
          <w:tcPr>
            <w:tcW w:w="0" w:type="auto"/>
            <w:tcBorders>
              <w:top w:val="nil"/>
              <w:left w:val="nil"/>
              <w:bottom w:val="single" w:sz="4" w:space="0" w:color="auto"/>
              <w:right w:val="single" w:sz="4" w:space="0" w:color="auto"/>
            </w:tcBorders>
            <w:noWrap/>
            <w:vAlign w:val="bottom"/>
            <w:hideMark/>
          </w:tcPr>
          <w:p w14:paraId="012853C2"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1257</w:t>
            </w:r>
          </w:p>
        </w:tc>
        <w:tc>
          <w:tcPr>
            <w:tcW w:w="0" w:type="auto"/>
            <w:tcBorders>
              <w:top w:val="nil"/>
              <w:left w:val="nil"/>
              <w:bottom w:val="single" w:sz="4" w:space="0" w:color="auto"/>
              <w:right w:val="single" w:sz="4" w:space="0" w:color="auto"/>
            </w:tcBorders>
            <w:noWrap/>
            <w:vAlign w:val="bottom"/>
            <w:hideMark/>
          </w:tcPr>
          <w:p w14:paraId="0321ED7B" w14:textId="77777777" w:rsidR="00987E51" w:rsidRPr="00CB4CDE" w:rsidRDefault="00987E51" w:rsidP="00987E51">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407</w:t>
            </w:r>
          </w:p>
        </w:tc>
        <w:tc>
          <w:tcPr>
            <w:tcW w:w="0" w:type="auto"/>
            <w:tcBorders>
              <w:top w:val="nil"/>
              <w:left w:val="nil"/>
              <w:bottom w:val="single" w:sz="4" w:space="0" w:color="auto"/>
              <w:right w:val="single" w:sz="4" w:space="0" w:color="auto"/>
            </w:tcBorders>
            <w:noWrap/>
            <w:vAlign w:val="bottom"/>
            <w:hideMark/>
          </w:tcPr>
          <w:p w14:paraId="47A03D69"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6960AD2F"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CE0D2F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80A4758"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D5FA6E0" w14:textId="77777777" w:rsidR="00987E51" w:rsidRPr="00CB4CDE" w:rsidRDefault="00987E51" w:rsidP="00987E51">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bl>
    <w:p w14:paraId="7C931F01" w14:textId="765F4719" w:rsidR="00987E51" w:rsidRPr="00CB4CDE" w:rsidRDefault="0020558D" w:rsidP="0020558D">
      <w:pPr>
        <w:jc w:val="center"/>
        <w:rPr>
          <w:rFonts w:ascii="Arial" w:hAnsi="Arial" w:cs="Arial"/>
          <w:lang w:val="en-GB"/>
        </w:rPr>
      </w:pPr>
      <w:r w:rsidRPr="00CB4CDE">
        <w:rPr>
          <w:rFonts w:ascii="Arial" w:hAnsi="Arial" w:cs="Arial"/>
          <w:b/>
          <w:bCs/>
          <w:lang w:val="en-GB"/>
        </w:rPr>
        <w:t>Data Source:</w:t>
      </w:r>
      <w:r w:rsidRPr="00CB4CDE">
        <w:rPr>
          <w:rFonts w:ascii="Arial" w:hAnsi="Arial" w:cs="Arial"/>
          <w:lang w:val="en-GB"/>
        </w:rPr>
        <w:t xml:space="preserve"> </w:t>
      </w:r>
      <w:r w:rsidR="00E5461B" w:rsidRPr="00CB4CDE">
        <w:rPr>
          <w:rFonts w:ascii="Arial" w:hAnsi="Arial" w:cs="Arial"/>
          <w:lang w:val="en-GB"/>
        </w:rPr>
        <w:t>Annual reports</w:t>
      </w:r>
      <w:r w:rsidR="006A1B35" w:rsidRPr="00CB4CDE">
        <w:rPr>
          <w:rFonts w:ascii="Arial" w:hAnsi="Arial" w:cs="Arial"/>
          <w:lang w:val="en-GB"/>
        </w:rPr>
        <w:t xml:space="preserve"> </w:t>
      </w:r>
      <w:r w:rsidRPr="00CB4CDE">
        <w:rPr>
          <w:rFonts w:ascii="Arial" w:hAnsi="Arial" w:cs="Arial"/>
          <w:lang w:val="en-GB"/>
        </w:rPr>
        <w:t>(Hilton, 2025)</w:t>
      </w:r>
    </w:p>
    <w:p w14:paraId="65A122B6" w14:textId="652FB758" w:rsidR="00044024" w:rsidRPr="00CB4CDE" w:rsidRDefault="008C30A3" w:rsidP="008C30A3">
      <w:pPr>
        <w:rPr>
          <w:rFonts w:ascii="Arial" w:hAnsi="Arial" w:cs="Arial"/>
          <w:b/>
          <w:bCs/>
          <w:u w:val="single"/>
          <w:lang w:val="en-GB"/>
        </w:rPr>
      </w:pPr>
      <w:r w:rsidRPr="00CB4CDE">
        <w:rPr>
          <w:rFonts w:ascii="Arial" w:hAnsi="Arial" w:cs="Arial"/>
          <w:b/>
          <w:bCs/>
          <w:u w:val="single"/>
          <w:lang w:val="en-GB"/>
        </w:rPr>
        <w:t>Benchmarks</w:t>
      </w:r>
    </w:p>
    <w:p w14:paraId="5838F74E" w14:textId="15ADEB7C" w:rsidR="0076751A" w:rsidRPr="00CB4CDE" w:rsidRDefault="0076751A" w:rsidP="0076751A">
      <w:pPr>
        <w:pStyle w:val="Caption"/>
        <w:jc w:val="center"/>
        <w:rPr>
          <w:rFonts w:ascii="Arial" w:hAnsi="Arial" w:cs="Arial"/>
          <w:sz w:val="24"/>
          <w:szCs w:val="24"/>
          <w:lang w:val="en-GB"/>
        </w:rPr>
      </w:pPr>
      <w:bookmarkStart w:id="17" w:name="_Toc236928796"/>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0015369D" w:rsidRPr="00CB4CDE">
        <w:rPr>
          <w:rFonts w:ascii="Arial" w:hAnsi="Arial" w:cs="Arial"/>
          <w:b/>
          <w:bCs/>
          <w:noProof/>
          <w:sz w:val="24"/>
          <w:szCs w:val="24"/>
        </w:rPr>
        <w:t>6</w:t>
      </w:r>
      <w:r w:rsidRPr="00CB4CDE">
        <w:rPr>
          <w:rFonts w:ascii="Arial" w:hAnsi="Arial" w:cs="Arial"/>
          <w:b/>
          <w:bCs/>
          <w:sz w:val="24"/>
          <w:szCs w:val="24"/>
        </w:rPr>
        <w:fldChar w:fldCharType="end"/>
      </w:r>
      <w:r w:rsidRPr="00CB4CDE">
        <w:rPr>
          <w:rFonts w:ascii="Arial" w:hAnsi="Arial" w:cs="Arial"/>
          <w:b/>
          <w:bCs/>
          <w:sz w:val="24"/>
          <w:szCs w:val="24"/>
        </w:rPr>
        <w:t xml:space="preserve">: </w:t>
      </w:r>
      <w:r w:rsidRPr="00CB4CDE">
        <w:rPr>
          <w:rFonts w:ascii="Arial" w:hAnsi="Arial" w:cs="Arial"/>
          <w:sz w:val="24"/>
          <w:szCs w:val="24"/>
        </w:rPr>
        <w:t>Benchmarks for financial ratio analysis</w:t>
      </w:r>
      <w:bookmarkEnd w:id="17"/>
    </w:p>
    <w:tbl>
      <w:tblPr>
        <w:tblW w:w="3851" w:type="dxa"/>
        <w:jc w:val="center"/>
        <w:tblLook w:val="04A0" w:firstRow="1" w:lastRow="0" w:firstColumn="1" w:lastColumn="0" w:noHBand="0" w:noVBand="1"/>
      </w:tblPr>
      <w:tblGrid>
        <w:gridCol w:w="2551"/>
        <w:gridCol w:w="1657"/>
      </w:tblGrid>
      <w:tr w:rsidR="008C30A3" w:rsidRPr="00CB4CDE" w14:paraId="2EF06FB5" w14:textId="77777777" w:rsidTr="008C30A3">
        <w:trPr>
          <w:trHeight w:val="300"/>
          <w:jc w:val="center"/>
        </w:trPr>
        <w:tc>
          <w:tcPr>
            <w:tcW w:w="2551" w:type="dxa"/>
            <w:tcBorders>
              <w:top w:val="single" w:sz="4" w:space="0" w:color="auto"/>
              <w:left w:val="single" w:sz="4" w:space="0" w:color="auto"/>
              <w:bottom w:val="single" w:sz="4" w:space="0" w:color="auto"/>
              <w:right w:val="single" w:sz="4" w:space="0" w:color="auto"/>
            </w:tcBorders>
            <w:noWrap/>
            <w:vAlign w:val="bottom"/>
            <w:hideMark/>
          </w:tcPr>
          <w:p w14:paraId="6EECF27A" w14:textId="77777777" w:rsidR="008C30A3" w:rsidRPr="00CB4CDE" w:rsidRDefault="008C30A3" w:rsidP="008C30A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300" w:type="dxa"/>
            <w:tcBorders>
              <w:top w:val="single" w:sz="4" w:space="0" w:color="auto"/>
              <w:left w:val="nil"/>
              <w:bottom w:val="single" w:sz="4" w:space="0" w:color="auto"/>
              <w:right w:val="single" w:sz="4" w:space="0" w:color="auto"/>
            </w:tcBorders>
            <w:noWrap/>
            <w:vAlign w:val="bottom"/>
            <w:hideMark/>
          </w:tcPr>
          <w:p w14:paraId="131F32E6"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Benchmarks</w:t>
            </w:r>
          </w:p>
        </w:tc>
      </w:tr>
      <w:tr w:rsidR="008C30A3" w:rsidRPr="00CB4CDE" w14:paraId="0F04ACF2"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58FA3789" w14:textId="77777777" w:rsidR="008C30A3" w:rsidRPr="00CB4CDE" w:rsidRDefault="008C30A3" w:rsidP="008C30A3">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Profitability ratio</w:t>
            </w:r>
          </w:p>
        </w:tc>
        <w:tc>
          <w:tcPr>
            <w:tcW w:w="1300" w:type="dxa"/>
            <w:tcBorders>
              <w:top w:val="nil"/>
              <w:left w:val="nil"/>
              <w:bottom w:val="single" w:sz="4" w:space="0" w:color="auto"/>
              <w:right w:val="single" w:sz="4" w:space="0" w:color="auto"/>
            </w:tcBorders>
            <w:noWrap/>
            <w:vAlign w:val="bottom"/>
            <w:hideMark/>
          </w:tcPr>
          <w:p w14:paraId="1231793C" w14:textId="77777777" w:rsidR="008C30A3" w:rsidRPr="00CB4CDE" w:rsidRDefault="008C30A3" w:rsidP="008C30A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8C30A3" w:rsidRPr="00CB4CDE" w14:paraId="3C650D04"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416B7197"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Operating profit margin (%)</w:t>
            </w:r>
          </w:p>
        </w:tc>
        <w:tc>
          <w:tcPr>
            <w:tcW w:w="1300" w:type="dxa"/>
            <w:tcBorders>
              <w:top w:val="nil"/>
              <w:left w:val="nil"/>
              <w:bottom w:val="single" w:sz="4" w:space="0" w:color="auto"/>
              <w:right w:val="single" w:sz="4" w:space="0" w:color="auto"/>
            </w:tcBorders>
            <w:noWrap/>
            <w:vAlign w:val="bottom"/>
            <w:hideMark/>
          </w:tcPr>
          <w:p w14:paraId="51F1981A"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16.46%</w:t>
            </w:r>
          </w:p>
        </w:tc>
      </w:tr>
      <w:tr w:rsidR="008C30A3" w:rsidRPr="00CB4CDE" w14:paraId="5EF4F2D4"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0BB117B1"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Net profit margin (%)</w:t>
            </w:r>
          </w:p>
        </w:tc>
        <w:tc>
          <w:tcPr>
            <w:tcW w:w="1300" w:type="dxa"/>
            <w:tcBorders>
              <w:top w:val="nil"/>
              <w:left w:val="nil"/>
              <w:bottom w:val="single" w:sz="4" w:space="0" w:color="auto"/>
              <w:right w:val="single" w:sz="4" w:space="0" w:color="auto"/>
            </w:tcBorders>
            <w:noWrap/>
            <w:vAlign w:val="bottom"/>
            <w:hideMark/>
          </w:tcPr>
          <w:p w14:paraId="23E68E7C"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11.32%</w:t>
            </w:r>
          </w:p>
        </w:tc>
      </w:tr>
      <w:tr w:rsidR="008C30A3" w:rsidRPr="00CB4CDE" w14:paraId="2D092B2B"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7614894D"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Return on equity (%)</w:t>
            </w:r>
          </w:p>
        </w:tc>
        <w:tc>
          <w:tcPr>
            <w:tcW w:w="1300" w:type="dxa"/>
            <w:tcBorders>
              <w:top w:val="nil"/>
              <w:left w:val="nil"/>
              <w:bottom w:val="single" w:sz="4" w:space="0" w:color="auto"/>
              <w:right w:val="single" w:sz="4" w:space="0" w:color="auto"/>
            </w:tcBorders>
            <w:noWrap/>
            <w:vAlign w:val="bottom"/>
            <w:hideMark/>
          </w:tcPr>
          <w:p w14:paraId="0CE44A75"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0.14%</w:t>
            </w:r>
          </w:p>
        </w:tc>
      </w:tr>
      <w:tr w:rsidR="008C30A3" w:rsidRPr="00CB4CDE" w14:paraId="151F0D31"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53C9E118" w14:textId="77777777" w:rsidR="008C30A3" w:rsidRPr="00CB4CDE" w:rsidRDefault="008C30A3" w:rsidP="008C30A3">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Liquidity ratios</w:t>
            </w:r>
          </w:p>
        </w:tc>
        <w:tc>
          <w:tcPr>
            <w:tcW w:w="1300" w:type="dxa"/>
            <w:tcBorders>
              <w:top w:val="nil"/>
              <w:left w:val="nil"/>
              <w:bottom w:val="single" w:sz="4" w:space="0" w:color="auto"/>
              <w:right w:val="single" w:sz="4" w:space="0" w:color="auto"/>
            </w:tcBorders>
            <w:noWrap/>
            <w:vAlign w:val="bottom"/>
            <w:hideMark/>
          </w:tcPr>
          <w:p w14:paraId="02CD32B5" w14:textId="77777777" w:rsidR="008C30A3" w:rsidRPr="00CB4CDE" w:rsidRDefault="008C30A3" w:rsidP="008C30A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8C30A3" w:rsidRPr="00CB4CDE" w14:paraId="3330793D"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6349D68F"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Current ratio</w:t>
            </w:r>
          </w:p>
        </w:tc>
        <w:tc>
          <w:tcPr>
            <w:tcW w:w="1300" w:type="dxa"/>
            <w:tcBorders>
              <w:top w:val="nil"/>
              <w:left w:val="nil"/>
              <w:bottom w:val="single" w:sz="4" w:space="0" w:color="auto"/>
              <w:right w:val="single" w:sz="4" w:space="0" w:color="auto"/>
            </w:tcBorders>
            <w:noWrap/>
            <w:vAlign w:val="bottom"/>
            <w:hideMark/>
          </w:tcPr>
          <w:p w14:paraId="22B920EA"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0.93</w:t>
            </w:r>
          </w:p>
        </w:tc>
      </w:tr>
      <w:tr w:rsidR="008C30A3" w:rsidRPr="00CB4CDE" w14:paraId="5866DA30"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65A7F6E5" w14:textId="77777777" w:rsidR="008C30A3" w:rsidRPr="00CB4CDE" w:rsidRDefault="008C30A3" w:rsidP="008C30A3">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Efficiency ratios</w:t>
            </w:r>
          </w:p>
        </w:tc>
        <w:tc>
          <w:tcPr>
            <w:tcW w:w="1300" w:type="dxa"/>
            <w:tcBorders>
              <w:top w:val="nil"/>
              <w:left w:val="nil"/>
              <w:bottom w:val="single" w:sz="4" w:space="0" w:color="auto"/>
              <w:right w:val="single" w:sz="4" w:space="0" w:color="auto"/>
            </w:tcBorders>
            <w:noWrap/>
            <w:vAlign w:val="bottom"/>
            <w:hideMark/>
          </w:tcPr>
          <w:p w14:paraId="77B791F2" w14:textId="77777777" w:rsidR="008C30A3" w:rsidRPr="00CB4CDE" w:rsidRDefault="008C30A3" w:rsidP="008C30A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8C30A3" w:rsidRPr="00CB4CDE" w14:paraId="1D57ED08"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7CCD4537"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Asset turnover ratio</w:t>
            </w:r>
          </w:p>
        </w:tc>
        <w:tc>
          <w:tcPr>
            <w:tcW w:w="1300" w:type="dxa"/>
            <w:tcBorders>
              <w:top w:val="nil"/>
              <w:left w:val="nil"/>
              <w:bottom w:val="single" w:sz="4" w:space="0" w:color="auto"/>
              <w:right w:val="single" w:sz="4" w:space="0" w:color="auto"/>
            </w:tcBorders>
            <w:noWrap/>
            <w:vAlign w:val="bottom"/>
            <w:hideMark/>
          </w:tcPr>
          <w:p w14:paraId="69E550C1"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0.74</w:t>
            </w:r>
          </w:p>
        </w:tc>
      </w:tr>
      <w:tr w:rsidR="008C30A3" w:rsidRPr="00CB4CDE" w14:paraId="47F787D1"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512D1B7B"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Receivable turnover ratio</w:t>
            </w:r>
          </w:p>
        </w:tc>
        <w:tc>
          <w:tcPr>
            <w:tcW w:w="1300" w:type="dxa"/>
            <w:tcBorders>
              <w:top w:val="nil"/>
              <w:left w:val="nil"/>
              <w:bottom w:val="single" w:sz="4" w:space="0" w:color="auto"/>
              <w:right w:val="single" w:sz="4" w:space="0" w:color="auto"/>
            </w:tcBorders>
            <w:noWrap/>
            <w:vAlign w:val="bottom"/>
            <w:hideMark/>
          </w:tcPr>
          <w:p w14:paraId="4A8413C7"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30.41</w:t>
            </w:r>
          </w:p>
        </w:tc>
      </w:tr>
      <w:tr w:rsidR="008C30A3" w:rsidRPr="00CB4CDE" w14:paraId="13F85CCD"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7E22448C" w14:textId="77777777" w:rsidR="008C30A3" w:rsidRPr="00CB4CDE" w:rsidRDefault="008C30A3" w:rsidP="008C30A3">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Gearing ratios</w:t>
            </w:r>
          </w:p>
        </w:tc>
        <w:tc>
          <w:tcPr>
            <w:tcW w:w="1300" w:type="dxa"/>
            <w:tcBorders>
              <w:top w:val="nil"/>
              <w:left w:val="nil"/>
              <w:bottom w:val="single" w:sz="4" w:space="0" w:color="auto"/>
              <w:right w:val="single" w:sz="4" w:space="0" w:color="auto"/>
            </w:tcBorders>
            <w:noWrap/>
            <w:vAlign w:val="bottom"/>
            <w:hideMark/>
          </w:tcPr>
          <w:p w14:paraId="03ACB715" w14:textId="77777777" w:rsidR="008C30A3" w:rsidRPr="00CB4CDE" w:rsidRDefault="008C30A3" w:rsidP="008C30A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8C30A3" w:rsidRPr="00CB4CDE" w14:paraId="50914FA6"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3A0CD27B"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Debt to equity ratio</w:t>
            </w:r>
          </w:p>
        </w:tc>
        <w:tc>
          <w:tcPr>
            <w:tcW w:w="1300" w:type="dxa"/>
            <w:tcBorders>
              <w:top w:val="nil"/>
              <w:left w:val="nil"/>
              <w:bottom w:val="single" w:sz="4" w:space="0" w:color="auto"/>
              <w:right w:val="single" w:sz="4" w:space="0" w:color="auto"/>
            </w:tcBorders>
            <w:noWrap/>
            <w:vAlign w:val="bottom"/>
            <w:hideMark/>
          </w:tcPr>
          <w:p w14:paraId="18F38065"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0.10</w:t>
            </w:r>
          </w:p>
        </w:tc>
      </w:tr>
      <w:tr w:rsidR="008C30A3" w:rsidRPr="00CB4CDE" w14:paraId="5ED740F3"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71A96C8B" w14:textId="77777777" w:rsidR="008C30A3" w:rsidRPr="00CB4CDE" w:rsidRDefault="008C30A3" w:rsidP="008C30A3">
            <w:pPr>
              <w:spacing w:line="240" w:lineRule="auto"/>
              <w:jc w:val="left"/>
              <w:rPr>
                <w:rFonts w:ascii="Arial" w:eastAsia="Times New Roman" w:hAnsi="Arial" w:cs="Arial"/>
                <w:b/>
                <w:bCs/>
                <w:color w:val="000000"/>
                <w:kern w:val="0"/>
                <w:u w:val="single"/>
                <w14:ligatures w14:val="none"/>
              </w:rPr>
            </w:pPr>
            <w:r w:rsidRPr="00CB4CDE">
              <w:rPr>
                <w:rFonts w:ascii="Arial" w:eastAsia="Times New Roman" w:hAnsi="Arial" w:cs="Arial"/>
                <w:b/>
                <w:bCs/>
                <w:color w:val="000000"/>
                <w:kern w:val="0"/>
                <w:u w:val="single"/>
                <w14:ligatures w14:val="none"/>
              </w:rPr>
              <w:t>Investment ratio</w:t>
            </w:r>
          </w:p>
        </w:tc>
        <w:tc>
          <w:tcPr>
            <w:tcW w:w="1300" w:type="dxa"/>
            <w:tcBorders>
              <w:top w:val="nil"/>
              <w:left w:val="nil"/>
              <w:bottom w:val="single" w:sz="4" w:space="0" w:color="auto"/>
              <w:right w:val="single" w:sz="4" w:space="0" w:color="auto"/>
            </w:tcBorders>
            <w:noWrap/>
            <w:vAlign w:val="bottom"/>
            <w:hideMark/>
          </w:tcPr>
          <w:p w14:paraId="0BB5F727" w14:textId="77777777" w:rsidR="008C30A3" w:rsidRPr="00CB4CDE" w:rsidRDefault="008C30A3" w:rsidP="008C30A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8C30A3" w:rsidRPr="00CB4CDE" w14:paraId="5AE9B56A"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02E38372"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Earning per share</w:t>
            </w:r>
          </w:p>
        </w:tc>
        <w:tc>
          <w:tcPr>
            <w:tcW w:w="1300" w:type="dxa"/>
            <w:tcBorders>
              <w:top w:val="nil"/>
              <w:left w:val="nil"/>
              <w:bottom w:val="single" w:sz="4" w:space="0" w:color="auto"/>
              <w:right w:val="single" w:sz="4" w:space="0" w:color="auto"/>
            </w:tcBorders>
            <w:noWrap/>
            <w:vAlign w:val="bottom"/>
            <w:hideMark/>
          </w:tcPr>
          <w:p w14:paraId="6D3665BB"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6.17</w:t>
            </w:r>
          </w:p>
        </w:tc>
      </w:tr>
      <w:tr w:rsidR="008C30A3" w:rsidRPr="00CB4CDE" w14:paraId="2A8658F2" w14:textId="77777777" w:rsidTr="008C30A3">
        <w:trPr>
          <w:trHeight w:val="300"/>
          <w:jc w:val="center"/>
        </w:trPr>
        <w:tc>
          <w:tcPr>
            <w:tcW w:w="2551" w:type="dxa"/>
            <w:tcBorders>
              <w:top w:val="nil"/>
              <w:left w:val="single" w:sz="4" w:space="0" w:color="auto"/>
              <w:bottom w:val="single" w:sz="4" w:space="0" w:color="auto"/>
              <w:right w:val="single" w:sz="4" w:space="0" w:color="auto"/>
            </w:tcBorders>
            <w:noWrap/>
            <w:vAlign w:val="bottom"/>
            <w:hideMark/>
          </w:tcPr>
          <w:p w14:paraId="52E18570" w14:textId="77777777" w:rsidR="008C30A3" w:rsidRPr="00CB4CDE" w:rsidRDefault="008C30A3" w:rsidP="008C30A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Price earnings ratio</w:t>
            </w:r>
          </w:p>
        </w:tc>
        <w:tc>
          <w:tcPr>
            <w:tcW w:w="1300" w:type="dxa"/>
            <w:tcBorders>
              <w:top w:val="nil"/>
              <w:left w:val="nil"/>
              <w:bottom w:val="single" w:sz="4" w:space="0" w:color="auto"/>
              <w:right w:val="single" w:sz="4" w:space="0" w:color="auto"/>
            </w:tcBorders>
            <w:noWrap/>
            <w:vAlign w:val="bottom"/>
            <w:hideMark/>
          </w:tcPr>
          <w:p w14:paraId="30C9030A" w14:textId="77777777" w:rsidR="008C30A3" w:rsidRPr="00CB4CDE" w:rsidRDefault="008C30A3" w:rsidP="008C30A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27.47</w:t>
            </w:r>
          </w:p>
        </w:tc>
      </w:tr>
    </w:tbl>
    <w:p w14:paraId="13C678E1" w14:textId="0842FD14" w:rsidR="007551D9" w:rsidRPr="00CB4CDE" w:rsidRDefault="007551D9" w:rsidP="007551D9">
      <w:pPr>
        <w:jc w:val="center"/>
        <w:rPr>
          <w:rFonts w:ascii="Arial" w:hAnsi="Arial" w:cs="Arial"/>
          <w:lang w:val="en-GB"/>
        </w:rPr>
      </w:pPr>
      <w:r w:rsidRPr="00CB4CDE">
        <w:rPr>
          <w:rFonts w:ascii="Arial" w:hAnsi="Arial" w:cs="Arial"/>
          <w:b/>
          <w:bCs/>
          <w:lang w:val="en-GB"/>
        </w:rPr>
        <w:t xml:space="preserve">Source: </w:t>
      </w:r>
      <w:r w:rsidRPr="00CB4CDE">
        <w:rPr>
          <w:rFonts w:ascii="Arial" w:hAnsi="Arial" w:cs="Arial"/>
          <w:lang w:val="en-GB"/>
        </w:rPr>
        <w:t>(Investing, 2025)</w:t>
      </w:r>
    </w:p>
    <w:p w14:paraId="0BDB4D93" w14:textId="34E0165B" w:rsidR="008C30A3" w:rsidRPr="00CB4CDE" w:rsidRDefault="0036790E" w:rsidP="008C30A3">
      <w:pPr>
        <w:rPr>
          <w:rFonts w:ascii="Arial" w:hAnsi="Arial" w:cs="Arial"/>
          <w:lang w:val="en-GB"/>
        </w:rPr>
      </w:pPr>
      <w:r w:rsidRPr="00CB4CDE">
        <w:rPr>
          <w:rFonts w:ascii="Arial" w:hAnsi="Arial" w:cs="Arial"/>
          <w:b/>
          <w:bCs/>
          <w:lang w:val="en-GB"/>
        </w:rPr>
        <w:t>Other workings</w:t>
      </w:r>
    </w:p>
    <w:p w14:paraId="783A7EBC" w14:textId="126D9C22" w:rsidR="007551D9" w:rsidRPr="00CB4CDE" w:rsidRDefault="007551D9" w:rsidP="007551D9">
      <w:pPr>
        <w:pStyle w:val="Caption"/>
        <w:jc w:val="center"/>
        <w:rPr>
          <w:rFonts w:ascii="Arial" w:hAnsi="Arial" w:cs="Arial"/>
          <w:sz w:val="24"/>
          <w:szCs w:val="24"/>
          <w:lang w:val="en-GB"/>
        </w:rPr>
      </w:pPr>
      <w:bookmarkStart w:id="18" w:name="_Toc236928797"/>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0015369D" w:rsidRPr="00CB4CDE">
        <w:rPr>
          <w:rFonts w:ascii="Arial" w:hAnsi="Arial" w:cs="Arial"/>
          <w:b/>
          <w:bCs/>
          <w:noProof/>
          <w:sz w:val="24"/>
          <w:szCs w:val="24"/>
        </w:rPr>
        <w:t>7</w:t>
      </w:r>
      <w:r w:rsidRPr="00CB4CDE">
        <w:rPr>
          <w:rFonts w:ascii="Arial" w:hAnsi="Arial" w:cs="Arial"/>
          <w:b/>
          <w:bCs/>
          <w:sz w:val="24"/>
          <w:szCs w:val="24"/>
        </w:rPr>
        <w:fldChar w:fldCharType="end"/>
      </w:r>
      <w:r w:rsidRPr="00CB4CDE">
        <w:rPr>
          <w:rFonts w:ascii="Arial" w:hAnsi="Arial" w:cs="Arial"/>
          <w:b/>
          <w:bCs/>
          <w:sz w:val="24"/>
          <w:szCs w:val="24"/>
        </w:rPr>
        <w:t>:</w:t>
      </w:r>
      <w:r w:rsidRPr="00CB4CDE">
        <w:rPr>
          <w:rFonts w:ascii="Arial" w:hAnsi="Arial" w:cs="Arial"/>
          <w:sz w:val="24"/>
          <w:szCs w:val="24"/>
        </w:rPr>
        <w:t xml:space="preserve"> Additional Workings for ratio calculations</w:t>
      </w:r>
      <w:bookmarkEnd w:id="18"/>
    </w:p>
    <w:tbl>
      <w:tblPr>
        <w:tblW w:w="8582" w:type="dxa"/>
        <w:tblLook w:val="04A0" w:firstRow="1" w:lastRow="0" w:firstColumn="1" w:lastColumn="0" w:noHBand="0" w:noVBand="1"/>
      </w:tblPr>
      <w:tblGrid>
        <w:gridCol w:w="3952"/>
        <w:gridCol w:w="926"/>
        <w:gridCol w:w="926"/>
        <w:gridCol w:w="926"/>
        <w:gridCol w:w="926"/>
        <w:gridCol w:w="926"/>
      </w:tblGrid>
      <w:tr w:rsidR="0036790E" w:rsidRPr="00CB4CDE" w14:paraId="29782A99" w14:textId="77777777" w:rsidTr="0036790E">
        <w:trPr>
          <w:trHeight w:val="300"/>
        </w:trPr>
        <w:tc>
          <w:tcPr>
            <w:tcW w:w="8582" w:type="dxa"/>
            <w:gridSpan w:val="6"/>
            <w:tcBorders>
              <w:top w:val="single" w:sz="4" w:space="0" w:color="auto"/>
              <w:left w:val="single" w:sz="4" w:space="0" w:color="auto"/>
              <w:bottom w:val="single" w:sz="4" w:space="0" w:color="auto"/>
              <w:right w:val="single" w:sz="4" w:space="0" w:color="auto"/>
            </w:tcBorders>
            <w:noWrap/>
            <w:vAlign w:val="bottom"/>
            <w:hideMark/>
          </w:tcPr>
          <w:p w14:paraId="42A75BC3"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Calculation of interest bearing debt</w:t>
            </w:r>
          </w:p>
        </w:tc>
      </w:tr>
      <w:tr w:rsidR="0036790E" w:rsidRPr="00CB4CDE" w14:paraId="72B91C21"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0206F27F"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4630" w:type="dxa"/>
            <w:gridSpan w:val="5"/>
            <w:tcBorders>
              <w:top w:val="single" w:sz="4" w:space="0" w:color="auto"/>
              <w:left w:val="nil"/>
              <w:bottom w:val="single" w:sz="4" w:space="0" w:color="auto"/>
              <w:right w:val="single" w:sz="4" w:space="0" w:color="auto"/>
            </w:tcBorders>
            <w:noWrap/>
            <w:vAlign w:val="bottom"/>
            <w:hideMark/>
          </w:tcPr>
          <w:p w14:paraId="5F91AD7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Workings ($m)</w:t>
            </w:r>
          </w:p>
        </w:tc>
      </w:tr>
      <w:tr w:rsidR="0036790E" w:rsidRPr="00CB4CDE" w14:paraId="519EC14D"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427903AB"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926" w:type="dxa"/>
            <w:tcBorders>
              <w:top w:val="nil"/>
              <w:left w:val="nil"/>
              <w:bottom w:val="single" w:sz="4" w:space="0" w:color="auto"/>
              <w:right w:val="single" w:sz="4" w:space="0" w:color="auto"/>
            </w:tcBorders>
            <w:noWrap/>
            <w:vAlign w:val="bottom"/>
            <w:hideMark/>
          </w:tcPr>
          <w:p w14:paraId="378E7D54"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926" w:type="dxa"/>
            <w:tcBorders>
              <w:top w:val="nil"/>
              <w:left w:val="nil"/>
              <w:bottom w:val="single" w:sz="4" w:space="0" w:color="auto"/>
              <w:right w:val="single" w:sz="4" w:space="0" w:color="auto"/>
            </w:tcBorders>
            <w:noWrap/>
            <w:vAlign w:val="bottom"/>
            <w:hideMark/>
          </w:tcPr>
          <w:p w14:paraId="706AE0EB"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926" w:type="dxa"/>
            <w:tcBorders>
              <w:top w:val="nil"/>
              <w:left w:val="nil"/>
              <w:bottom w:val="single" w:sz="4" w:space="0" w:color="auto"/>
              <w:right w:val="single" w:sz="4" w:space="0" w:color="auto"/>
            </w:tcBorders>
            <w:noWrap/>
            <w:vAlign w:val="bottom"/>
            <w:hideMark/>
          </w:tcPr>
          <w:p w14:paraId="4F439CAB"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926" w:type="dxa"/>
            <w:tcBorders>
              <w:top w:val="nil"/>
              <w:left w:val="nil"/>
              <w:bottom w:val="single" w:sz="4" w:space="0" w:color="auto"/>
              <w:right w:val="single" w:sz="4" w:space="0" w:color="auto"/>
            </w:tcBorders>
            <w:noWrap/>
            <w:vAlign w:val="bottom"/>
            <w:hideMark/>
          </w:tcPr>
          <w:p w14:paraId="6FDE2B5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926" w:type="dxa"/>
            <w:tcBorders>
              <w:top w:val="nil"/>
              <w:left w:val="nil"/>
              <w:bottom w:val="single" w:sz="4" w:space="0" w:color="auto"/>
              <w:right w:val="single" w:sz="4" w:space="0" w:color="auto"/>
            </w:tcBorders>
            <w:noWrap/>
            <w:vAlign w:val="bottom"/>
            <w:hideMark/>
          </w:tcPr>
          <w:p w14:paraId="393216B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r>
      <w:tr w:rsidR="0036790E" w:rsidRPr="00CB4CDE" w14:paraId="4023E0DF" w14:textId="77777777" w:rsidTr="0036790E">
        <w:trPr>
          <w:trHeight w:val="600"/>
        </w:trPr>
        <w:tc>
          <w:tcPr>
            <w:tcW w:w="3952" w:type="dxa"/>
            <w:tcBorders>
              <w:top w:val="nil"/>
              <w:left w:val="single" w:sz="4" w:space="0" w:color="auto"/>
              <w:bottom w:val="single" w:sz="4" w:space="0" w:color="auto"/>
              <w:right w:val="single" w:sz="4" w:space="0" w:color="auto"/>
            </w:tcBorders>
            <w:vAlign w:val="bottom"/>
            <w:hideMark/>
          </w:tcPr>
          <w:p w14:paraId="526A77BF"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Current maturities of long-term debt</w:t>
            </w:r>
          </w:p>
        </w:tc>
        <w:tc>
          <w:tcPr>
            <w:tcW w:w="926" w:type="dxa"/>
            <w:tcBorders>
              <w:top w:val="nil"/>
              <w:left w:val="nil"/>
              <w:bottom w:val="single" w:sz="4" w:space="0" w:color="auto"/>
              <w:right w:val="single" w:sz="4" w:space="0" w:color="auto"/>
            </w:tcBorders>
            <w:noWrap/>
            <w:vAlign w:val="bottom"/>
            <w:hideMark/>
          </w:tcPr>
          <w:p w14:paraId="5980ACE2"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25</w:t>
            </w:r>
          </w:p>
        </w:tc>
        <w:tc>
          <w:tcPr>
            <w:tcW w:w="926" w:type="dxa"/>
            <w:tcBorders>
              <w:top w:val="nil"/>
              <w:left w:val="nil"/>
              <w:bottom w:val="single" w:sz="4" w:space="0" w:color="auto"/>
              <w:right w:val="single" w:sz="4" w:space="0" w:color="auto"/>
            </w:tcBorders>
            <w:noWrap/>
            <w:vAlign w:val="bottom"/>
            <w:hideMark/>
          </w:tcPr>
          <w:p w14:paraId="3875336B"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535</w:t>
            </w:r>
          </w:p>
        </w:tc>
        <w:tc>
          <w:tcPr>
            <w:tcW w:w="926" w:type="dxa"/>
            <w:tcBorders>
              <w:top w:val="nil"/>
              <w:left w:val="nil"/>
              <w:bottom w:val="single" w:sz="4" w:space="0" w:color="auto"/>
              <w:right w:val="single" w:sz="4" w:space="0" w:color="auto"/>
            </w:tcBorders>
            <w:noWrap/>
            <w:vAlign w:val="bottom"/>
            <w:hideMark/>
          </w:tcPr>
          <w:p w14:paraId="03425722"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39</w:t>
            </w:r>
          </w:p>
        </w:tc>
        <w:tc>
          <w:tcPr>
            <w:tcW w:w="926" w:type="dxa"/>
            <w:tcBorders>
              <w:top w:val="nil"/>
              <w:left w:val="nil"/>
              <w:bottom w:val="single" w:sz="4" w:space="0" w:color="auto"/>
              <w:right w:val="single" w:sz="4" w:space="0" w:color="auto"/>
            </w:tcBorders>
            <w:noWrap/>
            <w:vAlign w:val="bottom"/>
            <w:hideMark/>
          </w:tcPr>
          <w:p w14:paraId="23155CDD"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39</w:t>
            </w:r>
          </w:p>
        </w:tc>
        <w:tc>
          <w:tcPr>
            <w:tcW w:w="926" w:type="dxa"/>
            <w:tcBorders>
              <w:top w:val="nil"/>
              <w:left w:val="nil"/>
              <w:bottom w:val="single" w:sz="4" w:space="0" w:color="auto"/>
              <w:right w:val="single" w:sz="4" w:space="0" w:color="auto"/>
            </w:tcBorders>
            <w:noWrap/>
            <w:vAlign w:val="bottom"/>
            <w:hideMark/>
          </w:tcPr>
          <w:p w14:paraId="059855E5"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54</w:t>
            </w:r>
          </w:p>
        </w:tc>
      </w:tr>
      <w:tr w:rsidR="0036790E" w:rsidRPr="00CB4CDE" w14:paraId="25568E5B" w14:textId="77777777" w:rsidTr="0036790E">
        <w:trPr>
          <w:trHeight w:val="300"/>
        </w:trPr>
        <w:tc>
          <w:tcPr>
            <w:tcW w:w="3952" w:type="dxa"/>
            <w:tcBorders>
              <w:top w:val="nil"/>
              <w:left w:val="single" w:sz="4" w:space="0" w:color="auto"/>
              <w:bottom w:val="single" w:sz="4" w:space="0" w:color="auto"/>
              <w:right w:val="single" w:sz="4" w:space="0" w:color="auto"/>
            </w:tcBorders>
            <w:vAlign w:val="bottom"/>
            <w:hideMark/>
          </w:tcPr>
          <w:p w14:paraId="3B76AB12"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Long-term debt</w:t>
            </w:r>
          </w:p>
        </w:tc>
        <w:tc>
          <w:tcPr>
            <w:tcW w:w="926" w:type="dxa"/>
            <w:tcBorders>
              <w:top w:val="nil"/>
              <w:left w:val="nil"/>
              <w:bottom w:val="single" w:sz="4" w:space="0" w:color="auto"/>
              <w:right w:val="single" w:sz="4" w:space="0" w:color="auto"/>
            </w:tcBorders>
            <w:noWrap/>
            <w:vAlign w:val="bottom"/>
            <w:hideMark/>
          </w:tcPr>
          <w:p w14:paraId="528DA622"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12338</w:t>
            </w:r>
          </w:p>
        </w:tc>
        <w:tc>
          <w:tcPr>
            <w:tcW w:w="926" w:type="dxa"/>
            <w:tcBorders>
              <w:top w:val="nil"/>
              <w:left w:val="nil"/>
              <w:bottom w:val="single" w:sz="4" w:space="0" w:color="auto"/>
              <w:right w:val="single" w:sz="4" w:space="0" w:color="auto"/>
            </w:tcBorders>
            <w:noWrap/>
            <w:vAlign w:val="bottom"/>
            <w:hideMark/>
          </w:tcPr>
          <w:p w14:paraId="1F2B42F7"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10616</w:t>
            </w:r>
          </w:p>
        </w:tc>
        <w:tc>
          <w:tcPr>
            <w:tcW w:w="926" w:type="dxa"/>
            <w:tcBorders>
              <w:top w:val="nil"/>
              <w:left w:val="nil"/>
              <w:bottom w:val="single" w:sz="4" w:space="0" w:color="auto"/>
              <w:right w:val="single" w:sz="4" w:space="0" w:color="auto"/>
            </w:tcBorders>
            <w:noWrap/>
            <w:vAlign w:val="bottom"/>
            <w:hideMark/>
          </w:tcPr>
          <w:p w14:paraId="59B4C4B0"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9157</w:t>
            </w:r>
          </w:p>
        </w:tc>
        <w:tc>
          <w:tcPr>
            <w:tcW w:w="926" w:type="dxa"/>
            <w:tcBorders>
              <w:top w:val="nil"/>
              <w:left w:val="nil"/>
              <w:bottom w:val="single" w:sz="4" w:space="0" w:color="auto"/>
              <w:right w:val="single" w:sz="4" w:space="0" w:color="auto"/>
            </w:tcBorders>
            <w:noWrap/>
            <w:vAlign w:val="bottom"/>
            <w:hideMark/>
          </w:tcPr>
          <w:p w14:paraId="06EA6E4E"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8708</w:t>
            </w:r>
          </w:p>
        </w:tc>
        <w:tc>
          <w:tcPr>
            <w:tcW w:w="926" w:type="dxa"/>
            <w:tcBorders>
              <w:top w:val="nil"/>
              <w:left w:val="nil"/>
              <w:bottom w:val="single" w:sz="4" w:space="0" w:color="auto"/>
              <w:right w:val="single" w:sz="4" w:space="0" w:color="auto"/>
            </w:tcBorders>
            <w:noWrap/>
            <w:vAlign w:val="bottom"/>
            <w:hideMark/>
          </w:tcPr>
          <w:p w14:paraId="6A965C0F" w14:textId="77777777" w:rsidR="0036790E" w:rsidRPr="00CB4CDE" w:rsidRDefault="0036790E" w:rsidP="0036790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8712</w:t>
            </w:r>
          </w:p>
        </w:tc>
      </w:tr>
      <w:tr w:rsidR="0036790E" w:rsidRPr="00CB4CDE" w14:paraId="1693AE2D"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04A009E9" w14:textId="77777777" w:rsidR="0036790E" w:rsidRPr="00CB4CDE" w:rsidRDefault="0036790E" w:rsidP="0036790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Interest-bearing Debt​</w:t>
            </w:r>
          </w:p>
        </w:tc>
        <w:tc>
          <w:tcPr>
            <w:tcW w:w="926" w:type="dxa"/>
            <w:tcBorders>
              <w:top w:val="nil"/>
              <w:left w:val="nil"/>
              <w:bottom w:val="single" w:sz="4" w:space="0" w:color="auto"/>
              <w:right w:val="single" w:sz="4" w:space="0" w:color="auto"/>
            </w:tcBorders>
            <w:noWrap/>
            <w:vAlign w:val="bottom"/>
            <w:hideMark/>
          </w:tcPr>
          <w:p w14:paraId="0AA8E2C0" w14:textId="77777777" w:rsidR="0036790E" w:rsidRPr="00CB4CDE" w:rsidRDefault="0036790E" w:rsidP="0036790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12363</w:t>
            </w:r>
          </w:p>
        </w:tc>
        <w:tc>
          <w:tcPr>
            <w:tcW w:w="926" w:type="dxa"/>
            <w:tcBorders>
              <w:top w:val="nil"/>
              <w:left w:val="nil"/>
              <w:bottom w:val="single" w:sz="4" w:space="0" w:color="auto"/>
              <w:right w:val="single" w:sz="4" w:space="0" w:color="auto"/>
            </w:tcBorders>
            <w:noWrap/>
            <w:vAlign w:val="bottom"/>
            <w:hideMark/>
          </w:tcPr>
          <w:p w14:paraId="0C0F8E95" w14:textId="77777777" w:rsidR="0036790E" w:rsidRPr="00CB4CDE" w:rsidRDefault="0036790E" w:rsidP="0036790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11151</w:t>
            </w:r>
          </w:p>
        </w:tc>
        <w:tc>
          <w:tcPr>
            <w:tcW w:w="926" w:type="dxa"/>
            <w:tcBorders>
              <w:top w:val="nil"/>
              <w:left w:val="nil"/>
              <w:bottom w:val="single" w:sz="4" w:space="0" w:color="auto"/>
              <w:right w:val="single" w:sz="4" w:space="0" w:color="auto"/>
            </w:tcBorders>
            <w:noWrap/>
            <w:vAlign w:val="bottom"/>
            <w:hideMark/>
          </w:tcPr>
          <w:p w14:paraId="4BDDB1C3" w14:textId="77777777" w:rsidR="0036790E" w:rsidRPr="00CB4CDE" w:rsidRDefault="0036790E" w:rsidP="0036790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9196</w:t>
            </w:r>
          </w:p>
        </w:tc>
        <w:tc>
          <w:tcPr>
            <w:tcW w:w="926" w:type="dxa"/>
            <w:tcBorders>
              <w:top w:val="nil"/>
              <w:left w:val="nil"/>
              <w:bottom w:val="single" w:sz="4" w:space="0" w:color="auto"/>
              <w:right w:val="single" w:sz="4" w:space="0" w:color="auto"/>
            </w:tcBorders>
            <w:noWrap/>
            <w:vAlign w:val="bottom"/>
            <w:hideMark/>
          </w:tcPr>
          <w:p w14:paraId="12F95232" w14:textId="77777777" w:rsidR="0036790E" w:rsidRPr="00CB4CDE" w:rsidRDefault="0036790E" w:rsidP="0036790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8747</w:t>
            </w:r>
          </w:p>
        </w:tc>
        <w:tc>
          <w:tcPr>
            <w:tcW w:w="926" w:type="dxa"/>
            <w:tcBorders>
              <w:top w:val="nil"/>
              <w:left w:val="nil"/>
              <w:bottom w:val="single" w:sz="4" w:space="0" w:color="auto"/>
              <w:right w:val="single" w:sz="4" w:space="0" w:color="auto"/>
            </w:tcBorders>
            <w:noWrap/>
            <w:vAlign w:val="bottom"/>
            <w:hideMark/>
          </w:tcPr>
          <w:p w14:paraId="01D2FF2A" w14:textId="77777777" w:rsidR="0036790E" w:rsidRPr="00CB4CDE" w:rsidRDefault="0036790E" w:rsidP="0036790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8766</w:t>
            </w:r>
          </w:p>
        </w:tc>
      </w:tr>
      <w:tr w:rsidR="0036790E" w:rsidRPr="00CB4CDE" w14:paraId="3BC1D357" w14:textId="77777777" w:rsidTr="0036790E">
        <w:trPr>
          <w:trHeight w:val="300"/>
        </w:trPr>
        <w:tc>
          <w:tcPr>
            <w:tcW w:w="3952" w:type="dxa"/>
            <w:tcBorders>
              <w:top w:val="nil"/>
              <w:left w:val="nil"/>
              <w:bottom w:val="nil"/>
              <w:right w:val="nil"/>
            </w:tcBorders>
            <w:noWrap/>
            <w:vAlign w:val="bottom"/>
            <w:hideMark/>
          </w:tcPr>
          <w:p w14:paraId="3A8DA581" w14:textId="77777777" w:rsidR="0036790E" w:rsidRPr="00CB4CDE" w:rsidRDefault="0036790E" w:rsidP="0036790E">
            <w:pPr>
              <w:spacing w:line="240" w:lineRule="auto"/>
              <w:jc w:val="right"/>
              <w:rPr>
                <w:rFonts w:ascii="Arial" w:eastAsia="Times New Roman" w:hAnsi="Arial" w:cs="Arial"/>
                <w:b/>
                <w:bCs/>
                <w:color w:val="000000"/>
                <w:kern w:val="0"/>
                <w14:ligatures w14:val="none"/>
              </w:rPr>
            </w:pPr>
          </w:p>
        </w:tc>
        <w:tc>
          <w:tcPr>
            <w:tcW w:w="926" w:type="dxa"/>
            <w:tcBorders>
              <w:top w:val="nil"/>
              <w:left w:val="nil"/>
              <w:bottom w:val="nil"/>
              <w:right w:val="nil"/>
            </w:tcBorders>
            <w:noWrap/>
            <w:vAlign w:val="bottom"/>
            <w:hideMark/>
          </w:tcPr>
          <w:p w14:paraId="67131656"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624CBE3A"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352AA0DF"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3F6A50C5"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6CA97386" w14:textId="77777777" w:rsidR="0036790E" w:rsidRPr="00CB4CDE" w:rsidRDefault="0036790E" w:rsidP="0036790E">
            <w:pPr>
              <w:spacing w:line="240" w:lineRule="auto"/>
              <w:jc w:val="left"/>
              <w:rPr>
                <w:rFonts w:ascii="Arial" w:eastAsia="Times New Roman" w:hAnsi="Arial" w:cs="Arial"/>
                <w:kern w:val="0"/>
                <w14:ligatures w14:val="none"/>
              </w:rPr>
            </w:pPr>
          </w:p>
        </w:tc>
      </w:tr>
      <w:tr w:rsidR="0036790E" w:rsidRPr="00CB4CDE" w14:paraId="3CA5C3A8" w14:textId="77777777" w:rsidTr="0036790E">
        <w:trPr>
          <w:trHeight w:val="300"/>
        </w:trPr>
        <w:tc>
          <w:tcPr>
            <w:tcW w:w="8582" w:type="dxa"/>
            <w:gridSpan w:val="6"/>
            <w:tcBorders>
              <w:top w:val="single" w:sz="4" w:space="0" w:color="auto"/>
              <w:left w:val="single" w:sz="4" w:space="0" w:color="auto"/>
              <w:bottom w:val="single" w:sz="4" w:space="0" w:color="auto"/>
              <w:right w:val="single" w:sz="4" w:space="0" w:color="auto"/>
            </w:tcBorders>
            <w:noWrap/>
            <w:vAlign w:val="bottom"/>
            <w:hideMark/>
          </w:tcPr>
          <w:p w14:paraId="15D58D98"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Calculation of average assets</w:t>
            </w:r>
          </w:p>
        </w:tc>
      </w:tr>
      <w:tr w:rsidR="0036790E" w:rsidRPr="00CB4CDE" w14:paraId="4506B9A1"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3E4FC9CA"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926" w:type="dxa"/>
            <w:tcBorders>
              <w:top w:val="nil"/>
              <w:left w:val="nil"/>
              <w:bottom w:val="single" w:sz="4" w:space="0" w:color="auto"/>
              <w:right w:val="single" w:sz="4" w:space="0" w:color="auto"/>
            </w:tcBorders>
            <w:noWrap/>
            <w:vAlign w:val="bottom"/>
            <w:hideMark/>
          </w:tcPr>
          <w:p w14:paraId="15FD2859"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926" w:type="dxa"/>
            <w:tcBorders>
              <w:top w:val="nil"/>
              <w:left w:val="nil"/>
              <w:bottom w:val="single" w:sz="4" w:space="0" w:color="auto"/>
              <w:right w:val="single" w:sz="4" w:space="0" w:color="auto"/>
            </w:tcBorders>
            <w:noWrap/>
            <w:vAlign w:val="bottom"/>
            <w:hideMark/>
          </w:tcPr>
          <w:p w14:paraId="2C018944"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926" w:type="dxa"/>
            <w:tcBorders>
              <w:top w:val="nil"/>
              <w:left w:val="nil"/>
              <w:bottom w:val="single" w:sz="4" w:space="0" w:color="auto"/>
              <w:right w:val="single" w:sz="4" w:space="0" w:color="auto"/>
            </w:tcBorders>
            <w:noWrap/>
            <w:vAlign w:val="bottom"/>
            <w:hideMark/>
          </w:tcPr>
          <w:p w14:paraId="51FBD29D"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926" w:type="dxa"/>
            <w:tcBorders>
              <w:top w:val="nil"/>
              <w:left w:val="nil"/>
              <w:bottom w:val="single" w:sz="4" w:space="0" w:color="auto"/>
              <w:right w:val="single" w:sz="4" w:space="0" w:color="auto"/>
            </w:tcBorders>
            <w:noWrap/>
            <w:vAlign w:val="bottom"/>
            <w:hideMark/>
          </w:tcPr>
          <w:p w14:paraId="44CBB3DE"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926" w:type="dxa"/>
            <w:tcBorders>
              <w:top w:val="nil"/>
              <w:left w:val="nil"/>
              <w:bottom w:val="single" w:sz="4" w:space="0" w:color="auto"/>
              <w:right w:val="single" w:sz="4" w:space="0" w:color="auto"/>
            </w:tcBorders>
            <w:noWrap/>
            <w:vAlign w:val="bottom"/>
            <w:hideMark/>
          </w:tcPr>
          <w:p w14:paraId="55C01587"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r>
      <w:tr w:rsidR="0036790E" w:rsidRPr="00CB4CDE" w14:paraId="61AD9D19"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2E0C2A4F"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Opening assets</w:t>
            </w:r>
          </w:p>
        </w:tc>
        <w:tc>
          <w:tcPr>
            <w:tcW w:w="926" w:type="dxa"/>
            <w:tcBorders>
              <w:top w:val="nil"/>
              <w:left w:val="nil"/>
              <w:bottom w:val="single" w:sz="4" w:space="0" w:color="auto"/>
              <w:right w:val="single" w:sz="4" w:space="0" w:color="auto"/>
            </w:tcBorders>
            <w:noWrap/>
            <w:vAlign w:val="bottom"/>
            <w:hideMark/>
          </w:tcPr>
          <w:p w14:paraId="23BFE3DB"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16522</w:t>
            </w:r>
          </w:p>
        </w:tc>
        <w:tc>
          <w:tcPr>
            <w:tcW w:w="926" w:type="dxa"/>
            <w:tcBorders>
              <w:top w:val="nil"/>
              <w:left w:val="nil"/>
              <w:bottom w:val="single" w:sz="4" w:space="0" w:color="auto"/>
              <w:right w:val="single" w:sz="4" w:space="0" w:color="auto"/>
            </w:tcBorders>
            <w:noWrap/>
            <w:vAlign w:val="bottom"/>
            <w:hideMark/>
          </w:tcPr>
          <w:p w14:paraId="13950328"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15401</w:t>
            </w:r>
          </w:p>
        </w:tc>
        <w:tc>
          <w:tcPr>
            <w:tcW w:w="926" w:type="dxa"/>
            <w:tcBorders>
              <w:top w:val="nil"/>
              <w:left w:val="nil"/>
              <w:bottom w:val="single" w:sz="4" w:space="0" w:color="auto"/>
              <w:right w:val="single" w:sz="4" w:space="0" w:color="auto"/>
            </w:tcBorders>
            <w:noWrap/>
            <w:vAlign w:val="bottom"/>
            <w:hideMark/>
          </w:tcPr>
          <w:p w14:paraId="56A6CAA8"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15512</w:t>
            </w:r>
          </w:p>
        </w:tc>
        <w:tc>
          <w:tcPr>
            <w:tcW w:w="926" w:type="dxa"/>
            <w:tcBorders>
              <w:top w:val="nil"/>
              <w:left w:val="nil"/>
              <w:bottom w:val="single" w:sz="4" w:space="0" w:color="auto"/>
              <w:right w:val="single" w:sz="4" w:space="0" w:color="auto"/>
            </w:tcBorders>
            <w:noWrap/>
            <w:vAlign w:val="bottom"/>
            <w:hideMark/>
          </w:tcPr>
          <w:p w14:paraId="57B9608D"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15441</w:t>
            </w:r>
          </w:p>
        </w:tc>
        <w:tc>
          <w:tcPr>
            <w:tcW w:w="926" w:type="dxa"/>
            <w:tcBorders>
              <w:top w:val="nil"/>
              <w:left w:val="nil"/>
              <w:bottom w:val="single" w:sz="4" w:space="0" w:color="auto"/>
              <w:right w:val="single" w:sz="4" w:space="0" w:color="auto"/>
            </w:tcBorders>
            <w:noWrap/>
            <w:vAlign w:val="bottom"/>
            <w:hideMark/>
          </w:tcPr>
          <w:p w14:paraId="7DB9F309"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15441</w:t>
            </w:r>
          </w:p>
        </w:tc>
      </w:tr>
      <w:tr w:rsidR="0036790E" w:rsidRPr="00CB4CDE" w14:paraId="56E81961"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5C70B999"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Closing assets</w:t>
            </w:r>
          </w:p>
        </w:tc>
        <w:tc>
          <w:tcPr>
            <w:tcW w:w="926" w:type="dxa"/>
            <w:tcBorders>
              <w:top w:val="nil"/>
              <w:left w:val="nil"/>
              <w:bottom w:val="single" w:sz="4" w:space="0" w:color="auto"/>
              <w:right w:val="single" w:sz="4" w:space="0" w:color="auto"/>
            </w:tcBorders>
            <w:noWrap/>
            <w:vAlign w:val="bottom"/>
            <w:hideMark/>
          </w:tcPr>
          <w:p w14:paraId="6B8D0389"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16774</w:t>
            </w:r>
          </w:p>
        </w:tc>
        <w:tc>
          <w:tcPr>
            <w:tcW w:w="926" w:type="dxa"/>
            <w:tcBorders>
              <w:top w:val="nil"/>
              <w:left w:val="nil"/>
              <w:bottom w:val="single" w:sz="4" w:space="0" w:color="auto"/>
              <w:right w:val="single" w:sz="4" w:space="0" w:color="auto"/>
            </w:tcBorders>
            <w:noWrap/>
            <w:vAlign w:val="bottom"/>
            <w:hideMark/>
          </w:tcPr>
          <w:p w14:paraId="1BCDA09F"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16522</w:t>
            </w:r>
          </w:p>
        </w:tc>
        <w:tc>
          <w:tcPr>
            <w:tcW w:w="926" w:type="dxa"/>
            <w:tcBorders>
              <w:top w:val="nil"/>
              <w:left w:val="nil"/>
              <w:bottom w:val="single" w:sz="4" w:space="0" w:color="auto"/>
              <w:right w:val="single" w:sz="4" w:space="0" w:color="auto"/>
            </w:tcBorders>
            <w:noWrap/>
            <w:vAlign w:val="bottom"/>
            <w:hideMark/>
          </w:tcPr>
          <w:p w14:paraId="3A97C55C"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15401</w:t>
            </w:r>
          </w:p>
        </w:tc>
        <w:tc>
          <w:tcPr>
            <w:tcW w:w="926" w:type="dxa"/>
            <w:tcBorders>
              <w:top w:val="nil"/>
              <w:left w:val="nil"/>
              <w:bottom w:val="single" w:sz="4" w:space="0" w:color="auto"/>
              <w:right w:val="single" w:sz="4" w:space="0" w:color="auto"/>
            </w:tcBorders>
            <w:noWrap/>
            <w:vAlign w:val="bottom"/>
            <w:hideMark/>
          </w:tcPr>
          <w:p w14:paraId="6B7B2CD7"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15512</w:t>
            </w:r>
          </w:p>
        </w:tc>
        <w:tc>
          <w:tcPr>
            <w:tcW w:w="926" w:type="dxa"/>
            <w:tcBorders>
              <w:top w:val="nil"/>
              <w:left w:val="nil"/>
              <w:bottom w:val="single" w:sz="4" w:space="0" w:color="auto"/>
              <w:right w:val="single" w:sz="4" w:space="0" w:color="auto"/>
            </w:tcBorders>
            <w:noWrap/>
            <w:vAlign w:val="bottom"/>
            <w:hideMark/>
          </w:tcPr>
          <w:p w14:paraId="6F742CD0"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15441</w:t>
            </w:r>
          </w:p>
        </w:tc>
      </w:tr>
      <w:tr w:rsidR="0036790E" w:rsidRPr="00CB4CDE" w14:paraId="1493FB68"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212274C8" w14:textId="77777777" w:rsidR="0036790E" w:rsidRPr="00CB4CDE" w:rsidRDefault="0036790E" w:rsidP="0036790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Average assets</w:t>
            </w:r>
          </w:p>
        </w:tc>
        <w:tc>
          <w:tcPr>
            <w:tcW w:w="926" w:type="dxa"/>
            <w:tcBorders>
              <w:top w:val="nil"/>
              <w:left w:val="nil"/>
              <w:bottom w:val="single" w:sz="4" w:space="0" w:color="auto"/>
              <w:right w:val="single" w:sz="4" w:space="0" w:color="auto"/>
            </w:tcBorders>
            <w:noWrap/>
            <w:vAlign w:val="bottom"/>
            <w:hideMark/>
          </w:tcPr>
          <w:p w14:paraId="41E6EEA1"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16648</w:t>
            </w:r>
          </w:p>
        </w:tc>
        <w:tc>
          <w:tcPr>
            <w:tcW w:w="926" w:type="dxa"/>
            <w:tcBorders>
              <w:top w:val="nil"/>
              <w:left w:val="nil"/>
              <w:bottom w:val="single" w:sz="4" w:space="0" w:color="auto"/>
              <w:right w:val="single" w:sz="4" w:space="0" w:color="auto"/>
            </w:tcBorders>
            <w:noWrap/>
            <w:vAlign w:val="bottom"/>
            <w:hideMark/>
          </w:tcPr>
          <w:p w14:paraId="535D6563"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15962</w:t>
            </w:r>
          </w:p>
        </w:tc>
        <w:tc>
          <w:tcPr>
            <w:tcW w:w="926" w:type="dxa"/>
            <w:tcBorders>
              <w:top w:val="nil"/>
              <w:left w:val="nil"/>
              <w:bottom w:val="single" w:sz="4" w:space="0" w:color="auto"/>
              <w:right w:val="single" w:sz="4" w:space="0" w:color="auto"/>
            </w:tcBorders>
            <w:noWrap/>
            <w:vAlign w:val="bottom"/>
            <w:hideMark/>
          </w:tcPr>
          <w:p w14:paraId="41076B12"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15457</w:t>
            </w:r>
          </w:p>
        </w:tc>
        <w:tc>
          <w:tcPr>
            <w:tcW w:w="926" w:type="dxa"/>
            <w:tcBorders>
              <w:top w:val="nil"/>
              <w:left w:val="nil"/>
              <w:bottom w:val="single" w:sz="4" w:space="0" w:color="auto"/>
              <w:right w:val="single" w:sz="4" w:space="0" w:color="auto"/>
            </w:tcBorders>
            <w:noWrap/>
            <w:vAlign w:val="bottom"/>
            <w:hideMark/>
          </w:tcPr>
          <w:p w14:paraId="54A35EC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15477</w:t>
            </w:r>
          </w:p>
        </w:tc>
        <w:tc>
          <w:tcPr>
            <w:tcW w:w="926" w:type="dxa"/>
            <w:tcBorders>
              <w:top w:val="nil"/>
              <w:left w:val="nil"/>
              <w:bottom w:val="single" w:sz="4" w:space="0" w:color="auto"/>
              <w:right w:val="single" w:sz="4" w:space="0" w:color="auto"/>
            </w:tcBorders>
            <w:noWrap/>
            <w:vAlign w:val="bottom"/>
            <w:hideMark/>
          </w:tcPr>
          <w:p w14:paraId="1A784FA4"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15441</w:t>
            </w:r>
          </w:p>
        </w:tc>
      </w:tr>
      <w:tr w:rsidR="0036790E" w:rsidRPr="00CB4CDE" w14:paraId="40582B2C" w14:textId="77777777" w:rsidTr="0036790E">
        <w:trPr>
          <w:trHeight w:val="300"/>
        </w:trPr>
        <w:tc>
          <w:tcPr>
            <w:tcW w:w="3952" w:type="dxa"/>
            <w:tcBorders>
              <w:top w:val="nil"/>
              <w:left w:val="nil"/>
              <w:bottom w:val="nil"/>
              <w:right w:val="nil"/>
            </w:tcBorders>
            <w:noWrap/>
            <w:vAlign w:val="bottom"/>
            <w:hideMark/>
          </w:tcPr>
          <w:p w14:paraId="0C207A6F"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p>
        </w:tc>
        <w:tc>
          <w:tcPr>
            <w:tcW w:w="926" w:type="dxa"/>
            <w:tcBorders>
              <w:top w:val="nil"/>
              <w:left w:val="nil"/>
              <w:bottom w:val="nil"/>
              <w:right w:val="nil"/>
            </w:tcBorders>
            <w:noWrap/>
            <w:vAlign w:val="bottom"/>
            <w:hideMark/>
          </w:tcPr>
          <w:p w14:paraId="5505A9E6"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5553B186"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06CE3AC6"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30B17048"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222D5665" w14:textId="77777777" w:rsidR="0036790E" w:rsidRPr="00CB4CDE" w:rsidRDefault="0036790E" w:rsidP="0036790E">
            <w:pPr>
              <w:spacing w:line="240" w:lineRule="auto"/>
              <w:jc w:val="left"/>
              <w:rPr>
                <w:rFonts w:ascii="Arial" w:eastAsia="Times New Roman" w:hAnsi="Arial" w:cs="Arial"/>
                <w:kern w:val="0"/>
                <w14:ligatures w14:val="none"/>
              </w:rPr>
            </w:pPr>
          </w:p>
        </w:tc>
      </w:tr>
      <w:tr w:rsidR="0036790E" w:rsidRPr="00CB4CDE" w14:paraId="03661E13" w14:textId="77777777" w:rsidTr="0036790E">
        <w:trPr>
          <w:trHeight w:val="300"/>
        </w:trPr>
        <w:tc>
          <w:tcPr>
            <w:tcW w:w="8582" w:type="dxa"/>
            <w:gridSpan w:val="6"/>
            <w:tcBorders>
              <w:top w:val="single" w:sz="4" w:space="0" w:color="auto"/>
              <w:left w:val="single" w:sz="4" w:space="0" w:color="auto"/>
              <w:bottom w:val="single" w:sz="4" w:space="0" w:color="auto"/>
              <w:right w:val="single" w:sz="4" w:space="0" w:color="auto"/>
            </w:tcBorders>
            <w:noWrap/>
            <w:vAlign w:val="bottom"/>
            <w:hideMark/>
          </w:tcPr>
          <w:p w14:paraId="117CFF98"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Calculation of average accounts receivables</w:t>
            </w:r>
          </w:p>
        </w:tc>
      </w:tr>
      <w:tr w:rsidR="0036790E" w:rsidRPr="00CB4CDE" w14:paraId="040A9A5D"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7F9C66B0"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926" w:type="dxa"/>
            <w:tcBorders>
              <w:top w:val="nil"/>
              <w:left w:val="nil"/>
              <w:bottom w:val="single" w:sz="4" w:space="0" w:color="auto"/>
              <w:right w:val="single" w:sz="4" w:space="0" w:color="auto"/>
            </w:tcBorders>
            <w:noWrap/>
            <w:vAlign w:val="bottom"/>
            <w:hideMark/>
          </w:tcPr>
          <w:p w14:paraId="2E1C5916"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926" w:type="dxa"/>
            <w:tcBorders>
              <w:top w:val="nil"/>
              <w:left w:val="nil"/>
              <w:bottom w:val="single" w:sz="4" w:space="0" w:color="auto"/>
              <w:right w:val="single" w:sz="4" w:space="0" w:color="auto"/>
            </w:tcBorders>
            <w:noWrap/>
            <w:vAlign w:val="bottom"/>
            <w:hideMark/>
          </w:tcPr>
          <w:p w14:paraId="1092713E"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926" w:type="dxa"/>
            <w:tcBorders>
              <w:top w:val="nil"/>
              <w:left w:val="nil"/>
              <w:bottom w:val="single" w:sz="4" w:space="0" w:color="auto"/>
              <w:right w:val="single" w:sz="4" w:space="0" w:color="auto"/>
            </w:tcBorders>
            <w:noWrap/>
            <w:vAlign w:val="bottom"/>
            <w:hideMark/>
          </w:tcPr>
          <w:p w14:paraId="5D0F1F9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926" w:type="dxa"/>
            <w:tcBorders>
              <w:top w:val="nil"/>
              <w:left w:val="nil"/>
              <w:bottom w:val="single" w:sz="4" w:space="0" w:color="auto"/>
              <w:right w:val="single" w:sz="4" w:space="0" w:color="auto"/>
            </w:tcBorders>
            <w:noWrap/>
            <w:vAlign w:val="bottom"/>
            <w:hideMark/>
          </w:tcPr>
          <w:p w14:paraId="283C4D1C"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926" w:type="dxa"/>
            <w:tcBorders>
              <w:top w:val="nil"/>
              <w:left w:val="nil"/>
              <w:bottom w:val="single" w:sz="4" w:space="0" w:color="auto"/>
              <w:right w:val="single" w:sz="4" w:space="0" w:color="auto"/>
            </w:tcBorders>
            <w:noWrap/>
            <w:vAlign w:val="bottom"/>
            <w:hideMark/>
          </w:tcPr>
          <w:p w14:paraId="2C66EFCF"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r>
      <w:tr w:rsidR="0036790E" w:rsidRPr="00CB4CDE" w14:paraId="73686A86"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25D0A42C"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lastRenderedPageBreak/>
              <w:t>Opening receivables</w:t>
            </w:r>
          </w:p>
        </w:tc>
        <w:tc>
          <w:tcPr>
            <w:tcW w:w="926" w:type="dxa"/>
            <w:tcBorders>
              <w:top w:val="nil"/>
              <w:left w:val="nil"/>
              <w:bottom w:val="single" w:sz="4" w:space="0" w:color="auto"/>
              <w:right w:val="single" w:sz="4" w:space="0" w:color="auto"/>
            </w:tcBorders>
            <w:noWrap/>
            <w:vAlign w:val="bottom"/>
            <w:hideMark/>
          </w:tcPr>
          <w:p w14:paraId="50370346"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1583</w:t>
            </w:r>
          </w:p>
        </w:tc>
        <w:tc>
          <w:tcPr>
            <w:tcW w:w="926" w:type="dxa"/>
            <w:tcBorders>
              <w:top w:val="nil"/>
              <w:left w:val="nil"/>
              <w:bottom w:val="single" w:sz="4" w:space="0" w:color="auto"/>
              <w:right w:val="single" w:sz="4" w:space="0" w:color="auto"/>
            </w:tcBorders>
            <w:noWrap/>
            <w:vAlign w:val="bottom"/>
            <w:hideMark/>
          </w:tcPr>
          <w:p w14:paraId="698585B8"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1487</w:t>
            </w:r>
          </w:p>
        </w:tc>
        <w:tc>
          <w:tcPr>
            <w:tcW w:w="926" w:type="dxa"/>
            <w:tcBorders>
              <w:top w:val="nil"/>
              <w:left w:val="nil"/>
              <w:bottom w:val="single" w:sz="4" w:space="0" w:color="auto"/>
              <w:right w:val="single" w:sz="4" w:space="0" w:color="auto"/>
            </w:tcBorders>
            <w:noWrap/>
            <w:vAlign w:val="bottom"/>
            <w:hideMark/>
          </w:tcPr>
          <w:p w14:paraId="4267D642"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1327</w:t>
            </w:r>
          </w:p>
        </w:tc>
        <w:tc>
          <w:tcPr>
            <w:tcW w:w="926" w:type="dxa"/>
            <w:tcBorders>
              <w:top w:val="nil"/>
              <w:left w:val="nil"/>
              <w:bottom w:val="single" w:sz="4" w:space="0" w:color="auto"/>
              <w:right w:val="single" w:sz="4" w:space="0" w:color="auto"/>
            </w:tcBorders>
            <w:noWrap/>
            <w:vAlign w:val="bottom"/>
            <w:hideMark/>
          </w:tcPr>
          <w:p w14:paraId="249389D4"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1068</w:t>
            </w:r>
          </w:p>
        </w:tc>
        <w:tc>
          <w:tcPr>
            <w:tcW w:w="926" w:type="dxa"/>
            <w:tcBorders>
              <w:top w:val="nil"/>
              <w:left w:val="nil"/>
              <w:bottom w:val="single" w:sz="4" w:space="0" w:color="auto"/>
              <w:right w:val="single" w:sz="4" w:space="0" w:color="auto"/>
            </w:tcBorders>
            <w:noWrap/>
            <w:vAlign w:val="bottom"/>
            <w:hideMark/>
          </w:tcPr>
          <w:p w14:paraId="4B1B5A6A"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1068</w:t>
            </w:r>
          </w:p>
        </w:tc>
      </w:tr>
      <w:tr w:rsidR="0036790E" w:rsidRPr="00CB4CDE" w14:paraId="4D558189"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07CB849A"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Closing receivables</w:t>
            </w:r>
          </w:p>
        </w:tc>
        <w:tc>
          <w:tcPr>
            <w:tcW w:w="926" w:type="dxa"/>
            <w:tcBorders>
              <w:top w:val="nil"/>
              <w:left w:val="nil"/>
              <w:bottom w:val="single" w:sz="4" w:space="0" w:color="auto"/>
              <w:right w:val="single" w:sz="4" w:space="0" w:color="auto"/>
            </w:tcBorders>
            <w:noWrap/>
            <w:vAlign w:val="bottom"/>
            <w:hideMark/>
          </w:tcPr>
          <w:p w14:paraId="25AACD68"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1690</w:t>
            </w:r>
          </w:p>
        </w:tc>
        <w:tc>
          <w:tcPr>
            <w:tcW w:w="926" w:type="dxa"/>
            <w:tcBorders>
              <w:top w:val="nil"/>
              <w:left w:val="nil"/>
              <w:bottom w:val="single" w:sz="4" w:space="0" w:color="auto"/>
              <w:right w:val="single" w:sz="4" w:space="0" w:color="auto"/>
            </w:tcBorders>
            <w:noWrap/>
            <w:vAlign w:val="bottom"/>
            <w:hideMark/>
          </w:tcPr>
          <w:p w14:paraId="2496D0DF"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1583</w:t>
            </w:r>
          </w:p>
        </w:tc>
        <w:tc>
          <w:tcPr>
            <w:tcW w:w="926" w:type="dxa"/>
            <w:tcBorders>
              <w:top w:val="nil"/>
              <w:left w:val="nil"/>
              <w:bottom w:val="single" w:sz="4" w:space="0" w:color="auto"/>
              <w:right w:val="single" w:sz="4" w:space="0" w:color="auto"/>
            </w:tcBorders>
            <w:noWrap/>
            <w:vAlign w:val="bottom"/>
            <w:hideMark/>
          </w:tcPr>
          <w:p w14:paraId="48D7B66E"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1487</w:t>
            </w:r>
          </w:p>
        </w:tc>
        <w:tc>
          <w:tcPr>
            <w:tcW w:w="926" w:type="dxa"/>
            <w:tcBorders>
              <w:top w:val="nil"/>
              <w:left w:val="nil"/>
              <w:bottom w:val="single" w:sz="4" w:space="0" w:color="auto"/>
              <w:right w:val="single" w:sz="4" w:space="0" w:color="auto"/>
            </w:tcBorders>
            <w:noWrap/>
            <w:vAlign w:val="bottom"/>
            <w:hideMark/>
          </w:tcPr>
          <w:p w14:paraId="167E7560"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1327</w:t>
            </w:r>
          </w:p>
        </w:tc>
        <w:tc>
          <w:tcPr>
            <w:tcW w:w="926" w:type="dxa"/>
            <w:tcBorders>
              <w:top w:val="nil"/>
              <w:left w:val="nil"/>
              <w:bottom w:val="single" w:sz="4" w:space="0" w:color="auto"/>
              <w:right w:val="single" w:sz="4" w:space="0" w:color="auto"/>
            </w:tcBorders>
            <w:noWrap/>
            <w:vAlign w:val="bottom"/>
            <w:hideMark/>
          </w:tcPr>
          <w:p w14:paraId="0C69AE6F"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1068</w:t>
            </w:r>
          </w:p>
        </w:tc>
      </w:tr>
      <w:tr w:rsidR="0036790E" w:rsidRPr="00CB4CDE" w14:paraId="104AA708"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64573ADC" w14:textId="77777777" w:rsidR="0036790E" w:rsidRPr="00CB4CDE" w:rsidRDefault="0036790E" w:rsidP="0036790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Average receivables</w:t>
            </w:r>
          </w:p>
        </w:tc>
        <w:tc>
          <w:tcPr>
            <w:tcW w:w="926" w:type="dxa"/>
            <w:tcBorders>
              <w:top w:val="nil"/>
              <w:left w:val="nil"/>
              <w:bottom w:val="single" w:sz="4" w:space="0" w:color="auto"/>
              <w:right w:val="single" w:sz="4" w:space="0" w:color="auto"/>
            </w:tcBorders>
            <w:noWrap/>
            <w:vAlign w:val="bottom"/>
            <w:hideMark/>
          </w:tcPr>
          <w:p w14:paraId="0179FED0"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1637</w:t>
            </w:r>
          </w:p>
        </w:tc>
        <w:tc>
          <w:tcPr>
            <w:tcW w:w="926" w:type="dxa"/>
            <w:tcBorders>
              <w:top w:val="nil"/>
              <w:left w:val="nil"/>
              <w:bottom w:val="single" w:sz="4" w:space="0" w:color="auto"/>
              <w:right w:val="single" w:sz="4" w:space="0" w:color="auto"/>
            </w:tcBorders>
            <w:noWrap/>
            <w:vAlign w:val="bottom"/>
            <w:hideMark/>
          </w:tcPr>
          <w:p w14:paraId="403132D3"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1535</w:t>
            </w:r>
          </w:p>
        </w:tc>
        <w:tc>
          <w:tcPr>
            <w:tcW w:w="926" w:type="dxa"/>
            <w:tcBorders>
              <w:top w:val="nil"/>
              <w:left w:val="nil"/>
              <w:bottom w:val="single" w:sz="4" w:space="0" w:color="auto"/>
              <w:right w:val="single" w:sz="4" w:space="0" w:color="auto"/>
            </w:tcBorders>
            <w:noWrap/>
            <w:vAlign w:val="bottom"/>
            <w:hideMark/>
          </w:tcPr>
          <w:p w14:paraId="3A77AA83"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1407</w:t>
            </w:r>
          </w:p>
        </w:tc>
        <w:tc>
          <w:tcPr>
            <w:tcW w:w="926" w:type="dxa"/>
            <w:tcBorders>
              <w:top w:val="nil"/>
              <w:left w:val="nil"/>
              <w:bottom w:val="single" w:sz="4" w:space="0" w:color="auto"/>
              <w:right w:val="single" w:sz="4" w:space="0" w:color="auto"/>
            </w:tcBorders>
            <w:noWrap/>
            <w:vAlign w:val="bottom"/>
            <w:hideMark/>
          </w:tcPr>
          <w:p w14:paraId="1BD52B13"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1198</w:t>
            </w:r>
          </w:p>
        </w:tc>
        <w:tc>
          <w:tcPr>
            <w:tcW w:w="926" w:type="dxa"/>
            <w:tcBorders>
              <w:top w:val="nil"/>
              <w:left w:val="nil"/>
              <w:bottom w:val="single" w:sz="4" w:space="0" w:color="auto"/>
              <w:right w:val="single" w:sz="4" w:space="0" w:color="auto"/>
            </w:tcBorders>
            <w:noWrap/>
            <w:vAlign w:val="bottom"/>
            <w:hideMark/>
          </w:tcPr>
          <w:p w14:paraId="5BE23651"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1068</w:t>
            </w:r>
          </w:p>
        </w:tc>
      </w:tr>
      <w:tr w:rsidR="0036790E" w:rsidRPr="00CB4CDE" w14:paraId="030CAF2A" w14:textId="77777777" w:rsidTr="0036790E">
        <w:trPr>
          <w:trHeight w:val="300"/>
        </w:trPr>
        <w:tc>
          <w:tcPr>
            <w:tcW w:w="3952" w:type="dxa"/>
            <w:tcBorders>
              <w:top w:val="nil"/>
              <w:left w:val="nil"/>
              <w:bottom w:val="nil"/>
              <w:right w:val="nil"/>
            </w:tcBorders>
            <w:noWrap/>
            <w:vAlign w:val="bottom"/>
            <w:hideMark/>
          </w:tcPr>
          <w:p w14:paraId="1AF69D13"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p>
        </w:tc>
        <w:tc>
          <w:tcPr>
            <w:tcW w:w="926" w:type="dxa"/>
            <w:tcBorders>
              <w:top w:val="nil"/>
              <w:left w:val="nil"/>
              <w:bottom w:val="nil"/>
              <w:right w:val="nil"/>
            </w:tcBorders>
            <w:noWrap/>
            <w:vAlign w:val="bottom"/>
            <w:hideMark/>
          </w:tcPr>
          <w:p w14:paraId="01F49A1A"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1FC893C4"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6CD98225"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6F62C245" w14:textId="77777777" w:rsidR="0036790E" w:rsidRPr="00CB4CDE" w:rsidRDefault="0036790E" w:rsidP="0036790E">
            <w:pPr>
              <w:spacing w:line="240" w:lineRule="auto"/>
              <w:jc w:val="left"/>
              <w:rPr>
                <w:rFonts w:ascii="Arial" w:eastAsia="Times New Roman" w:hAnsi="Arial" w:cs="Arial"/>
                <w:kern w:val="0"/>
                <w14:ligatures w14:val="none"/>
              </w:rPr>
            </w:pPr>
          </w:p>
        </w:tc>
        <w:tc>
          <w:tcPr>
            <w:tcW w:w="926" w:type="dxa"/>
            <w:tcBorders>
              <w:top w:val="nil"/>
              <w:left w:val="nil"/>
              <w:bottom w:val="nil"/>
              <w:right w:val="nil"/>
            </w:tcBorders>
            <w:noWrap/>
            <w:vAlign w:val="bottom"/>
            <w:hideMark/>
          </w:tcPr>
          <w:p w14:paraId="3AC3C295" w14:textId="77777777" w:rsidR="0036790E" w:rsidRPr="00CB4CDE" w:rsidRDefault="0036790E" w:rsidP="0036790E">
            <w:pPr>
              <w:spacing w:line="240" w:lineRule="auto"/>
              <w:jc w:val="left"/>
              <w:rPr>
                <w:rFonts w:ascii="Arial" w:eastAsia="Times New Roman" w:hAnsi="Arial" w:cs="Arial"/>
                <w:kern w:val="0"/>
                <w14:ligatures w14:val="none"/>
              </w:rPr>
            </w:pPr>
          </w:p>
        </w:tc>
      </w:tr>
      <w:tr w:rsidR="0036790E" w:rsidRPr="00CB4CDE" w14:paraId="17363C1A" w14:textId="77777777" w:rsidTr="0036790E">
        <w:trPr>
          <w:trHeight w:val="300"/>
        </w:trPr>
        <w:tc>
          <w:tcPr>
            <w:tcW w:w="8582" w:type="dxa"/>
            <w:gridSpan w:val="6"/>
            <w:tcBorders>
              <w:top w:val="single" w:sz="4" w:space="0" w:color="auto"/>
              <w:left w:val="single" w:sz="4" w:space="0" w:color="auto"/>
              <w:bottom w:val="single" w:sz="4" w:space="0" w:color="auto"/>
              <w:right w:val="single" w:sz="4" w:space="0" w:color="auto"/>
            </w:tcBorders>
            <w:noWrap/>
            <w:vAlign w:val="bottom"/>
            <w:hideMark/>
          </w:tcPr>
          <w:p w14:paraId="18A89A5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Calculation of average accounts receivables</w:t>
            </w:r>
          </w:p>
        </w:tc>
      </w:tr>
      <w:tr w:rsidR="0036790E" w:rsidRPr="00CB4CDE" w14:paraId="2BBD7E54"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16AC6DEA"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926" w:type="dxa"/>
            <w:tcBorders>
              <w:top w:val="nil"/>
              <w:left w:val="nil"/>
              <w:bottom w:val="single" w:sz="4" w:space="0" w:color="auto"/>
              <w:right w:val="single" w:sz="4" w:space="0" w:color="auto"/>
            </w:tcBorders>
            <w:noWrap/>
            <w:vAlign w:val="bottom"/>
            <w:hideMark/>
          </w:tcPr>
          <w:p w14:paraId="700173E2"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926" w:type="dxa"/>
            <w:tcBorders>
              <w:top w:val="nil"/>
              <w:left w:val="nil"/>
              <w:bottom w:val="single" w:sz="4" w:space="0" w:color="auto"/>
              <w:right w:val="single" w:sz="4" w:space="0" w:color="auto"/>
            </w:tcBorders>
            <w:noWrap/>
            <w:vAlign w:val="bottom"/>
            <w:hideMark/>
          </w:tcPr>
          <w:p w14:paraId="02C7A90E"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926" w:type="dxa"/>
            <w:tcBorders>
              <w:top w:val="nil"/>
              <w:left w:val="nil"/>
              <w:bottom w:val="single" w:sz="4" w:space="0" w:color="auto"/>
              <w:right w:val="single" w:sz="4" w:space="0" w:color="auto"/>
            </w:tcBorders>
            <w:noWrap/>
            <w:vAlign w:val="bottom"/>
            <w:hideMark/>
          </w:tcPr>
          <w:p w14:paraId="40AD2C9E"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926" w:type="dxa"/>
            <w:tcBorders>
              <w:top w:val="nil"/>
              <w:left w:val="nil"/>
              <w:bottom w:val="single" w:sz="4" w:space="0" w:color="auto"/>
              <w:right w:val="single" w:sz="4" w:space="0" w:color="auto"/>
            </w:tcBorders>
            <w:noWrap/>
            <w:vAlign w:val="bottom"/>
            <w:hideMark/>
          </w:tcPr>
          <w:p w14:paraId="4E957B86"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926" w:type="dxa"/>
            <w:tcBorders>
              <w:top w:val="nil"/>
              <w:left w:val="nil"/>
              <w:bottom w:val="single" w:sz="4" w:space="0" w:color="auto"/>
              <w:right w:val="single" w:sz="4" w:space="0" w:color="auto"/>
            </w:tcBorders>
            <w:noWrap/>
            <w:vAlign w:val="bottom"/>
            <w:hideMark/>
          </w:tcPr>
          <w:p w14:paraId="57B09128"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r>
      <w:tr w:rsidR="0036790E" w:rsidRPr="00CB4CDE" w14:paraId="3844DA98"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1FA42B58"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Opening payables</w:t>
            </w:r>
          </w:p>
        </w:tc>
        <w:tc>
          <w:tcPr>
            <w:tcW w:w="926" w:type="dxa"/>
            <w:tcBorders>
              <w:top w:val="nil"/>
              <w:left w:val="nil"/>
              <w:bottom w:val="single" w:sz="4" w:space="0" w:color="auto"/>
              <w:right w:val="single" w:sz="4" w:space="0" w:color="auto"/>
            </w:tcBorders>
            <w:noWrap/>
            <w:vAlign w:val="bottom"/>
            <w:hideMark/>
          </w:tcPr>
          <w:p w14:paraId="781F85BD"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409</w:t>
            </w:r>
          </w:p>
        </w:tc>
        <w:tc>
          <w:tcPr>
            <w:tcW w:w="926" w:type="dxa"/>
            <w:tcBorders>
              <w:top w:val="nil"/>
              <w:left w:val="nil"/>
              <w:bottom w:val="single" w:sz="4" w:space="0" w:color="auto"/>
              <w:right w:val="single" w:sz="4" w:space="0" w:color="auto"/>
            </w:tcBorders>
            <w:noWrap/>
            <w:vAlign w:val="bottom"/>
            <w:hideMark/>
          </w:tcPr>
          <w:p w14:paraId="6C5A9B65"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457</w:t>
            </w:r>
          </w:p>
        </w:tc>
        <w:tc>
          <w:tcPr>
            <w:tcW w:w="926" w:type="dxa"/>
            <w:tcBorders>
              <w:top w:val="nil"/>
              <w:left w:val="nil"/>
              <w:bottom w:val="single" w:sz="4" w:space="0" w:color="auto"/>
              <w:right w:val="single" w:sz="4" w:space="0" w:color="auto"/>
            </w:tcBorders>
            <w:noWrap/>
            <w:vAlign w:val="bottom"/>
            <w:hideMark/>
          </w:tcPr>
          <w:p w14:paraId="6B0855B8"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368</w:t>
            </w:r>
          </w:p>
        </w:tc>
        <w:tc>
          <w:tcPr>
            <w:tcW w:w="926" w:type="dxa"/>
            <w:tcBorders>
              <w:top w:val="nil"/>
              <w:left w:val="nil"/>
              <w:bottom w:val="single" w:sz="4" w:space="0" w:color="auto"/>
              <w:right w:val="single" w:sz="4" w:space="0" w:color="auto"/>
            </w:tcBorders>
            <w:noWrap/>
            <w:vAlign w:val="bottom"/>
            <w:hideMark/>
          </w:tcPr>
          <w:p w14:paraId="39CD6091"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274</w:t>
            </w:r>
          </w:p>
        </w:tc>
        <w:tc>
          <w:tcPr>
            <w:tcW w:w="926" w:type="dxa"/>
            <w:tcBorders>
              <w:top w:val="nil"/>
              <w:left w:val="nil"/>
              <w:bottom w:val="single" w:sz="4" w:space="0" w:color="auto"/>
              <w:right w:val="single" w:sz="4" w:space="0" w:color="auto"/>
            </w:tcBorders>
            <w:noWrap/>
            <w:vAlign w:val="bottom"/>
            <w:hideMark/>
          </w:tcPr>
          <w:p w14:paraId="16FE63BC"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274</w:t>
            </w:r>
          </w:p>
        </w:tc>
      </w:tr>
      <w:tr w:rsidR="0036790E" w:rsidRPr="00CB4CDE" w14:paraId="42FC58BA"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4482D502" w14:textId="77777777" w:rsidR="0036790E" w:rsidRPr="00CB4CDE" w:rsidRDefault="0036790E" w:rsidP="0036790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Closing payables</w:t>
            </w:r>
          </w:p>
        </w:tc>
        <w:tc>
          <w:tcPr>
            <w:tcW w:w="926" w:type="dxa"/>
            <w:tcBorders>
              <w:top w:val="nil"/>
              <w:left w:val="nil"/>
              <w:bottom w:val="single" w:sz="4" w:space="0" w:color="auto"/>
              <w:right w:val="single" w:sz="4" w:space="0" w:color="auto"/>
            </w:tcBorders>
            <w:noWrap/>
            <w:vAlign w:val="bottom"/>
            <w:hideMark/>
          </w:tcPr>
          <w:p w14:paraId="6A3274C2"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376</w:t>
            </w:r>
          </w:p>
        </w:tc>
        <w:tc>
          <w:tcPr>
            <w:tcW w:w="926" w:type="dxa"/>
            <w:tcBorders>
              <w:top w:val="nil"/>
              <w:left w:val="nil"/>
              <w:bottom w:val="single" w:sz="4" w:space="0" w:color="auto"/>
              <w:right w:val="single" w:sz="4" w:space="0" w:color="auto"/>
            </w:tcBorders>
            <w:noWrap/>
            <w:vAlign w:val="bottom"/>
            <w:hideMark/>
          </w:tcPr>
          <w:p w14:paraId="2CB617CF"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409</w:t>
            </w:r>
          </w:p>
        </w:tc>
        <w:tc>
          <w:tcPr>
            <w:tcW w:w="926" w:type="dxa"/>
            <w:tcBorders>
              <w:top w:val="nil"/>
              <w:left w:val="nil"/>
              <w:bottom w:val="single" w:sz="4" w:space="0" w:color="auto"/>
              <w:right w:val="single" w:sz="4" w:space="0" w:color="auto"/>
            </w:tcBorders>
            <w:noWrap/>
            <w:vAlign w:val="bottom"/>
            <w:hideMark/>
          </w:tcPr>
          <w:p w14:paraId="60BC382A"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457</w:t>
            </w:r>
          </w:p>
        </w:tc>
        <w:tc>
          <w:tcPr>
            <w:tcW w:w="926" w:type="dxa"/>
            <w:tcBorders>
              <w:top w:val="nil"/>
              <w:left w:val="nil"/>
              <w:bottom w:val="single" w:sz="4" w:space="0" w:color="auto"/>
              <w:right w:val="single" w:sz="4" w:space="0" w:color="auto"/>
            </w:tcBorders>
            <w:noWrap/>
            <w:vAlign w:val="bottom"/>
            <w:hideMark/>
          </w:tcPr>
          <w:p w14:paraId="2FC3868A"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368</w:t>
            </w:r>
          </w:p>
        </w:tc>
        <w:tc>
          <w:tcPr>
            <w:tcW w:w="926" w:type="dxa"/>
            <w:tcBorders>
              <w:top w:val="nil"/>
              <w:left w:val="nil"/>
              <w:bottom w:val="single" w:sz="4" w:space="0" w:color="auto"/>
              <w:right w:val="single" w:sz="4" w:space="0" w:color="auto"/>
            </w:tcBorders>
            <w:noWrap/>
            <w:vAlign w:val="bottom"/>
            <w:hideMark/>
          </w:tcPr>
          <w:p w14:paraId="7B0D2975" w14:textId="77777777" w:rsidR="0036790E" w:rsidRPr="00CB4CDE" w:rsidRDefault="0036790E" w:rsidP="0036790E">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274</w:t>
            </w:r>
          </w:p>
        </w:tc>
      </w:tr>
      <w:tr w:rsidR="0036790E" w:rsidRPr="00CB4CDE" w14:paraId="77EFA5F0" w14:textId="77777777" w:rsidTr="0036790E">
        <w:trPr>
          <w:trHeight w:val="300"/>
        </w:trPr>
        <w:tc>
          <w:tcPr>
            <w:tcW w:w="3952" w:type="dxa"/>
            <w:tcBorders>
              <w:top w:val="nil"/>
              <w:left w:val="single" w:sz="4" w:space="0" w:color="auto"/>
              <w:bottom w:val="single" w:sz="4" w:space="0" w:color="auto"/>
              <w:right w:val="single" w:sz="4" w:space="0" w:color="auto"/>
            </w:tcBorders>
            <w:noWrap/>
            <w:vAlign w:val="bottom"/>
            <w:hideMark/>
          </w:tcPr>
          <w:p w14:paraId="65E4AEB6" w14:textId="77777777" w:rsidR="0036790E" w:rsidRPr="00CB4CDE" w:rsidRDefault="0036790E" w:rsidP="0036790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Average receivables</w:t>
            </w:r>
          </w:p>
        </w:tc>
        <w:tc>
          <w:tcPr>
            <w:tcW w:w="926" w:type="dxa"/>
            <w:tcBorders>
              <w:top w:val="nil"/>
              <w:left w:val="nil"/>
              <w:bottom w:val="single" w:sz="4" w:space="0" w:color="auto"/>
              <w:right w:val="single" w:sz="4" w:space="0" w:color="auto"/>
            </w:tcBorders>
            <w:noWrap/>
            <w:vAlign w:val="bottom"/>
            <w:hideMark/>
          </w:tcPr>
          <w:p w14:paraId="110F5F7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393</w:t>
            </w:r>
          </w:p>
        </w:tc>
        <w:tc>
          <w:tcPr>
            <w:tcW w:w="926" w:type="dxa"/>
            <w:tcBorders>
              <w:top w:val="nil"/>
              <w:left w:val="nil"/>
              <w:bottom w:val="single" w:sz="4" w:space="0" w:color="auto"/>
              <w:right w:val="single" w:sz="4" w:space="0" w:color="auto"/>
            </w:tcBorders>
            <w:noWrap/>
            <w:vAlign w:val="bottom"/>
            <w:hideMark/>
          </w:tcPr>
          <w:p w14:paraId="15CE7941"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433</w:t>
            </w:r>
          </w:p>
        </w:tc>
        <w:tc>
          <w:tcPr>
            <w:tcW w:w="926" w:type="dxa"/>
            <w:tcBorders>
              <w:top w:val="nil"/>
              <w:left w:val="nil"/>
              <w:bottom w:val="single" w:sz="4" w:space="0" w:color="auto"/>
              <w:right w:val="single" w:sz="4" w:space="0" w:color="auto"/>
            </w:tcBorders>
            <w:noWrap/>
            <w:vAlign w:val="bottom"/>
            <w:hideMark/>
          </w:tcPr>
          <w:p w14:paraId="2D0E735A"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413</w:t>
            </w:r>
          </w:p>
        </w:tc>
        <w:tc>
          <w:tcPr>
            <w:tcW w:w="926" w:type="dxa"/>
            <w:tcBorders>
              <w:top w:val="nil"/>
              <w:left w:val="nil"/>
              <w:bottom w:val="single" w:sz="4" w:space="0" w:color="auto"/>
              <w:right w:val="single" w:sz="4" w:space="0" w:color="auto"/>
            </w:tcBorders>
            <w:noWrap/>
            <w:vAlign w:val="bottom"/>
            <w:hideMark/>
          </w:tcPr>
          <w:p w14:paraId="1E6C1B24"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321</w:t>
            </w:r>
          </w:p>
        </w:tc>
        <w:tc>
          <w:tcPr>
            <w:tcW w:w="926" w:type="dxa"/>
            <w:tcBorders>
              <w:top w:val="nil"/>
              <w:left w:val="nil"/>
              <w:bottom w:val="single" w:sz="4" w:space="0" w:color="auto"/>
              <w:right w:val="single" w:sz="4" w:space="0" w:color="auto"/>
            </w:tcBorders>
            <w:noWrap/>
            <w:vAlign w:val="bottom"/>
            <w:hideMark/>
          </w:tcPr>
          <w:p w14:paraId="3459E695" w14:textId="77777777" w:rsidR="0036790E" w:rsidRPr="00CB4CDE" w:rsidRDefault="0036790E" w:rsidP="0036790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274</w:t>
            </w:r>
          </w:p>
        </w:tc>
      </w:tr>
    </w:tbl>
    <w:p w14:paraId="497A9CCB" w14:textId="77777777" w:rsidR="007551D9" w:rsidRPr="00CB4CDE" w:rsidRDefault="007551D9" w:rsidP="007551D9">
      <w:pPr>
        <w:jc w:val="center"/>
        <w:rPr>
          <w:rFonts w:ascii="Arial" w:hAnsi="Arial" w:cs="Arial"/>
          <w:lang w:val="en-GB"/>
        </w:rPr>
      </w:pPr>
      <w:r w:rsidRPr="00CB4CDE">
        <w:rPr>
          <w:rFonts w:ascii="Arial" w:hAnsi="Arial" w:cs="Arial"/>
          <w:b/>
          <w:bCs/>
          <w:lang w:val="en-GB"/>
        </w:rPr>
        <w:t>Data Source:</w:t>
      </w:r>
      <w:r w:rsidRPr="00CB4CDE">
        <w:rPr>
          <w:rFonts w:ascii="Arial" w:hAnsi="Arial" w:cs="Arial"/>
          <w:lang w:val="en-GB"/>
        </w:rPr>
        <w:t xml:space="preserve"> Annual reports (Hilton, 2025)</w:t>
      </w:r>
    </w:p>
    <w:p w14:paraId="2B17692A" w14:textId="04A4B7FD" w:rsidR="0036790E" w:rsidRPr="00CB4CDE" w:rsidRDefault="00075FA6" w:rsidP="00B11D7B">
      <w:pPr>
        <w:pStyle w:val="Heading2"/>
        <w:rPr>
          <w:rFonts w:ascii="Arial" w:hAnsi="Arial" w:cs="Arial"/>
        </w:rPr>
      </w:pPr>
      <w:bookmarkStart w:id="19" w:name="_Toc236928811"/>
      <w:r w:rsidRPr="00CB4CDE">
        <w:rPr>
          <w:rFonts w:ascii="Arial" w:hAnsi="Arial" w:cs="Arial"/>
        </w:rPr>
        <w:t>Calculation of working capital management</w:t>
      </w:r>
      <w:bookmarkEnd w:id="19"/>
    </w:p>
    <w:p w14:paraId="44FC7231" w14:textId="71EFB7D8" w:rsidR="0015369D" w:rsidRPr="00CB4CDE" w:rsidRDefault="0015369D" w:rsidP="0015369D">
      <w:pPr>
        <w:pStyle w:val="Caption"/>
        <w:jc w:val="center"/>
        <w:rPr>
          <w:rFonts w:ascii="Arial" w:hAnsi="Arial" w:cs="Arial"/>
          <w:sz w:val="24"/>
          <w:szCs w:val="24"/>
          <w:lang w:val="en-GB"/>
        </w:rPr>
      </w:pPr>
      <w:bookmarkStart w:id="20" w:name="_Toc236928798"/>
      <w:r w:rsidRPr="00CB4CDE">
        <w:rPr>
          <w:rFonts w:ascii="Arial" w:hAnsi="Arial" w:cs="Arial"/>
          <w:b/>
          <w:bCs/>
          <w:sz w:val="24"/>
          <w:szCs w:val="24"/>
        </w:rPr>
        <w:t xml:space="preserve">Table </w:t>
      </w:r>
      <w:r w:rsidRPr="00CB4CDE">
        <w:rPr>
          <w:rFonts w:ascii="Arial" w:hAnsi="Arial" w:cs="Arial"/>
          <w:b/>
          <w:bCs/>
          <w:sz w:val="24"/>
          <w:szCs w:val="24"/>
        </w:rPr>
        <w:fldChar w:fldCharType="begin"/>
      </w:r>
      <w:r w:rsidRPr="00CB4CDE">
        <w:rPr>
          <w:rFonts w:ascii="Arial" w:hAnsi="Arial" w:cs="Arial"/>
          <w:b/>
          <w:bCs/>
          <w:sz w:val="24"/>
          <w:szCs w:val="24"/>
        </w:rPr>
        <w:instrText xml:space="preserve"> SEQ Table \* ARABIC </w:instrText>
      </w:r>
      <w:r w:rsidRPr="00CB4CDE">
        <w:rPr>
          <w:rFonts w:ascii="Arial" w:hAnsi="Arial" w:cs="Arial"/>
          <w:b/>
          <w:bCs/>
          <w:sz w:val="24"/>
          <w:szCs w:val="24"/>
        </w:rPr>
        <w:fldChar w:fldCharType="separate"/>
      </w:r>
      <w:r w:rsidRPr="00CB4CDE">
        <w:rPr>
          <w:rFonts w:ascii="Arial" w:hAnsi="Arial" w:cs="Arial"/>
          <w:b/>
          <w:bCs/>
          <w:noProof/>
          <w:sz w:val="24"/>
          <w:szCs w:val="24"/>
        </w:rPr>
        <w:t>8</w:t>
      </w:r>
      <w:r w:rsidRPr="00CB4CDE">
        <w:rPr>
          <w:rFonts w:ascii="Arial" w:hAnsi="Arial" w:cs="Arial"/>
          <w:b/>
          <w:bCs/>
          <w:sz w:val="24"/>
          <w:szCs w:val="24"/>
        </w:rPr>
        <w:fldChar w:fldCharType="end"/>
      </w:r>
      <w:r w:rsidRPr="00CB4CDE">
        <w:rPr>
          <w:rFonts w:ascii="Arial" w:hAnsi="Arial" w:cs="Arial"/>
          <w:b/>
          <w:bCs/>
          <w:sz w:val="24"/>
          <w:szCs w:val="24"/>
        </w:rPr>
        <w:t>:</w:t>
      </w:r>
      <w:r w:rsidRPr="00CB4CDE">
        <w:rPr>
          <w:rFonts w:ascii="Arial" w:hAnsi="Arial" w:cs="Arial"/>
          <w:sz w:val="24"/>
          <w:szCs w:val="24"/>
        </w:rPr>
        <w:t xml:space="preserve"> Days sales outstanding (cash conversion cycle)</w:t>
      </w:r>
      <w:bookmarkEnd w:id="20"/>
    </w:p>
    <w:tbl>
      <w:tblPr>
        <w:tblW w:w="0" w:type="auto"/>
        <w:tblLook w:val="04A0" w:firstRow="1" w:lastRow="0" w:firstColumn="1" w:lastColumn="0" w:noHBand="0" w:noVBand="1"/>
      </w:tblPr>
      <w:tblGrid>
        <w:gridCol w:w="1486"/>
        <w:gridCol w:w="1480"/>
        <w:gridCol w:w="798"/>
        <w:gridCol w:w="703"/>
        <w:gridCol w:w="703"/>
        <w:gridCol w:w="798"/>
        <w:gridCol w:w="703"/>
        <w:gridCol w:w="469"/>
        <w:gridCol w:w="469"/>
        <w:gridCol w:w="469"/>
        <w:gridCol w:w="469"/>
        <w:gridCol w:w="469"/>
      </w:tblGrid>
      <w:tr w:rsidR="00075FA6" w:rsidRPr="00CB4CDE" w14:paraId="231167B3" w14:textId="77777777" w:rsidTr="00075FA6">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D2CE117"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Ratio</w:t>
            </w:r>
          </w:p>
        </w:tc>
        <w:tc>
          <w:tcPr>
            <w:tcW w:w="0" w:type="auto"/>
            <w:tcBorders>
              <w:top w:val="single" w:sz="4" w:space="0" w:color="auto"/>
              <w:left w:val="nil"/>
              <w:bottom w:val="single" w:sz="4" w:space="0" w:color="auto"/>
              <w:right w:val="single" w:sz="4" w:space="0" w:color="auto"/>
            </w:tcBorders>
            <w:noWrap/>
            <w:vAlign w:val="bottom"/>
            <w:hideMark/>
          </w:tcPr>
          <w:p w14:paraId="2DC3F6C3"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Formula</w:t>
            </w:r>
          </w:p>
        </w:tc>
        <w:tc>
          <w:tcPr>
            <w:tcW w:w="0" w:type="auto"/>
            <w:gridSpan w:val="5"/>
            <w:tcBorders>
              <w:top w:val="single" w:sz="4" w:space="0" w:color="auto"/>
              <w:left w:val="nil"/>
              <w:bottom w:val="single" w:sz="4" w:space="0" w:color="auto"/>
              <w:right w:val="single" w:sz="4" w:space="0" w:color="auto"/>
            </w:tcBorders>
            <w:noWrap/>
            <w:vAlign w:val="bottom"/>
            <w:hideMark/>
          </w:tcPr>
          <w:p w14:paraId="51DE74A6"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Workings ($m)</w:t>
            </w:r>
          </w:p>
        </w:tc>
        <w:tc>
          <w:tcPr>
            <w:tcW w:w="0" w:type="auto"/>
            <w:gridSpan w:val="5"/>
            <w:tcBorders>
              <w:top w:val="single" w:sz="4" w:space="0" w:color="auto"/>
              <w:left w:val="nil"/>
              <w:bottom w:val="single" w:sz="4" w:space="0" w:color="auto"/>
              <w:right w:val="single" w:sz="4" w:space="0" w:color="auto"/>
            </w:tcBorders>
            <w:noWrap/>
            <w:vAlign w:val="bottom"/>
            <w:hideMark/>
          </w:tcPr>
          <w:p w14:paraId="5E2DEE07"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Results</w:t>
            </w:r>
          </w:p>
        </w:tc>
      </w:tr>
      <w:tr w:rsidR="00075FA6" w:rsidRPr="00CB4CDE" w14:paraId="3099B32F" w14:textId="77777777" w:rsidTr="00075FA6">
        <w:trPr>
          <w:trHeight w:val="300"/>
        </w:trPr>
        <w:tc>
          <w:tcPr>
            <w:tcW w:w="0" w:type="auto"/>
            <w:tcBorders>
              <w:top w:val="nil"/>
              <w:left w:val="single" w:sz="4" w:space="0" w:color="auto"/>
              <w:bottom w:val="single" w:sz="4" w:space="0" w:color="auto"/>
              <w:right w:val="single" w:sz="4" w:space="0" w:color="auto"/>
            </w:tcBorders>
            <w:noWrap/>
            <w:vAlign w:val="bottom"/>
            <w:hideMark/>
          </w:tcPr>
          <w:p w14:paraId="6DC3F9BE"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1250E550"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4479E822"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0" w:type="auto"/>
            <w:tcBorders>
              <w:top w:val="nil"/>
              <w:left w:val="nil"/>
              <w:bottom w:val="single" w:sz="4" w:space="0" w:color="auto"/>
              <w:right w:val="single" w:sz="4" w:space="0" w:color="auto"/>
            </w:tcBorders>
            <w:noWrap/>
            <w:vAlign w:val="bottom"/>
            <w:hideMark/>
          </w:tcPr>
          <w:p w14:paraId="13CB316D"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0" w:type="auto"/>
            <w:tcBorders>
              <w:top w:val="nil"/>
              <w:left w:val="nil"/>
              <w:bottom w:val="single" w:sz="4" w:space="0" w:color="auto"/>
              <w:right w:val="single" w:sz="4" w:space="0" w:color="auto"/>
            </w:tcBorders>
            <w:noWrap/>
            <w:vAlign w:val="bottom"/>
            <w:hideMark/>
          </w:tcPr>
          <w:p w14:paraId="7533EA9A"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0" w:type="auto"/>
            <w:tcBorders>
              <w:top w:val="nil"/>
              <w:left w:val="nil"/>
              <w:bottom w:val="single" w:sz="4" w:space="0" w:color="auto"/>
              <w:right w:val="single" w:sz="4" w:space="0" w:color="auto"/>
            </w:tcBorders>
            <w:noWrap/>
            <w:vAlign w:val="bottom"/>
            <w:hideMark/>
          </w:tcPr>
          <w:p w14:paraId="63BC0523"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0" w:type="auto"/>
            <w:tcBorders>
              <w:top w:val="nil"/>
              <w:left w:val="nil"/>
              <w:bottom w:val="single" w:sz="4" w:space="0" w:color="auto"/>
              <w:right w:val="single" w:sz="4" w:space="0" w:color="auto"/>
            </w:tcBorders>
            <w:noWrap/>
            <w:vAlign w:val="bottom"/>
            <w:hideMark/>
          </w:tcPr>
          <w:p w14:paraId="3F1DFED5"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c>
          <w:tcPr>
            <w:tcW w:w="0" w:type="auto"/>
            <w:tcBorders>
              <w:top w:val="nil"/>
              <w:left w:val="nil"/>
              <w:bottom w:val="single" w:sz="4" w:space="0" w:color="auto"/>
              <w:right w:val="single" w:sz="4" w:space="0" w:color="auto"/>
            </w:tcBorders>
            <w:noWrap/>
            <w:vAlign w:val="bottom"/>
            <w:hideMark/>
          </w:tcPr>
          <w:p w14:paraId="7CC61987"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2025</w:t>
            </w:r>
          </w:p>
        </w:tc>
        <w:tc>
          <w:tcPr>
            <w:tcW w:w="0" w:type="auto"/>
            <w:tcBorders>
              <w:top w:val="nil"/>
              <w:left w:val="nil"/>
              <w:bottom w:val="single" w:sz="4" w:space="0" w:color="auto"/>
              <w:right w:val="single" w:sz="4" w:space="0" w:color="auto"/>
            </w:tcBorders>
            <w:noWrap/>
            <w:vAlign w:val="bottom"/>
            <w:hideMark/>
          </w:tcPr>
          <w:p w14:paraId="56CE3C50"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2024</w:t>
            </w:r>
          </w:p>
        </w:tc>
        <w:tc>
          <w:tcPr>
            <w:tcW w:w="0" w:type="auto"/>
            <w:tcBorders>
              <w:top w:val="nil"/>
              <w:left w:val="nil"/>
              <w:bottom w:val="single" w:sz="4" w:space="0" w:color="auto"/>
              <w:right w:val="single" w:sz="4" w:space="0" w:color="auto"/>
            </w:tcBorders>
            <w:noWrap/>
            <w:vAlign w:val="bottom"/>
            <w:hideMark/>
          </w:tcPr>
          <w:p w14:paraId="40ECB509"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2023</w:t>
            </w:r>
          </w:p>
        </w:tc>
        <w:tc>
          <w:tcPr>
            <w:tcW w:w="0" w:type="auto"/>
            <w:tcBorders>
              <w:top w:val="nil"/>
              <w:left w:val="nil"/>
              <w:bottom w:val="single" w:sz="4" w:space="0" w:color="auto"/>
              <w:right w:val="single" w:sz="4" w:space="0" w:color="auto"/>
            </w:tcBorders>
            <w:noWrap/>
            <w:vAlign w:val="bottom"/>
            <w:hideMark/>
          </w:tcPr>
          <w:p w14:paraId="53E9EA4B"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2022</w:t>
            </w:r>
          </w:p>
        </w:tc>
        <w:tc>
          <w:tcPr>
            <w:tcW w:w="0" w:type="auto"/>
            <w:tcBorders>
              <w:top w:val="nil"/>
              <w:left w:val="nil"/>
              <w:bottom w:val="single" w:sz="4" w:space="0" w:color="auto"/>
              <w:right w:val="single" w:sz="4" w:space="0" w:color="auto"/>
            </w:tcBorders>
            <w:noWrap/>
            <w:vAlign w:val="bottom"/>
            <w:hideMark/>
          </w:tcPr>
          <w:p w14:paraId="4FCE18C9" w14:textId="77777777" w:rsidR="00075FA6" w:rsidRPr="00CB4CDE" w:rsidRDefault="00075FA6" w:rsidP="00075FA6">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2021</w:t>
            </w:r>
          </w:p>
        </w:tc>
      </w:tr>
      <w:tr w:rsidR="00075FA6" w:rsidRPr="00CB4CDE" w14:paraId="1BA9B11E" w14:textId="77777777" w:rsidTr="00075FA6">
        <w:trPr>
          <w:trHeight w:val="300"/>
        </w:trPr>
        <w:tc>
          <w:tcPr>
            <w:tcW w:w="0" w:type="auto"/>
            <w:tcBorders>
              <w:top w:val="nil"/>
              <w:left w:val="single" w:sz="4" w:space="0" w:color="auto"/>
              <w:bottom w:val="single" w:sz="4" w:space="0" w:color="auto"/>
              <w:right w:val="single" w:sz="4" w:space="0" w:color="auto"/>
            </w:tcBorders>
            <w:noWrap/>
            <w:vAlign w:val="bottom"/>
            <w:hideMark/>
          </w:tcPr>
          <w:p w14:paraId="137BD596" w14:textId="77777777" w:rsidR="00075FA6" w:rsidRPr="00CB4CDE" w:rsidRDefault="00075FA6" w:rsidP="00075FA6">
            <w:pPr>
              <w:spacing w:line="240" w:lineRule="auto"/>
              <w:jc w:val="left"/>
              <w:rPr>
                <w:rFonts w:ascii="Arial" w:eastAsia="Times New Roman" w:hAnsi="Arial" w:cs="Arial"/>
                <w:b/>
                <w:bCs/>
                <w:color w:val="000000"/>
                <w:kern w:val="0"/>
                <w14:ligatures w14:val="none"/>
              </w:rPr>
            </w:pPr>
            <w:bookmarkStart w:id="21" w:name="_Hlk236926604"/>
            <w:r w:rsidRPr="00CB4CDE">
              <w:rPr>
                <w:rFonts w:ascii="Arial" w:eastAsia="Times New Roman" w:hAnsi="Arial" w:cs="Arial"/>
                <w:b/>
                <w:bCs/>
                <w:color w:val="000000"/>
                <w:kern w:val="0"/>
                <w14:ligatures w14:val="none"/>
              </w:rPr>
              <w:t>Days sales outstanding</w:t>
            </w:r>
            <w:bookmarkEnd w:id="21"/>
          </w:p>
        </w:tc>
        <w:tc>
          <w:tcPr>
            <w:tcW w:w="0" w:type="auto"/>
            <w:tcBorders>
              <w:top w:val="nil"/>
              <w:left w:val="nil"/>
              <w:bottom w:val="single" w:sz="4" w:space="0" w:color="auto"/>
              <w:right w:val="single" w:sz="4" w:space="0" w:color="auto"/>
            </w:tcBorders>
            <w:noWrap/>
            <w:vAlign w:val="bottom"/>
            <w:hideMark/>
          </w:tcPr>
          <w:p w14:paraId="10BDA839" w14:textId="77777777" w:rsidR="00075FA6" w:rsidRPr="00CB4CDE" w:rsidRDefault="00075FA6" w:rsidP="00075FA6">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Average receivables*365</w:t>
            </w:r>
          </w:p>
        </w:tc>
        <w:tc>
          <w:tcPr>
            <w:tcW w:w="0" w:type="auto"/>
            <w:tcBorders>
              <w:top w:val="nil"/>
              <w:left w:val="nil"/>
              <w:bottom w:val="single" w:sz="4" w:space="0" w:color="auto"/>
              <w:right w:val="single" w:sz="4" w:space="0" w:color="auto"/>
            </w:tcBorders>
            <w:noWrap/>
            <w:vAlign w:val="bottom"/>
            <w:hideMark/>
          </w:tcPr>
          <w:p w14:paraId="56EB462F" w14:textId="77777777" w:rsidR="00075FA6" w:rsidRPr="00CB4CDE" w:rsidRDefault="00075FA6" w:rsidP="00075FA6">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1636.5*365</w:t>
            </w:r>
          </w:p>
        </w:tc>
        <w:tc>
          <w:tcPr>
            <w:tcW w:w="0" w:type="auto"/>
            <w:tcBorders>
              <w:top w:val="nil"/>
              <w:left w:val="nil"/>
              <w:bottom w:val="single" w:sz="4" w:space="0" w:color="auto"/>
              <w:right w:val="single" w:sz="4" w:space="0" w:color="auto"/>
            </w:tcBorders>
            <w:noWrap/>
            <w:vAlign w:val="bottom"/>
            <w:hideMark/>
          </w:tcPr>
          <w:p w14:paraId="1AF04AC0" w14:textId="77777777" w:rsidR="00075FA6" w:rsidRPr="00CB4CDE" w:rsidRDefault="00075FA6" w:rsidP="00075FA6">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1535*365</w:t>
            </w:r>
          </w:p>
        </w:tc>
        <w:tc>
          <w:tcPr>
            <w:tcW w:w="0" w:type="auto"/>
            <w:tcBorders>
              <w:top w:val="nil"/>
              <w:left w:val="nil"/>
              <w:bottom w:val="single" w:sz="4" w:space="0" w:color="auto"/>
              <w:right w:val="single" w:sz="4" w:space="0" w:color="auto"/>
            </w:tcBorders>
            <w:noWrap/>
            <w:vAlign w:val="bottom"/>
            <w:hideMark/>
          </w:tcPr>
          <w:p w14:paraId="0F705AC8" w14:textId="77777777" w:rsidR="00075FA6" w:rsidRPr="00CB4CDE" w:rsidRDefault="00075FA6" w:rsidP="00075FA6">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1407*365</w:t>
            </w:r>
          </w:p>
        </w:tc>
        <w:tc>
          <w:tcPr>
            <w:tcW w:w="0" w:type="auto"/>
            <w:tcBorders>
              <w:top w:val="nil"/>
              <w:left w:val="nil"/>
              <w:bottom w:val="single" w:sz="4" w:space="0" w:color="auto"/>
              <w:right w:val="single" w:sz="4" w:space="0" w:color="auto"/>
            </w:tcBorders>
            <w:noWrap/>
            <w:vAlign w:val="bottom"/>
            <w:hideMark/>
          </w:tcPr>
          <w:p w14:paraId="64575284" w14:textId="77777777" w:rsidR="00075FA6" w:rsidRPr="00CB4CDE" w:rsidRDefault="00075FA6" w:rsidP="00075FA6">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1197.5*365</w:t>
            </w:r>
          </w:p>
        </w:tc>
        <w:tc>
          <w:tcPr>
            <w:tcW w:w="0" w:type="auto"/>
            <w:tcBorders>
              <w:top w:val="nil"/>
              <w:left w:val="nil"/>
              <w:bottom w:val="single" w:sz="4" w:space="0" w:color="auto"/>
              <w:right w:val="single" w:sz="4" w:space="0" w:color="auto"/>
            </w:tcBorders>
            <w:noWrap/>
            <w:vAlign w:val="bottom"/>
            <w:hideMark/>
          </w:tcPr>
          <w:p w14:paraId="05058413" w14:textId="77777777" w:rsidR="00075FA6" w:rsidRPr="00CB4CDE" w:rsidRDefault="00075FA6" w:rsidP="00075FA6">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1068*365</w:t>
            </w:r>
          </w:p>
        </w:tc>
        <w:tc>
          <w:tcPr>
            <w:tcW w:w="0" w:type="auto"/>
            <w:tcBorders>
              <w:top w:val="nil"/>
              <w:left w:val="nil"/>
              <w:bottom w:val="single" w:sz="4" w:space="0" w:color="auto"/>
              <w:right w:val="single" w:sz="4" w:space="0" w:color="auto"/>
            </w:tcBorders>
            <w:noWrap/>
            <w:vAlign w:val="bottom"/>
            <w:hideMark/>
          </w:tcPr>
          <w:p w14:paraId="3FA87284"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w:t>
            </w:r>
          </w:p>
        </w:tc>
        <w:tc>
          <w:tcPr>
            <w:tcW w:w="0" w:type="auto"/>
            <w:tcBorders>
              <w:top w:val="nil"/>
              <w:left w:val="nil"/>
              <w:bottom w:val="single" w:sz="4" w:space="0" w:color="auto"/>
              <w:right w:val="single" w:sz="4" w:space="0" w:color="auto"/>
            </w:tcBorders>
            <w:noWrap/>
            <w:vAlign w:val="bottom"/>
            <w:hideMark/>
          </w:tcPr>
          <w:p w14:paraId="3C3E12D6"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w:t>
            </w:r>
          </w:p>
        </w:tc>
        <w:tc>
          <w:tcPr>
            <w:tcW w:w="0" w:type="auto"/>
            <w:tcBorders>
              <w:top w:val="nil"/>
              <w:left w:val="nil"/>
              <w:bottom w:val="single" w:sz="4" w:space="0" w:color="auto"/>
              <w:right w:val="single" w:sz="4" w:space="0" w:color="auto"/>
            </w:tcBorders>
            <w:noWrap/>
            <w:vAlign w:val="bottom"/>
            <w:hideMark/>
          </w:tcPr>
          <w:p w14:paraId="34657043"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w:t>
            </w:r>
          </w:p>
        </w:tc>
        <w:tc>
          <w:tcPr>
            <w:tcW w:w="0" w:type="auto"/>
            <w:tcBorders>
              <w:top w:val="nil"/>
              <w:left w:val="nil"/>
              <w:bottom w:val="single" w:sz="4" w:space="0" w:color="auto"/>
              <w:right w:val="single" w:sz="4" w:space="0" w:color="auto"/>
            </w:tcBorders>
            <w:noWrap/>
            <w:vAlign w:val="bottom"/>
            <w:hideMark/>
          </w:tcPr>
          <w:p w14:paraId="32908FFC"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w:t>
            </w:r>
          </w:p>
        </w:tc>
        <w:tc>
          <w:tcPr>
            <w:tcW w:w="0" w:type="auto"/>
            <w:tcBorders>
              <w:top w:val="nil"/>
              <w:left w:val="nil"/>
              <w:bottom w:val="single" w:sz="4" w:space="0" w:color="auto"/>
              <w:right w:val="single" w:sz="4" w:space="0" w:color="auto"/>
            </w:tcBorders>
            <w:noWrap/>
            <w:vAlign w:val="bottom"/>
            <w:hideMark/>
          </w:tcPr>
          <w:p w14:paraId="6EF0819F"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67</w:t>
            </w:r>
          </w:p>
        </w:tc>
      </w:tr>
      <w:tr w:rsidR="00075FA6" w:rsidRPr="00CB4CDE" w14:paraId="17FA540D" w14:textId="77777777" w:rsidTr="00075FA6">
        <w:trPr>
          <w:trHeight w:val="300"/>
        </w:trPr>
        <w:tc>
          <w:tcPr>
            <w:tcW w:w="0" w:type="auto"/>
            <w:tcBorders>
              <w:top w:val="nil"/>
              <w:left w:val="single" w:sz="4" w:space="0" w:color="auto"/>
              <w:bottom w:val="single" w:sz="4" w:space="0" w:color="auto"/>
              <w:right w:val="single" w:sz="4" w:space="0" w:color="auto"/>
            </w:tcBorders>
            <w:noWrap/>
            <w:vAlign w:val="bottom"/>
            <w:hideMark/>
          </w:tcPr>
          <w:p w14:paraId="57FC8538" w14:textId="77777777" w:rsidR="00075FA6" w:rsidRPr="00CB4CDE" w:rsidRDefault="00075FA6" w:rsidP="00075FA6">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0D8F8D76"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Sales</w:t>
            </w:r>
          </w:p>
        </w:tc>
        <w:tc>
          <w:tcPr>
            <w:tcW w:w="0" w:type="auto"/>
            <w:tcBorders>
              <w:top w:val="nil"/>
              <w:left w:val="nil"/>
              <w:bottom w:val="single" w:sz="4" w:space="0" w:color="auto"/>
              <w:right w:val="single" w:sz="4" w:space="0" w:color="auto"/>
            </w:tcBorders>
            <w:noWrap/>
            <w:vAlign w:val="bottom"/>
            <w:hideMark/>
          </w:tcPr>
          <w:p w14:paraId="5732B2B8"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12039</w:t>
            </w:r>
          </w:p>
        </w:tc>
        <w:tc>
          <w:tcPr>
            <w:tcW w:w="0" w:type="auto"/>
            <w:tcBorders>
              <w:top w:val="nil"/>
              <w:left w:val="nil"/>
              <w:bottom w:val="single" w:sz="4" w:space="0" w:color="auto"/>
              <w:right w:val="single" w:sz="4" w:space="0" w:color="auto"/>
            </w:tcBorders>
            <w:noWrap/>
            <w:vAlign w:val="bottom"/>
            <w:hideMark/>
          </w:tcPr>
          <w:p w14:paraId="4EFF284A"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11174</w:t>
            </w:r>
          </w:p>
        </w:tc>
        <w:tc>
          <w:tcPr>
            <w:tcW w:w="0" w:type="auto"/>
            <w:tcBorders>
              <w:top w:val="nil"/>
              <w:left w:val="nil"/>
              <w:bottom w:val="single" w:sz="4" w:space="0" w:color="auto"/>
              <w:right w:val="single" w:sz="4" w:space="0" w:color="auto"/>
            </w:tcBorders>
            <w:noWrap/>
            <w:vAlign w:val="bottom"/>
            <w:hideMark/>
          </w:tcPr>
          <w:p w14:paraId="2DB98ADB"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10235</w:t>
            </w:r>
          </w:p>
        </w:tc>
        <w:tc>
          <w:tcPr>
            <w:tcW w:w="0" w:type="auto"/>
            <w:tcBorders>
              <w:top w:val="nil"/>
              <w:left w:val="nil"/>
              <w:bottom w:val="single" w:sz="4" w:space="0" w:color="auto"/>
              <w:right w:val="single" w:sz="4" w:space="0" w:color="auto"/>
            </w:tcBorders>
            <w:noWrap/>
            <w:vAlign w:val="bottom"/>
            <w:hideMark/>
          </w:tcPr>
          <w:p w14:paraId="4210C395"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8773</w:t>
            </w:r>
          </w:p>
        </w:tc>
        <w:tc>
          <w:tcPr>
            <w:tcW w:w="0" w:type="auto"/>
            <w:tcBorders>
              <w:top w:val="nil"/>
              <w:left w:val="nil"/>
              <w:bottom w:val="single" w:sz="4" w:space="0" w:color="auto"/>
              <w:right w:val="single" w:sz="4" w:space="0" w:color="auto"/>
            </w:tcBorders>
            <w:noWrap/>
            <w:vAlign w:val="bottom"/>
            <w:hideMark/>
          </w:tcPr>
          <w:p w14:paraId="182C04AC" w14:textId="77777777" w:rsidR="00075FA6" w:rsidRPr="00CB4CDE" w:rsidRDefault="00075FA6" w:rsidP="00075FA6">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5788</w:t>
            </w:r>
          </w:p>
        </w:tc>
        <w:tc>
          <w:tcPr>
            <w:tcW w:w="0" w:type="auto"/>
            <w:tcBorders>
              <w:top w:val="nil"/>
              <w:left w:val="nil"/>
              <w:bottom w:val="single" w:sz="4" w:space="0" w:color="auto"/>
              <w:right w:val="single" w:sz="4" w:space="0" w:color="auto"/>
            </w:tcBorders>
            <w:noWrap/>
            <w:vAlign w:val="bottom"/>
            <w:hideMark/>
          </w:tcPr>
          <w:p w14:paraId="6BBBF048" w14:textId="77777777" w:rsidR="00075FA6" w:rsidRPr="00CB4CDE" w:rsidRDefault="00075FA6" w:rsidP="00075FA6">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23FDE408" w14:textId="77777777" w:rsidR="00075FA6" w:rsidRPr="00CB4CDE" w:rsidRDefault="00075FA6" w:rsidP="00075FA6">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E21D3B5" w14:textId="77777777" w:rsidR="00075FA6" w:rsidRPr="00CB4CDE" w:rsidRDefault="00075FA6" w:rsidP="00075FA6">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52C3A78F" w14:textId="77777777" w:rsidR="00075FA6" w:rsidRPr="00CB4CDE" w:rsidRDefault="00075FA6" w:rsidP="00075FA6">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0" w:type="auto"/>
            <w:tcBorders>
              <w:top w:val="nil"/>
              <w:left w:val="nil"/>
              <w:bottom w:val="single" w:sz="4" w:space="0" w:color="auto"/>
              <w:right w:val="single" w:sz="4" w:space="0" w:color="auto"/>
            </w:tcBorders>
            <w:noWrap/>
            <w:vAlign w:val="bottom"/>
            <w:hideMark/>
          </w:tcPr>
          <w:p w14:paraId="37000CDD" w14:textId="77777777" w:rsidR="00075FA6" w:rsidRPr="00CB4CDE" w:rsidRDefault="00075FA6" w:rsidP="00075FA6">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bl>
    <w:p w14:paraId="3224A1DD" w14:textId="77777777" w:rsidR="0015369D" w:rsidRPr="00CB4CDE" w:rsidRDefault="0015369D" w:rsidP="0015369D">
      <w:pPr>
        <w:jc w:val="center"/>
        <w:rPr>
          <w:rFonts w:ascii="Arial" w:hAnsi="Arial" w:cs="Arial"/>
          <w:lang w:val="en-GB"/>
        </w:rPr>
      </w:pPr>
      <w:r w:rsidRPr="00CB4CDE">
        <w:rPr>
          <w:rFonts w:ascii="Arial" w:hAnsi="Arial" w:cs="Arial"/>
          <w:b/>
          <w:bCs/>
          <w:lang w:val="en-GB"/>
        </w:rPr>
        <w:t>Data Source:</w:t>
      </w:r>
      <w:r w:rsidRPr="00CB4CDE">
        <w:rPr>
          <w:rFonts w:ascii="Arial" w:hAnsi="Arial" w:cs="Arial"/>
          <w:lang w:val="en-GB"/>
        </w:rPr>
        <w:t xml:space="preserve"> Annual reports (Hilton, 2025)</w:t>
      </w:r>
    </w:p>
    <w:p w14:paraId="15FE60BD" w14:textId="1C82A3B7" w:rsidR="00044024" w:rsidRPr="00CB4CDE" w:rsidRDefault="001F7A7B" w:rsidP="00044024">
      <w:pPr>
        <w:rPr>
          <w:rFonts w:ascii="Arial" w:hAnsi="Arial" w:cs="Arial"/>
        </w:rPr>
      </w:pPr>
      <w:r w:rsidRPr="00CB4CDE">
        <w:rPr>
          <w:rFonts w:ascii="Arial" w:hAnsi="Arial" w:cs="Arial"/>
          <w:b/>
          <w:bCs/>
        </w:rPr>
        <w:t xml:space="preserve">Cash </w:t>
      </w:r>
      <w:r w:rsidR="00B37B79" w:rsidRPr="00CB4CDE">
        <w:rPr>
          <w:rFonts w:ascii="Arial" w:hAnsi="Arial" w:cs="Arial"/>
          <w:b/>
          <w:bCs/>
        </w:rPr>
        <w:t>Operating Cycle =</w:t>
      </w:r>
      <w:r w:rsidR="00B37B79" w:rsidRPr="00CB4CDE">
        <w:rPr>
          <w:rFonts w:ascii="Arial" w:hAnsi="Arial" w:cs="Arial"/>
        </w:rPr>
        <w:t> Days Inventory Outstanding (DIO) + Days Sales Outstanding (DSO) – Days payable outstanding (DPO)</w:t>
      </w:r>
    </w:p>
    <w:p w14:paraId="09EC161C" w14:textId="186A2103" w:rsidR="00B37B79" w:rsidRPr="00CB4CDE" w:rsidRDefault="00B37B79" w:rsidP="00044024">
      <w:pPr>
        <w:rPr>
          <w:rFonts w:ascii="Arial" w:hAnsi="Arial" w:cs="Arial"/>
        </w:rPr>
      </w:pPr>
      <w:r w:rsidRPr="00CB4CDE">
        <w:rPr>
          <w:rFonts w:ascii="Arial" w:hAnsi="Arial" w:cs="Arial"/>
        </w:rPr>
        <w:t>Data is missing for</w:t>
      </w:r>
      <w:r w:rsidR="001F7A7B" w:rsidRPr="00CB4CDE">
        <w:rPr>
          <w:rFonts w:ascii="Arial" w:hAnsi="Arial" w:cs="Arial"/>
        </w:rPr>
        <w:t xml:space="preserve"> DOI and DPO calculation hence DSO is considered as cash operating cycle period</w:t>
      </w:r>
      <w:r w:rsidR="00B11D7B" w:rsidRPr="00CB4CDE">
        <w:rPr>
          <w:rFonts w:ascii="Arial" w:hAnsi="Arial" w:cs="Arial"/>
        </w:rPr>
        <w:t>.</w:t>
      </w:r>
    </w:p>
    <w:p w14:paraId="0AC7BA9D" w14:textId="77777777" w:rsidR="00B11D7B" w:rsidRPr="00CB4CDE" w:rsidRDefault="00B11D7B" w:rsidP="00044024">
      <w:pPr>
        <w:rPr>
          <w:rFonts w:ascii="Arial" w:hAnsi="Arial" w:cs="Arial"/>
        </w:rPr>
      </w:pPr>
    </w:p>
    <w:p w14:paraId="69084EF6" w14:textId="77777777" w:rsidR="00400410" w:rsidRPr="00CB4CDE" w:rsidRDefault="00400410">
      <w:pPr>
        <w:spacing w:after="160" w:line="278" w:lineRule="auto"/>
        <w:jc w:val="left"/>
        <w:rPr>
          <w:rFonts w:ascii="Arial" w:hAnsi="Arial" w:cs="Arial"/>
          <w:b/>
          <w:bCs/>
          <w:u w:val="single"/>
          <w:lang w:val="en-GB"/>
        </w:rPr>
      </w:pPr>
      <w:r w:rsidRPr="00CB4CDE">
        <w:rPr>
          <w:rFonts w:ascii="Arial" w:hAnsi="Arial" w:cs="Arial"/>
        </w:rPr>
        <w:br w:type="page"/>
      </w:r>
    </w:p>
    <w:p w14:paraId="09E5E54F" w14:textId="7927056E" w:rsidR="00B11D7B" w:rsidRPr="00CB4CDE" w:rsidRDefault="00B11D7B" w:rsidP="00B11D7B">
      <w:pPr>
        <w:pStyle w:val="Heading2"/>
        <w:rPr>
          <w:rFonts w:ascii="Arial" w:hAnsi="Arial" w:cs="Arial"/>
        </w:rPr>
      </w:pPr>
      <w:bookmarkStart w:id="22" w:name="_Toc236928812"/>
      <w:r w:rsidRPr="00CB4CDE">
        <w:rPr>
          <w:rFonts w:ascii="Arial" w:hAnsi="Arial" w:cs="Arial"/>
        </w:rPr>
        <w:lastRenderedPageBreak/>
        <w:t>Investment Appraisal</w:t>
      </w:r>
      <w:bookmarkEnd w:id="22"/>
    </w:p>
    <w:p w14:paraId="38C6E5BB" w14:textId="31D3299B" w:rsidR="00B11D7B" w:rsidRPr="00CB4CDE" w:rsidRDefault="00B11D7B" w:rsidP="00B11D7B">
      <w:pPr>
        <w:rPr>
          <w:rFonts w:ascii="Arial" w:hAnsi="Arial" w:cs="Arial"/>
          <w:b/>
          <w:bCs/>
          <w:lang w:val="en-GB"/>
        </w:rPr>
      </w:pPr>
      <w:r w:rsidRPr="00CB4CDE">
        <w:rPr>
          <w:rFonts w:ascii="Arial" w:hAnsi="Arial" w:cs="Arial"/>
          <w:b/>
          <w:bCs/>
          <w:lang w:val="en-GB"/>
        </w:rPr>
        <w:t>1. Payback period calculation:</w:t>
      </w:r>
    </w:p>
    <w:p w14:paraId="609BD232" w14:textId="4C113702" w:rsidR="00AA6CF2" w:rsidRPr="00CB4CDE" w:rsidRDefault="00AA6CF2" w:rsidP="00B11D7B">
      <w:pPr>
        <w:rPr>
          <w:rFonts w:ascii="Arial" w:hAnsi="Arial" w:cs="Arial"/>
          <w:b/>
          <w:bCs/>
          <w:lang w:val="en-GB"/>
        </w:rPr>
      </w:pPr>
      <w:r w:rsidRPr="00CB4CDE">
        <w:rPr>
          <w:rFonts w:ascii="Arial" w:hAnsi="Arial" w:cs="Arial"/>
          <w:b/>
          <w:bCs/>
          <w:lang w:val="en-GB"/>
        </w:rPr>
        <w:t>Formula</w:t>
      </w:r>
    </w:p>
    <w:tbl>
      <w:tblPr>
        <w:tblStyle w:val="TableGrid"/>
        <w:tblW w:w="0" w:type="auto"/>
        <w:jc w:val="center"/>
        <w:tblLook w:val="04A0" w:firstRow="1" w:lastRow="0" w:firstColumn="1" w:lastColumn="0" w:noHBand="0" w:noVBand="1"/>
      </w:tblPr>
      <w:tblGrid>
        <w:gridCol w:w="2245"/>
        <w:gridCol w:w="2520"/>
        <w:gridCol w:w="4055"/>
      </w:tblGrid>
      <w:tr w:rsidR="00AA6CF2" w:rsidRPr="00CB4CDE" w14:paraId="4201B836" w14:textId="77777777" w:rsidTr="00AC14CD">
        <w:trPr>
          <w:trHeight w:val="300"/>
          <w:jc w:val="center"/>
        </w:trPr>
        <w:tc>
          <w:tcPr>
            <w:tcW w:w="2245" w:type="dxa"/>
            <w:noWrap/>
            <w:hideMark/>
          </w:tcPr>
          <w:p w14:paraId="5C4D0F43" w14:textId="2A224B62" w:rsidR="00AA6CF2" w:rsidRPr="00CB4CDE" w:rsidRDefault="00AA6CF2" w:rsidP="00AA6CF2">
            <w:pPr>
              <w:rPr>
                <w:rFonts w:ascii="Arial" w:hAnsi="Arial" w:cs="Arial"/>
                <w:b/>
                <w:bCs/>
              </w:rPr>
            </w:pPr>
            <w:r w:rsidRPr="00CB4CDE">
              <w:rPr>
                <w:rFonts w:ascii="Arial" w:hAnsi="Arial" w:cs="Arial"/>
                <w:b/>
                <w:bCs/>
              </w:rPr>
              <w:t>Payback period</w:t>
            </w:r>
            <w:r w:rsidR="00F03411" w:rsidRPr="00CB4CDE">
              <w:rPr>
                <w:rFonts w:ascii="Arial" w:hAnsi="Arial" w:cs="Arial"/>
                <w:b/>
                <w:bCs/>
              </w:rPr>
              <w:t xml:space="preserve"> = </w:t>
            </w:r>
          </w:p>
        </w:tc>
        <w:tc>
          <w:tcPr>
            <w:tcW w:w="2520" w:type="dxa"/>
            <w:noWrap/>
            <w:hideMark/>
          </w:tcPr>
          <w:p w14:paraId="134F77ED" w14:textId="77777777" w:rsidR="00AA6CF2" w:rsidRPr="00CB4CDE" w:rsidRDefault="00AA6CF2">
            <w:pPr>
              <w:rPr>
                <w:rFonts w:ascii="Arial" w:hAnsi="Arial" w:cs="Arial"/>
              </w:rPr>
            </w:pPr>
            <w:r w:rsidRPr="00CB4CDE">
              <w:rPr>
                <w:rFonts w:ascii="Arial" w:hAnsi="Arial" w:cs="Arial"/>
              </w:rPr>
              <w:t>Year before recovery +</w:t>
            </w:r>
          </w:p>
        </w:tc>
        <w:tc>
          <w:tcPr>
            <w:tcW w:w="4055" w:type="dxa"/>
            <w:noWrap/>
            <w:hideMark/>
          </w:tcPr>
          <w:p w14:paraId="6AB878DD" w14:textId="77777777" w:rsidR="00AA6CF2" w:rsidRPr="00CB4CDE" w:rsidRDefault="00AA6CF2" w:rsidP="00AA6CF2">
            <w:pPr>
              <w:jc w:val="center"/>
              <w:rPr>
                <w:rFonts w:ascii="Arial" w:hAnsi="Arial" w:cs="Arial"/>
                <w:u w:val="single"/>
              </w:rPr>
            </w:pPr>
            <w:r w:rsidRPr="00CB4CDE">
              <w:rPr>
                <w:rFonts w:ascii="Arial" w:hAnsi="Arial" w:cs="Arial"/>
                <w:u w:val="single"/>
              </w:rPr>
              <w:t>Unrecovered cash flows</w:t>
            </w:r>
          </w:p>
        </w:tc>
      </w:tr>
      <w:tr w:rsidR="00AA6CF2" w:rsidRPr="00CB4CDE" w14:paraId="12B9EF50" w14:textId="77777777" w:rsidTr="00AC14CD">
        <w:trPr>
          <w:trHeight w:val="300"/>
          <w:jc w:val="center"/>
        </w:trPr>
        <w:tc>
          <w:tcPr>
            <w:tcW w:w="2245" w:type="dxa"/>
            <w:noWrap/>
            <w:hideMark/>
          </w:tcPr>
          <w:p w14:paraId="5704C81B" w14:textId="77777777" w:rsidR="00AA6CF2" w:rsidRPr="00CB4CDE" w:rsidRDefault="00AA6CF2" w:rsidP="00AA6CF2">
            <w:pPr>
              <w:rPr>
                <w:rFonts w:ascii="Arial" w:hAnsi="Arial" w:cs="Arial"/>
                <w:u w:val="single"/>
              </w:rPr>
            </w:pPr>
          </w:p>
        </w:tc>
        <w:tc>
          <w:tcPr>
            <w:tcW w:w="2520" w:type="dxa"/>
            <w:noWrap/>
            <w:hideMark/>
          </w:tcPr>
          <w:p w14:paraId="6D7DA180" w14:textId="77777777" w:rsidR="00AA6CF2" w:rsidRPr="00CB4CDE" w:rsidRDefault="00AA6CF2">
            <w:pPr>
              <w:rPr>
                <w:rFonts w:ascii="Arial" w:hAnsi="Arial" w:cs="Arial"/>
              </w:rPr>
            </w:pPr>
          </w:p>
        </w:tc>
        <w:tc>
          <w:tcPr>
            <w:tcW w:w="4055" w:type="dxa"/>
            <w:hideMark/>
          </w:tcPr>
          <w:p w14:paraId="07A9A8B5" w14:textId="77777777" w:rsidR="00AA6CF2" w:rsidRPr="00CB4CDE" w:rsidRDefault="00AA6CF2" w:rsidP="00AA6CF2">
            <w:pPr>
              <w:jc w:val="center"/>
              <w:rPr>
                <w:rFonts w:ascii="Arial" w:hAnsi="Arial" w:cs="Arial"/>
              </w:rPr>
            </w:pPr>
            <w:r w:rsidRPr="00CB4CDE">
              <w:rPr>
                <w:rFonts w:ascii="Arial" w:hAnsi="Arial" w:cs="Arial"/>
              </w:rPr>
              <w:t>Cash flow for the recovery period</w:t>
            </w:r>
          </w:p>
        </w:tc>
      </w:tr>
    </w:tbl>
    <w:p w14:paraId="5BF71A79" w14:textId="77777777" w:rsidR="00AA6CF2" w:rsidRPr="00CB4CDE" w:rsidRDefault="00AA6CF2" w:rsidP="00B11D7B">
      <w:pPr>
        <w:rPr>
          <w:rFonts w:ascii="Arial" w:hAnsi="Arial" w:cs="Arial"/>
          <w:lang w:val="en-GB"/>
        </w:rPr>
      </w:pPr>
    </w:p>
    <w:p w14:paraId="45A10E68" w14:textId="2EB95EA1" w:rsidR="00044024" w:rsidRPr="00CB4CDE" w:rsidRDefault="002545DF" w:rsidP="00044024">
      <w:pPr>
        <w:rPr>
          <w:rFonts w:ascii="Arial" w:hAnsi="Arial" w:cs="Arial"/>
          <w:b/>
          <w:bCs/>
          <w:lang w:val="en-GB"/>
        </w:rPr>
      </w:pPr>
      <w:r w:rsidRPr="00CB4CDE">
        <w:rPr>
          <w:rFonts w:ascii="Arial" w:hAnsi="Arial" w:cs="Arial"/>
          <w:b/>
          <w:bCs/>
          <w:lang w:val="en-GB"/>
        </w:rPr>
        <w:t xml:space="preserve">1.1 </w:t>
      </w:r>
      <w:r w:rsidR="00B11D7B" w:rsidRPr="00CB4CDE">
        <w:rPr>
          <w:rFonts w:ascii="Arial" w:hAnsi="Arial" w:cs="Arial"/>
          <w:b/>
          <w:bCs/>
          <w:lang w:val="en-GB"/>
        </w:rPr>
        <w:t>Calculation of cumulative cash flows</w:t>
      </w:r>
    </w:p>
    <w:tbl>
      <w:tblPr>
        <w:tblStyle w:val="TableGrid"/>
        <w:tblW w:w="0" w:type="auto"/>
        <w:jc w:val="center"/>
        <w:tblLook w:val="04A0" w:firstRow="1" w:lastRow="0" w:firstColumn="1" w:lastColumn="0" w:noHBand="0" w:noVBand="1"/>
      </w:tblPr>
      <w:tblGrid>
        <w:gridCol w:w="902"/>
        <w:gridCol w:w="1350"/>
        <w:gridCol w:w="2804"/>
      </w:tblGrid>
      <w:tr w:rsidR="00AA6CF2" w:rsidRPr="00CB4CDE" w14:paraId="73B8B9EC" w14:textId="77777777" w:rsidTr="004133B3">
        <w:trPr>
          <w:trHeight w:val="300"/>
          <w:jc w:val="center"/>
        </w:trPr>
        <w:tc>
          <w:tcPr>
            <w:tcW w:w="0" w:type="auto"/>
            <w:gridSpan w:val="3"/>
            <w:noWrap/>
            <w:hideMark/>
          </w:tcPr>
          <w:p w14:paraId="64CEFC7A" w14:textId="77777777" w:rsidR="00AA6CF2" w:rsidRPr="00CB4CDE" w:rsidRDefault="00AA6CF2" w:rsidP="004133B3">
            <w:pPr>
              <w:jc w:val="center"/>
              <w:rPr>
                <w:rFonts w:ascii="Arial" w:hAnsi="Arial" w:cs="Arial"/>
                <w:b/>
                <w:bCs/>
              </w:rPr>
            </w:pPr>
            <w:r w:rsidRPr="00CB4CDE">
              <w:rPr>
                <w:rFonts w:ascii="Arial" w:hAnsi="Arial" w:cs="Arial"/>
                <w:b/>
                <w:bCs/>
              </w:rPr>
              <w:t>Project A</w:t>
            </w:r>
          </w:p>
        </w:tc>
      </w:tr>
      <w:tr w:rsidR="00AA6CF2" w:rsidRPr="00CB4CDE" w14:paraId="7B821448" w14:textId="77777777" w:rsidTr="004133B3">
        <w:trPr>
          <w:trHeight w:val="300"/>
          <w:jc w:val="center"/>
        </w:trPr>
        <w:tc>
          <w:tcPr>
            <w:tcW w:w="0" w:type="auto"/>
            <w:noWrap/>
            <w:hideMark/>
          </w:tcPr>
          <w:p w14:paraId="10C18F45" w14:textId="77777777" w:rsidR="00AA6CF2" w:rsidRPr="00CB4CDE" w:rsidRDefault="00AA6CF2" w:rsidP="00AA6CF2">
            <w:pPr>
              <w:rPr>
                <w:rFonts w:ascii="Arial" w:hAnsi="Arial" w:cs="Arial"/>
                <w:b/>
                <w:bCs/>
              </w:rPr>
            </w:pPr>
            <w:r w:rsidRPr="00CB4CDE">
              <w:rPr>
                <w:rFonts w:ascii="Arial" w:hAnsi="Arial" w:cs="Arial"/>
                <w:b/>
                <w:bCs/>
              </w:rPr>
              <w:t xml:space="preserve">Year </w:t>
            </w:r>
          </w:p>
        </w:tc>
        <w:tc>
          <w:tcPr>
            <w:tcW w:w="0" w:type="auto"/>
            <w:noWrap/>
            <w:hideMark/>
          </w:tcPr>
          <w:p w14:paraId="6CA1F958" w14:textId="77777777" w:rsidR="00AA6CF2" w:rsidRPr="00CB4CDE" w:rsidRDefault="00AA6CF2">
            <w:pPr>
              <w:rPr>
                <w:rFonts w:ascii="Arial" w:hAnsi="Arial" w:cs="Arial"/>
                <w:b/>
                <w:bCs/>
              </w:rPr>
            </w:pPr>
            <w:r w:rsidRPr="00CB4CDE">
              <w:rPr>
                <w:rFonts w:ascii="Arial" w:hAnsi="Arial" w:cs="Arial"/>
                <w:b/>
                <w:bCs/>
              </w:rPr>
              <w:t>Cash flow</w:t>
            </w:r>
          </w:p>
        </w:tc>
        <w:tc>
          <w:tcPr>
            <w:tcW w:w="0" w:type="auto"/>
            <w:noWrap/>
            <w:hideMark/>
          </w:tcPr>
          <w:p w14:paraId="1CE7966A" w14:textId="77777777" w:rsidR="00AA6CF2" w:rsidRPr="00CB4CDE" w:rsidRDefault="00AA6CF2">
            <w:pPr>
              <w:rPr>
                <w:rFonts w:ascii="Arial" w:hAnsi="Arial" w:cs="Arial"/>
                <w:b/>
                <w:bCs/>
              </w:rPr>
            </w:pPr>
            <w:r w:rsidRPr="00CB4CDE">
              <w:rPr>
                <w:rFonts w:ascii="Arial" w:hAnsi="Arial" w:cs="Arial"/>
                <w:b/>
                <w:bCs/>
              </w:rPr>
              <w:t>Cumulative cash flows</w:t>
            </w:r>
          </w:p>
        </w:tc>
      </w:tr>
      <w:tr w:rsidR="00AA6CF2" w:rsidRPr="00CB4CDE" w14:paraId="602134B0" w14:textId="77777777" w:rsidTr="004133B3">
        <w:trPr>
          <w:trHeight w:val="300"/>
          <w:jc w:val="center"/>
        </w:trPr>
        <w:tc>
          <w:tcPr>
            <w:tcW w:w="0" w:type="auto"/>
            <w:noWrap/>
            <w:hideMark/>
          </w:tcPr>
          <w:p w14:paraId="4850FBB4" w14:textId="77777777" w:rsidR="00AA6CF2" w:rsidRPr="00CB4CDE" w:rsidRDefault="00AA6CF2">
            <w:pPr>
              <w:rPr>
                <w:rFonts w:ascii="Arial" w:hAnsi="Arial" w:cs="Arial"/>
              </w:rPr>
            </w:pPr>
            <w:r w:rsidRPr="00CB4CDE">
              <w:rPr>
                <w:rFonts w:ascii="Arial" w:hAnsi="Arial" w:cs="Arial"/>
              </w:rPr>
              <w:t>Year 0</w:t>
            </w:r>
          </w:p>
        </w:tc>
        <w:tc>
          <w:tcPr>
            <w:tcW w:w="0" w:type="auto"/>
            <w:noWrap/>
            <w:hideMark/>
          </w:tcPr>
          <w:p w14:paraId="65D4F172" w14:textId="77777777" w:rsidR="00AA6CF2" w:rsidRPr="00CB4CDE" w:rsidRDefault="00AA6CF2" w:rsidP="00AA6CF2">
            <w:pPr>
              <w:rPr>
                <w:rFonts w:ascii="Arial" w:hAnsi="Arial" w:cs="Arial"/>
              </w:rPr>
            </w:pPr>
            <w:r w:rsidRPr="00CB4CDE">
              <w:rPr>
                <w:rFonts w:ascii="Arial" w:hAnsi="Arial" w:cs="Arial"/>
              </w:rPr>
              <w:t>-50</w:t>
            </w:r>
          </w:p>
        </w:tc>
        <w:tc>
          <w:tcPr>
            <w:tcW w:w="0" w:type="auto"/>
            <w:noWrap/>
            <w:hideMark/>
          </w:tcPr>
          <w:p w14:paraId="353F8013" w14:textId="77777777" w:rsidR="00AA6CF2" w:rsidRPr="00CB4CDE" w:rsidRDefault="00AA6CF2" w:rsidP="00AA6CF2">
            <w:pPr>
              <w:rPr>
                <w:rFonts w:ascii="Arial" w:hAnsi="Arial" w:cs="Arial"/>
              </w:rPr>
            </w:pPr>
            <w:r w:rsidRPr="00CB4CDE">
              <w:rPr>
                <w:rFonts w:ascii="Arial" w:hAnsi="Arial" w:cs="Arial"/>
              </w:rPr>
              <w:t>-50</w:t>
            </w:r>
          </w:p>
        </w:tc>
      </w:tr>
      <w:tr w:rsidR="00AA6CF2" w:rsidRPr="00CB4CDE" w14:paraId="29F1ED48" w14:textId="77777777" w:rsidTr="004133B3">
        <w:trPr>
          <w:trHeight w:val="300"/>
          <w:jc w:val="center"/>
        </w:trPr>
        <w:tc>
          <w:tcPr>
            <w:tcW w:w="0" w:type="auto"/>
            <w:noWrap/>
            <w:hideMark/>
          </w:tcPr>
          <w:p w14:paraId="74EF3154" w14:textId="77777777" w:rsidR="00AA6CF2" w:rsidRPr="00CB4CDE" w:rsidRDefault="00AA6CF2" w:rsidP="00AA6CF2">
            <w:pPr>
              <w:rPr>
                <w:rFonts w:ascii="Arial" w:hAnsi="Arial" w:cs="Arial"/>
              </w:rPr>
            </w:pPr>
            <w:r w:rsidRPr="00CB4CDE">
              <w:rPr>
                <w:rFonts w:ascii="Arial" w:hAnsi="Arial" w:cs="Arial"/>
              </w:rPr>
              <w:t>Year 1</w:t>
            </w:r>
          </w:p>
        </w:tc>
        <w:tc>
          <w:tcPr>
            <w:tcW w:w="0" w:type="auto"/>
            <w:noWrap/>
            <w:hideMark/>
          </w:tcPr>
          <w:p w14:paraId="17446B37" w14:textId="77777777" w:rsidR="00AA6CF2" w:rsidRPr="00CB4CDE" w:rsidRDefault="00AA6CF2" w:rsidP="00AA6CF2">
            <w:pPr>
              <w:rPr>
                <w:rFonts w:ascii="Arial" w:hAnsi="Arial" w:cs="Arial"/>
              </w:rPr>
            </w:pPr>
            <w:r w:rsidRPr="00CB4CDE">
              <w:rPr>
                <w:rFonts w:ascii="Arial" w:hAnsi="Arial" w:cs="Arial"/>
              </w:rPr>
              <w:t>10</w:t>
            </w:r>
          </w:p>
        </w:tc>
        <w:tc>
          <w:tcPr>
            <w:tcW w:w="0" w:type="auto"/>
            <w:noWrap/>
            <w:hideMark/>
          </w:tcPr>
          <w:p w14:paraId="36D1CEA9" w14:textId="77777777" w:rsidR="00AA6CF2" w:rsidRPr="00CB4CDE" w:rsidRDefault="00AA6CF2" w:rsidP="00AA6CF2">
            <w:pPr>
              <w:rPr>
                <w:rFonts w:ascii="Arial" w:hAnsi="Arial" w:cs="Arial"/>
              </w:rPr>
            </w:pPr>
            <w:r w:rsidRPr="00CB4CDE">
              <w:rPr>
                <w:rFonts w:ascii="Arial" w:hAnsi="Arial" w:cs="Arial"/>
              </w:rPr>
              <w:t>-40</w:t>
            </w:r>
          </w:p>
        </w:tc>
      </w:tr>
      <w:tr w:rsidR="00AA6CF2" w:rsidRPr="00CB4CDE" w14:paraId="4D9F9791" w14:textId="77777777" w:rsidTr="004133B3">
        <w:trPr>
          <w:trHeight w:val="300"/>
          <w:jc w:val="center"/>
        </w:trPr>
        <w:tc>
          <w:tcPr>
            <w:tcW w:w="0" w:type="auto"/>
            <w:noWrap/>
            <w:hideMark/>
          </w:tcPr>
          <w:p w14:paraId="4128AC5D" w14:textId="77777777" w:rsidR="00AA6CF2" w:rsidRPr="00CB4CDE" w:rsidRDefault="00AA6CF2" w:rsidP="00AA6CF2">
            <w:pPr>
              <w:rPr>
                <w:rFonts w:ascii="Arial" w:hAnsi="Arial" w:cs="Arial"/>
              </w:rPr>
            </w:pPr>
            <w:r w:rsidRPr="00CB4CDE">
              <w:rPr>
                <w:rFonts w:ascii="Arial" w:hAnsi="Arial" w:cs="Arial"/>
              </w:rPr>
              <w:t>Year 2</w:t>
            </w:r>
          </w:p>
        </w:tc>
        <w:tc>
          <w:tcPr>
            <w:tcW w:w="0" w:type="auto"/>
            <w:noWrap/>
            <w:hideMark/>
          </w:tcPr>
          <w:p w14:paraId="50693105" w14:textId="77777777" w:rsidR="00AA6CF2" w:rsidRPr="00CB4CDE" w:rsidRDefault="00AA6CF2" w:rsidP="00AA6CF2">
            <w:pPr>
              <w:rPr>
                <w:rFonts w:ascii="Arial" w:hAnsi="Arial" w:cs="Arial"/>
              </w:rPr>
            </w:pPr>
            <w:r w:rsidRPr="00CB4CDE">
              <w:rPr>
                <w:rFonts w:ascii="Arial" w:hAnsi="Arial" w:cs="Arial"/>
              </w:rPr>
              <w:t>12</w:t>
            </w:r>
          </w:p>
        </w:tc>
        <w:tc>
          <w:tcPr>
            <w:tcW w:w="0" w:type="auto"/>
            <w:noWrap/>
            <w:hideMark/>
          </w:tcPr>
          <w:p w14:paraId="6E8A605C" w14:textId="77777777" w:rsidR="00AA6CF2" w:rsidRPr="00CB4CDE" w:rsidRDefault="00AA6CF2" w:rsidP="00AA6CF2">
            <w:pPr>
              <w:rPr>
                <w:rFonts w:ascii="Arial" w:hAnsi="Arial" w:cs="Arial"/>
              </w:rPr>
            </w:pPr>
            <w:r w:rsidRPr="00CB4CDE">
              <w:rPr>
                <w:rFonts w:ascii="Arial" w:hAnsi="Arial" w:cs="Arial"/>
              </w:rPr>
              <w:t>-28</w:t>
            </w:r>
          </w:p>
        </w:tc>
      </w:tr>
      <w:tr w:rsidR="00AA6CF2" w:rsidRPr="00CB4CDE" w14:paraId="0A20CA8C" w14:textId="77777777" w:rsidTr="004133B3">
        <w:trPr>
          <w:trHeight w:val="300"/>
          <w:jc w:val="center"/>
        </w:trPr>
        <w:tc>
          <w:tcPr>
            <w:tcW w:w="0" w:type="auto"/>
            <w:noWrap/>
            <w:hideMark/>
          </w:tcPr>
          <w:p w14:paraId="7E86701C" w14:textId="77777777" w:rsidR="00AA6CF2" w:rsidRPr="00CB4CDE" w:rsidRDefault="00AA6CF2" w:rsidP="00AA6CF2">
            <w:pPr>
              <w:rPr>
                <w:rFonts w:ascii="Arial" w:hAnsi="Arial" w:cs="Arial"/>
              </w:rPr>
            </w:pPr>
            <w:r w:rsidRPr="00CB4CDE">
              <w:rPr>
                <w:rFonts w:ascii="Arial" w:hAnsi="Arial" w:cs="Arial"/>
              </w:rPr>
              <w:t>Year 3</w:t>
            </w:r>
          </w:p>
        </w:tc>
        <w:tc>
          <w:tcPr>
            <w:tcW w:w="0" w:type="auto"/>
            <w:noWrap/>
            <w:hideMark/>
          </w:tcPr>
          <w:p w14:paraId="0687EB98" w14:textId="77777777" w:rsidR="00AA6CF2" w:rsidRPr="00CB4CDE" w:rsidRDefault="00AA6CF2" w:rsidP="00AA6CF2">
            <w:pPr>
              <w:rPr>
                <w:rFonts w:ascii="Arial" w:hAnsi="Arial" w:cs="Arial"/>
              </w:rPr>
            </w:pPr>
            <w:r w:rsidRPr="00CB4CDE">
              <w:rPr>
                <w:rFonts w:ascii="Arial" w:hAnsi="Arial" w:cs="Arial"/>
              </w:rPr>
              <w:t>14</w:t>
            </w:r>
          </w:p>
        </w:tc>
        <w:tc>
          <w:tcPr>
            <w:tcW w:w="0" w:type="auto"/>
            <w:noWrap/>
            <w:hideMark/>
          </w:tcPr>
          <w:p w14:paraId="2765DECB" w14:textId="77777777" w:rsidR="00AA6CF2" w:rsidRPr="00CB4CDE" w:rsidRDefault="00AA6CF2" w:rsidP="00AA6CF2">
            <w:pPr>
              <w:rPr>
                <w:rFonts w:ascii="Arial" w:hAnsi="Arial" w:cs="Arial"/>
              </w:rPr>
            </w:pPr>
            <w:r w:rsidRPr="00CB4CDE">
              <w:rPr>
                <w:rFonts w:ascii="Arial" w:hAnsi="Arial" w:cs="Arial"/>
              </w:rPr>
              <w:t>-14</w:t>
            </w:r>
          </w:p>
        </w:tc>
      </w:tr>
      <w:tr w:rsidR="00AA6CF2" w:rsidRPr="00CB4CDE" w14:paraId="06AAFC6F" w14:textId="77777777" w:rsidTr="004133B3">
        <w:trPr>
          <w:trHeight w:val="300"/>
          <w:jc w:val="center"/>
        </w:trPr>
        <w:tc>
          <w:tcPr>
            <w:tcW w:w="0" w:type="auto"/>
            <w:noWrap/>
            <w:hideMark/>
          </w:tcPr>
          <w:p w14:paraId="27070433" w14:textId="77777777" w:rsidR="00AA6CF2" w:rsidRPr="00CB4CDE" w:rsidRDefault="00AA6CF2" w:rsidP="00AA6CF2">
            <w:pPr>
              <w:rPr>
                <w:rFonts w:ascii="Arial" w:hAnsi="Arial" w:cs="Arial"/>
              </w:rPr>
            </w:pPr>
            <w:r w:rsidRPr="00CB4CDE">
              <w:rPr>
                <w:rFonts w:ascii="Arial" w:hAnsi="Arial" w:cs="Arial"/>
              </w:rPr>
              <w:t>Year 4</w:t>
            </w:r>
          </w:p>
        </w:tc>
        <w:tc>
          <w:tcPr>
            <w:tcW w:w="0" w:type="auto"/>
            <w:noWrap/>
            <w:hideMark/>
          </w:tcPr>
          <w:p w14:paraId="5338D9DD" w14:textId="77777777" w:rsidR="00AA6CF2" w:rsidRPr="00CB4CDE" w:rsidRDefault="00AA6CF2" w:rsidP="00AA6CF2">
            <w:pPr>
              <w:rPr>
                <w:rFonts w:ascii="Arial" w:hAnsi="Arial" w:cs="Arial"/>
              </w:rPr>
            </w:pPr>
            <w:r w:rsidRPr="00CB4CDE">
              <w:rPr>
                <w:rFonts w:ascii="Arial" w:hAnsi="Arial" w:cs="Arial"/>
              </w:rPr>
              <w:t>10</w:t>
            </w:r>
          </w:p>
        </w:tc>
        <w:tc>
          <w:tcPr>
            <w:tcW w:w="0" w:type="auto"/>
            <w:noWrap/>
            <w:hideMark/>
          </w:tcPr>
          <w:p w14:paraId="470ADC1C" w14:textId="77777777" w:rsidR="00AA6CF2" w:rsidRPr="00CB4CDE" w:rsidRDefault="00AA6CF2" w:rsidP="00AA6CF2">
            <w:pPr>
              <w:rPr>
                <w:rFonts w:ascii="Arial" w:hAnsi="Arial" w:cs="Arial"/>
              </w:rPr>
            </w:pPr>
            <w:r w:rsidRPr="00CB4CDE">
              <w:rPr>
                <w:rFonts w:ascii="Arial" w:hAnsi="Arial" w:cs="Arial"/>
              </w:rPr>
              <w:t>-4</w:t>
            </w:r>
          </w:p>
        </w:tc>
      </w:tr>
      <w:tr w:rsidR="00AA6CF2" w:rsidRPr="00CB4CDE" w14:paraId="2CA3A0EB" w14:textId="77777777" w:rsidTr="004133B3">
        <w:trPr>
          <w:trHeight w:val="300"/>
          <w:jc w:val="center"/>
        </w:trPr>
        <w:tc>
          <w:tcPr>
            <w:tcW w:w="0" w:type="auto"/>
            <w:noWrap/>
            <w:hideMark/>
          </w:tcPr>
          <w:p w14:paraId="68A2F521" w14:textId="77777777" w:rsidR="00AA6CF2" w:rsidRPr="00CB4CDE" w:rsidRDefault="00AA6CF2" w:rsidP="00AA6CF2">
            <w:pPr>
              <w:rPr>
                <w:rFonts w:ascii="Arial" w:hAnsi="Arial" w:cs="Arial"/>
              </w:rPr>
            </w:pPr>
            <w:r w:rsidRPr="00CB4CDE">
              <w:rPr>
                <w:rFonts w:ascii="Arial" w:hAnsi="Arial" w:cs="Arial"/>
              </w:rPr>
              <w:t>Year 5</w:t>
            </w:r>
          </w:p>
        </w:tc>
        <w:tc>
          <w:tcPr>
            <w:tcW w:w="0" w:type="auto"/>
            <w:noWrap/>
            <w:hideMark/>
          </w:tcPr>
          <w:p w14:paraId="4EA2E5C7" w14:textId="77777777" w:rsidR="00AA6CF2" w:rsidRPr="00CB4CDE" w:rsidRDefault="00AA6CF2" w:rsidP="00AA6CF2">
            <w:pPr>
              <w:rPr>
                <w:rFonts w:ascii="Arial" w:hAnsi="Arial" w:cs="Arial"/>
              </w:rPr>
            </w:pPr>
            <w:r w:rsidRPr="00CB4CDE">
              <w:rPr>
                <w:rFonts w:ascii="Arial" w:hAnsi="Arial" w:cs="Arial"/>
              </w:rPr>
              <w:t>8</w:t>
            </w:r>
          </w:p>
        </w:tc>
        <w:tc>
          <w:tcPr>
            <w:tcW w:w="0" w:type="auto"/>
            <w:noWrap/>
            <w:hideMark/>
          </w:tcPr>
          <w:p w14:paraId="5A55E79F" w14:textId="77777777" w:rsidR="00AA6CF2" w:rsidRPr="00CB4CDE" w:rsidRDefault="00AA6CF2" w:rsidP="00AA6CF2">
            <w:pPr>
              <w:rPr>
                <w:rFonts w:ascii="Arial" w:hAnsi="Arial" w:cs="Arial"/>
              </w:rPr>
            </w:pPr>
            <w:r w:rsidRPr="00CB4CDE">
              <w:rPr>
                <w:rFonts w:ascii="Arial" w:hAnsi="Arial" w:cs="Arial"/>
              </w:rPr>
              <w:t>4</w:t>
            </w:r>
          </w:p>
        </w:tc>
      </w:tr>
    </w:tbl>
    <w:p w14:paraId="27004742" w14:textId="77777777" w:rsidR="00AA6CF2" w:rsidRPr="00CB4CDE" w:rsidRDefault="00AA6CF2" w:rsidP="00044024">
      <w:pPr>
        <w:rPr>
          <w:rFonts w:ascii="Arial" w:hAnsi="Arial" w:cs="Arial"/>
        </w:rPr>
      </w:pPr>
    </w:p>
    <w:tbl>
      <w:tblPr>
        <w:tblStyle w:val="TableGrid"/>
        <w:tblW w:w="0" w:type="auto"/>
        <w:jc w:val="center"/>
        <w:tblLook w:val="04A0" w:firstRow="1" w:lastRow="0" w:firstColumn="1" w:lastColumn="0" w:noHBand="0" w:noVBand="1"/>
      </w:tblPr>
      <w:tblGrid>
        <w:gridCol w:w="902"/>
        <w:gridCol w:w="1350"/>
        <w:gridCol w:w="2804"/>
      </w:tblGrid>
      <w:tr w:rsidR="00AA6CF2" w:rsidRPr="00CB4CDE" w14:paraId="32D396EC" w14:textId="77777777" w:rsidTr="004133B3">
        <w:trPr>
          <w:trHeight w:val="300"/>
          <w:jc w:val="center"/>
        </w:trPr>
        <w:tc>
          <w:tcPr>
            <w:tcW w:w="0" w:type="auto"/>
            <w:gridSpan w:val="3"/>
            <w:noWrap/>
            <w:hideMark/>
          </w:tcPr>
          <w:p w14:paraId="72333DB7" w14:textId="77777777" w:rsidR="00AA6CF2" w:rsidRPr="00CB4CDE" w:rsidRDefault="00AA6CF2" w:rsidP="004133B3">
            <w:pPr>
              <w:jc w:val="center"/>
              <w:rPr>
                <w:rFonts w:ascii="Arial" w:hAnsi="Arial" w:cs="Arial"/>
                <w:b/>
                <w:bCs/>
              </w:rPr>
            </w:pPr>
            <w:r w:rsidRPr="00CB4CDE">
              <w:rPr>
                <w:rFonts w:ascii="Arial" w:hAnsi="Arial" w:cs="Arial"/>
                <w:b/>
                <w:bCs/>
              </w:rPr>
              <w:t>Project B</w:t>
            </w:r>
          </w:p>
        </w:tc>
      </w:tr>
      <w:tr w:rsidR="00AA6CF2" w:rsidRPr="00CB4CDE" w14:paraId="64AEF542" w14:textId="77777777" w:rsidTr="004133B3">
        <w:trPr>
          <w:trHeight w:val="300"/>
          <w:jc w:val="center"/>
        </w:trPr>
        <w:tc>
          <w:tcPr>
            <w:tcW w:w="0" w:type="auto"/>
            <w:noWrap/>
            <w:hideMark/>
          </w:tcPr>
          <w:p w14:paraId="7A519A25" w14:textId="77777777" w:rsidR="00AA6CF2" w:rsidRPr="00CB4CDE" w:rsidRDefault="00AA6CF2" w:rsidP="00AA6CF2">
            <w:pPr>
              <w:rPr>
                <w:rFonts w:ascii="Arial" w:hAnsi="Arial" w:cs="Arial"/>
                <w:b/>
                <w:bCs/>
              </w:rPr>
            </w:pPr>
            <w:r w:rsidRPr="00CB4CDE">
              <w:rPr>
                <w:rFonts w:ascii="Arial" w:hAnsi="Arial" w:cs="Arial"/>
                <w:b/>
                <w:bCs/>
              </w:rPr>
              <w:t xml:space="preserve">Year </w:t>
            </w:r>
          </w:p>
        </w:tc>
        <w:tc>
          <w:tcPr>
            <w:tcW w:w="0" w:type="auto"/>
            <w:noWrap/>
            <w:hideMark/>
          </w:tcPr>
          <w:p w14:paraId="27938969" w14:textId="77777777" w:rsidR="00AA6CF2" w:rsidRPr="00CB4CDE" w:rsidRDefault="00AA6CF2">
            <w:pPr>
              <w:rPr>
                <w:rFonts w:ascii="Arial" w:hAnsi="Arial" w:cs="Arial"/>
                <w:b/>
                <w:bCs/>
              </w:rPr>
            </w:pPr>
            <w:r w:rsidRPr="00CB4CDE">
              <w:rPr>
                <w:rFonts w:ascii="Arial" w:hAnsi="Arial" w:cs="Arial"/>
                <w:b/>
                <w:bCs/>
              </w:rPr>
              <w:t>Cash flow</w:t>
            </w:r>
          </w:p>
        </w:tc>
        <w:tc>
          <w:tcPr>
            <w:tcW w:w="0" w:type="auto"/>
            <w:noWrap/>
            <w:hideMark/>
          </w:tcPr>
          <w:p w14:paraId="620B404F" w14:textId="77777777" w:rsidR="00AA6CF2" w:rsidRPr="00CB4CDE" w:rsidRDefault="00AA6CF2">
            <w:pPr>
              <w:rPr>
                <w:rFonts w:ascii="Arial" w:hAnsi="Arial" w:cs="Arial"/>
                <w:b/>
                <w:bCs/>
              </w:rPr>
            </w:pPr>
            <w:r w:rsidRPr="00CB4CDE">
              <w:rPr>
                <w:rFonts w:ascii="Arial" w:hAnsi="Arial" w:cs="Arial"/>
                <w:b/>
                <w:bCs/>
              </w:rPr>
              <w:t>Cumulative cash flows</w:t>
            </w:r>
          </w:p>
        </w:tc>
      </w:tr>
      <w:tr w:rsidR="00AA6CF2" w:rsidRPr="00CB4CDE" w14:paraId="1DC3359C" w14:textId="77777777" w:rsidTr="004133B3">
        <w:trPr>
          <w:trHeight w:val="300"/>
          <w:jc w:val="center"/>
        </w:trPr>
        <w:tc>
          <w:tcPr>
            <w:tcW w:w="0" w:type="auto"/>
            <w:noWrap/>
            <w:hideMark/>
          </w:tcPr>
          <w:p w14:paraId="2703C7A9" w14:textId="77777777" w:rsidR="00AA6CF2" w:rsidRPr="00CB4CDE" w:rsidRDefault="00AA6CF2">
            <w:pPr>
              <w:rPr>
                <w:rFonts w:ascii="Arial" w:hAnsi="Arial" w:cs="Arial"/>
              </w:rPr>
            </w:pPr>
            <w:r w:rsidRPr="00CB4CDE">
              <w:rPr>
                <w:rFonts w:ascii="Arial" w:hAnsi="Arial" w:cs="Arial"/>
              </w:rPr>
              <w:t>Year 0</w:t>
            </w:r>
          </w:p>
        </w:tc>
        <w:tc>
          <w:tcPr>
            <w:tcW w:w="0" w:type="auto"/>
            <w:noWrap/>
            <w:hideMark/>
          </w:tcPr>
          <w:p w14:paraId="570F5A56" w14:textId="77777777" w:rsidR="00AA6CF2" w:rsidRPr="00CB4CDE" w:rsidRDefault="00AA6CF2" w:rsidP="00AA6CF2">
            <w:pPr>
              <w:rPr>
                <w:rFonts w:ascii="Arial" w:hAnsi="Arial" w:cs="Arial"/>
              </w:rPr>
            </w:pPr>
            <w:r w:rsidRPr="00CB4CDE">
              <w:rPr>
                <w:rFonts w:ascii="Arial" w:hAnsi="Arial" w:cs="Arial"/>
              </w:rPr>
              <w:t>-50</w:t>
            </w:r>
          </w:p>
        </w:tc>
        <w:tc>
          <w:tcPr>
            <w:tcW w:w="0" w:type="auto"/>
            <w:noWrap/>
            <w:hideMark/>
          </w:tcPr>
          <w:p w14:paraId="03097B13" w14:textId="77777777" w:rsidR="00AA6CF2" w:rsidRPr="00CB4CDE" w:rsidRDefault="00AA6CF2" w:rsidP="00AA6CF2">
            <w:pPr>
              <w:rPr>
                <w:rFonts w:ascii="Arial" w:hAnsi="Arial" w:cs="Arial"/>
              </w:rPr>
            </w:pPr>
            <w:r w:rsidRPr="00CB4CDE">
              <w:rPr>
                <w:rFonts w:ascii="Arial" w:hAnsi="Arial" w:cs="Arial"/>
              </w:rPr>
              <w:t>-50</w:t>
            </w:r>
          </w:p>
        </w:tc>
      </w:tr>
      <w:tr w:rsidR="00AA6CF2" w:rsidRPr="00CB4CDE" w14:paraId="6E4C04E8" w14:textId="77777777" w:rsidTr="004133B3">
        <w:trPr>
          <w:trHeight w:val="300"/>
          <w:jc w:val="center"/>
        </w:trPr>
        <w:tc>
          <w:tcPr>
            <w:tcW w:w="0" w:type="auto"/>
            <w:noWrap/>
            <w:hideMark/>
          </w:tcPr>
          <w:p w14:paraId="64EC73DE" w14:textId="77777777" w:rsidR="00AA6CF2" w:rsidRPr="00CB4CDE" w:rsidRDefault="00AA6CF2" w:rsidP="00AA6CF2">
            <w:pPr>
              <w:rPr>
                <w:rFonts w:ascii="Arial" w:hAnsi="Arial" w:cs="Arial"/>
              </w:rPr>
            </w:pPr>
            <w:r w:rsidRPr="00CB4CDE">
              <w:rPr>
                <w:rFonts w:ascii="Arial" w:hAnsi="Arial" w:cs="Arial"/>
              </w:rPr>
              <w:t>Year 1</w:t>
            </w:r>
          </w:p>
        </w:tc>
        <w:tc>
          <w:tcPr>
            <w:tcW w:w="0" w:type="auto"/>
            <w:noWrap/>
            <w:hideMark/>
          </w:tcPr>
          <w:p w14:paraId="5E260674" w14:textId="77777777" w:rsidR="00AA6CF2" w:rsidRPr="00CB4CDE" w:rsidRDefault="00AA6CF2" w:rsidP="00AA6CF2">
            <w:pPr>
              <w:rPr>
                <w:rFonts w:ascii="Arial" w:hAnsi="Arial" w:cs="Arial"/>
              </w:rPr>
            </w:pPr>
            <w:r w:rsidRPr="00CB4CDE">
              <w:rPr>
                <w:rFonts w:ascii="Arial" w:hAnsi="Arial" w:cs="Arial"/>
              </w:rPr>
              <w:t>11</w:t>
            </w:r>
          </w:p>
        </w:tc>
        <w:tc>
          <w:tcPr>
            <w:tcW w:w="0" w:type="auto"/>
            <w:noWrap/>
            <w:hideMark/>
          </w:tcPr>
          <w:p w14:paraId="73D2852D" w14:textId="77777777" w:rsidR="00AA6CF2" w:rsidRPr="00CB4CDE" w:rsidRDefault="00AA6CF2" w:rsidP="00AA6CF2">
            <w:pPr>
              <w:rPr>
                <w:rFonts w:ascii="Arial" w:hAnsi="Arial" w:cs="Arial"/>
              </w:rPr>
            </w:pPr>
            <w:r w:rsidRPr="00CB4CDE">
              <w:rPr>
                <w:rFonts w:ascii="Arial" w:hAnsi="Arial" w:cs="Arial"/>
              </w:rPr>
              <w:t>-39</w:t>
            </w:r>
          </w:p>
        </w:tc>
      </w:tr>
      <w:tr w:rsidR="00AA6CF2" w:rsidRPr="00CB4CDE" w14:paraId="7B2CDF60" w14:textId="77777777" w:rsidTr="004133B3">
        <w:trPr>
          <w:trHeight w:val="300"/>
          <w:jc w:val="center"/>
        </w:trPr>
        <w:tc>
          <w:tcPr>
            <w:tcW w:w="0" w:type="auto"/>
            <w:noWrap/>
            <w:hideMark/>
          </w:tcPr>
          <w:p w14:paraId="75653855" w14:textId="77777777" w:rsidR="00AA6CF2" w:rsidRPr="00CB4CDE" w:rsidRDefault="00AA6CF2" w:rsidP="00AA6CF2">
            <w:pPr>
              <w:rPr>
                <w:rFonts w:ascii="Arial" w:hAnsi="Arial" w:cs="Arial"/>
              </w:rPr>
            </w:pPr>
            <w:r w:rsidRPr="00CB4CDE">
              <w:rPr>
                <w:rFonts w:ascii="Arial" w:hAnsi="Arial" w:cs="Arial"/>
              </w:rPr>
              <w:t>Year 2</w:t>
            </w:r>
          </w:p>
        </w:tc>
        <w:tc>
          <w:tcPr>
            <w:tcW w:w="0" w:type="auto"/>
            <w:noWrap/>
            <w:hideMark/>
          </w:tcPr>
          <w:p w14:paraId="472EFF0D" w14:textId="77777777" w:rsidR="00AA6CF2" w:rsidRPr="00CB4CDE" w:rsidRDefault="00AA6CF2" w:rsidP="00AA6CF2">
            <w:pPr>
              <w:rPr>
                <w:rFonts w:ascii="Arial" w:hAnsi="Arial" w:cs="Arial"/>
              </w:rPr>
            </w:pPr>
            <w:r w:rsidRPr="00CB4CDE">
              <w:rPr>
                <w:rFonts w:ascii="Arial" w:hAnsi="Arial" w:cs="Arial"/>
              </w:rPr>
              <w:t>11</w:t>
            </w:r>
          </w:p>
        </w:tc>
        <w:tc>
          <w:tcPr>
            <w:tcW w:w="0" w:type="auto"/>
            <w:noWrap/>
            <w:hideMark/>
          </w:tcPr>
          <w:p w14:paraId="70FB7E65" w14:textId="77777777" w:rsidR="00AA6CF2" w:rsidRPr="00CB4CDE" w:rsidRDefault="00AA6CF2" w:rsidP="00AA6CF2">
            <w:pPr>
              <w:rPr>
                <w:rFonts w:ascii="Arial" w:hAnsi="Arial" w:cs="Arial"/>
              </w:rPr>
            </w:pPr>
            <w:r w:rsidRPr="00CB4CDE">
              <w:rPr>
                <w:rFonts w:ascii="Arial" w:hAnsi="Arial" w:cs="Arial"/>
              </w:rPr>
              <w:t>-28</w:t>
            </w:r>
          </w:p>
        </w:tc>
      </w:tr>
      <w:tr w:rsidR="00AA6CF2" w:rsidRPr="00CB4CDE" w14:paraId="6D4E26AE" w14:textId="77777777" w:rsidTr="004133B3">
        <w:trPr>
          <w:trHeight w:val="300"/>
          <w:jc w:val="center"/>
        </w:trPr>
        <w:tc>
          <w:tcPr>
            <w:tcW w:w="0" w:type="auto"/>
            <w:noWrap/>
            <w:hideMark/>
          </w:tcPr>
          <w:p w14:paraId="03825B4B" w14:textId="77777777" w:rsidR="00AA6CF2" w:rsidRPr="00CB4CDE" w:rsidRDefault="00AA6CF2" w:rsidP="00AA6CF2">
            <w:pPr>
              <w:rPr>
                <w:rFonts w:ascii="Arial" w:hAnsi="Arial" w:cs="Arial"/>
              </w:rPr>
            </w:pPr>
            <w:r w:rsidRPr="00CB4CDE">
              <w:rPr>
                <w:rFonts w:ascii="Arial" w:hAnsi="Arial" w:cs="Arial"/>
              </w:rPr>
              <w:t>Year 3</w:t>
            </w:r>
          </w:p>
        </w:tc>
        <w:tc>
          <w:tcPr>
            <w:tcW w:w="0" w:type="auto"/>
            <w:noWrap/>
            <w:hideMark/>
          </w:tcPr>
          <w:p w14:paraId="3AF4F1A3" w14:textId="77777777" w:rsidR="00AA6CF2" w:rsidRPr="00CB4CDE" w:rsidRDefault="00AA6CF2" w:rsidP="00AA6CF2">
            <w:pPr>
              <w:rPr>
                <w:rFonts w:ascii="Arial" w:hAnsi="Arial" w:cs="Arial"/>
              </w:rPr>
            </w:pPr>
            <w:r w:rsidRPr="00CB4CDE">
              <w:rPr>
                <w:rFonts w:ascii="Arial" w:hAnsi="Arial" w:cs="Arial"/>
              </w:rPr>
              <w:t>11</w:t>
            </w:r>
          </w:p>
        </w:tc>
        <w:tc>
          <w:tcPr>
            <w:tcW w:w="0" w:type="auto"/>
            <w:noWrap/>
            <w:hideMark/>
          </w:tcPr>
          <w:p w14:paraId="61E6C631" w14:textId="77777777" w:rsidR="00AA6CF2" w:rsidRPr="00CB4CDE" w:rsidRDefault="00AA6CF2" w:rsidP="00AA6CF2">
            <w:pPr>
              <w:rPr>
                <w:rFonts w:ascii="Arial" w:hAnsi="Arial" w:cs="Arial"/>
              </w:rPr>
            </w:pPr>
            <w:r w:rsidRPr="00CB4CDE">
              <w:rPr>
                <w:rFonts w:ascii="Arial" w:hAnsi="Arial" w:cs="Arial"/>
              </w:rPr>
              <w:t>-17</w:t>
            </w:r>
          </w:p>
        </w:tc>
      </w:tr>
      <w:tr w:rsidR="00AA6CF2" w:rsidRPr="00CB4CDE" w14:paraId="61663446" w14:textId="77777777" w:rsidTr="004133B3">
        <w:trPr>
          <w:trHeight w:val="300"/>
          <w:jc w:val="center"/>
        </w:trPr>
        <w:tc>
          <w:tcPr>
            <w:tcW w:w="0" w:type="auto"/>
            <w:noWrap/>
            <w:hideMark/>
          </w:tcPr>
          <w:p w14:paraId="6A2EDC17" w14:textId="77777777" w:rsidR="00AA6CF2" w:rsidRPr="00CB4CDE" w:rsidRDefault="00AA6CF2" w:rsidP="00AA6CF2">
            <w:pPr>
              <w:rPr>
                <w:rFonts w:ascii="Arial" w:hAnsi="Arial" w:cs="Arial"/>
              </w:rPr>
            </w:pPr>
            <w:r w:rsidRPr="00CB4CDE">
              <w:rPr>
                <w:rFonts w:ascii="Arial" w:hAnsi="Arial" w:cs="Arial"/>
              </w:rPr>
              <w:t>Year 4</w:t>
            </w:r>
          </w:p>
        </w:tc>
        <w:tc>
          <w:tcPr>
            <w:tcW w:w="0" w:type="auto"/>
            <w:noWrap/>
            <w:hideMark/>
          </w:tcPr>
          <w:p w14:paraId="22BE5A5D" w14:textId="77777777" w:rsidR="00AA6CF2" w:rsidRPr="00CB4CDE" w:rsidRDefault="00AA6CF2" w:rsidP="00AA6CF2">
            <w:pPr>
              <w:rPr>
                <w:rFonts w:ascii="Arial" w:hAnsi="Arial" w:cs="Arial"/>
              </w:rPr>
            </w:pPr>
            <w:r w:rsidRPr="00CB4CDE">
              <w:rPr>
                <w:rFonts w:ascii="Arial" w:hAnsi="Arial" w:cs="Arial"/>
              </w:rPr>
              <w:t>11</w:t>
            </w:r>
          </w:p>
        </w:tc>
        <w:tc>
          <w:tcPr>
            <w:tcW w:w="0" w:type="auto"/>
            <w:noWrap/>
            <w:hideMark/>
          </w:tcPr>
          <w:p w14:paraId="7B9D6CDC" w14:textId="77777777" w:rsidR="00AA6CF2" w:rsidRPr="00CB4CDE" w:rsidRDefault="00AA6CF2" w:rsidP="00AA6CF2">
            <w:pPr>
              <w:rPr>
                <w:rFonts w:ascii="Arial" w:hAnsi="Arial" w:cs="Arial"/>
              </w:rPr>
            </w:pPr>
            <w:r w:rsidRPr="00CB4CDE">
              <w:rPr>
                <w:rFonts w:ascii="Arial" w:hAnsi="Arial" w:cs="Arial"/>
              </w:rPr>
              <w:t>-6</w:t>
            </w:r>
          </w:p>
        </w:tc>
      </w:tr>
      <w:tr w:rsidR="00AA6CF2" w:rsidRPr="00CB4CDE" w14:paraId="684BBBC3" w14:textId="77777777" w:rsidTr="004133B3">
        <w:trPr>
          <w:trHeight w:val="300"/>
          <w:jc w:val="center"/>
        </w:trPr>
        <w:tc>
          <w:tcPr>
            <w:tcW w:w="0" w:type="auto"/>
            <w:noWrap/>
            <w:hideMark/>
          </w:tcPr>
          <w:p w14:paraId="28F0411D" w14:textId="77777777" w:rsidR="00AA6CF2" w:rsidRPr="00CB4CDE" w:rsidRDefault="00AA6CF2" w:rsidP="00AA6CF2">
            <w:pPr>
              <w:rPr>
                <w:rFonts w:ascii="Arial" w:hAnsi="Arial" w:cs="Arial"/>
              </w:rPr>
            </w:pPr>
            <w:r w:rsidRPr="00CB4CDE">
              <w:rPr>
                <w:rFonts w:ascii="Arial" w:hAnsi="Arial" w:cs="Arial"/>
              </w:rPr>
              <w:t>Year 5</w:t>
            </w:r>
          </w:p>
        </w:tc>
        <w:tc>
          <w:tcPr>
            <w:tcW w:w="0" w:type="auto"/>
            <w:noWrap/>
            <w:hideMark/>
          </w:tcPr>
          <w:p w14:paraId="23FECDA7" w14:textId="77777777" w:rsidR="00AA6CF2" w:rsidRPr="00CB4CDE" w:rsidRDefault="00AA6CF2" w:rsidP="00AA6CF2">
            <w:pPr>
              <w:rPr>
                <w:rFonts w:ascii="Arial" w:hAnsi="Arial" w:cs="Arial"/>
              </w:rPr>
            </w:pPr>
            <w:r w:rsidRPr="00CB4CDE">
              <w:rPr>
                <w:rFonts w:ascii="Arial" w:hAnsi="Arial" w:cs="Arial"/>
              </w:rPr>
              <w:t>11</w:t>
            </w:r>
          </w:p>
        </w:tc>
        <w:tc>
          <w:tcPr>
            <w:tcW w:w="0" w:type="auto"/>
            <w:noWrap/>
            <w:hideMark/>
          </w:tcPr>
          <w:p w14:paraId="01244A87" w14:textId="77777777" w:rsidR="00AA6CF2" w:rsidRPr="00CB4CDE" w:rsidRDefault="00AA6CF2" w:rsidP="00AA6CF2">
            <w:pPr>
              <w:rPr>
                <w:rFonts w:ascii="Arial" w:hAnsi="Arial" w:cs="Arial"/>
              </w:rPr>
            </w:pPr>
            <w:r w:rsidRPr="00CB4CDE">
              <w:rPr>
                <w:rFonts w:ascii="Arial" w:hAnsi="Arial" w:cs="Arial"/>
              </w:rPr>
              <w:t>5</w:t>
            </w:r>
          </w:p>
        </w:tc>
      </w:tr>
    </w:tbl>
    <w:p w14:paraId="4080B2D5" w14:textId="77777777" w:rsidR="00AA6CF2" w:rsidRPr="00CB4CDE" w:rsidRDefault="00AA6CF2" w:rsidP="00044024">
      <w:pPr>
        <w:rPr>
          <w:rFonts w:ascii="Arial" w:hAnsi="Arial" w:cs="Arial"/>
        </w:rPr>
      </w:pPr>
    </w:p>
    <w:tbl>
      <w:tblPr>
        <w:tblStyle w:val="TableGrid"/>
        <w:tblW w:w="0" w:type="auto"/>
        <w:jc w:val="center"/>
        <w:tblLook w:val="04A0" w:firstRow="1" w:lastRow="0" w:firstColumn="1" w:lastColumn="0" w:noHBand="0" w:noVBand="1"/>
      </w:tblPr>
      <w:tblGrid>
        <w:gridCol w:w="902"/>
        <w:gridCol w:w="1350"/>
        <w:gridCol w:w="2804"/>
      </w:tblGrid>
      <w:tr w:rsidR="00AA6CF2" w:rsidRPr="00CB4CDE" w14:paraId="37F92895" w14:textId="77777777" w:rsidTr="004133B3">
        <w:trPr>
          <w:trHeight w:val="300"/>
          <w:jc w:val="center"/>
        </w:trPr>
        <w:tc>
          <w:tcPr>
            <w:tcW w:w="0" w:type="auto"/>
            <w:gridSpan w:val="3"/>
            <w:noWrap/>
            <w:hideMark/>
          </w:tcPr>
          <w:p w14:paraId="6AF4449D" w14:textId="77777777" w:rsidR="00AA6CF2" w:rsidRPr="00CB4CDE" w:rsidRDefault="00AA6CF2" w:rsidP="004133B3">
            <w:pPr>
              <w:jc w:val="center"/>
              <w:rPr>
                <w:rFonts w:ascii="Arial" w:hAnsi="Arial" w:cs="Arial"/>
                <w:b/>
                <w:bCs/>
              </w:rPr>
            </w:pPr>
            <w:r w:rsidRPr="00CB4CDE">
              <w:rPr>
                <w:rFonts w:ascii="Arial" w:hAnsi="Arial" w:cs="Arial"/>
                <w:b/>
                <w:bCs/>
              </w:rPr>
              <w:t>Project C</w:t>
            </w:r>
          </w:p>
        </w:tc>
      </w:tr>
      <w:tr w:rsidR="00AA6CF2" w:rsidRPr="00CB4CDE" w14:paraId="6BF01BC3" w14:textId="77777777" w:rsidTr="004133B3">
        <w:trPr>
          <w:trHeight w:val="300"/>
          <w:jc w:val="center"/>
        </w:trPr>
        <w:tc>
          <w:tcPr>
            <w:tcW w:w="0" w:type="auto"/>
            <w:noWrap/>
            <w:hideMark/>
          </w:tcPr>
          <w:p w14:paraId="6C96A52E" w14:textId="77777777" w:rsidR="00AA6CF2" w:rsidRPr="00CB4CDE" w:rsidRDefault="00AA6CF2" w:rsidP="00AA6CF2">
            <w:pPr>
              <w:rPr>
                <w:rFonts w:ascii="Arial" w:hAnsi="Arial" w:cs="Arial"/>
                <w:b/>
                <w:bCs/>
              </w:rPr>
            </w:pPr>
            <w:r w:rsidRPr="00CB4CDE">
              <w:rPr>
                <w:rFonts w:ascii="Arial" w:hAnsi="Arial" w:cs="Arial"/>
                <w:b/>
                <w:bCs/>
              </w:rPr>
              <w:t xml:space="preserve">Year </w:t>
            </w:r>
          </w:p>
        </w:tc>
        <w:tc>
          <w:tcPr>
            <w:tcW w:w="0" w:type="auto"/>
            <w:noWrap/>
            <w:hideMark/>
          </w:tcPr>
          <w:p w14:paraId="6A4BD9BB" w14:textId="77777777" w:rsidR="00AA6CF2" w:rsidRPr="00CB4CDE" w:rsidRDefault="00AA6CF2">
            <w:pPr>
              <w:rPr>
                <w:rFonts w:ascii="Arial" w:hAnsi="Arial" w:cs="Arial"/>
                <w:b/>
                <w:bCs/>
              </w:rPr>
            </w:pPr>
            <w:r w:rsidRPr="00CB4CDE">
              <w:rPr>
                <w:rFonts w:ascii="Arial" w:hAnsi="Arial" w:cs="Arial"/>
                <w:b/>
                <w:bCs/>
              </w:rPr>
              <w:t>Cash flow</w:t>
            </w:r>
          </w:p>
        </w:tc>
        <w:tc>
          <w:tcPr>
            <w:tcW w:w="0" w:type="auto"/>
            <w:noWrap/>
            <w:hideMark/>
          </w:tcPr>
          <w:p w14:paraId="7AECDD3B" w14:textId="77777777" w:rsidR="00AA6CF2" w:rsidRPr="00CB4CDE" w:rsidRDefault="00AA6CF2">
            <w:pPr>
              <w:rPr>
                <w:rFonts w:ascii="Arial" w:hAnsi="Arial" w:cs="Arial"/>
                <w:b/>
                <w:bCs/>
              </w:rPr>
            </w:pPr>
            <w:r w:rsidRPr="00CB4CDE">
              <w:rPr>
                <w:rFonts w:ascii="Arial" w:hAnsi="Arial" w:cs="Arial"/>
                <w:b/>
                <w:bCs/>
              </w:rPr>
              <w:t>Cumulative cash flows</w:t>
            </w:r>
          </w:p>
        </w:tc>
      </w:tr>
      <w:tr w:rsidR="00AA6CF2" w:rsidRPr="00CB4CDE" w14:paraId="506BC3F4" w14:textId="77777777" w:rsidTr="004133B3">
        <w:trPr>
          <w:trHeight w:val="300"/>
          <w:jc w:val="center"/>
        </w:trPr>
        <w:tc>
          <w:tcPr>
            <w:tcW w:w="0" w:type="auto"/>
            <w:noWrap/>
            <w:hideMark/>
          </w:tcPr>
          <w:p w14:paraId="75660771" w14:textId="77777777" w:rsidR="00AA6CF2" w:rsidRPr="00CB4CDE" w:rsidRDefault="00AA6CF2">
            <w:pPr>
              <w:rPr>
                <w:rFonts w:ascii="Arial" w:hAnsi="Arial" w:cs="Arial"/>
              </w:rPr>
            </w:pPr>
            <w:r w:rsidRPr="00CB4CDE">
              <w:rPr>
                <w:rFonts w:ascii="Arial" w:hAnsi="Arial" w:cs="Arial"/>
              </w:rPr>
              <w:t>Year 0</w:t>
            </w:r>
          </w:p>
        </w:tc>
        <w:tc>
          <w:tcPr>
            <w:tcW w:w="0" w:type="auto"/>
            <w:noWrap/>
            <w:hideMark/>
          </w:tcPr>
          <w:p w14:paraId="663860C7" w14:textId="77777777" w:rsidR="00AA6CF2" w:rsidRPr="00CB4CDE" w:rsidRDefault="00AA6CF2" w:rsidP="00AA6CF2">
            <w:pPr>
              <w:rPr>
                <w:rFonts w:ascii="Arial" w:hAnsi="Arial" w:cs="Arial"/>
              </w:rPr>
            </w:pPr>
            <w:r w:rsidRPr="00CB4CDE">
              <w:rPr>
                <w:rFonts w:ascii="Arial" w:hAnsi="Arial" w:cs="Arial"/>
              </w:rPr>
              <w:t>-50</w:t>
            </w:r>
          </w:p>
        </w:tc>
        <w:tc>
          <w:tcPr>
            <w:tcW w:w="0" w:type="auto"/>
            <w:noWrap/>
            <w:hideMark/>
          </w:tcPr>
          <w:p w14:paraId="1BE58D55" w14:textId="77777777" w:rsidR="00AA6CF2" w:rsidRPr="00CB4CDE" w:rsidRDefault="00AA6CF2" w:rsidP="00AA6CF2">
            <w:pPr>
              <w:rPr>
                <w:rFonts w:ascii="Arial" w:hAnsi="Arial" w:cs="Arial"/>
              </w:rPr>
            </w:pPr>
            <w:r w:rsidRPr="00CB4CDE">
              <w:rPr>
                <w:rFonts w:ascii="Arial" w:hAnsi="Arial" w:cs="Arial"/>
              </w:rPr>
              <w:t>-50</w:t>
            </w:r>
          </w:p>
        </w:tc>
      </w:tr>
      <w:tr w:rsidR="00AA6CF2" w:rsidRPr="00CB4CDE" w14:paraId="2B47D6FC" w14:textId="77777777" w:rsidTr="004133B3">
        <w:trPr>
          <w:trHeight w:val="300"/>
          <w:jc w:val="center"/>
        </w:trPr>
        <w:tc>
          <w:tcPr>
            <w:tcW w:w="0" w:type="auto"/>
            <w:noWrap/>
            <w:hideMark/>
          </w:tcPr>
          <w:p w14:paraId="51494BD2" w14:textId="77777777" w:rsidR="00AA6CF2" w:rsidRPr="00CB4CDE" w:rsidRDefault="00AA6CF2" w:rsidP="00AA6CF2">
            <w:pPr>
              <w:rPr>
                <w:rFonts w:ascii="Arial" w:hAnsi="Arial" w:cs="Arial"/>
              </w:rPr>
            </w:pPr>
            <w:r w:rsidRPr="00CB4CDE">
              <w:rPr>
                <w:rFonts w:ascii="Arial" w:hAnsi="Arial" w:cs="Arial"/>
              </w:rPr>
              <w:t>Year 1</w:t>
            </w:r>
          </w:p>
        </w:tc>
        <w:tc>
          <w:tcPr>
            <w:tcW w:w="0" w:type="auto"/>
            <w:noWrap/>
            <w:hideMark/>
          </w:tcPr>
          <w:p w14:paraId="03EE8B83" w14:textId="77777777" w:rsidR="00AA6CF2" w:rsidRPr="00CB4CDE" w:rsidRDefault="00AA6CF2" w:rsidP="00AA6CF2">
            <w:pPr>
              <w:rPr>
                <w:rFonts w:ascii="Arial" w:hAnsi="Arial" w:cs="Arial"/>
              </w:rPr>
            </w:pPr>
            <w:r w:rsidRPr="00CB4CDE">
              <w:rPr>
                <w:rFonts w:ascii="Arial" w:hAnsi="Arial" w:cs="Arial"/>
              </w:rPr>
              <w:t>5</w:t>
            </w:r>
          </w:p>
        </w:tc>
        <w:tc>
          <w:tcPr>
            <w:tcW w:w="0" w:type="auto"/>
            <w:noWrap/>
            <w:hideMark/>
          </w:tcPr>
          <w:p w14:paraId="716ADA5B" w14:textId="77777777" w:rsidR="00AA6CF2" w:rsidRPr="00CB4CDE" w:rsidRDefault="00AA6CF2" w:rsidP="00AA6CF2">
            <w:pPr>
              <w:rPr>
                <w:rFonts w:ascii="Arial" w:hAnsi="Arial" w:cs="Arial"/>
              </w:rPr>
            </w:pPr>
            <w:r w:rsidRPr="00CB4CDE">
              <w:rPr>
                <w:rFonts w:ascii="Arial" w:hAnsi="Arial" w:cs="Arial"/>
              </w:rPr>
              <w:t>-45</w:t>
            </w:r>
          </w:p>
        </w:tc>
      </w:tr>
      <w:tr w:rsidR="00AA6CF2" w:rsidRPr="00CB4CDE" w14:paraId="0DB91909" w14:textId="77777777" w:rsidTr="004133B3">
        <w:trPr>
          <w:trHeight w:val="300"/>
          <w:jc w:val="center"/>
        </w:trPr>
        <w:tc>
          <w:tcPr>
            <w:tcW w:w="0" w:type="auto"/>
            <w:noWrap/>
            <w:hideMark/>
          </w:tcPr>
          <w:p w14:paraId="7E0F5A2F" w14:textId="77777777" w:rsidR="00AA6CF2" w:rsidRPr="00CB4CDE" w:rsidRDefault="00AA6CF2" w:rsidP="00AA6CF2">
            <w:pPr>
              <w:rPr>
                <w:rFonts w:ascii="Arial" w:hAnsi="Arial" w:cs="Arial"/>
              </w:rPr>
            </w:pPr>
            <w:r w:rsidRPr="00CB4CDE">
              <w:rPr>
                <w:rFonts w:ascii="Arial" w:hAnsi="Arial" w:cs="Arial"/>
              </w:rPr>
              <w:t>Year 2</w:t>
            </w:r>
          </w:p>
        </w:tc>
        <w:tc>
          <w:tcPr>
            <w:tcW w:w="0" w:type="auto"/>
            <w:noWrap/>
            <w:hideMark/>
          </w:tcPr>
          <w:p w14:paraId="2E03B8B5" w14:textId="77777777" w:rsidR="00AA6CF2" w:rsidRPr="00CB4CDE" w:rsidRDefault="00AA6CF2" w:rsidP="00AA6CF2">
            <w:pPr>
              <w:rPr>
                <w:rFonts w:ascii="Arial" w:hAnsi="Arial" w:cs="Arial"/>
              </w:rPr>
            </w:pPr>
            <w:r w:rsidRPr="00CB4CDE">
              <w:rPr>
                <w:rFonts w:ascii="Arial" w:hAnsi="Arial" w:cs="Arial"/>
              </w:rPr>
              <w:t>10</w:t>
            </w:r>
          </w:p>
        </w:tc>
        <w:tc>
          <w:tcPr>
            <w:tcW w:w="0" w:type="auto"/>
            <w:noWrap/>
            <w:hideMark/>
          </w:tcPr>
          <w:p w14:paraId="5FD1C680" w14:textId="77777777" w:rsidR="00AA6CF2" w:rsidRPr="00CB4CDE" w:rsidRDefault="00AA6CF2" w:rsidP="00AA6CF2">
            <w:pPr>
              <w:rPr>
                <w:rFonts w:ascii="Arial" w:hAnsi="Arial" w:cs="Arial"/>
              </w:rPr>
            </w:pPr>
            <w:r w:rsidRPr="00CB4CDE">
              <w:rPr>
                <w:rFonts w:ascii="Arial" w:hAnsi="Arial" w:cs="Arial"/>
              </w:rPr>
              <w:t>-35</w:t>
            </w:r>
          </w:p>
        </w:tc>
      </w:tr>
      <w:tr w:rsidR="00AA6CF2" w:rsidRPr="00CB4CDE" w14:paraId="5AB7F092" w14:textId="77777777" w:rsidTr="004133B3">
        <w:trPr>
          <w:trHeight w:val="300"/>
          <w:jc w:val="center"/>
        </w:trPr>
        <w:tc>
          <w:tcPr>
            <w:tcW w:w="0" w:type="auto"/>
            <w:noWrap/>
            <w:hideMark/>
          </w:tcPr>
          <w:p w14:paraId="11021D67" w14:textId="77777777" w:rsidR="00AA6CF2" w:rsidRPr="00CB4CDE" w:rsidRDefault="00AA6CF2" w:rsidP="00AA6CF2">
            <w:pPr>
              <w:rPr>
                <w:rFonts w:ascii="Arial" w:hAnsi="Arial" w:cs="Arial"/>
              </w:rPr>
            </w:pPr>
            <w:r w:rsidRPr="00CB4CDE">
              <w:rPr>
                <w:rFonts w:ascii="Arial" w:hAnsi="Arial" w:cs="Arial"/>
              </w:rPr>
              <w:t>Year 3</w:t>
            </w:r>
          </w:p>
        </w:tc>
        <w:tc>
          <w:tcPr>
            <w:tcW w:w="0" w:type="auto"/>
            <w:noWrap/>
            <w:hideMark/>
          </w:tcPr>
          <w:p w14:paraId="192EB590" w14:textId="77777777" w:rsidR="00AA6CF2" w:rsidRPr="00CB4CDE" w:rsidRDefault="00AA6CF2" w:rsidP="00AA6CF2">
            <w:pPr>
              <w:rPr>
                <w:rFonts w:ascii="Arial" w:hAnsi="Arial" w:cs="Arial"/>
              </w:rPr>
            </w:pPr>
            <w:r w:rsidRPr="00CB4CDE">
              <w:rPr>
                <w:rFonts w:ascii="Arial" w:hAnsi="Arial" w:cs="Arial"/>
              </w:rPr>
              <w:t>20</w:t>
            </w:r>
          </w:p>
        </w:tc>
        <w:tc>
          <w:tcPr>
            <w:tcW w:w="0" w:type="auto"/>
            <w:noWrap/>
            <w:hideMark/>
          </w:tcPr>
          <w:p w14:paraId="2FF8112E" w14:textId="77777777" w:rsidR="00AA6CF2" w:rsidRPr="00CB4CDE" w:rsidRDefault="00AA6CF2" w:rsidP="00AA6CF2">
            <w:pPr>
              <w:rPr>
                <w:rFonts w:ascii="Arial" w:hAnsi="Arial" w:cs="Arial"/>
              </w:rPr>
            </w:pPr>
            <w:r w:rsidRPr="00CB4CDE">
              <w:rPr>
                <w:rFonts w:ascii="Arial" w:hAnsi="Arial" w:cs="Arial"/>
              </w:rPr>
              <w:t>-15</w:t>
            </w:r>
          </w:p>
        </w:tc>
      </w:tr>
      <w:tr w:rsidR="00AA6CF2" w:rsidRPr="00CB4CDE" w14:paraId="5C79B588" w14:textId="77777777" w:rsidTr="004133B3">
        <w:trPr>
          <w:trHeight w:val="300"/>
          <w:jc w:val="center"/>
        </w:trPr>
        <w:tc>
          <w:tcPr>
            <w:tcW w:w="0" w:type="auto"/>
            <w:noWrap/>
            <w:hideMark/>
          </w:tcPr>
          <w:p w14:paraId="5D94E93A" w14:textId="77777777" w:rsidR="00AA6CF2" w:rsidRPr="00CB4CDE" w:rsidRDefault="00AA6CF2" w:rsidP="00AA6CF2">
            <w:pPr>
              <w:rPr>
                <w:rFonts w:ascii="Arial" w:hAnsi="Arial" w:cs="Arial"/>
              </w:rPr>
            </w:pPr>
            <w:r w:rsidRPr="00CB4CDE">
              <w:rPr>
                <w:rFonts w:ascii="Arial" w:hAnsi="Arial" w:cs="Arial"/>
              </w:rPr>
              <w:lastRenderedPageBreak/>
              <w:t>Year 4</w:t>
            </w:r>
          </w:p>
        </w:tc>
        <w:tc>
          <w:tcPr>
            <w:tcW w:w="0" w:type="auto"/>
            <w:noWrap/>
            <w:hideMark/>
          </w:tcPr>
          <w:p w14:paraId="34C44E42" w14:textId="77777777" w:rsidR="00AA6CF2" w:rsidRPr="00CB4CDE" w:rsidRDefault="00AA6CF2" w:rsidP="00AA6CF2">
            <w:pPr>
              <w:rPr>
                <w:rFonts w:ascii="Arial" w:hAnsi="Arial" w:cs="Arial"/>
              </w:rPr>
            </w:pPr>
            <w:r w:rsidRPr="00CB4CDE">
              <w:rPr>
                <w:rFonts w:ascii="Arial" w:hAnsi="Arial" w:cs="Arial"/>
              </w:rPr>
              <w:t>25</w:t>
            </w:r>
          </w:p>
        </w:tc>
        <w:tc>
          <w:tcPr>
            <w:tcW w:w="0" w:type="auto"/>
            <w:noWrap/>
            <w:hideMark/>
          </w:tcPr>
          <w:p w14:paraId="69FAFAF0" w14:textId="77777777" w:rsidR="00AA6CF2" w:rsidRPr="00CB4CDE" w:rsidRDefault="00AA6CF2" w:rsidP="00AA6CF2">
            <w:pPr>
              <w:rPr>
                <w:rFonts w:ascii="Arial" w:hAnsi="Arial" w:cs="Arial"/>
              </w:rPr>
            </w:pPr>
            <w:r w:rsidRPr="00CB4CDE">
              <w:rPr>
                <w:rFonts w:ascii="Arial" w:hAnsi="Arial" w:cs="Arial"/>
              </w:rPr>
              <w:t>10</w:t>
            </w:r>
          </w:p>
        </w:tc>
      </w:tr>
      <w:tr w:rsidR="00AA6CF2" w:rsidRPr="00CB4CDE" w14:paraId="01CA048F" w14:textId="77777777" w:rsidTr="004133B3">
        <w:trPr>
          <w:trHeight w:val="300"/>
          <w:jc w:val="center"/>
        </w:trPr>
        <w:tc>
          <w:tcPr>
            <w:tcW w:w="0" w:type="auto"/>
            <w:noWrap/>
            <w:hideMark/>
          </w:tcPr>
          <w:p w14:paraId="44361545" w14:textId="77777777" w:rsidR="00AA6CF2" w:rsidRPr="00CB4CDE" w:rsidRDefault="00AA6CF2" w:rsidP="00AA6CF2">
            <w:pPr>
              <w:rPr>
                <w:rFonts w:ascii="Arial" w:hAnsi="Arial" w:cs="Arial"/>
              </w:rPr>
            </w:pPr>
            <w:r w:rsidRPr="00CB4CDE">
              <w:rPr>
                <w:rFonts w:ascii="Arial" w:hAnsi="Arial" w:cs="Arial"/>
              </w:rPr>
              <w:t>Year 5</w:t>
            </w:r>
          </w:p>
        </w:tc>
        <w:tc>
          <w:tcPr>
            <w:tcW w:w="0" w:type="auto"/>
            <w:noWrap/>
            <w:hideMark/>
          </w:tcPr>
          <w:p w14:paraId="69DAE35D" w14:textId="77777777" w:rsidR="00AA6CF2" w:rsidRPr="00CB4CDE" w:rsidRDefault="00AA6CF2" w:rsidP="00AA6CF2">
            <w:pPr>
              <w:rPr>
                <w:rFonts w:ascii="Arial" w:hAnsi="Arial" w:cs="Arial"/>
              </w:rPr>
            </w:pPr>
            <w:r w:rsidRPr="00CB4CDE">
              <w:rPr>
                <w:rFonts w:ascii="Arial" w:hAnsi="Arial" w:cs="Arial"/>
              </w:rPr>
              <w:t>5</w:t>
            </w:r>
          </w:p>
        </w:tc>
        <w:tc>
          <w:tcPr>
            <w:tcW w:w="0" w:type="auto"/>
            <w:noWrap/>
            <w:hideMark/>
          </w:tcPr>
          <w:p w14:paraId="0D5144D3" w14:textId="77777777" w:rsidR="00AA6CF2" w:rsidRPr="00CB4CDE" w:rsidRDefault="00AA6CF2" w:rsidP="00AA6CF2">
            <w:pPr>
              <w:rPr>
                <w:rFonts w:ascii="Arial" w:hAnsi="Arial" w:cs="Arial"/>
              </w:rPr>
            </w:pPr>
            <w:r w:rsidRPr="00CB4CDE">
              <w:rPr>
                <w:rFonts w:ascii="Arial" w:hAnsi="Arial" w:cs="Arial"/>
              </w:rPr>
              <w:t>15</w:t>
            </w:r>
          </w:p>
        </w:tc>
      </w:tr>
    </w:tbl>
    <w:p w14:paraId="1A34B5BD" w14:textId="056FCF03" w:rsidR="00AA6CF2" w:rsidRPr="00CB4CDE" w:rsidRDefault="004133B3" w:rsidP="00044024">
      <w:pPr>
        <w:rPr>
          <w:rFonts w:ascii="Arial" w:hAnsi="Arial" w:cs="Arial"/>
        </w:rPr>
      </w:pPr>
      <w:r w:rsidRPr="00CB4CDE">
        <w:rPr>
          <w:rFonts w:ascii="Arial" w:hAnsi="Arial" w:cs="Arial"/>
          <w:b/>
          <w:bCs/>
        </w:rPr>
        <w:t>1.2 Calculation of payback period</w:t>
      </w:r>
    </w:p>
    <w:p w14:paraId="168D64D7" w14:textId="140A0B24" w:rsidR="004133B3" w:rsidRPr="00CB4CDE" w:rsidRDefault="004133B3" w:rsidP="00044024">
      <w:pPr>
        <w:rPr>
          <w:rFonts w:ascii="Arial" w:hAnsi="Arial" w:cs="Arial"/>
          <w:b/>
          <w:bCs/>
        </w:rPr>
      </w:pPr>
      <w:r w:rsidRPr="00CB4CDE">
        <w:rPr>
          <w:rFonts w:ascii="Arial" w:hAnsi="Arial" w:cs="Arial"/>
          <w:b/>
          <w:bCs/>
        </w:rPr>
        <w:t>Project A</w:t>
      </w:r>
    </w:p>
    <w:tbl>
      <w:tblPr>
        <w:tblW w:w="7580" w:type="dxa"/>
        <w:jc w:val="center"/>
        <w:tblLook w:val="04A0" w:firstRow="1" w:lastRow="0" w:firstColumn="1" w:lastColumn="0" w:noHBand="0" w:noVBand="1"/>
      </w:tblPr>
      <w:tblGrid>
        <w:gridCol w:w="1960"/>
        <w:gridCol w:w="2160"/>
        <w:gridCol w:w="3460"/>
      </w:tblGrid>
      <w:tr w:rsidR="004133B3" w:rsidRPr="00CB4CDE" w14:paraId="6ED62837" w14:textId="77777777" w:rsidTr="004133B3">
        <w:trPr>
          <w:trHeight w:val="300"/>
          <w:jc w:val="center"/>
        </w:trPr>
        <w:tc>
          <w:tcPr>
            <w:tcW w:w="1960" w:type="dxa"/>
            <w:tcBorders>
              <w:top w:val="single" w:sz="4" w:space="0" w:color="auto"/>
              <w:left w:val="single" w:sz="4" w:space="0" w:color="auto"/>
              <w:bottom w:val="single" w:sz="4" w:space="0" w:color="auto"/>
              <w:right w:val="single" w:sz="4" w:space="0" w:color="auto"/>
            </w:tcBorders>
            <w:noWrap/>
            <w:vAlign w:val="bottom"/>
            <w:hideMark/>
          </w:tcPr>
          <w:p w14:paraId="425B33A4"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w:t>
            </w:r>
          </w:p>
        </w:tc>
        <w:tc>
          <w:tcPr>
            <w:tcW w:w="2160" w:type="dxa"/>
            <w:tcBorders>
              <w:top w:val="single" w:sz="4" w:space="0" w:color="auto"/>
              <w:left w:val="nil"/>
              <w:bottom w:val="single" w:sz="4" w:space="0" w:color="auto"/>
              <w:right w:val="single" w:sz="4" w:space="0" w:color="auto"/>
            </w:tcBorders>
            <w:noWrap/>
            <w:vAlign w:val="bottom"/>
            <w:hideMark/>
          </w:tcPr>
          <w:p w14:paraId="3FD8FDC9"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 years +</w:t>
            </w:r>
          </w:p>
        </w:tc>
        <w:tc>
          <w:tcPr>
            <w:tcW w:w="3460" w:type="dxa"/>
            <w:tcBorders>
              <w:top w:val="single" w:sz="4" w:space="0" w:color="auto"/>
              <w:left w:val="nil"/>
              <w:bottom w:val="single" w:sz="4" w:space="0" w:color="auto"/>
              <w:right w:val="single" w:sz="4" w:space="0" w:color="auto"/>
            </w:tcBorders>
            <w:vAlign w:val="bottom"/>
            <w:hideMark/>
          </w:tcPr>
          <w:p w14:paraId="028CCE62" w14:textId="77777777" w:rsidR="004133B3" w:rsidRPr="00CB4CDE" w:rsidRDefault="004133B3" w:rsidP="004133B3">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4</w:t>
            </w:r>
          </w:p>
        </w:tc>
      </w:tr>
      <w:tr w:rsidR="004133B3" w:rsidRPr="00CB4CDE" w14:paraId="45C3A66F"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28D1C30A" w14:textId="77777777" w:rsidR="004133B3" w:rsidRPr="00CB4CDE" w:rsidRDefault="004133B3" w:rsidP="004133B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160" w:type="dxa"/>
            <w:tcBorders>
              <w:top w:val="nil"/>
              <w:left w:val="nil"/>
              <w:bottom w:val="single" w:sz="4" w:space="0" w:color="auto"/>
              <w:right w:val="single" w:sz="4" w:space="0" w:color="auto"/>
            </w:tcBorders>
            <w:noWrap/>
            <w:vAlign w:val="bottom"/>
            <w:hideMark/>
          </w:tcPr>
          <w:p w14:paraId="1234272F"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3460" w:type="dxa"/>
            <w:tcBorders>
              <w:top w:val="nil"/>
              <w:left w:val="nil"/>
              <w:bottom w:val="single" w:sz="4" w:space="0" w:color="auto"/>
              <w:right w:val="single" w:sz="4" w:space="0" w:color="auto"/>
            </w:tcBorders>
            <w:vAlign w:val="bottom"/>
            <w:hideMark/>
          </w:tcPr>
          <w:p w14:paraId="75CFF3AA" w14:textId="77777777" w:rsidR="004133B3" w:rsidRPr="00CB4CDE" w:rsidRDefault="004133B3" w:rsidP="004133B3">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w:t>
            </w:r>
          </w:p>
        </w:tc>
      </w:tr>
      <w:tr w:rsidR="004133B3" w:rsidRPr="00CB4CDE" w14:paraId="5A6A511C"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7DD4DCE4"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w:t>
            </w:r>
          </w:p>
        </w:tc>
        <w:tc>
          <w:tcPr>
            <w:tcW w:w="2160" w:type="dxa"/>
            <w:tcBorders>
              <w:top w:val="nil"/>
              <w:left w:val="nil"/>
              <w:bottom w:val="single" w:sz="4" w:space="0" w:color="auto"/>
              <w:right w:val="single" w:sz="4" w:space="0" w:color="auto"/>
            </w:tcBorders>
            <w:noWrap/>
            <w:vAlign w:val="bottom"/>
            <w:hideMark/>
          </w:tcPr>
          <w:p w14:paraId="6A2B1E99"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 years +</w:t>
            </w:r>
          </w:p>
        </w:tc>
        <w:tc>
          <w:tcPr>
            <w:tcW w:w="3460" w:type="dxa"/>
            <w:tcBorders>
              <w:top w:val="nil"/>
              <w:left w:val="nil"/>
              <w:bottom w:val="single" w:sz="4" w:space="0" w:color="auto"/>
              <w:right w:val="single" w:sz="4" w:space="0" w:color="auto"/>
            </w:tcBorders>
            <w:vAlign w:val="bottom"/>
            <w:hideMark/>
          </w:tcPr>
          <w:p w14:paraId="1341B285" w14:textId="77777777" w:rsidR="004133B3" w:rsidRPr="00CB4CDE" w:rsidRDefault="004133B3" w:rsidP="004133B3">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0.5</w:t>
            </w:r>
          </w:p>
        </w:tc>
      </w:tr>
      <w:tr w:rsidR="004133B3" w:rsidRPr="00CB4CDE" w14:paraId="0BF28CF7"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3BB6933D"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 (A)</w:t>
            </w:r>
          </w:p>
        </w:tc>
        <w:tc>
          <w:tcPr>
            <w:tcW w:w="5620" w:type="dxa"/>
            <w:gridSpan w:val="2"/>
            <w:tcBorders>
              <w:top w:val="single" w:sz="4" w:space="0" w:color="auto"/>
              <w:left w:val="nil"/>
              <w:bottom w:val="single" w:sz="4" w:space="0" w:color="auto"/>
              <w:right w:val="single" w:sz="4" w:space="0" w:color="000000"/>
            </w:tcBorders>
            <w:noWrap/>
            <w:vAlign w:val="bottom"/>
            <w:hideMark/>
          </w:tcPr>
          <w:p w14:paraId="663B4C7F" w14:textId="77777777" w:rsidR="004133B3" w:rsidRPr="00CB4CDE" w:rsidRDefault="004133B3" w:rsidP="004133B3">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4.5 years</w:t>
            </w:r>
          </w:p>
        </w:tc>
      </w:tr>
    </w:tbl>
    <w:p w14:paraId="3340E4C1" w14:textId="15888140" w:rsidR="004133B3" w:rsidRPr="00CB4CDE" w:rsidRDefault="004133B3" w:rsidP="00044024">
      <w:pPr>
        <w:rPr>
          <w:rFonts w:ascii="Arial" w:hAnsi="Arial" w:cs="Arial"/>
          <w:b/>
          <w:bCs/>
        </w:rPr>
      </w:pPr>
      <w:r w:rsidRPr="00CB4CDE">
        <w:rPr>
          <w:rFonts w:ascii="Arial" w:hAnsi="Arial" w:cs="Arial"/>
          <w:b/>
          <w:bCs/>
        </w:rPr>
        <w:t>Project B</w:t>
      </w:r>
    </w:p>
    <w:tbl>
      <w:tblPr>
        <w:tblW w:w="7580" w:type="dxa"/>
        <w:jc w:val="center"/>
        <w:tblLook w:val="04A0" w:firstRow="1" w:lastRow="0" w:firstColumn="1" w:lastColumn="0" w:noHBand="0" w:noVBand="1"/>
      </w:tblPr>
      <w:tblGrid>
        <w:gridCol w:w="1960"/>
        <w:gridCol w:w="2160"/>
        <w:gridCol w:w="3460"/>
      </w:tblGrid>
      <w:tr w:rsidR="004133B3" w:rsidRPr="00CB4CDE" w14:paraId="78DBD495" w14:textId="77777777" w:rsidTr="004133B3">
        <w:trPr>
          <w:trHeight w:val="300"/>
          <w:jc w:val="center"/>
        </w:trPr>
        <w:tc>
          <w:tcPr>
            <w:tcW w:w="1960" w:type="dxa"/>
            <w:tcBorders>
              <w:top w:val="single" w:sz="4" w:space="0" w:color="auto"/>
              <w:left w:val="single" w:sz="4" w:space="0" w:color="auto"/>
              <w:bottom w:val="single" w:sz="4" w:space="0" w:color="auto"/>
              <w:right w:val="single" w:sz="4" w:space="0" w:color="auto"/>
            </w:tcBorders>
            <w:noWrap/>
            <w:vAlign w:val="bottom"/>
            <w:hideMark/>
          </w:tcPr>
          <w:p w14:paraId="7A1EECB2"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w:t>
            </w:r>
          </w:p>
        </w:tc>
        <w:tc>
          <w:tcPr>
            <w:tcW w:w="2160" w:type="dxa"/>
            <w:tcBorders>
              <w:top w:val="single" w:sz="4" w:space="0" w:color="auto"/>
              <w:left w:val="nil"/>
              <w:bottom w:val="single" w:sz="4" w:space="0" w:color="auto"/>
              <w:right w:val="single" w:sz="4" w:space="0" w:color="auto"/>
            </w:tcBorders>
            <w:noWrap/>
            <w:vAlign w:val="bottom"/>
            <w:hideMark/>
          </w:tcPr>
          <w:p w14:paraId="0F6B5F81"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 years +</w:t>
            </w:r>
          </w:p>
        </w:tc>
        <w:tc>
          <w:tcPr>
            <w:tcW w:w="3460" w:type="dxa"/>
            <w:tcBorders>
              <w:top w:val="single" w:sz="4" w:space="0" w:color="auto"/>
              <w:left w:val="nil"/>
              <w:bottom w:val="single" w:sz="4" w:space="0" w:color="auto"/>
              <w:right w:val="single" w:sz="4" w:space="0" w:color="auto"/>
            </w:tcBorders>
            <w:vAlign w:val="bottom"/>
            <w:hideMark/>
          </w:tcPr>
          <w:p w14:paraId="253B8EA3" w14:textId="77777777" w:rsidR="004133B3" w:rsidRPr="00CB4CDE" w:rsidRDefault="004133B3" w:rsidP="004133B3">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6</w:t>
            </w:r>
          </w:p>
        </w:tc>
      </w:tr>
      <w:tr w:rsidR="004133B3" w:rsidRPr="00CB4CDE" w14:paraId="3BCBC252"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24776260" w14:textId="77777777" w:rsidR="004133B3" w:rsidRPr="00CB4CDE" w:rsidRDefault="004133B3" w:rsidP="004133B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160" w:type="dxa"/>
            <w:tcBorders>
              <w:top w:val="nil"/>
              <w:left w:val="nil"/>
              <w:bottom w:val="single" w:sz="4" w:space="0" w:color="auto"/>
              <w:right w:val="single" w:sz="4" w:space="0" w:color="auto"/>
            </w:tcBorders>
            <w:noWrap/>
            <w:vAlign w:val="bottom"/>
            <w:hideMark/>
          </w:tcPr>
          <w:p w14:paraId="1305B54D"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3460" w:type="dxa"/>
            <w:tcBorders>
              <w:top w:val="nil"/>
              <w:left w:val="nil"/>
              <w:bottom w:val="single" w:sz="4" w:space="0" w:color="auto"/>
              <w:right w:val="single" w:sz="4" w:space="0" w:color="auto"/>
            </w:tcBorders>
            <w:vAlign w:val="bottom"/>
            <w:hideMark/>
          </w:tcPr>
          <w:p w14:paraId="5D08F5D5" w14:textId="77777777" w:rsidR="004133B3" w:rsidRPr="00CB4CDE" w:rsidRDefault="004133B3" w:rsidP="004133B3">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r>
      <w:tr w:rsidR="004133B3" w:rsidRPr="00CB4CDE" w14:paraId="38C5EB3B"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12EAAABE"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w:t>
            </w:r>
          </w:p>
        </w:tc>
        <w:tc>
          <w:tcPr>
            <w:tcW w:w="2160" w:type="dxa"/>
            <w:tcBorders>
              <w:top w:val="nil"/>
              <w:left w:val="nil"/>
              <w:bottom w:val="single" w:sz="4" w:space="0" w:color="auto"/>
              <w:right w:val="single" w:sz="4" w:space="0" w:color="auto"/>
            </w:tcBorders>
            <w:noWrap/>
            <w:vAlign w:val="bottom"/>
            <w:hideMark/>
          </w:tcPr>
          <w:p w14:paraId="4FA50487"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 years +</w:t>
            </w:r>
          </w:p>
        </w:tc>
        <w:tc>
          <w:tcPr>
            <w:tcW w:w="3460" w:type="dxa"/>
            <w:tcBorders>
              <w:top w:val="nil"/>
              <w:left w:val="nil"/>
              <w:bottom w:val="single" w:sz="4" w:space="0" w:color="auto"/>
              <w:right w:val="single" w:sz="4" w:space="0" w:color="auto"/>
            </w:tcBorders>
            <w:vAlign w:val="bottom"/>
            <w:hideMark/>
          </w:tcPr>
          <w:p w14:paraId="08AB9027" w14:textId="77777777" w:rsidR="004133B3" w:rsidRPr="00CB4CDE" w:rsidRDefault="004133B3" w:rsidP="004133B3">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0.55</w:t>
            </w:r>
          </w:p>
        </w:tc>
      </w:tr>
      <w:tr w:rsidR="004133B3" w:rsidRPr="00CB4CDE" w14:paraId="78A397FF"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1BDDFFB7"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 (B)</w:t>
            </w:r>
          </w:p>
        </w:tc>
        <w:tc>
          <w:tcPr>
            <w:tcW w:w="5620" w:type="dxa"/>
            <w:gridSpan w:val="2"/>
            <w:tcBorders>
              <w:top w:val="single" w:sz="4" w:space="0" w:color="auto"/>
              <w:left w:val="nil"/>
              <w:bottom w:val="single" w:sz="4" w:space="0" w:color="auto"/>
              <w:right w:val="single" w:sz="4" w:space="0" w:color="000000"/>
            </w:tcBorders>
            <w:noWrap/>
            <w:vAlign w:val="bottom"/>
            <w:hideMark/>
          </w:tcPr>
          <w:p w14:paraId="2EA7DBAF" w14:textId="77777777" w:rsidR="004133B3" w:rsidRPr="00CB4CDE" w:rsidRDefault="004133B3" w:rsidP="004133B3">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4.55 years</w:t>
            </w:r>
          </w:p>
        </w:tc>
      </w:tr>
    </w:tbl>
    <w:p w14:paraId="6EBAB91F" w14:textId="4B377410" w:rsidR="004133B3" w:rsidRPr="00CB4CDE" w:rsidRDefault="004133B3" w:rsidP="00044024">
      <w:pPr>
        <w:rPr>
          <w:rFonts w:ascii="Arial" w:hAnsi="Arial" w:cs="Arial"/>
          <w:b/>
          <w:bCs/>
        </w:rPr>
      </w:pPr>
      <w:r w:rsidRPr="00CB4CDE">
        <w:rPr>
          <w:rFonts w:ascii="Arial" w:hAnsi="Arial" w:cs="Arial"/>
          <w:b/>
          <w:bCs/>
        </w:rPr>
        <w:t>Project C</w:t>
      </w:r>
    </w:p>
    <w:tbl>
      <w:tblPr>
        <w:tblW w:w="7580" w:type="dxa"/>
        <w:jc w:val="center"/>
        <w:tblLook w:val="04A0" w:firstRow="1" w:lastRow="0" w:firstColumn="1" w:lastColumn="0" w:noHBand="0" w:noVBand="1"/>
      </w:tblPr>
      <w:tblGrid>
        <w:gridCol w:w="1960"/>
        <w:gridCol w:w="2160"/>
        <w:gridCol w:w="3460"/>
      </w:tblGrid>
      <w:tr w:rsidR="004133B3" w:rsidRPr="00CB4CDE" w14:paraId="58AF7D10" w14:textId="77777777" w:rsidTr="004133B3">
        <w:trPr>
          <w:trHeight w:val="300"/>
          <w:jc w:val="center"/>
        </w:trPr>
        <w:tc>
          <w:tcPr>
            <w:tcW w:w="1960" w:type="dxa"/>
            <w:tcBorders>
              <w:top w:val="single" w:sz="4" w:space="0" w:color="auto"/>
              <w:left w:val="single" w:sz="4" w:space="0" w:color="auto"/>
              <w:bottom w:val="single" w:sz="4" w:space="0" w:color="auto"/>
              <w:right w:val="single" w:sz="4" w:space="0" w:color="auto"/>
            </w:tcBorders>
            <w:noWrap/>
            <w:vAlign w:val="bottom"/>
            <w:hideMark/>
          </w:tcPr>
          <w:p w14:paraId="49B208F1"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w:t>
            </w:r>
          </w:p>
        </w:tc>
        <w:tc>
          <w:tcPr>
            <w:tcW w:w="2160" w:type="dxa"/>
            <w:tcBorders>
              <w:top w:val="single" w:sz="4" w:space="0" w:color="auto"/>
              <w:left w:val="nil"/>
              <w:bottom w:val="single" w:sz="4" w:space="0" w:color="auto"/>
              <w:right w:val="single" w:sz="4" w:space="0" w:color="auto"/>
            </w:tcBorders>
            <w:noWrap/>
            <w:vAlign w:val="bottom"/>
            <w:hideMark/>
          </w:tcPr>
          <w:p w14:paraId="4E0DE469"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 years +</w:t>
            </w:r>
          </w:p>
        </w:tc>
        <w:tc>
          <w:tcPr>
            <w:tcW w:w="3460" w:type="dxa"/>
            <w:tcBorders>
              <w:top w:val="single" w:sz="4" w:space="0" w:color="auto"/>
              <w:left w:val="nil"/>
              <w:bottom w:val="single" w:sz="4" w:space="0" w:color="auto"/>
              <w:right w:val="single" w:sz="4" w:space="0" w:color="auto"/>
            </w:tcBorders>
            <w:vAlign w:val="bottom"/>
            <w:hideMark/>
          </w:tcPr>
          <w:p w14:paraId="06006857" w14:textId="77777777" w:rsidR="004133B3" w:rsidRPr="00CB4CDE" w:rsidRDefault="004133B3" w:rsidP="004133B3">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15</w:t>
            </w:r>
          </w:p>
        </w:tc>
      </w:tr>
      <w:tr w:rsidR="004133B3" w:rsidRPr="00CB4CDE" w14:paraId="0611635D"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5F5DB623" w14:textId="77777777" w:rsidR="004133B3" w:rsidRPr="00CB4CDE" w:rsidRDefault="004133B3" w:rsidP="004133B3">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160" w:type="dxa"/>
            <w:tcBorders>
              <w:top w:val="nil"/>
              <w:left w:val="nil"/>
              <w:bottom w:val="single" w:sz="4" w:space="0" w:color="auto"/>
              <w:right w:val="single" w:sz="4" w:space="0" w:color="auto"/>
            </w:tcBorders>
            <w:noWrap/>
            <w:vAlign w:val="bottom"/>
            <w:hideMark/>
          </w:tcPr>
          <w:p w14:paraId="29214910"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3460" w:type="dxa"/>
            <w:tcBorders>
              <w:top w:val="nil"/>
              <w:left w:val="nil"/>
              <w:bottom w:val="single" w:sz="4" w:space="0" w:color="auto"/>
              <w:right w:val="single" w:sz="4" w:space="0" w:color="auto"/>
            </w:tcBorders>
            <w:vAlign w:val="bottom"/>
            <w:hideMark/>
          </w:tcPr>
          <w:p w14:paraId="7CFCB750" w14:textId="77777777" w:rsidR="004133B3" w:rsidRPr="00CB4CDE" w:rsidRDefault="004133B3" w:rsidP="004133B3">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25</w:t>
            </w:r>
          </w:p>
        </w:tc>
      </w:tr>
      <w:tr w:rsidR="004133B3" w:rsidRPr="00CB4CDE" w14:paraId="6D302243"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641D9E74"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w:t>
            </w:r>
          </w:p>
        </w:tc>
        <w:tc>
          <w:tcPr>
            <w:tcW w:w="2160" w:type="dxa"/>
            <w:tcBorders>
              <w:top w:val="nil"/>
              <w:left w:val="nil"/>
              <w:bottom w:val="single" w:sz="4" w:space="0" w:color="auto"/>
              <w:right w:val="single" w:sz="4" w:space="0" w:color="auto"/>
            </w:tcBorders>
            <w:noWrap/>
            <w:vAlign w:val="bottom"/>
            <w:hideMark/>
          </w:tcPr>
          <w:p w14:paraId="5F54C6C5" w14:textId="77777777" w:rsidR="004133B3" w:rsidRPr="00CB4CDE" w:rsidRDefault="004133B3" w:rsidP="004133B3">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 years +</w:t>
            </w:r>
          </w:p>
        </w:tc>
        <w:tc>
          <w:tcPr>
            <w:tcW w:w="3460" w:type="dxa"/>
            <w:tcBorders>
              <w:top w:val="nil"/>
              <w:left w:val="nil"/>
              <w:bottom w:val="single" w:sz="4" w:space="0" w:color="auto"/>
              <w:right w:val="single" w:sz="4" w:space="0" w:color="auto"/>
            </w:tcBorders>
            <w:vAlign w:val="bottom"/>
            <w:hideMark/>
          </w:tcPr>
          <w:p w14:paraId="525A4C5B" w14:textId="77777777" w:rsidR="004133B3" w:rsidRPr="00CB4CDE" w:rsidRDefault="004133B3" w:rsidP="004133B3">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0.60</w:t>
            </w:r>
          </w:p>
        </w:tc>
      </w:tr>
      <w:tr w:rsidR="004133B3" w:rsidRPr="00CB4CDE" w14:paraId="7569714E" w14:textId="77777777" w:rsidTr="004133B3">
        <w:trPr>
          <w:trHeight w:val="300"/>
          <w:jc w:val="center"/>
        </w:trPr>
        <w:tc>
          <w:tcPr>
            <w:tcW w:w="1960" w:type="dxa"/>
            <w:tcBorders>
              <w:top w:val="nil"/>
              <w:left w:val="single" w:sz="4" w:space="0" w:color="auto"/>
              <w:bottom w:val="single" w:sz="4" w:space="0" w:color="auto"/>
              <w:right w:val="single" w:sz="4" w:space="0" w:color="auto"/>
            </w:tcBorders>
            <w:noWrap/>
            <w:vAlign w:val="bottom"/>
            <w:hideMark/>
          </w:tcPr>
          <w:p w14:paraId="6A9F510F" w14:textId="77777777" w:rsidR="004133B3" w:rsidRPr="00CB4CDE" w:rsidRDefault="004133B3" w:rsidP="004133B3">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Payback period (C)</w:t>
            </w:r>
          </w:p>
        </w:tc>
        <w:tc>
          <w:tcPr>
            <w:tcW w:w="5620" w:type="dxa"/>
            <w:gridSpan w:val="2"/>
            <w:tcBorders>
              <w:top w:val="single" w:sz="4" w:space="0" w:color="auto"/>
              <w:left w:val="nil"/>
              <w:bottom w:val="single" w:sz="4" w:space="0" w:color="auto"/>
              <w:right w:val="single" w:sz="4" w:space="0" w:color="000000"/>
            </w:tcBorders>
            <w:noWrap/>
            <w:vAlign w:val="bottom"/>
            <w:hideMark/>
          </w:tcPr>
          <w:p w14:paraId="7CF59BDD" w14:textId="77777777" w:rsidR="004133B3" w:rsidRPr="00CB4CDE" w:rsidRDefault="004133B3" w:rsidP="004133B3">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3.60 years</w:t>
            </w:r>
          </w:p>
        </w:tc>
      </w:tr>
    </w:tbl>
    <w:p w14:paraId="7332867E" w14:textId="77777777" w:rsidR="004133B3" w:rsidRPr="00CB4CDE" w:rsidRDefault="004133B3" w:rsidP="00044024">
      <w:pPr>
        <w:rPr>
          <w:rFonts w:ascii="Arial" w:hAnsi="Arial" w:cs="Arial"/>
        </w:rPr>
      </w:pPr>
    </w:p>
    <w:p w14:paraId="6F6781FC" w14:textId="7B8B9985" w:rsidR="004133B3" w:rsidRPr="00CB4CDE" w:rsidRDefault="004A0D7A" w:rsidP="00044024">
      <w:pPr>
        <w:rPr>
          <w:rFonts w:ascii="Arial" w:hAnsi="Arial" w:cs="Arial"/>
        </w:rPr>
      </w:pPr>
      <w:r w:rsidRPr="00CB4CDE">
        <w:rPr>
          <w:rFonts w:ascii="Arial" w:hAnsi="Arial" w:cs="Arial"/>
          <w:b/>
          <w:bCs/>
        </w:rPr>
        <w:t>2. A</w:t>
      </w:r>
      <w:r w:rsidR="000962C2" w:rsidRPr="00CB4CDE">
        <w:rPr>
          <w:rFonts w:ascii="Arial" w:hAnsi="Arial" w:cs="Arial"/>
          <w:b/>
          <w:bCs/>
        </w:rPr>
        <w:t>ccounting</w:t>
      </w:r>
      <w:r w:rsidRPr="00CB4CDE">
        <w:rPr>
          <w:rFonts w:ascii="Arial" w:hAnsi="Arial" w:cs="Arial"/>
          <w:b/>
          <w:bCs/>
        </w:rPr>
        <w:t xml:space="preserve"> rate of return</w:t>
      </w:r>
    </w:p>
    <w:p w14:paraId="0E82F385" w14:textId="476A2B43" w:rsidR="000962C2" w:rsidRPr="00CB4CDE" w:rsidRDefault="000962C2" w:rsidP="00044024">
      <w:pPr>
        <w:rPr>
          <w:rFonts w:ascii="Arial" w:hAnsi="Arial" w:cs="Arial"/>
        </w:rPr>
      </w:pPr>
      <w:r w:rsidRPr="00CB4CDE">
        <w:rPr>
          <w:rFonts w:ascii="Arial" w:hAnsi="Arial" w:cs="Arial"/>
          <w:b/>
          <w:bCs/>
        </w:rPr>
        <w:t>Step 1:</w:t>
      </w:r>
      <w:r w:rsidRPr="00CB4CDE">
        <w:rPr>
          <w:rFonts w:ascii="Arial" w:hAnsi="Arial" w:cs="Arial"/>
        </w:rPr>
        <w:t xml:space="preserve"> Calculation of depreciation</w:t>
      </w:r>
    </w:p>
    <w:tbl>
      <w:tblPr>
        <w:tblStyle w:val="TableGrid"/>
        <w:tblW w:w="0" w:type="auto"/>
        <w:jc w:val="center"/>
        <w:tblLook w:val="04A0" w:firstRow="1" w:lastRow="0" w:firstColumn="1" w:lastColumn="0" w:noHBand="0" w:noVBand="1"/>
      </w:tblPr>
      <w:tblGrid>
        <w:gridCol w:w="1670"/>
        <w:gridCol w:w="2580"/>
      </w:tblGrid>
      <w:tr w:rsidR="000962C2" w:rsidRPr="00CB4CDE" w14:paraId="40E7BA2A" w14:textId="77777777" w:rsidTr="000962C2">
        <w:trPr>
          <w:trHeight w:val="600"/>
          <w:jc w:val="center"/>
        </w:trPr>
        <w:tc>
          <w:tcPr>
            <w:tcW w:w="1580" w:type="dxa"/>
            <w:noWrap/>
            <w:hideMark/>
          </w:tcPr>
          <w:p w14:paraId="168C8EB3" w14:textId="77777777" w:rsidR="000962C2" w:rsidRPr="00CB4CDE" w:rsidRDefault="000962C2" w:rsidP="000962C2">
            <w:pPr>
              <w:rPr>
                <w:rFonts w:ascii="Arial" w:hAnsi="Arial" w:cs="Arial"/>
                <w:b/>
                <w:bCs/>
              </w:rPr>
            </w:pPr>
            <w:r w:rsidRPr="00CB4CDE">
              <w:rPr>
                <w:rFonts w:ascii="Arial" w:hAnsi="Arial" w:cs="Arial"/>
                <w:b/>
                <w:bCs/>
              </w:rPr>
              <w:t xml:space="preserve">Depreciation </w:t>
            </w:r>
          </w:p>
        </w:tc>
        <w:tc>
          <w:tcPr>
            <w:tcW w:w="2580" w:type="dxa"/>
            <w:hideMark/>
          </w:tcPr>
          <w:p w14:paraId="294B1816" w14:textId="77777777" w:rsidR="000962C2" w:rsidRPr="00CB4CDE" w:rsidRDefault="000962C2">
            <w:pPr>
              <w:rPr>
                <w:rFonts w:ascii="Arial" w:hAnsi="Arial" w:cs="Arial"/>
              </w:rPr>
            </w:pPr>
            <w:r w:rsidRPr="00CB4CDE">
              <w:rPr>
                <w:rFonts w:ascii="Arial" w:hAnsi="Arial" w:cs="Arial"/>
              </w:rPr>
              <w:t>(Initial costs-scrap value)/Life in years</w:t>
            </w:r>
          </w:p>
        </w:tc>
      </w:tr>
      <w:tr w:rsidR="000962C2" w:rsidRPr="00CB4CDE" w14:paraId="70ACD83E" w14:textId="77777777" w:rsidTr="000962C2">
        <w:trPr>
          <w:trHeight w:val="300"/>
          <w:jc w:val="center"/>
        </w:trPr>
        <w:tc>
          <w:tcPr>
            <w:tcW w:w="1580" w:type="dxa"/>
            <w:noWrap/>
            <w:hideMark/>
          </w:tcPr>
          <w:p w14:paraId="14DDC39D" w14:textId="77777777" w:rsidR="000962C2" w:rsidRPr="00CB4CDE" w:rsidRDefault="000962C2">
            <w:pPr>
              <w:rPr>
                <w:rFonts w:ascii="Arial" w:hAnsi="Arial" w:cs="Arial"/>
                <w:b/>
                <w:bCs/>
              </w:rPr>
            </w:pPr>
            <w:r w:rsidRPr="00CB4CDE">
              <w:rPr>
                <w:rFonts w:ascii="Arial" w:hAnsi="Arial" w:cs="Arial"/>
                <w:b/>
                <w:bCs/>
              </w:rPr>
              <w:t>Project A</w:t>
            </w:r>
          </w:p>
        </w:tc>
        <w:tc>
          <w:tcPr>
            <w:tcW w:w="2580" w:type="dxa"/>
            <w:noWrap/>
            <w:hideMark/>
          </w:tcPr>
          <w:p w14:paraId="1AA61629" w14:textId="77777777" w:rsidR="000962C2" w:rsidRPr="00CB4CDE" w:rsidRDefault="000962C2">
            <w:pPr>
              <w:rPr>
                <w:rFonts w:ascii="Arial" w:hAnsi="Arial" w:cs="Arial"/>
              </w:rPr>
            </w:pPr>
            <w:r w:rsidRPr="00CB4CDE">
              <w:rPr>
                <w:rFonts w:ascii="Arial" w:hAnsi="Arial" w:cs="Arial"/>
              </w:rPr>
              <w:t>(50-0)/5 = 10m</w:t>
            </w:r>
          </w:p>
        </w:tc>
      </w:tr>
      <w:tr w:rsidR="000962C2" w:rsidRPr="00CB4CDE" w14:paraId="07CB5866" w14:textId="77777777" w:rsidTr="000962C2">
        <w:trPr>
          <w:trHeight w:val="300"/>
          <w:jc w:val="center"/>
        </w:trPr>
        <w:tc>
          <w:tcPr>
            <w:tcW w:w="1580" w:type="dxa"/>
            <w:noWrap/>
            <w:hideMark/>
          </w:tcPr>
          <w:p w14:paraId="31F0A8F4" w14:textId="77777777" w:rsidR="000962C2" w:rsidRPr="00CB4CDE" w:rsidRDefault="000962C2">
            <w:pPr>
              <w:rPr>
                <w:rFonts w:ascii="Arial" w:hAnsi="Arial" w:cs="Arial"/>
                <w:b/>
                <w:bCs/>
              </w:rPr>
            </w:pPr>
            <w:r w:rsidRPr="00CB4CDE">
              <w:rPr>
                <w:rFonts w:ascii="Arial" w:hAnsi="Arial" w:cs="Arial"/>
                <w:b/>
                <w:bCs/>
              </w:rPr>
              <w:t>Project B</w:t>
            </w:r>
          </w:p>
        </w:tc>
        <w:tc>
          <w:tcPr>
            <w:tcW w:w="2580" w:type="dxa"/>
            <w:noWrap/>
            <w:hideMark/>
          </w:tcPr>
          <w:p w14:paraId="788E57CD" w14:textId="77777777" w:rsidR="000962C2" w:rsidRPr="00CB4CDE" w:rsidRDefault="000962C2">
            <w:pPr>
              <w:rPr>
                <w:rFonts w:ascii="Arial" w:hAnsi="Arial" w:cs="Arial"/>
              </w:rPr>
            </w:pPr>
            <w:r w:rsidRPr="00CB4CDE">
              <w:rPr>
                <w:rFonts w:ascii="Arial" w:hAnsi="Arial" w:cs="Arial"/>
              </w:rPr>
              <w:t>(50-0)/5 = 10m</w:t>
            </w:r>
          </w:p>
        </w:tc>
      </w:tr>
      <w:tr w:rsidR="000962C2" w:rsidRPr="00CB4CDE" w14:paraId="1670968A" w14:textId="77777777" w:rsidTr="000962C2">
        <w:trPr>
          <w:trHeight w:val="300"/>
          <w:jc w:val="center"/>
        </w:trPr>
        <w:tc>
          <w:tcPr>
            <w:tcW w:w="1580" w:type="dxa"/>
            <w:noWrap/>
            <w:hideMark/>
          </w:tcPr>
          <w:p w14:paraId="1F0AFD86" w14:textId="77777777" w:rsidR="000962C2" w:rsidRPr="00CB4CDE" w:rsidRDefault="000962C2">
            <w:pPr>
              <w:rPr>
                <w:rFonts w:ascii="Arial" w:hAnsi="Arial" w:cs="Arial"/>
                <w:b/>
                <w:bCs/>
              </w:rPr>
            </w:pPr>
            <w:r w:rsidRPr="00CB4CDE">
              <w:rPr>
                <w:rFonts w:ascii="Arial" w:hAnsi="Arial" w:cs="Arial"/>
                <w:b/>
                <w:bCs/>
              </w:rPr>
              <w:t>Project C</w:t>
            </w:r>
          </w:p>
        </w:tc>
        <w:tc>
          <w:tcPr>
            <w:tcW w:w="2580" w:type="dxa"/>
            <w:noWrap/>
            <w:hideMark/>
          </w:tcPr>
          <w:p w14:paraId="03ACC790" w14:textId="77777777" w:rsidR="000962C2" w:rsidRPr="00CB4CDE" w:rsidRDefault="000962C2">
            <w:pPr>
              <w:rPr>
                <w:rFonts w:ascii="Arial" w:hAnsi="Arial" w:cs="Arial"/>
              </w:rPr>
            </w:pPr>
            <w:r w:rsidRPr="00CB4CDE">
              <w:rPr>
                <w:rFonts w:ascii="Arial" w:hAnsi="Arial" w:cs="Arial"/>
              </w:rPr>
              <w:t>(50-0)/5 = 10m</w:t>
            </w:r>
          </w:p>
        </w:tc>
      </w:tr>
    </w:tbl>
    <w:p w14:paraId="6115305B" w14:textId="5F6C5EC6" w:rsidR="000962C2" w:rsidRPr="00CB4CDE" w:rsidRDefault="000962C2" w:rsidP="00044024">
      <w:pPr>
        <w:rPr>
          <w:rFonts w:ascii="Arial" w:hAnsi="Arial" w:cs="Arial"/>
        </w:rPr>
      </w:pPr>
      <w:r w:rsidRPr="00CB4CDE">
        <w:rPr>
          <w:rFonts w:ascii="Arial" w:hAnsi="Arial" w:cs="Arial"/>
          <w:b/>
          <w:bCs/>
        </w:rPr>
        <w:t>Step 2:</w:t>
      </w:r>
      <w:r w:rsidRPr="00CB4CDE">
        <w:rPr>
          <w:rFonts w:ascii="Arial" w:hAnsi="Arial" w:cs="Arial"/>
        </w:rPr>
        <w:t xml:space="preserve"> Calculation of average annual profits</w:t>
      </w:r>
    </w:p>
    <w:p w14:paraId="1A4227F8" w14:textId="666ED8FB" w:rsidR="000962C2" w:rsidRPr="00CB4CDE" w:rsidRDefault="000962C2" w:rsidP="000962C2">
      <w:pPr>
        <w:jc w:val="center"/>
        <w:rPr>
          <w:rFonts w:ascii="Arial" w:hAnsi="Arial" w:cs="Arial"/>
        </w:rPr>
      </w:pPr>
      <w:r w:rsidRPr="00CB4CDE">
        <w:rPr>
          <w:rFonts w:ascii="Arial" w:hAnsi="Arial" w:cs="Arial"/>
          <w:b/>
          <w:bCs/>
        </w:rPr>
        <w:t xml:space="preserve">Formula: </w:t>
      </w:r>
      <w:r w:rsidRPr="00CB4CDE">
        <w:rPr>
          <w:rFonts w:ascii="Arial" w:hAnsi="Arial" w:cs="Arial"/>
        </w:rPr>
        <w:t>Total profit / 5 years</w:t>
      </w:r>
    </w:p>
    <w:tbl>
      <w:tblPr>
        <w:tblW w:w="7480" w:type="dxa"/>
        <w:tblLook w:val="04A0" w:firstRow="1" w:lastRow="0" w:firstColumn="1" w:lastColumn="0" w:noHBand="0" w:noVBand="1"/>
      </w:tblPr>
      <w:tblGrid>
        <w:gridCol w:w="1012"/>
        <w:gridCol w:w="1724"/>
        <w:gridCol w:w="2457"/>
        <w:gridCol w:w="2287"/>
      </w:tblGrid>
      <w:tr w:rsidR="000962C2" w:rsidRPr="00CB4CDE" w14:paraId="3A282F45" w14:textId="77777777" w:rsidTr="000962C2">
        <w:trPr>
          <w:trHeight w:val="300"/>
        </w:trPr>
        <w:tc>
          <w:tcPr>
            <w:tcW w:w="7480" w:type="dxa"/>
            <w:gridSpan w:val="4"/>
            <w:tcBorders>
              <w:top w:val="single" w:sz="4" w:space="0" w:color="auto"/>
              <w:left w:val="single" w:sz="4" w:space="0" w:color="auto"/>
              <w:bottom w:val="single" w:sz="4" w:space="0" w:color="auto"/>
              <w:right w:val="single" w:sz="4" w:space="0" w:color="auto"/>
            </w:tcBorders>
            <w:noWrap/>
            <w:vAlign w:val="bottom"/>
            <w:hideMark/>
          </w:tcPr>
          <w:p w14:paraId="76446D76" w14:textId="77777777" w:rsidR="000962C2" w:rsidRPr="00CB4CDE" w:rsidRDefault="000962C2" w:rsidP="000962C2">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A</w:t>
            </w:r>
          </w:p>
        </w:tc>
      </w:tr>
      <w:tr w:rsidR="000962C2" w:rsidRPr="00CB4CDE" w14:paraId="3B9763A3"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32AA3705"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w:t>
            </w:r>
          </w:p>
        </w:tc>
        <w:tc>
          <w:tcPr>
            <w:tcW w:w="1724" w:type="dxa"/>
            <w:tcBorders>
              <w:top w:val="nil"/>
              <w:left w:val="nil"/>
              <w:bottom w:val="single" w:sz="4" w:space="0" w:color="auto"/>
              <w:right w:val="single" w:sz="4" w:space="0" w:color="auto"/>
            </w:tcBorders>
            <w:noWrap/>
            <w:vAlign w:val="bottom"/>
            <w:hideMark/>
          </w:tcPr>
          <w:p w14:paraId="470D8332"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flows</w:t>
            </w:r>
          </w:p>
        </w:tc>
        <w:tc>
          <w:tcPr>
            <w:tcW w:w="2457" w:type="dxa"/>
            <w:tcBorders>
              <w:top w:val="nil"/>
              <w:left w:val="nil"/>
              <w:bottom w:val="single" w:sz="4" w:space="0" w:color="auto"/>
              <w:right w:val="single" w:sz="4" w:space="0" w:color="auto"/>
            </w:tcBorders>
            <w:noWrap/>
            <w:vAlign w:val="bottom"/>
            <w:hideMark/>
          </w:tcPr>
          <w:p w14:paraId="6C6F00D5"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Depreciation</w:t>
            </w:r>
          </w:p>
        </w:tc>
        <w:tc>
          <w:tcPr>
            <w:tcW w:w="2287" w:type="dxa"/>
            <w:tcBorders>
              <w:top w:val="nil"/>
              <w:left w:val="nil"/>
              <w:bottom w:val="single" w:sz="4" w:space="0" w:color="auto"/>
              <w:right w:val="single" w:sz="4" w:space="0" w:color="auto"/>
            </w:tcBorders>
            <w:noWrap/>
            <w:vAlign w:val="bottom"/>
            <w:hideMark/>
          </w:tcPr>
          <w:p w14:paraId="797FEC41"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Annual profits</w:t>
            </w:r>
          </w:p>
        </w:tc>
      </w:tr>
      <w:tr w:rsidR="000962C2" w:rsidRPr="00CB4CDE" w14:paraId="7381926C"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39D63EF4"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724" w:type="dxa"/>
            <w:tcBorders>
              <w:top w:val="nil"/>
              <w:left w:val="nil"/>
              <w:bottom w:val="single" w:sz="4" w:space="0" w:color="auto"/>
              <w:right w:val="single" w:sz="4" w:space="0" w:color="auto"/>
            </w:tcBorders>
            <w:noWrap/>
            <w:vAlign w:val="bottom"/>
            <w:hideMark/>
          </w:tcPr>
          <w:p w14:paraId="6B39EF34"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57" w:type="dxa"/>
            <w:tcBorders>
              <w:top w:val="nil"/>
              <w:left w:val="nil"/>
              <w:bottom w:val="single" w:sz="4" w:space="0" w:color="auto"/>
              <w:right w:val="single" w:sz="4" w:space="0" w:color="auto"/>
            </w:tcBorders>
            <w:noWrap/>
            <w:vAlign w:val="bottom"/>
            <w:hideMark/>
          </w:tcPr>
          <w:p w14:paraId="289A928E"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4CF52462"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w:t>
            </w:r>
          </w:p>
        </w:tc>
      </w:tr>
      <w:tr w:rsidR="000962C2" w:rsidRPr="00CB4CDE" w14:paraId="205B9793"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4CDB3CBC"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lastRenderedPageBreak/>
              <w:t>Year 2</w:t>
            </w:r>
          </w:p>
        </w:tc>
        <w:tc>
          <w:tcPr>
            <w:tcW w:w="1724" w:type="dxa"/>
            <w:tcBorders>
              <w:top w:val="nil"/>
              <w:left w:val="nil"/>
              <w:bottom w:val="single" w:sz="4" w:space="0" w:color="auto"/>
              <w:right w:val="single" w:sz="4" w:space="0" w:color="auto"/>
            </w:tcBorders>
            <w:noWrap/>
            <w:vAlign w:val="bottom"/>
            <w:hideMark/>
          </w:tcPr>
          <w:p w14:paraId="11B5C9BF"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w:t>
            </w:r>
          </w:p>
        </w:tc>
        <w:tc>
          <w:tcPr>
            <w:tcW w:w="2457" w:type="dxa"/>
            <w:tcBorders>
              <w:top w:val="nil"/>
              <w:left w:val="nil"/>
              <w:bottom w:val="single" w:sz="4" w:space="0" w:color="auto"/>
              <w:right w:val="single" w:sz="4" w:space="0" w:color="auto"/>
            </w:tcBorders>
            <w:noWrap/>
            <w:vAlign w:val="bottom"/>
            <w:hideMark/>
          </w:tcPr>
          <w:p w14:paraId="060968E0"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32090D9A"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r>
      <w:tr w:rsidR="000962C2" w:rsidRPr="00CB4CDE" w14:paraId="79C4BEDB"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74D2B8F1"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724" w:type="dxa"/>
            <w:tcBorders>
              <w:top w:val="nil"/>
              <w:left w:val="nil"/>
              <w:bottom w:val="single" w:sz="4" w:space="0" w:color="auto"/>
              <w:right w:val="single" w:sz="4" w:space="0" w:color="auto"/>
            </w:tcBorders>
            <w:noWrap/>
            <w:vAlign w:val="bottom"/>
            <w:hideMark/>
          </w:tcPr>
          <w:p w14:paraId="530DEDE3"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w:t>
            </w:r>
          </w:p>
        </w:tc>
        <w:tc>
          <w:tcPr>
            <w:tcW w:w="2457" w:type="dxa"/>
            <w:tcBorders>
              <w:top w:val="nil"/>
              <w:left w:val="nil"/>
              <w:bottom w:val="single" w:sz="4" w:space="0" w:color="auto"/>
              <w:right w:val="single" w:sz="4" w:space="0" w:color="auto"/>
            </w:tcBorders>
            <w:noWrap/>
            <w:vAlign w:val="bottom"/>
            <w:hideMark/>
          </w:tcPr>
          <w:p w14:paraId="586BEC83"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3F5D4FA2"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w:t>
            </w:r>
          </w:p>
        </w:tc>
      </w:tr>
      <w:tr w:rsidR="000962C2" w:rsidRPr="00CB4CDE" w14:paraId="584B43E0"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0BDAE2EE"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724" w:type="dxa"/>
            <w:tcBorders>
              <w:top w:val="nil"/>
              <w:left w:val="nil"/>
              <w:bottom w:val="single" w:sz="4" w:space="0" w:color="auto"/>
              <w:right w:val="single" w:sz="4" w:space="0" w:color="auto"/>
            </w:tcBorders>
            <w:noWrap/>
            <w:vAlign w:val="bottom"/>
            <w:hideMark/>
          </w:tcPr>
          <w:p w14:paraId="6740723D"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57" w:type="dxa"/>
            <w:tcBorders>
              <w:top w:val="nil"/>
              <w:left w:val="nil"/>
              <w:bottom w:val="single" w:sz="4" w:space="0" w:color="auto"/>
              <w:right w:val="single" w:sz="4" w:space="0" w:color="auto"/>
            </w:tcBorders>
            <w:noWrap/>
            <w:vAlign w:val="bottom"/>
            <w:hideMark/>
          </w:tcPr>
          <w:p w14:paraId="2E6B8DB1"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6F27789E"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w:t>
            </w:r>
          </w:p>
        </w:tc>
      </w:tr>
      <w:tr w:rsidR="000962C2" w:rsidRPr="00CB4CDE" w14:paraId="49A479BA"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5A77D997"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724" w:type="dxa"/>
            <w:tcBorders>
              <w:top w:val="nil"/>
              <w:left w:val="nil"/>
              <w:bottom w:val="single" w:sz="4" w:space="0" w:color="auto"/>
              <w:right w:val="single" w:sz="4" w:space="0" w:color="auto"/>
            </w:tcBorders>
            <w:noWrap/>
            <w:vAlign w:val="bottom"/>
            <w:hideMark/>
          </w:tcPr>
          <w:p w14:paraId="42E3614E"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w:t>
            </w:r>
          </w:p>
        </w:tc>
        <w:tc>
          <w:tcPr>
            <w:tcW w:w="2457" w:type="dxa"/>
            <w:tcBorders>
              <w:top w:val="nil"/>
              <w:left w:val="nil"/>
              <w:bottom w:val="single" w:sz="4" w:space="0" w:color="auto"/>
              <w:right w:val="single" w:sz="4" w:space="0" w:color="auto"/>
            </w:tcBorders>
            <w:noWrap/>
            <w:vAlign w:val="bottom"/>
            <w:hideMark/>
          </w:tcPr>
          <w:p w14:paraId="2818B2F2"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5695BDF0"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r>
      <w:tr w:rsidR="000962C2" w:rsidRPr="00CB4CDE" w14:paraId="6A6705DB"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45DEB0BB"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724" w:type="dxa"/>
            <w:tcBorders>
              <w:top w:val="nil"/>
              <w:left w:val="nil"/>
              <w:bottom w:val="single" w:sz="4" w:space="0" w:color="auto"/>
              <w:right w:val="single" w:sz="4" w:space="0" w:color="auto"/>
            </w:tcBorders>
            <w:noWrap/>
            <w:vAlign w:val="bottom"/>
            <w:hideMark/>
          </w:tcPr>
          <w:p w14:paraId="0B2EDFD0"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57" w:type="dxa"/>
            <w:tcBorders>
              <w:top w:val="nil"/>
              <w:left w:val="nil"/>
              <w:bottom w:val="single" w:sz="4" w:space="0" w:color="auto"/>
              <w:right w:val="single" w:sz="4" w:space="0" w:color="auto"/>
            </w:tcBorders>
            <w:noWrap/>
            <w:vAlign w:val="bottom"/>
            <w:hideMark/>
          </w:tcPr>
          <w:p w14:paraId="204CD4EE"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Total</w:t>
            </w:r>
          </w:p>
        </w:tc>
        <w:tc>
          <w:tcPr>
            <w:tcW w:w="2287" w:type="dxa"/>
            <w:tcBorders>
              <w:top w:val="nil"/>
              <w:left w:val="nil"/>
              <w:bottom w:val="single" w:sz="4" w:space="0" w:color="auto"/>
              <w:right w:val="single" w:sz="4" w:space="0" w:color="auto"/>
            </w:tcBorders>
            <w:noWrap/>
            <w:vAlign w:val="bottom"/>
            <w:hideMark/>
          </w:tcPr>
          <w:p w14:paraId="3E9161F0" w14:textId="77777777" w:rsidR="000962C2" w:rsidRPr="00CB4CDE" w:rsidRDefault="000962C2" w:rsidP="000962C2">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w:t>
            </w:r>
          </w:p>
        </w:tc>
      </w:tr>
      <w:tr w:rsidR="000962C2" w:rsidRPr="00CB4CDE" w14:paraId="094898B0"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0D58A251"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724" w:type="dxa"/>
            <w:tcBorders>
              <w:top w:val="nil"/>
              <w:left w:val="nil"/>
              <w:bottom w:val="single" w:sz="4" w:space="0" w:color="auto"/>
              <w:right w:val="single" w:sz="4" w:space="0" w:color="auto"/>
            </w:tcBorders>
            <w:noWrap/>
            <w:vAlign w:val="bottom"/>
            <w:hideMark/>
          </w:tcPr>
          <w:p w14:paraId="1C57A54A"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57" w:type="dxa"/>
            <w:tcBorders>
              <w:top w:val="nil"/>
              <w:left w:val="nil"/>
              <w:bottom w:val="single" w:sz="4" w:space="0" w:color="auto"/>
              <w:right w:val="single" w:sz="4" w:space="0" w:color="auto"/>
            </w:tcBorders>
            <w:noWrap/>
            <w:vAlign w:val="bottom"/>
            <w:hideMark/>
          </w:tcPr>
          <w:p w14:paraId="696CD3A2"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Average profits </w:t>
            </w:r>
          </w:p>
        </w:tc>
        <w:tc>
          <w:tcPr>
            <w:tcW w:w="2287" w:type="dxa"/>
            <w:tcBorders>
              <w:top w:val="nil"/>
              <w:left w:val="nil"/>
              <w:bottom w:val="single" w:sz="4" w:space="0" w:color="auto"/>
              <w:right w:val="single" w:sz="4" w:space="0" w:color="auto"/>
            </w:tcBorders>
            <w:noWrap/>
            <w:vAlign w:val="bottom"/>
            <w:hideMark/>
          </w:tcPr>
          <w:p w14:paraId="0EFFE032" w14:textId="77777777" w:rsidR="000962C2" w:rsidRPr="00CB4CDE" w:rsidRDefault="000962C2" w:rsidP="000962C2">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0.8</w:t>
            </w:r>
          </w:p>
        </w:tc>
      </w:tr>
    </w:tbl>
    <w:p w14:paraId="5A0CE845" w14:textId="77777777" w:rsidR="000962C2" w:rsidRPr="00CB4CDE" w:rsidRDefault="000962C2" w:rsidP="00044024">
      <w:pPr>
        <w:rPr>
          <w:rFonts w:ascii="Arial" w:hAnsi="Arial" w:cs="Arial"/>
          <w:sz w:val="28"/>
          <w:szCs w:val="28"/>
        </w:rPr>
      </w:pPr>
    </w:p>
    <w:tbl>
      <w:tblPr>
        <w:tblW w:w="7480" w:type="dxa"/>
        <w:tblLook w:val="04A0" w:firstRow="1" w:lastRow="0" w:firstColumn="1" w:lastColumn="0" w:noHBand="0" w:noVBand="1"/>
      </w:tblPr>
      <w:tblGrid>
        <w:gridCol w:w="1012"/>
        <w:gridCol w:w="1724"/>
        <w:gridCol w:w="2457"/>
        <w:gridCol w:w="2287"/>
      </w:tblGrid>
      <w:tr w:rsidR="000962C2" w:rsidRPr="00CB4CDE" w14:paraId="7DECA7FB" w14:textId="77777777" w:rsidTr="000962C2">
        <w:trPr>
          <w:trHeight w:val="300"/>
        </w:trPr>
        <w:tc>
          <w:tcPr>
            <w:tcW w:w="7480" w:type="dxa"/>
            <w:gridSpan w:val="4"/>
            <w:tcBorders>
              <w:top w:val="single" w:sz="4" w:space="0" w:color="auto"/>
              <w:left w:val="single" w:sz="4" w:space="0" w:color="auto"/>
              <w:bottom w:val="single" w:sz="4" w:space="0" w:color="auto"/>
              <w:right w:val="single" w:sz="4" w:space="0" w:color="auto"/>
            </w:tcBorders>
            <w:noWrap/>
            <w:vAlign w:val="bottom"/>
            <w:hideMark/>
          </w:tcPr>
          <w:p w14:paraId="6D840CD1" w14:textId="77777777" w:rsidR="000962C2" w:rsidRPr="00CB4CDE" w:rsidRDefault="000962C2" w:rsidP="000962C2">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B</w:t>
            </w:r>
          </w:p>
        </w:tc>
      </w:tr>
      <w:tr w:rsidR="000962C2" w:rsidRPr="00CB4CDE" w14:paraId="443988B1"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7AF54456"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w:t>
            </w:r>
          </w:p>
        </w:tc>
        <w:tc>
          <w:tcPr>
            <w:tcW w:w="1724" w:type="dxa"/>
            <w:tcBorders>
              <w:top w:val="nil"/>
              <w:left w:val="nil"/>
              <w:bottom w:val="single" w:sz="4" w:space="0" w:color="auto"/>
              <w:right w:val="single" w:sz="4" w:space="0" w:color="auto"/>
            </w:tcBorders>
            <w:noWrap/>
            <w:vAlign w:val="bottom"/>
            <w:hideMark/>
          </w:tcPr>
          <w:p w14:paraId="2E4B96B2"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flows</w:t>
            </w:r>
          </w:p>
        </w:tc>
        <w:tc>
          <w:tcPr>
            <w:tcW w:w="2457" w:type="dxa"/>
            <w:tcBorders>
              <w:top w:val="nil"/>
              <w:left w:val="nil"/>
              <w:bottom w:val="single" w:sz="4" w:space="0" w:color="auto"/>
              <w:right w:val="single" w:sz="4" w:space="0" w:color="auto"/>
            </w:tcBorders>
            <w:noWrap/>
            <w:vAlign w:val="bottom"/>
            <w:hideMark/>
          </w:tcPr>
          <w:p w14:paraId="24E10375"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Depreciation</w:t>
            </w:r>
          </w:p>
        </w:tc>
        <w:tc>
          <w:tcPr>
            <w:tcW w:w="2287" w:type="dxa"/>
            <w:tcBorders>
              <w:top w:val="nil"/>
              <w:left w:val="nil"/>
              <w:bottom w:val="single" w:sz="4" w:space="0" w:color="auto"/>
              <w:right w:val="single" w:sz="4" w:space="0" w:color="auto"/>
            </w:tcBorders>
            <w:noWrap/>
            <w:vAlign w:val="bottom"/>
            <w:hideMark/>
          </w:tcPr>
          <w:p w14:paraId="674E5C58"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Annual profits</w:t>
            </w:r>
          </w:p>
        </w:tc>
      </w:tr>
      <w:tr w:rsidR="000962C2" w:rsidRPr="00CB4CDE" w14:paraId="0DB44FF5"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6E3DB747"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724" w:type="dxa"/>
            <w:tcBorders>
              <w:top w:val="nil"/>
              <w:left w:val="nil"/>
              <w:bottom w:val="single" w:sz="4" w:space="0" w:color="auto"/>
              <w:right w:val="single" w:sz="4" w:space="0" w:color="auto"/>
            </w:tcBorders>
            <w:noWrap/>
            <w:vAlign w:val="bottom"/>
            <w:hideMark/>
          </w:tcPr>
          <w:p w14:paraId="50AD1BD9"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57" w:type="dxa"/>
            <w:tcBorders>
              <w:top w:val="nil"/>
              <w:left w:val="nil"/>
              <w:bottom w:val="single" w:sz="4" w:space="0" w:color="auto"/>
              <w:right w:val="single" w:sz="4" w:space="0" w:color="auto"/>
            </w:tcBorders>
            <w:noWrap/>
            <w:vAlign w:val="bottom"/>
            <w:hideMark/>
          </w:tcPr>
          <w:p w14:paraId="1C1233D1"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015AA68E"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w:t>
            </w:r>
          </w:p>
        </w:tc>
      </w:tr>
      <w:tr w:rsidR="000962C2" w:rsidRPr="00CB4CDE" w14:paraId="21F0B048"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596C3096"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724" w:type="dxa"/>
            <w:tcBorders>
              <w:top w:val="nil"/>
              <w:left w:val="nil"/>
              <w:bottom w:val="single" w:sz="4" w:space="0" w:color="auto"/>
              <w:right w:val="single" w:sz="4" w:space="0" w:color="auto"/>
            </w:tcBorders>
            <w:noWrap/>
            <w:vAlign w:val="bottom"/>
            <w:hideMark/>
          </w:tcPr>
          <w:p w14:paraId="2690D3E1"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57" w:type="dxa"/>
            <w:tcBorders>
              <w:top w:val="nil"/>
              <w:left w:val="nil"/>
              <w:bottom w:val="single" w:sz="4" w:space="0" w:color="auto"/>
              <w:right w:val="single" w:sz="4" w:space="0" w:color="auto"/>
            </w:tcBorders>
            <w:noWrap/>
            <w:vAlign w:val="bottom"/>
            <w:hideMark/>
          </w:tcPr>
          <w:p w14:paraId="1D1D37C1"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04F0B8DD"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w:t>
            </w:r>
          </w:p>
        </w:tc>
      </w:tr>
      <w:tr w:rsidR="000962C2" w:rsidRPr="00CB4CDE" w14:paraId="061F0F65"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29A78443"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724" w:type="dxa"/>
            <w:tcBorders>
              <w:top w:val="nil"/>
              <w:left w:val="nil"/>
              <w:bottom w:val="single" w:sz="4" w:space="0" w:color="auto"/>
              <w:right w:val="single" w:sz="4" w:space="0" w:color="auto"/>
            </w:tcBorders>
            <w:noWrap/>
            <w:vAlign w:val="bottom"/>
            <w:hideMark/>
          </w:tcPr>
          <w:p w14:paraId="1A89CA78"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57" w:type="dxa"/>
            <w:tcBorders>
              <w:top w:val="nil"/>
              <w:left w:val="nil"/>
              <w:bottom w:val="single" w:sz="4" w:space="0" w:color="auto"/>
              <w:right w:val="single" w:sz="4" w:space="0" w:color="auto"/>
            </w:tcBorders>
            <w:noWrap/>
            <w:vAlign w:val="bottom"/>
            <w:hideMark/>
          </w:tcPr>
          <w:p w14:paraId="3329260D"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4CA58D00"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w:t>
            </w:r>
          </w:p>
        </w:tc>
      </w:tr>
      <w:tr w:rsidR="000962C2" w:rsidRPr="00CB4CDE" w14:paraId="2AFEAE3E"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709E59B9"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724" w:type="dxa"/>
            <w:tcBorders>
              <w:top w:val="nil"/>
              <w:left w:val="nil"/>
              <w:bottom w:val="single" w:sz="4" w:space="0" w:color="auto"/>
              <w:right w:val="single" w:sz="4" w:space="0" w:color="auto"/>
            </w:tcBorders>
            <w:noWrap/>
            <w:vAlign w:val="bottom"/>
            <w:hideMark/>
          </w:tcPr>
          <w:p w14:paraId="05E50BB7"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57" w:type="dxa"/>
            <w:tcBorders>
              <w:top w:val="nil"/>
              <w:left w:val="nil"/>
              <w:bottom w:val="single" w:sz="4" w:space="0" w:color="auto"/>
              <w:right w:val="single" w:sz="4" w:space="0" w:color="auto"/>
            </w:tcBorders>
            <w:noWrap/>
            <w:vAlign w:val="bottom"/>
            <w:hideMark/>
          </w:tcPr>
          <w:p w14:paraId="3EFF288C"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5DC35E1F"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w:t>
            </w:r>
          </w:p>
        </w:tc>
      </w:tr>
      <w:tr w:rsidR="000962C2" w:rsidRPr="00CB4CDE" w14:paraId="7EC1C8BB"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076F5858"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724" w:type="dxa"/>
            <w:tcBorders>
              <w:top w:val="nil"/>
              <w:left w:val="nil"/>
              <w:bottom w:val="single" w:sz="4" w:space="0" w:color="auto"/>
              <w:right w:val="single" w:sz="4" w:space="0" w:color="auto"/>
            </w:tcBorders>
            <w:noWrap/>
            <w:vAlign w:val="bottom"/>
            <w:hideMark/>
          </w:tcPr>
          <w:p w14:paraId="559CD6F3"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57" w:type="dxa"/>
            <w:tcBorders>
              <w:top w:val="nil"/>
              <w:left w:val="nil"/>
              <w:bottom w:val="single" w:sz="4" w:space="0" w:color="auto"/>
              <w:right w:val="single" w:sz="4" w:space="0" w:color="auto"/>
            </w:tcBorders>
            <w:noWrap/>
            <w:vAlign w:val="bottom"/>
            <w:hideMark/>
          </w:tcPr>
          <w:p w14:paraId="7CEEFDD8"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778D31F0"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w:t>
            </w:r>
          </w:p>
        </w:tc>
      </w:tr>
      <w:tr w:rsidR="000962C2" w:rsidRPr="00CB4CDE" w14:paraId="424EEF9E"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6B3EBA92"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724" w:type="dxa"/>
            <w:tcBorders>
              <w:top w:val="nil"/>
              <w:left w:val="nil"/>
              <w:bottom w:val="single" w:sz="4" w:space="0" w:color="auto"/>
              <w:right w:val="single" w:sz="4" w:space="0" w:color="auto"/>
            </w:tcBorders>
            <w:noWrap/>
            <w:vAlign w:val="bottom"/>
            <w:hideMark/>
          </w:tcPr>
          <w:p w14:paraId="608870FE"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57" w:type="dxa"/>
            <w:tcBorders>
              <w:top w:val="nil"/>
              <w:left w:val="nil"/>
              <w:bottom w:val="single" w:sz="4" w:space="0" w:color="auto"/>
              <w:right w:val="single" w:sz="4" w:space="0" w:color="auto"/>
            </w:tcBorders>
            <w:noWrap/>
            <w:vAlign w:val="bottom"/>
            <w:hideMark/>
          </w:tcPr>
          <w:p w14:paraId="6D63A726"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Total</w:t>
            </w:r>
          </w:p>
        </w:tc>
        <w:tc>
          <w:tcPr>
            <w:tcW w:w="2287" w:type="dxa"/>
            <w:tcBorders>
              <w:top w:val="nil"/>
              <w:left w:val="nil"/>
              <w:bottom w:val="single" w:sz="4" w:space="0" w:color="auto"/>
              <w:right w:val="single" w:sz="4" w:space="0" w:color="auto"/>
            </w:tcBorders>
            <w:noWrap/>
            <w:vAlign w:val="bottom"/>
            <w:hideMark/>
          </w:tcPr>
          <w:p w14:paraId="231045B5" w14:textId="77777777" w:rsidR="000962C2" w:rsidRPr="00CB4CDE" w:rsidRDefault="000962C2" w:rsidP="000962C2">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w:t>
            </w:r>
          </w:p>
        </w:tc>
      </w:tr>
      <w:tr w:rsidR="000962C2" w:rsidRPr="00CB4CDE" w14:paraId="47D24D68"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694B6972"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724" w:type="dxa"/>
            <w:tcBorders>
              <w:top w:val="nil"/>
              <w:left w:val="nil"/>
              <w:bottom w:val="single" w:sz="4" w:space="0" w:color="auto"/>
              <w:right w:val="single" w:sz="4" w:space="0" w:color="auto"/>
            </w:tcBorders>
            <w:noWrap/>
            <w:vAlign w:val="bottom"/>
            <w:hideMark/>
          </w:tcPr>
          <w:p w14:paraId="0D192D95"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57" w:type="dxa"/>
            <w:tcBorders>
              <w:top w:val="nil"/>
              <w:left w:val="nil"/>
              <w:bottom w:val="single" w:sz="4" w:space="0" w:color="auto"/>
              <w:right w:val="single" w:sz="4" w:space="0" w:color="auto"/>
            </w:tcBorders>
            <w:noWrap/>
            <w:vAlign w:val="bottom"/>
            <w:hideMark/>
          </w:tcPr>
          <w:p w14:paraId="19F66793"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Average profits </w:t>
            </w:r>
          </w:p>
        </w:tc>
        <w:tc>
          <w:tcPr>
            <w:tcW w:w="2287" w:type="dxa"/>
            <w:tcBorders>
              <w:top w:val="nil"/>
              <w:left w:val="nil"/>
              <w:bottom w:val="single" w:sz="4" w:space="0" w:color="auto"/>
              <w:right w:val="single" w:sz="4" w:space="0" w:color="auto"/>
            </w:tcBorders>
            <w:noWrap/>
            <w:vAlign w:val="bottom"/>
            <w:hideMark/>
          </w:tcPr>
          <w:p w14:paraId="1CF03FF5" w14:textId="77777777" w:rsidR="000962C2" w:rsidRPr="00CB4CDE" w:rsidRDefault="000962C2" w:rsidP="000962C2">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w:t>
            </w:r>
          </w:p>
        </w:tc>
      </w:tr>
    </w:tbl>
    <w:p w14:paraId="16110FC8" w14:textId="77777777" w:rsidR="000962C2" w:rsidRPr="00CB4CDE" w:rsidRDefault="000962C2" w:rsidP="00044024">
      <w:pPr>
        <w:rPr>
          <w:rFonts w:ascii="Arial" w:hAnsi="Arial" w:cs="Arial"/>
          <w:sz w:val="28"/>
          <w:szCs w:val="28"/>
        </w:rPr>
      </w:pPr>
    </w:p>
    <w:tbl>
      <w:tblPr>
        <w:tblW w:w="7480" w:type="dxa"/>
        <w:tblLook w:val="04A0" w:firstRow="1" w:lastRow="0" w:firstColumn="1" w:lastColumn="0" w:noHBand="0" w:noVBand="1"/>
      </w:tblPr>
      <w:tblGrid>
        <w:gridCol w:w="1012"/>
        <w:gridCol w:w="1724"/>
        <w:gridCol w:w="2457"/>
        <w:gridCol w:w="2287"/>
      </w:tblGrid>
      <w:tr w:rsidR="000962C2" w:rsidRPr="00CB4CDE" w14:paraId="1C19E680" w14:textId="77777777" w:rsidTr="000962C2">
        <w:trPr>
          <w:trHeight w:val="300"/>
        </w:trPr>
        <w:tc>
          <w:tcPr>
            <w:tcW w:w="7480" w:type="dxa"/>
            <w:gridSpan w:val="4"/>
            <w:tcBorders>
              <w:top w:val="single" w:sz="4" w:space="0" w:color="auto"/>
              <w:left w:val="single" w:sz="4" w:space="0" w:color="auto"/>
              <w:bottom w:val="single" w:sz="4" w:space="0" w:color="auto"/>
              <w:right w:val="single" w:sz="4" w:space="0" w:color="auto"/>
            </w:tcBorders>
            <w:noWrap/>
            <w:vAlign w:val="bottom"/>
            <w:hideMark/>
          </w:tcPr>
          <w:p w14:paraId="000D5F9E" w14:textId="77777777" w:rsidR="000962C2" w:rsidRPr="00CB4CDE" w:rsidRDefault="000962C2" w:rsidP="000962C2">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C</w:t>
            </w:r>
          </w:p>
        </w:tc>
      </w:tr>
      <w:tr w:rsidR="000962C2" w:rsidRPr="00CB4CDE" w14:paraId="652B75E1"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28AC7586"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w:t>
            </w:r>
          </w:p>
        </w:tc>
        <w:tc>
          <w:tcPr>
            <w:tcW w:w="1724" w:type="dxa"/>
            <w:tcBorders>
              <w:top w:val="nil"/>
              <w:left w:val="nil"/>
              <w:bottom w:val="single" w:sz="4" w:space="0" w:color="auto"/>
              <w:right w:val="single" w:sz="4" w:space="0" w:color="auto"/>
            </w:tcBorders>
            <w:noWrap/>
            <w:vAlign w:val="bottom"/>
            <w:hideMark/>
          </w:tcPr>
          <w:p w14:paraId="7B255F8E"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flows</w:t>
            </w:r>
          </w:p>
        </w:tc>
        <w:tc>
          <w:tcPr>
            <w:tcW w:w="2457" w:type="dxa"/>
            <w:tcBorders>
              <w:top w:val="nil"/>
              <w:left w:val="nil"/>
              <w:bottom w:val="single" w:sz="4" w:space="0" w:color="auto"/>
              <w:right w:val="single" w:sz="4" w:space="0" w:color="auto"/>
            </w:tcBorders>
            <w:noWrap/>
            <w:vAlign w:val="bottom"/>
            <w:hideMark/>
          </w:tcPr>
          <w:p w14:paraId="63CFCE88"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Depreciation</w:t>
            </w:r>
          </w:p>
        </w:tc>
        <w:tc>
          <w:tcPr>
            <w:tcW w:w="2287" w:type="dxa"/>
            <w:tcBorders>
              <w:top w:val="nil"/>
              <w:left w:val="nil"/>
              <w:bottom w:val="single" w:sz="4" w:space="0" w:color="auto"/>
              <w:right w:val="single" w:sz="4" w:space="0" w:color="auto"/>
            </w:tcBorders>
            <w:noWrap/>
            <w:vAlign w:val="bottom"/>
            <w:hideMark/>
          </w:tcPr>
          <w:p w14:paraId="363332AA"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Annual profits</w:t>
            </w:r>
          </w:p>
        </w:tc>
      </w:tr>
      <w:tr w:rsidR="000962C2" w:rsidRPr="00CB4CDE" w14:paraId="0CB4AC4A"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4F561593"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724" w:type="dxa"/>
            <w:tcBorders>
              <w:top w:val="nil"/>
              <w:left w:val="nil"/>
              <w:bottom w:val="single" w:sz="4" w:space="0" w:color="auto"/>
              <w:right w:val="single" w:sz="4" w:space="0" w:color="auto"/>
            </w:tcBorders>
            <w:noWrap/>
            <w:vAlign w:val="bottom"/>
            <w:hideMark/>
          </w:tcPr>
          <w:p w14:paraId="34868444"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457" w:type="dxa"/>
            <w:tcBorders>
              <w:top w:val="nil"/>
              <w:left w:val="nil"/>
              <w:bottom w:val="single" w:sz="4" w:space="0" w:color="auto"/>
              <w:right w:val="single" w:sz="4" w:space="0" w:color="auto"/>
            </w:tcBorders>
            <w:noWrap/>
            <w:vAlign w:val="bottom"/>
            <w:hideMark/>
          </w:tcPr>
          <w:p w14:paraId="278CF2B5"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6547C099"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r>
      <w:tr w:rsidR="000962C2" w:rsidRPr="00CB4CDE" w14:paraId="4FE139F5"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0A424C48"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724" w:type="dxa"/>
            <w:tcBorders>
              <w:top w:val="nil"/>
              <w:left w:val="nil"/>
              <w:bottom w:val="single" w:sz="4" w:space="0" w:color="auto"/>
              <w:right w:val="single" w:sz="4" w:space="0" w:color="auto"/>
            </w:tcBorders>
            <w:noWrap/>
            <w:vAlign w:val="bottom"/>
            <w:hideMark/>
          </w:tcPr>
          <w:p w14:paraId="2C751EE1"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57" w:type="dxa"/>
            <w:tcBorders>
              <w:top w:val="nil"/>
              <w:left w:val="nil"/>
              <w:bottom w:val="single" w:sz="4" w:space="0" w:color="auto"/>
              <w:right w:val="single" w:sz="4" w:space="0" w:color="auto"/>
            </w:tcBorders>
            <w:noWrap/>
            <w:vAlign w:val="bottom"/>
            <w:hideMark/>
          </w:tcPr>
          <w:p w14:paraId="242E6479"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22D13B6B"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w:t>
            </w:r>
          </w:p>
        </w:tc>
      </w:tr>
      <w:tr w:rsidR="000962C2" w:rsidRPr="00CB4CDE" w14:paraId="62096927"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0E794DCA"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724" w:type="dxa"/>
            <w:tcBorders>
              <w:top w:val="nil"/>
              <w:left w:val="nil"/>
              <w:bottom w:val="single" w:sz="4" w:space="0" w:color="auto"/>
              <w:right w:val="single" w:sz="4" w:space="0" w:color="auto"/>
            </w:tcBorders>
            <w:noWrap/>
            <w:vAlign w:val="bottom"/>
            <w:hideMark/>
          </w:tcPr>
          <w:p w14:paraId="5EA9F36E"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20</w:t>
            </w:r>
          </w:p>
        </w:tc>
        <w:tc>
          <w:tcPr>
            <w:tcW w:w="2457" w:type="dxa"/>
            <w:tcBorders>
              <w:top w:val="nil"/>
              <w:left w:val="nil"/>
              <w:bottom w:val="single" w:sz="4" w:space="0" w:color="auto"/>
              <w:right w:val="single" w:sz="4" w:space="0" w:color="auto"/>
            </w:tcBorders>
            <w:noWrap/>
            <w:vAlign w:val="bottom"/>
            <w:hideMark/>
          </w:tcPr>
          <w:p w14:paraId="38ECB3E1"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6BBD8E4F"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r>
      <w:tr w:rsidR="000962C2" w:rsidRPr="00CB4CDE" w14:paraId="1ABC10DB"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1E13F222"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724" w:type="dxa"/>
            <w:tcBorders>
              <w:top w:val="nil"/>
              <w:left w:val="nil"/>
              <w:bottom w:val="single" w:sz="4" w:space="0" w:color="auto"/>
              <w:right w:val="single" w:sz="4" w:space="0" w:color="auto"/>
            </w:tcBorders>
            <w:noWrap/>
            <w:vAlign w:val="bottom"/>
            <w:hideMark/>
          </w:tcPr>
          <w:p w14:paraId="7E3CCA94"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25</w:t>
            </w:r>
          </w:p>
        </w:tc>
        <w:tc>
          <w:tcPr>
            <w:tcW w:w="2457" w:type="dxa"/>
            <w:tcBorders>
              <w:top w:val="nil"/>
              <w:left w:val="nil"/>
              <w:bottom w:val="single" w:sz="4" w:space="0" w:color="auto"/>
              <w:right w:val="single" w:sz="4" w:space="0" w:color="auto"/>
            </w:tcBorders>
            <w:noWrap/>
            <w:vAlign w:val="bottom"/>
            <w:hideMark/>
          </w:tcPr>
          <w:p w14:paraId="7D3493DC"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6519681D"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w:t>
            </w:r>
          </w:p>
        </w:tc>
      </w:tr>
      <w:tr w:rsidR="000962C2" w:rsidRPr="00CB4CDE" w14:paraId="0E57A7E4"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3BDF5FC0"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724" w:type="dxa"/>
            <w:tcBorders>
              <w:top w:val="nil"/>
              <w:left w:val="nil"/>
              <w:bottom w:val="single" w:sz="4" w:space="0" w:color="auto"/>
              <w:right w:val="single" w:sz="4" w:space="0" w:color="auto"/>
            </w:tcBorders>
            <w:noWrap/>
            <w:vAlign w:val="bottom"/>
            <w:hideMark/>
          </w:tcPr>
          <w:p w14:paraId="03691974"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457" w:type="dxa"/>
            <w:tcBorders>
              <w:top w:val="nil"/>
              <w:left w:val="nil"/>
              <w:bottom w:val="single" w:sz="4" w:space="0" w:color="auto"/>
              <w:right w:val="single" w:sz="4" w:space="0" w:color="auto"/>
            </w:tcBorders>
            <w:noWrap/>
            <w:vAlign w:val="bottom"/>
            <w:hideMark/>
          </w:tcPr>
          <w:p w14:paraId="72021C4D"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287" w:type="dxa"/>
            <w:tcBorders>
              <w:top w:val="nil"/>
              <w:left w:val="nil"/>
              <w:bottom w:val="single" w:sz="4" w:space="0" w:color="auto"/>
              <w:right w:val="single" w:sz="4" w:space="0" w:color="auto"/>
            </w:tcBorders>
            <w:noWrap/>
            <w:vAlign w:val="bottom"/>
            <w:hideMark/>
          </w:tcPr>
          <w:p w14:paraId="5604B9C5" w14:textId="77777777" w:rsidR="000962C2" w:rsidRPr="00CB4CDE" w:rsidRDefault="000962C2" w:rsidP="000962C2">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r>
      <w:tr w:rsidR="000962C2" w:rsidRPr="00CB4CDE" w14:paraId="43F8C3F7"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53D089D4"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724" w:type="dxa"/>
            <w:tcBorders>
              <w:top w:val="nil"/>
              <w:left w:val="nil"/>
              <w:bottom w:val="single" w:sz="4" w:space="0" w:color="auto"/>
              <w:right w:val="single" w:sz="4" w:space="0" w:color="auto"/>
            </w:tcBorders>
            <w:noWrap/>
            <w:vAlign w:val="bottom"/>
            <w:hideMark/>
          </w:tcPr>
          <w:p w14:paraId="0244661B"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57" w:type="dxa"/>
            <w:tcBorders>
              <w:top w:val="nil"/>
              <w:left w:val="nil"/>
              <w:bottom w:val="single" w:sz="4" w:space="0" w:color="auto"/>
              <w:right w:val="single" w:sz="4" w:space="0" w:color="auto"/>
            </w:tcBorders>
            <w:noWrap/>
            <w:vAlign w:val="bottom"/>
            <w:hideMark/>
          </w:tcPr>
          <w:p w14:paraId="150DD65B"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Total</w:t>
            </w:r>
          </w:p>
        </w:tc>
        <w:tc>
          <w:tcPr>
            <w:tcW w:w="2287" w:type="dxa"/>
            <w:tcBorders>
              <w:top w:val="nil"/>
              <w:left w:val="nil"/>
              <w:bottom w:val="single" w:sz="4" w:space="0" w:color="auto"/>
              <w:right w:val="single" w:sz="4" w:space="0" w:color="auto"/>
            </w:tcBorders>
            <w:noWrap/>
            <w:vAlign w:val="bottom"/>
            <w:hideMark/>
          </w:tcPr>
          <w:p w14:paraId="4EE50B8B" w14:textId="77777777" w:rsidR="000962C2" w:rsidRPr="00CB4CDE" w:rsidRDefault="000962C2" w:rsidP="000962C2">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15</w:t>
            </w:r>
          </w:p>
        </w:tc>
      </w:tr>
      <w:tr w:rsidR="000962C2" w:rsidRPr="00CB4CDE" w14:paraId="78F6835D" w14:textId="77777777" w:rsidTr="000962C2">
        <w:trPr>
          <w:trHeight w:val="300"/>
        </w:trPr>
        <w:tc>
          <w:tcPr>
            <w:tcW w:w="1012" w:type="dxa"/>
            <w:tcBorders>
              <w:top w:val="nil"/>
              <w:left w:val="single" w:sz="4" w:space="0" w:color="auto"/>
              <w:bottom w:val="single" w:sz="4" w:space="0" w:color="auto"/>
              <w:right w:val="single" w:sz="4" w:space="0" w:color="auto"/>
            </w:tcBorders>
            <w:noWrap/>
            <w:vAlign w:val="bottom"/>
            <w:hideMark/>
          </w:tcPr>
          <w:p w14:paraId="3982A6DC"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724" w:type="dxa"/>
            <w:tcBorders>
              <w:top w:val="nil"/>
              <w:left w:val="nil"/>
              <w:bottom w:val="single" w:sz="4" w:space="0" w:color="auto"/>
              <w:right w:val="single" w:sz="4" w:space="0" w:color="auto"/>
            </w:tcBorders>
            <w:noWrap/>
            <w:vAlign w:val="bottom"/>
            <w:hideMark/>
          </w:tcPr>
          <w:p w14:paraId="64480E60" w14:textId="77777777" w:rsidR="000962C2" w:rsidRPr="00CB4CDE" w:rsidRDefault="000962C2" w:rsidP="000962C2">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57" w:type="dxa"/>
            <w:tcBorders>
              <w:top w:val="nil"/>
              <w:left w:val="nil"/>
              <w:bottom w:val="single" w:sz="4" w:space="0" w:color="auto"/>
              <w:right w:val="single" w:sz="4" w:space="0" w:color="auto"/>
            </w:tcBorders>
            <w:noWrap/>
            <w:vAlign w:val="bottom"/>
            <w:hideMark/>
          </w:tcPr>
          <w:p w14:paraId="3B5C6B84" w14:textId="77777777" w:rsidR="000962C2" w:rsidRPr="00CB4CDE" w:rsidRDefault="000962C2" w:rsidP="000962C2">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Average profits </w:t>
            </w:r>
          </w:p>
        </w:tc>
        <w:tc>
          <w:tcPr>
            <w:tcW w:w="2287" w:type="dxa"/>
            <w:tcBorders>
              <w:top w:val="nil"/>
              <w:left w:val="nil"/>
              <w:bottom w:val="single" w:sz="4" w:space="0" w:color="auto"/>
              <w:right w:val="single" w:sz="4" w:space="0" w:color="auto"/>
            </w:tcBorders>
            <w:noWrap/>
            <w:vAlign w:val="bottom"/>
            <w:hideMark/>
          </w:tcPr>
          <w:p w14:paraId="63957D58" w14:textId="77777777" w:rsidR="000962C2" w:rsidRPr="00CB4CDE" w:rsidRDefault="000962C2" w:rsidP="000962C2">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3</w:t>
            </w:r>
          </w:p>
        </w:tc>
      </w:tr>
    </w:tbl>
    <w:p w14:paraId="5822C91A" w14:textId="2E1BA97E" w:rsidR="001673F9" w:rsidRPr="00CB4CDE" w:rsidRDefault="001673F9" w:rsidP="00044024">
      <w:pPr>
        <w:rPr>
          <w:rFonts w:ascii="Arial" w:hAnsi="Arial" w:cs="Arial"/>
        </w:rPr>
      </w:pPr>
    </w:p>
    <w:p w14:paraId="554F48A8" w14:textId="77777777" w:rsidR="001673F9" w:rsidRPr="00CB4CDE" w:rsidRDefault="001673F9" w:rsidP="001673F9">
      <w:pPr>
        <w:rPr>
          <w:rFonts w:ascii="Arial" w:hAnsi="Arial" w:cs="Arial"/>
        </w:rPr>
      </w:pPr>
      <w:r w:rsidRPr="00CB4CDE">
        <w:rPr>
          <w:rFonts w:ascii="Arial" w:hAnsi="Arial" w:cs="Arial"/>
          <w:b/>
          <w:bCs/>
        </w:rPr>
        <w:t xml:space="preserve">Step 3: </w:t>
      </w:r>
      <w:r w:rsidRPr="00CB4CDE">
        <w:rPr>
          <w:rFonts w:ascii="Arial" w:hAnsi="Arial" w:cs="Arial"/>
        </w:rPr>
        <w:t>Computing ARR</w:t>
      </w:r>
    </w:p>
    <w:tbl>
      <w:tblPr>
        <w:tblW w:w="5820" w:type="dxa"/>
        <w:jc w:val="center"/>
        <w:tblLook w:val="04A0" w:firstRow="1" w:lastRow="0" w:firstColumn="1" w:lastColumn="0" w:noHBand="0" w:noVBand="1"/>
      </w:tblPr>
      <w:tblGrid>
        <w:gridCol w:w="1580"/>
        <w:gridCol w:w="2388"/>
        <w:gridCol w:w="1852"/>
      </w:tblGrid>
      <w:tr w:rsidR="001673F9" w:rsidRPr="00CB4CDE" w14:paraId="125ECDD8" w14:textId="77777777" w:rsidTr="001673F9">
        <w:trPr>
          <w:trHeight w:val="300"/>
          <w:jc w:val="center"/>
        </w:trPr>
        <w:tc>
          <w:tcPr>
            <w:tcW w:w="1580" w:type="dxa"/>
            <w:tcBorders>
              <w:top w:val="single" w:sz="4" w:space="0" w:color="auto"/>
              <w:left w:val="single" w:sz="4" w:space="0" w:color="auto"/>
              <w:bottom w:val="single" w:sz="4" w:space="0" w:color="auto"/>
              <w:right w:val="single" w:sz="4" w:space="0" w:color="auto"/>
            </w:tcBorders>
            <w:noWrap/>
            <w:vAlign w:val="bottom"/>
            <w:hideMark/>
          </w:tcPr>
          <w:p w14:paraId="4D6D7E47"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Formula</w:t>
            </w:r>
          </w:p>
        </w:tc>
        <w:tc>
          <w:tcPr>
            <w:tcW w:w="4240" w:type="dxa"/>
            <w:gridSpan w:val="2"/>
            <w:tcBorders>
              <w:top w:val="single" w:sz="4" w:space="0" w:color="auto"/>
              <w:left w:val="nil"/>
              <w:bottom w:val="single" w:sz="4" w:space="0" w:color="auto"/>
              <w:right w:val="single" w:sz="4" w:space="0" w:color="auto"/>
            </w:tcBorders>
            <w:noWrap/>
            <w:vAlign w:val="bottom"/>
            <w:hideMark/>
          </w:tcPr>
          <w:p w14:paraId="7C92449A" w14:textId="77777777" w:rsidR="001673F9" w:rsidRPr="00CB4CDE" w:rsidRDefault="001673F9" w:rsidP="001673F9">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Average profit*100</w:t>
            </w:r>
          </w:p>
        </w:tc>
      </w:tr>
      <w:tr w:rsidR="001673F9" w:rsidRPr="00CB4CDE" w14:paraId="66A50DA4"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5A0BA1B9" w14:textId="77777777" w:rsidR="001673F9" w:rsidRPr="00CB4CDE" w:rsidRDefault="001673F9" w:rsidP="001673F9">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4240" w:type="dxa"/>
            <w:gridSpan w:val="2"/>
            <w:tcBorders>
              <w:top w:val="single" w:sz="4" w:space="0" w:color="auto"/>
              <w:left w:val="nil"/>
              <w:bottom w:val="single" w:sz="4" w:space="0" w:color="auto"/>
              <w:right w:val="single" w:sz="4" w:space="0" w:color="auto"/>
            </w:tcBorders>
            <w:noWrap/>
            <w:vAlign w:val="bottom"/>
            <w:hideMark/>
          </w:tcPr>
          <w:p w14:paraId="0B481046" w14:textId="77777777" w:rsidR="001673F9" w:rsidRPr="00CB4CDE" w:rsidRDefault="001673F9" w:rsidP="001673F9">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Initial investment</w:t>
            </w:r>
          </w:p>
        </w:tc>
      </w:tr>
      <w:tr w:rsidR="001673F9" w:rsidRPr="00CB4CDE" w14:paraId="083668D6"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65093FF7"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A</w:t>
            </w:r>
          </w:p>
        </w:tc>
        <w:tc>
          <w:tcPr>
            <w:tcW w:w="2388" w:type="dxa"/>
            <w:tcBorders>
              <w:top w:val="nil"/>
              <w:left w:val="nil"/>
              <w:bottom w:val="single" w:sz="4" w:space="0" w:color="auto"/>
              <w:right w:val="single" w:sz="4" w:space="0" w:color="auto"/>
            </w:tcBorders>
            <w:noWrap/>
            <w:vAlign w:val="bottom"/>
            <w:hideMark/>
          </w:tcPr>
          <w:p w14:paraId="2EE7DC72" w14:textId="77777777" w:rsidR="001673F9" w:rsidRPr="00CB4CDE" w:rsidRDefault="001673F9" w:rsidP="001673F9">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0.8*100</w:t>
            </w:r>
          </w:p>
        </w:tc>
        <w:tc>
          <w:tcPr>
            <w:tcW w:w="1852" w:type="dxa"/>
            <w:tcBorders>
              <w:top w:val="nil"/>
              <w:left w:val="nil"/>
              <w:bottom w:val="single" w:sz="4" w:space="0" w:color="auto"/>
              <w:right w:val="single" w:sz="4" w:space="0" w:color="auto"/>
            </w:tcBorders>
            <w:noWrap/>
            <w:vAlign w:val="bottom"/>
            <w:hideMark/>
          </w:tcPr>
          <w:p w14:paraId="1000C29B" w14:textId="77777777" w:rsidR="001673F9" w:rsidRPr="00CB4CDE" w:rsidRDefault="001673F9" w:rsidP="001673F9">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1.60%</w:t>
            </w:r>
          </w:p>
        </w:tc>
      </w:tr>
      <w:tr w:rsidR="001673F9" w:rsidRPr="00CB4CDE" w14:paraId="4AECAFF6"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2A6099E2"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2388" w:type="dxa"/>
            <w:tcBorders>
              <w:top w:val="nil"/>
              <w:left w:val="nil"/>
              <w:bottom w:val="single" w:sz="4" w:space="0" w:color="auto"/>
              <w:right w:val="single" w:sz="4" w:space="0" w:color="auto"/>
            </w:tcBorders>
            <w:noWrap/>
            <w:vAlign w:val="bottom"/>
            <w:hideMark/>
          </w:tcPr>
          <w:p w14:paraId="56FC3929" w14:textId="77777777" w:rsidR="001673F9" w:rsidRPr="00CB4CDE" w:rsidRDefault="001673F9" w:rsidP="001673F9">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w:t>
            </w:r>
          </w:p>
        </w:tc>
        <w:tc>
          <w:tcPr>
            <w:tcW w:w="1852" w:type="dxa"/>
            <w:tcBorders>
              <w:top w:val="nil"/>
              <w:left w:val="nil"/>
              <w:bottom w:val="single" w:sz="4" w:space="0" w:color="auto"/>
              <w:right w:val="single" w:sz="4" w:space="0" w:color="auto"/>
            </w:tcBorders>
            <w:noWrap/>
            <w:vAlign w:val="bottom"/>
            <w:hideMark/>
          </w:tcPr>
          <w:p w14:paraId="2529AD5E"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r>
      <w:tr w:rsidR="001673F9" w:rsidRPr="00CB4CDE" w14:paraId="40CC12E0"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75274EC6"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2388" w:type="dxa"/>
            <w:tcBorders>
              <w:top w:val="nil"/>
              <w:left w:val="nil"/>
              <w:bottom w:val="single" w:sz="4" w:space="0" w:color="auto"/>
              <w:right w:val="single" w:sz="4" w:space="0" w:color="auto"/>
            </w:tcBorders>
            <w:noWrap/>
            <w:vAlign w:val="bottom"/>
            <w:hideMark/>
          </w:tcPr>
          <w:p w14:paraId="0005FD0B" w14:textId="77777777" w:rsidR="001673F9" w:rsidRPr="00CB4CDE" w:rsidRDefault="001673F9" w:rsidP="001673F9">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852" w:type="dxa"/>
            <w:tcBorders>
              <w:top w:val="nil"/>
              <w:left w:val="nil"/>
              <w:bottom w:val="single" w:sz="4" w:space="0" w:color="auto"/>
              <w:right w:val="single" w:sz="4" w:space="0" w:color="auto"/>
            </w:tcBorders>
            <w:noWrap/>
            <w:vAlign w:val="bottom"/>
            <w:hideMark/>
          </w:tcPr>
          <w:p w14:paraId="00C92CE6"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r>
      <w:tr w:rsidR="001673F9" w:rsidRPr="00CB4CDE" w14:paraId="795004A1"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6FFD0005"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B</w:t>
            </w:r>
          </w:p>
        </w:tc>
        <w:tc>
          <w:tcPr>
            <w:tcW w:w="2388" w:type="dxa"/>
            <w:tcBorders>
              <w:top w:val="nil"/>
              <w:left w:val="nil"/>
              <w:bottom w:val="single" w:sz="4" w:space="0" w:color="auto"/>
              <w:right w:val="single" w:sz="4" w:space="0" w:color="auto"/>
            </w:tcBorders>
            <w:noWrap/>
            <w:vAlign w:val="bottom"/>
            <w:hideMark/>
          </w:tcPr>
          <w:p w14:paraId="57F6B048" w14:textId="77777777" w:rsidR="001673F9" w:rsidRPr="00CB4CDE" w:rsidRDefault="001673F9" w:rsidP="001673F9">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1*100</w:t>
            </w:r>
          </w:p>
        </w:tc>
        <w:tc>
          <w:tcPr>
            <w:tcW w:w="1852" w:type="dxa"/>
            <w:tcBorders>
              <w:top w:val="nil"/>
              <w:left w:val="nil"/>
              <w:bottom w:val="single" w:sz="4" w:space="0" w:color="auto"/>
              <w:right w:val="single" w:sz="4" w:space="0" w:color="auto"/>
            </w:tcBorders>
            <w:noWrap/>
            <w:vAlign w:val="bottom"/>
            <w:hideMark/>
          </w:tcPr>
          <w:p w14:paraId="2DD5ACB9" w14:textId="77777777" w:rsidR="001673F9" w:rsidRPr="00CB4CDE" w:rsidRDefault="001673F9" w:rsidP="001673F9">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2.00%</w:t>
            </w:r>
          </w:p>
        </w:tc>
      </w:tr>
      <w:tr w:rsidR="001673F9" w:rsidRPr="00CB4CDE" w14:paraId="3D2FE518"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0DCE8303" w14:textId="77777777" w:rsidR="001673F9" w:rsidRPr="00CB4CDE" w:rsidRDefault="001673F9" w:rsidP="001673F9">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88" w:type="dxa"/>
            <w:tcBorders>
              <w:top w:val="nil"/>
              <w:left w:val="nil"/>
              <w:bottom w:val="single" w:sz="4" w:space="0" w:color="auto"/>
              <w:right w:val="single" w:sz="4" w:space="0" w:color="auto"/>
            </w:tcBorders>
            <w:noWrap/>
            <w:vAlign w:val="bottom"/>
            <w:hideMark/>
          </w:tcPr>
          <w:p w14:paraId="4684BA92" w14:textId="77777777" w:rsidR="001673F9" w:rsidRPr="00CB4CDE" w:rsidRDefault="001673F9" w:rsidP="001673F9">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w:t>
            </w:r>
          </w:p>
        </w:tc>
        <w:tc>
          <w:tcPr>
            <w:tcW w:w="1852" w:type="dxa"/>
            <w:tcBorders>
              <w:top w:val="nil"/>
              <w:left w:val="nil"/>
              <w:bottom w:val="single" w:sz="4" w:space="0" w:color="auto"/>
              <w:right w:val="single" w:sz="4" w:space="0" w:color="auto"/>
            </w:tcBorders>
            <w:noWrap/>
            <w:vAlign w:val="bottom"/>
            <w:hideMark/>
          </w:tcPr>
          <w:p w14:paraId="6CF63A85"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r>
      <w:tr w:rsidR="001673F9" w:rsidRPr="00CB4CDE" w14:paraId="3932A56E"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7174AF65" w14:textId="77777777" w:rsidR="001673F9" w:rsidRPr="00CB4CDE" w:rsidRDefault="001673F9" w:rsidP="001673F9">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88" w:type="dxa"/>
            <w:tcBorders>
              <w:top w:val="nil"/>
              <w:left w:val="nil"/>
              <w:bottom w:val="single" w:sz="4" w:space="0" w:color="auto"/>
              <w:right w:val="single" w:sz="4" w:space="0" w:color="auto"/>
            </w:tcBorders>
            <w:noWrap/>
            <w:vAlign w:val="bottom"/>
            <w:hideMark/>
          </w:tcPr>
          <w:p w14:paraId="2479A231" w14:textId="77777777" w:rsidR="001673F9" w:rsidRPr="00CB4CDE" w:rsidRDefault="001673F9" w:rsidP="001673F9">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852" w:type="dxa"/>
            <w:tcBorders>
              <w:top w:val="nil"/>
              <w:left w:val="nil"/>
              <w:bottom w:val="single" w:sz="4" w:space="0" w:color="auto"/>
              <w:right w:val="single" w:sz="4" w:space="0" w:color="auto"/>
            </w:tcBorders>
            <w:noWrap/>
            <w:vAlign w:val="bottom"/>
            <w:hideMark/>
          </w:tcPr>
          <w:p w14:paraId="694FE5E0"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r>
      <w:tr w:rsidR="001673F9" w:rsidRPr="00CB4CDE" w14:paraId="292772FD"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67014BBE" w14:textId="77777777" w:rsidR="001673F9" w:rsidRPr="00CB4CDE" w:rsidRDefault="001673F9" w:rsidP="001673F9">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C</w:t>
            </w:r>
          </w:p>
        </w:tc>
        <w:tc>
          <w:tcPr>
            <w:tcW w:w="2388" w:type="dxa"/>
            <w:tcBorders>
              <w:top w:val="nil"/>
              <w:left w:val="nil"/>
              <w:bottom w:val="single" w:sz="4" w:space="0" w:color="auto"/>
              <w:right w:val="single" w:sz="4" w:space="0" w:color="auto"/>
            </w:tcBorders>
            <w:noWrap/>
            <w:vAlign w:val="bottom"/>
            <w:hideMark/>
          </w:tcPr>
          <w:p w14:paraId="37C3AF9C" w14:textId="77777777" w:rsidR="001673F9" w:rsidRPr="00CB4CDE" w:rsidRDefault="001673F9" w:rsidP="001673F9">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3*100</w:t>
            </w:r>
          </w:p>
        </w:tc>
        <w:tc>
          <w:tcPr>
            <w:tcW w:w="1852" w:type="dxa"/>
            <w:tcBorders>
              <w:top w:val="nil"/>
              <w:left w:val="nil"/>
              <w:bottom w:val="single" w:sz="4" w:space="0" w:color="auto"/>
              <w:right w:val="single" w:sz="4" w:space="0" w:color="auto"/>
            </w:tcBorders>
            <w:noWrap/>
            <w:vAlign w:val="bottom"/>
            <w:hideMark/>
          </w:tcPr>
          <w:p w14:paraId="6934C99D" w14:textId="77777777" w:rsidR="001673F9" w:rsidRPr="00CB4CDE" w:rsidRDefault="001673F9" w:rsidP="001673F9">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6.00%</w:t>
            </w:r>
          </w:p>
        </w:tc>
      </w:tr>
      <w:tr w:rsidR="001673F9" w:rsidRPr="00CB4CDE" w14:paraId="476ED426" w14:textId="77777777" w:rsidTr="001673F9">
        <w:trPr>
          <w:trHeight w:val="300"/>
          <w:jc w:val="center"/>
        </w:trPr>
        <w:tc>
          <w:tcPr>
            <w:tcW w:w="1580" w:type="dxa"/>
            <w:tcBorders>
              <w:top w:val="nil"/>
              <w:left w:val="single" w:sz="4" w:space="0" w:color="auto"/>
              <w:bottom w:val="single" w:sz="4" w:space="0" w:color="auto"/>
              <w:right w:val="single" w:sz="4" w:space="0" w:color="auto"/>
            </w:tcBorders>
            <w:noWrap/>
            <w:vAlign w:val="bottom"/>
            <w:hideMark/>
          </w:tcPr>
          <w:p w14:paraId="69731D6A" w14:textId="77777777" w:rsidR="001673F9" w:rsidRPr="00CB4CDE" w:rsidRDefault="001673F9" w:rsidP="001673F9">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88" w:type="dxa"/>
            <w:tcBorders>
              <w:top w:val="nil"/>
              <w:left w:val="nil"/>
              <w:bottom w:val="single" w:sz="4" w:space="0" w:color="auto"/>
              <w:right w:val="single" w:sz="4" w:space="0" w:color="auto"/>
            </w:tcBorders>
            <w:noWrap/>
            <w:vAlign w:val="bottom"/>
            <w:hideMark/>
          </w:tcPr>
          <w:p w14:paraId="003C4C9E" w14:textId="77777777" w:rsidR="001673F9" w:rsidRPr="00CB4CDE" w:rsidRDefault="001673F9" w:rsidP="001673F9">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50</w:t>
            </w:r>
          </w:p>
        </w:tc>
        <w:tc>
          <w:tcPr>
            <w:tcW w:w="1852" w:type="dxa"/>
            <w:tcBorders>
              <w:top w:val="nil"/>
              <w:left w:val="nil"/>
              <w:bottom w:val="single" w:sz="4" w:space="0" w:color="auto"/>
              <w:right w:val="single" w:sz="4" w:space="0" w:color="auto"/>
            </w:tcBorders>
            <w:noWrap/>
            <w:vAlign w:val="bottom"/>
            <w:hideMark/>
          </w:tcPr>
          <w:p w14:paraId="24540C76" w14:textId="77777777" w:rsidR="001673F9" w:rsidRPr="00CB4CDE" w:rsidRDefault="001673F9" w:rsidP="001673F9">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bl>
    <w:p w14:paraId="65880459" w14:textId="77777777" w:rsidR="000962C2" w:rsidRPr="00CB4CDE" w:rsidRDefault="000962C2" w:rsidP="00044024">
      <w:pPr>
        <w:rPr>
          <w:rFonts w:ascii="Arial" w:hAnsi="Arial" w:cs="Arial"/>
        </w:rPr>
      </w:pPr>
    </w:p>
    <w:p w14:paraId="3D7E9AC6" w14:textId="4070A791" w:rsidR="00587E45" w:rsidRPr="00CB4CDE" w:rsidRDefault="00587E45" w:rsidP="00044024">
      <w:pPr>
        <w:rPr>
          <w:rFonts w:ascii="Arial" w:hAnsi="Arial" w:cs="Arial"/>
        </w:rPr>
      </w:pPr>
      <w:r w:rsidRPr="00CB4CDE">
        <w:rPr>
          <w:rFonts w:ascii="Arial" w:hAnsi="Arial" w:cs="Arial"/>
          <w:b/>
          <w:bCs/>
        </w:rPr>
        <w:t>3. Net present value method</w:t>
      </w:r>
    </w:p>
    <w:p w14:paraId="60220FDF" w14:textId="04FF72C3" w:rsidR="00587E45" w:rsidRPr="00CB4CDE" w:rsidRDefault="00587E45" w:rsidP="00587E45">
      <w:pPr>
        <w:jc w:val="center"/>
        <w:rPr>
          <w:rFonts w:ascii="Arial" w:hAnsi="Arial" w:cs="Arial"/>
        </w:rPr>
      </w:pPr>
      <w:r w:rsidRPr="00CB4CDE">
        <w:rPr>
          <w:rFonts w:ascii="Arial" w:hAnsi="Arial" w:cs="Arial"/>
          <w:b/>
          <w:bCs/>
        </w:rPr>
        <w:t>NPV formula=</w:t>
      </w:r>
      <w:r w:rsidRPr="00CB4CDE">
        <w:rPr>
          <w:rFonts w:ascii="Arial" w:hAnsi="Arial" w:cs="Arial"/>
        </w:rPr>
        <w:t xml:space="preserve"> Present value of cash flow - Initial investment</w:t>
      </w:r>
    </w:p>
    <w:p w14:paraId="443B916B" w14:textId="3BA31AEB" w:rsidR="00587E45" w:rsidRPr="00CB4CDE" w:rsidRDefault="00587E45" w:rsidP="00587E45">
      <w:pPr>
        <w:rPr>
          <w:rFonts w:ascii="Arial" w:hAnsi="Arial" w:cs="Arial"/>
          <w:u w:val="single"/>
        </w:rPr>
      </w:pPr>
      <w:r w:rsidRPr="00CB4CDE">
        <w:rPr>
          <w:rFonts w:ascii="Arial" w:hAnsi="Arial" w:cs="Arial"/>
          <w:u w:val="single"/>
        </w:rPr>
        <w:t>3.1 Calculation of present value</w:t>
      </w:r>
    </w:p>
    <w:tbl>
      <w:tblPr>
        <w:tblW w:w="5620" w:type="dxa"/>
        <w:jc w:val="center"/>
        <w:tblLook w:val="04A0" w:firstRow="1" w:lastRow="0" w:firstColumn="1" w:lastColumn="0" w:noHBand="0" w:noVBand="1"/>
      </w:tblPr>
      <w:tblGrid>
        <w:gridCol w:w="737"/>
        <w:gridCol w:w="1028"/>
        <w:gridCol w:w="2501"/>
        <w:gridCol w:w="1429"/>
      </w:tblGrid>
      <w:tr w:rsidR="00587E45" w:rsidRPr="00CB4CDE" w14:paraId="60612941" w14:textId="77777777" w:rsidTr="00587E45">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55FCDAC2" w14:textId="77777777" w:rsidR="00587E45" w:rsidRPr="00CB4CDE" w:rsidRDefault="00587E45" w:rsidP="00587E45">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lastRenderedPageBreak/>
              <w:t>Project A</w:t>
            </w:r>
          </w:p>
        </w:tc>
      </w:tr>
      <w:tr w:rsidR="00587E45" w:rsidRPr="00CB4CDE" w14:paraId="5FE8AA55"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0A788838"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8" w:type="dxa"/>
            <w:tcBorders>
              <w:top w:val="nil"/>
              <w:left w:val="nil"/>
              <w:bottom w:val="single" w:sz="4" w:space="0" w:color="auto"/>
              <w:right w:val="single" w:sz="4" w:space="0" w:color="auto"/>
            </w:tcBorders>
            <w:noWrap/>
            <w:vAlign w:val="bottom"/>
            <w:hideMark/>
          </w:tcPr>
          <w:p w14:paraId="4D0E8B82"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501" w:type="dxa"/>
            <w:tcBorders>
              <w:top w:val="nil"/>
              <w:left w:val="nil"/>
              <w:bottom w:val="single" w:sz="4" w:space="0" w:color="auto"/>
              <w:right w:val="single" w:sz="4" w:space="0" w:color="auto"/>
            </w:tcBorders>
            <w:noWrap/>
            <w:vAlign w:val="bottom"/>
            <w:hideMark/>
          </w:tcPr>
          <w:p w14:paraId="420AD8C9"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(8%)</w:t>
            </w:r>
          </w:p>
        </w:tc>
        <w:tc>
          <w:tcPr>
            <w:tcW w:w="1429" w:type="dxa"/>
            <w:tcBorders>
              <w:top w:val="nil"/>
              <w:left w:val="nil"/>
              <w:bottom w:val="single" w:sz="4" w:space="0" w:color="auto"/>
              <w:right w:val="single" w:sz="4" w:space="0" w:color="auto"/>
            </w:tcBorders>
            <w:noWrap/>
            <w:vAlign w:val="bottom"/>
            <w:hideMark/>
          </w:tcPr>
          <w:p w14:paraId="352B79B3"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587E45" w:rsidRPr="00CB4CDE" w14:paraId="332D33BD"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7BDB64B4"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8" w:type="dxa"/>
            <w:tcBorders>
              <w:top w:val="nil"/>
              <w:left w:val="nil"/>
              <w:bottom w:val="single" w:sz="4" w:space="0" w:color="auto"/>
              <w:right w:val="single" w:sz="4" w:space="0" w:color="auto"/>
            </w:tcBorders>
            <w:noWrap/>
            <w:vAlign w:val="bottom"/>
            <w:hideMark/>
          </w:tcPr>
          <w:p w14:paraId="2AB347D3"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501" w:type="dxa"/>
            <w:tcBorders>
              <w:top w:val="nil"/>
              <w:left w:val="nil"/>
              <w:bottom w:val="single" w:sz="4" w:space="0" w:color="auto"/>
              <w:right w:val="single" w:sz="4" w:space="0" w:color="auto"/>
            </w:tcBorders>
            <w:noWrap/>
            <w:vAlign w:val="bottom"/>
            <w:hideMark/>
          </w:tcPr>
          <w:p w14:paraId="3AD73C00"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0.926</w:t>
            </w:r>
          </w:p>
        </w:tc>
        <w:tc>
          <w:tcPr>
            <w:tcW w:w="1429" w:type="dxa"/>
            <w:tcBorders>
              <w:top w:val="nil"/>
              <w:left w:val="nil"/>
              <w:bottom w:val="single" w:sz="4" w:space="0" w:color="auto"/>
              <w:right w:val="single" w:sz="4" w:space="0" w:color="auto"/>
            </w:tcBorders>
            <w:noWrap/>
            <w:vAlign w:val="bottom"/>
            <w:hideMark/>
          </w:tcPr>
          <w:p w14:paraId="6E259760"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9.26</w:t>
            </w:r>
          </w:p>
        </w:tc>
      </w:tr>
      <w:tr w:rsidR="00587E45" w:rsidRPr="00CB4CDE" w14:paraId="3CEDE3F3"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6826A8DB"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8" w:type="dxa"/>
            <w:tcBorders>
              <w:top w:val="nil"/>
              <w:left w:val="nil"/>
              <w:bottom w:val="single" w:sz="4" w:space="0" w:color="auto"/>
              <w:right w:val="single" w:sz="4" w:space="0" w:color="auto"/>
            </w:tcBorders>
            <w:noWrap/>
            <w:vAlign w:val="bottom"/>
            <w:hideMark/>
          </w:tcPr>
          <w:p w14:paraId="2E28D98A"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w:t>
            </w:r>
          </w:p>
        </w:tc>
        <w:tc>
          <w:tcPr>
            <w:tcW w:w="2501" w:type="dxa"/>
            <w:tcBorders>
              <w:top w:val="nil"/>
              <w:left w:val="nil"/>
              <w:bottom w:val="single" w:sz="4" w:space="0" w:color="auto"/>
              <w:right w:val="single" w:sz="4" w:space="0" w:color="auto"/>
            </w:tcBorders>
            <w:noWrap/>
            <w:vAlign w:val="bottom"/>
            <w:hideMark/>
          </w:tcPr>
          <w:p w14:paraId="702E3FE6"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0.857</w:t>
            </w:r>
          </w:p>
        </w:tc>
        <w:tc>
          <w:tcPr>
            <w:tcW w:w="1429" w:type="dxa"/>
            <w:tcBorders>
              <w:top w:val="nil"/>
              <w:left w:val="nil"/>
              <w:bottom w:val="single" w:sz="4" w:space="0" w:color="auto"/>
              <w:right w:val="single" w:sz="4" w:space="0" w:color="auto"/>
            </w:tcBorders>
            <w:noWrap/>
            <w:vAlign w:val="bottom"/>
            <w:hideMark/>
          </w:tcPr>
          <w:p w14:paraId="3956404F"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10.29</w:t>
            </w:r>
          </w:p>
        </w:tc>
      </w:tr>
      <w:tr w:rsidR="00587E45" w:rsidRPr="00CB4CDE" w14:paraId="06F9148F"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0D4EC589"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8" w:type="dxa"/>
            <w:tcBorders>
              <w:top w:val="nil"/>
              <w:left w:val="nil"/>
              <w:bottom w:val="single" w:sz="4" w:space="0" w:color="auto"/>
              <w:right w:val="single" w:sz="4" w:space="0" w:color="auto"/>
            </w:tcBorders>
            <w:noWrap/>
            <w:vAlign w:val="bottom"/>
            <w:hideMark/>
          </w:tcPr>
          <w:p w14:paraId="21FCCD99"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w:t>
            </w:r>
          </w:p>
        </w:tc>
        <w:tc>
          <w:tcPr>
            <w:tcW w:w="2501" w:type="dxa"/>
            <w:tcBorders>
              <w:top w:val="nil"/>
              <w:left w:val="nil"/>
              <w:bottom w:val="single" w:sz="4" w:space="0" w:color="auto"/>
              <w:right w:val="single" w:sz="4" w:space="0" w:color="auto"/>
            </w:tcBorders>
            <w:noWrap/>
            <w:vAlign w:val="bottom"/>
            <w:hideMark/>
          </w:tcPr>
          <w:p w14:paraId="7A681C3A"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0.794</w:t>
            </w:r>
          </w:p>
        </w:tc>
        <w:tc>
          <w:tcPr>
            <w:tcW w:w="1429" w:type="dxa"/>
            <w:tcBorders>
              <w:top w:val="nil"/>
              <w:left w:val="nil"/>
              <w:bottom w:val="single" w:sz="4" w:space="0" w:color="auto"/>
              <w:right w:val="single" w:sz="4" w:space="0" w:color="auto"/>
            </w:tcBorders>
            <w:noWrap/>
            <w:vAlign w:val="bottom"/>
            <w:hideMark/>
          </w:tcPr>
          <w:p w14:paraId="070FDF60"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11.11</w:t>
            </w:r>
          </w:p>
        </w:tc>
      </w:tr>
      <w:tr w:rsidR="00587E45" w:rsidRPr="00CB4CDE" w14:paraId="3C31CB50"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1C966BA6"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8" w:type="dxa"/>
            <w:tcBorders>
              <w:top w:val="nil"/>
              <w:left w:val="nil"/>
              <w:bottom w:val="single" w:sz="4" w:space="0" w:color="auto"/>
              <w:right w:val="single" w:sz="4" w:space="0" w:color="auto"/>
            </w:tcBorders>
            <w:noWrap/>
            <w:vAlign w:val="bottom"/>
            <w:hideMark/>
          </w:tcPr>
          <w:p w14:paraId="51AC6D89"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501" w:type="dxa"/>
            <w:tcBorders>
              <w:top w:val="nil"/>
              <w:left w:val="nil"/>
              <w:bottom w:val="single" w:sz="4" w:space="0" w:color="auto"/>
              <w:right w:val="single" w:sz="4" w:space="0" w:color="auto"/>
            </w:tcBorders>
            <w:noWrap/>
            <w:vAlign w:val="bottom"/>
            <w:hideMark/>
          </w:tcPr>
          <w:p w14:paraId="5EF2FD61"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0.735</w:t>
            </w:r>
          </w:p>
        </w:tc>
        <w:tc>
          <w:tcPr>
            <w:tcW w:w="1429" w:type="dxa"/>
            <w:tcBorders>
              <w:top w:val="nil"/>
              <w:left w:val="nil"/>
              <w:bottom w:val="single" w:sz="4" w:space="0" w:color="auto"/>
              <w:right w:val="single" w:sz="4" w:space="0" w:color="auto"/>
            </w:tcBorders>
            <w:noWrap/>
            <w:vAlign w:val="bottom"/>
            <w:hideMark/>
          </w:tcPr>
          <w:p w14:paraId="2AEF5F8F"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7.35</w:t>
            </w:r>
          </w:p>
        </w:tc>
      </w:tr>
      <w:tr w:rsidR="00587E45" w:rsidRPr="00CB4CDE" w14:paraId="4278DE5C"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5D519826"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8" w:type="dxa"/>
            <w:tcBorders>
              <w:top w:val="nil"/>
              <w:left w:val="nil"/>
              <w:bottom w:val="single" w:sz="4" w:space="0" w:color="auto"/>
              <w:right w:val="single" w:sz="4" w:space="0" w:color="auto"/>
            </w:tcBorders>
            <w:noWrap/>
            <w:vAlign w:val="bottom"/>
            <w:hideMark/>
          </w:tcPr>
          <w:p w14:paraId="1E46CCB6"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w:t>
            </w:r>
          </w:p>
        </w:tc>
        <w:tc>
          <w:tcPr>
            <w:tcW w:w="2501" w:type="dxa"/>
            <w:tcBorders>
              <w:top w:val="nil"/>
              <w:left w:val="nil"/>
              <w:bottom w:val="single" w:sz="4" w:space="0" w:color="auto"/>
              <w:right w:val="single" w:sz="4" w:space="0" w:color="auto"/>
            </w:tcBorders>
            <w:noWrap/>
            <w:vAlign w:val="bottom"/>
            <w:hideMark/>
          </w:tcPr>
          <w:p w14:paraId="1D2832F8"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0.681</w:t>
            </w:r>
          </w:p>
        </w:tc>
        <w:tc>
          <w:tcPr>
            <w:tcW w:w="1429" w:type="dxa"/>
            <w:tcBorders>
              <w:top w:val="nil"/>
              <w:left w:val="nil"/>
              <w:bottom w:val="single" w:sz="4" w:space="0" w:color="auto"/>
              <w:right w:val="single" w:sz="4" w:space="0" w:color="auto"/>
            </w:tcBorders>
            <w:noWrap/>
            <w:vAlign w:val="bottom"/>
            <w:hideMark/>
          </w:tcPr>
          <w:p w14:paraId="2A380732"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5.44</w:t>
            </w:r>
          </w:p>
        </w:tc>
      </w:tr>
      <w:tr w:rsidR="00587E45" w:rsidRPr="00CB4CDE" w14:paraId="30EA648C" w14:textId="77777777" w:rsidTr="00587E45">
        <w:trPr>
          <w:trHeight w:val="600"/>
          <w:jc w:val="center"/>
        </w:trPr>
        <w:tc>
          <w:tcPr>
            <w:tcW w:w="662" w:type="dxa"/>
            <w:tcBorders>
              <w:top w:val="nil"/>
              <w:left w:val="single" w:sz="4" w:space="0" w:color="auto"/>
              <w:bottom w:val="single" w:sz="4" w:space="0" w:color="auto"/>
              <w:right w:val="single" w:sz="4" w:space="0" w:color="auto"/>
            </w:tcBorders>
            <w:noWrap/>
            <w:vAlign w:val="bottom"/>
            <w:hideMark/>
          </w:tcPr>
          <w:p w14:paraId="31F7370E"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8" w:type="dxa"/>
            <w:tcBorders>
              <w:top w:val="nil"/>
              <w:left w:val="nil"/>
              <w:bottom w:val="single" w:sz="4" w:space="0" w:color="auto"/>
              <w:right w:val="single" w:sz="4" w:space="0" w:color="auto"/>
            </w:tcBorders>
            <w:noWrap/>
            <w:vAlign w:val="bottom"/>
            <w:hideMark/>
          </w:tcPr>
          <w:p w14:paraId="7407E06F"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501" w:type="dxa"/>
            <w:tcBorders>
              <w:top w:val="nil"/>
              <w:left w:val="nil"/>
              <w:bottom w:val="single" w:sz="4" w:space="0" w:color="auto"/>
              <w:right w:val="single" w:sz="4" w:space="0" w:color="auto"/>
            </w:tcBorders>
            <w:vAlign w:val="bottom"/>
            <w:hideMark/>
          </w:tcPr>
          <w:p w14:paraId="6D3A060C" w14:textId="77777777" w:rsidR="00587E45" w:rsidRPr="00CB4CDE" w:rsidRDefault="00587E45" w:rsidP="00587E45">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9" w:type="dxa"/>
            <w:tcBorders>
              <w:top w:val="nil"/>
              <w:left w:val="nil"/>
              <w:bottom w:val="single" w:sz="4" w:space="0" w:color="auto"/>
              <w:right w:val="single" w:sz="4" w:space="0" w:color="auto"/>
            </w:tcBorders>
            <w:noWrap/>
            <w:vAlign w:val="bottom"/>
            <w:hideMark/>
          </w:tcPr>
          <w:p w14:paraId="6606E0C9" w14:textId="77777777" w:rsidR="00587E45" w:rsidRPr="00CB4CDE" w:rsidRDefault="00587E45" w:rsidP="00587E45">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43.46</w:t>
            </w:r>
          </w:p>
        </w:tc>
      </w:tr>
    </w:tbl>
    <w:p w14:paraId="77AB45D1" w14:textId="77777777" w:rsidR="00587E45" w:rsidRPr="00CB4CDE" w:rsidRDefault="00587E45" w:rsidP="00587E45">
      <w:pPr>
        <w:rPr>
          <w:rFonts w:ascii="Arial" w:hAnsi="Arial" w:cs="Arial"/>
          <w:sz w:val="28"/>
          <w:szCs w:val="28"/>
        </w:rPr>
      </w:pPr>
    </w:p>
    <w:tbl>
      <w:tblPr>
        <w:tblW w:w="5620" w:type="dxa"/>
        <w:jc w:val="center"/>
        <w:tblLook w:val="04A0" w:firstRow="1" w:lastRow="0" w:firstColumn="1" w:lastColumn="0" w:noHBand="0" w:noVBand="1"/>
      </w:tblPr>
      <w:tblGrid>
        <w:gridCol w:w="737"/>
        <w:gridCol w:w="1028"/>
        <w:gridCol w:w="2501"/>
        <w:gridCol w:w="1429"/>
      </w:tblGrid>
      <w:tr w:rsidR="00587E45" w:rsidRPr="00CB4CDE" w14:paraId="214D170A" w14:textId="77777777" w:rsidTr="00587E45">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461EA92E" w14:textId="77777777" w:rsidR="00587E45" w:rsidRPr="00CB4CDE" w:rsidRDefault="00587E45" w:rsidP="00587E45">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B</w:t>
            </w:r>
          </w:p>
        </w:tc>
      </w:tr>
      <w:tr w:rsidR="00587E45" w:rsidRPr="00CB4CDE" w14:paraId="1401C52B"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25799F7E"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8" w:type="dxa"/>
            <w:tcBorders>
              <w:top w:val="nil"/>
              <w:left w:val="nil"/>
              <w:bottom w:val="single" w:sz="4" w:space="0" w:color="auto"/>
              <w:right w:val="single" w:sz="4" w:space="0" w:color="auto"/>
            </w:tcBorders>
            <w:noWrap/>
            <w:vAlign w:val="bottom"/>
            <w:hideMark/>
          </w:tcPr>
          <w:p w14:paraId="45E87BD7"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501" w:type="dxa"/>
            <w:tcBorders>
              <w:top w:val="nil"/>
              <w:left w:val="nil"/>
              <w:bottom w:val="single" w:sz="4" w:space="0" w:color="auto"/>
              <w:right w:val="single" w:sz="4" w:space="0" w:color="auto"/>
            </w:tcBorders>
            <w:noWrap/>
            <w:vAlign w:val="bottom"/>
            <w:hideMark/>
          </w:tcPr>
          <w:p w14:paraId="02E3C37F"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(8%)</w:t>
            </w:r>
          </w:p>
        </w:tc>
        <w:tc>
          <w:tcPr>
            <w:tcW w:w="1429" w:type="dxa"/>
            <w:tcBorders>
              <w:top w:val="nil"/>
              <w:left w:val="nil"/>
              <w:bottom w:val="single" w:sz="4" w:space="0" w:color="auto"/>
              <w:right w:val="single" w:sz="4" w:space="0" w:color="auto"/>
            </w:tcBorders>
            <w:noWrap/>
            <w:vAlign w:val="bottom"/>
            <w:hideMark/>
          </w:tcPr>
          <w:p w14:paraId="76CF9130"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587E45" w:rsidRPr="00CB4CDE" w14:paraId="0520ECEE"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22F5CE3A"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8" w:type="dxa"/>
            <w:tcBorders>
              <w:top w:val="nil"/>
              <w:left w:val="nil"/>
              <w:bottom w:val="single" w:sz="4" w:space="0" w:color="auto"/>
              <w:right w:val="single" w:sz="4" w:space="0" w:color="auto"/>
            </w:tcBorders>
            <w:noWrap/>
            <w:vAlign w:val="bottom"/>
            <w:hideMark/>
          </w:tcPr>
          <w:p w14:paraId="4AF5451C"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501" w:type="dxa"/>
            <w:tcBorders>
              <w:top w:val="nil"/>
              <w:left w:val="nil"/>
              <w:bottom w:val="single" w:sz="4" w:space="0" w:color="auto"/>
              <w:right w:val="single" w:sz="4" w:space="0" w:color="auto"/>
            </w:tcBorders>
            <w:noWrap/>
            <w:vAlign w:val="bottom"/>
            <w:hideMark/>
          </w:tcPr>
          <w:p w14:paraId="3E692C4C"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0.926</w:t>
            </w:r>
          </w:p>
        </w:tc>
        <w:tc>
          <w:tcPr>
            <w:tcW w:w="1429" w:type="dxa"/>
            <w:tcBorders>
              <w:top w:val="nil"/>
              <w:left w:val="nil"/>
              <w:bottom w:val="single" w:sz="4" w:space="0" w:color="auto"/>
              <w:right w:val="single" w:sz="4" w:space="0" w:color="auto"/>
            </w:tcBorders>
            <w:noWrap/>
            <w:vAlign w:val="bottom"/>
            <w:hideMark/>
          </w:tcPr>
          <w:p w14:paraId="63D53361"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10.19</w:t>
            </w:r>
          </w:p>
        </w:tc>
      </w:tr>
      <w:tr w:rsidR="00587E45" w:rsidRPr="00CB4CDE" w14:paraId="358147F8"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5B2E0E06"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8" w:type="dxa"/>
            <w:tcBorders>
              <w:top w:val="nil"/>
              <w:left w:val="nil"/>
              <w:bottom w:val="single" w:sz="4" w:space="0" w:color="auto"/>
              <w:right w:val="single" w:sz="4" w:space="0" w:color="auto"/>
            </w:tcBorders>
            <w:noWrap/>
            <w:vAlign w:val="bottom"/>
            <w:hideMark/>
          </w:tcPr>
          <w:p w14:paraId="10DCD26D"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501" w:type="dxa"/>
            <w:tcBorders>
              <w:top w:val="nil"/>
              <w:left w:val="nil"/>
              <w:bottom w:val="single" w:sz="4" w:space="0" w:color="auto"/>
              <w:right w:val="single" w:sz="4" w:space="0" w:color="auto"/>
            </w:tcBorders>
            <w:noWrap/>
            <w:vAlign w:val="bottom"/>
            <w:hideMark/>
          </w:tcPr>
          <w:p w14:paraId="028155B3"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0.857</w:t>
            </w:r>
          </w:p>
        </w:tc>
        <w:tc>
          <w:tcPr>
            <w:tcW w:w="1429" w:type="dxa"/>
            <w:tcBorders>
              <w:top w:val="nil"/>
              <w:left w:val="nil"/>
              <w:bottom w:val="single" w:sz="4" w:space="0" w:color="auto"/>
              <w:right w:val="single" w:sz="4" w:space="0" w:color="auto"/>
            </w:tcBorders>
            <w:noWrap/>
            <w:vAlign w:val="bottom"/>
            <w:hideMark/>
          </w:tcPr>
          <w:p w14:paraId="36C16D0C"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9.43</w:t>
            </w:r>
          </w:p>
        </w:tc>
      </w:tr>
      <w:tr w:rsidR="00587E45" w:rsidRPr="00CB4CDE" w14:paraId="41B5C58E"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3BB2C112"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8" w:type="dxa"/>
            <w:tcBorders>
              <w:top w:val="nil"/>
              <w:left w:val="nil"/>
              <w:bottom w:val="single" w:sz="4" w:space="0" w:color="auto"/>
              <w:right w:val="single" w:sz="4" w:space="0" w:color="auto"/>
            </w:tcBorders>
            <w:noWrap/>
            <w:vAlign w:val="bottom"/>
            <w:hideMark/>
          </w:tcPr>
          <w:p w14:paraId="53A5B06C"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501" w:type="dxa"/>
            <w:tcBorders>
              <w:top w:val="nil"/>
              <w:left w:val="nil"/>
              <w:bottom w:val="single" w:sz="4" w:space="0" w:color="auto"/>
              <w:right w:val="single" w:sz="4" w:space="0" w:color="auto"/>
            </w:tcBorders>
            <w:noWrap/>
            <w:vAlign w:val="bottom"/>
            <w:hideMark/>
          </w:tcPr>
          <w:p w14:paraId="166DF3C2"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0.794</w:t>
            </w:r>
          </w:p>
        </w:tc>
        <w:tc>
          <w:tcPr>
            <w:tcW w:w="1429" w:type="dxa"/>
            <w:tcBorders>
              <w:top w:val="nil"/>
              <w:left w:val="nil"/>
              <w:bottom w:val="single" w:sz="4" w:space="0" w:color="auto"/>
              <w:right w:val="single" w:sz="4" w:space="0" w:color="auto"/>
            </w:tcBorders>
            <w:noWrap/>
            <w:vAlign w:val="bottom"/>
            <w:hideMark/>
          </w:tcPr>
          <w:p w14:paraId="132D08C2"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8.73</w:t>
            </w:r>
          </w:p>
        </w:tc>
      </w:tr>
      <w:tr w:rsidR="00587E45" w:rsidRPr="00CB4CDE" w14:paraId="63F98392"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7568B292"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8" w:type="dxa"/>
            <w:tcBorders>
              <w:top w:val="nil"/>
              <w:left w:val="nil"/>
              <w:bottom w:val="single" w:sz="4" w:space="0" w:color="auto"/>
              <w:right w:val="single" w:sz="4" w:space="0" w:color="auto"/>
            </w:tcBorders>
            <w:noWrap/>
            <w:vAlign w:val="bottom"/>
            <w:hideMark/>
          </w:tcPr>
          <w:p w14:paraId="4C979103"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501" w:type="dxa"/>
            <w:tcBorders>
              <w:top w:val="nil"/>
              <w:left w:val="nil"/>
              <w:bottom w:val="single" w:sz="4" w:space="0" w:color="auto"/>
              <w:right w:val="single" w:sz="4" w:space="0" w:color="auto"/>
            </w:tcBorders>
            <w:noWrap/>
            <w:vAlign w:val="bottom"/>
            <w:hideMark/>
          </w:tcPr>
          <w:p w14:paraId="6DA2F13C"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0.735</w:t>
            </w:r>
          </w:p>
        </w:tc>
        <w:tc>
          <w:tcPr>
            <w:tcW w:w="1429" w:type="dxa"/>
            <w:tcBorders>
              <w:top w:val="nil"/>
              <w:left w:val="nil"/>
              <w:bottom w:val="single" w:sz="4" w:space="0" w:color="auto"/>
              <w:right w:val="single" w:sz="4" w:space="0" w:color="auto"/>
            </w:tcBorders>
            <w:noWrap/>
            <w:vAlign w:val="bottom"/>
            <w:hideMark/>
          </w:tcPr>
          <w:p w14:paraId="1F0D8023"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8.09</w:t>
            </w:r>
          </w:p>
        </w:tc>
      </w:tr>
      <w:tr w:rsidR="00587E45" w:rsidRPr="00CB4CDE" w14:paraId="3467B48E" w14:textId="77777777" w:rsidTr="00587E45">
        <w:trPr>
          <w:trHeight w:val="300"/>
          <w:jc w:val="center"/>
        </w:trPr>
        <w:tc>
          <w:tcPr>
            <w:tcW w:w="662" w:type="dxa"/>
            <w:tcBorders>
              <w:top w:val="nil"/>
              <w:left w:val="single" w:sz="4" w:space="0" w:color="auto"/>
              <w:bottom w:val="single" w:sz="4" w:space="0" w:color="auto"/>
              <w:right w:val="single" w:sz="4" w:space="0" w:color="auto"/>
            </w:tcBorders>
            <w:noWrap/>
            <w:vAlign w:val="bottom"/>
            <w:hideMark/>
          </w:tcPr>
          <w:p w14:paraId="76397577"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8" w:type="dxa"/>
            <w:tcBorders>
              <w:top w:val="nil"/>
              <w:left w:val="nil"/>
              <w:bottom w:val="single" w:sz="4" w:space="0" w:color="auto"/>
              <w:right w:val="single" w:sz="4" w:space="0" w:color="auto"/>
            </w:tcBorders>
            <w:noWrap/>
            <w:vAlign w:val="bottom"/>
            <w:hideMark/>
          </w:tcPr>
          <w:p w14:paraId="155C58FC"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501" w:type="dxa"/>
            <w:tcBorders>
              <w:top w:val="nil"/>
              <w:left w:val="nil"/>
              <w:bottom w:val="single" w:sz="4" w:space="0" w:color="auto"/>
              <w:right w:val="single" w:sz="4" w:space="0" w:color="auto"/>
            </w:tcBorders>
            <w:noWrap/>
            <w:vAlign w:val="bottom"/>
            <w:hideMark/>
          </w:tcPr>
          <w:p w14:paraId="12CE6DAD"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0.681</w:t>
            </w:r>
          </w:p>
        </w:tc>
        <w:tc>
          <w:tcPr>
            <w:tcW w:w="1429" w:type="dxa"/>
            <w:tcBorders>
              <w:top w:val="nil"/>
              <w:left w:val="nil"/>
              <w:bottom w:val="single" w:sz="4" w:space="0" w:color="auto"/>
              <w:right w:val="single" w:sz="4" w:space="0" w:color="auto"/>
            </w:tcBorders>
            <w:noWrap/>
            <w:vAlign w:val="bottom"/>
            <w:hideMark/>
          </w:tcPr>
          <w:p w14:paraId="14524D2F"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7.49</w:t>
            </w:r>
          </w:p>
        </w:tc>
      </w:tr>
      <w:tr w:rsidR="00587E45" w:rsidRPr="00CB4CDE" w14:paraId="4B07FA48" w14:textId="77777777" w:rsidTr="00587E45">
        <w:trPr>
          <w:trHeight w:val="600"/>
          <w:jc w:val="center"/>
        </w:trPr>
        <w:tc>
          <w:tcPr>
            <w:tcW w:w="662" w:type="dxa"/>
            <w:tcBorders>
              <w:top w:val="nil"/>
              <w:left w:val="single" w:sz="4" w:space="0" w:color="auto"/>
              <w:bottom w:val="single" w:sz="4" w:space="0" w:color="auto"/>
              <w:right w:val="single" w:sz="4" w:space="0" w:color="auto"/>
            </w:tcBorders>
            <w:noWrap/>
            <w:vAlign w:val="bottom"/>
            <w:hideMark/>
          </w:tcPr>
          <w:p w14:paraId="09867312"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8" w:type="dxa"/>
            <w:tcBorders>
              <w:top w:val="nil"/>
              <w:left w:val="nil"/>
              <w:bottom w:val="single" w:sz="4" w:space="0" w:color="auto"/>
              <w:right w:val="single" w:sz="4" w:space="0" w:color="auto"/>
            </w:tcBorders>
            <w:noWrap/>
            <w:vAlign w:val="bottom"/>
            <w:hideMark/>
          </w:tcPr>
          <w:p w14:paraId="05F937F5"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501" w:type="dxa"/>
            <w:tcBorders>
              <w:top w:val="nil"/>
              <w:left w:val="nil"/>
              <w:bottom w:val="single" w:sz="4" w:space="0" w:color="auto"/>
              <w:right w:val="single" w:sz="4" w:space="0" w:color="auto"/>
            </w:tcBorders>
            <w:vAlign w:val="bottom"/>
            <w:hideMark/>
          </w:tcPr>
          <w:p w14:paraId="44E4713E" w14:textId="77777777" w:rsidR="00587E45" w:rsidRPr="00CB4CDE" w:rsidRDefault="00587E45" w:rsidP="00587E45">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9" w:type="dxa"/>
            <w:tcBorders>
              <w:top w:val="nil"/>
              <w:left w:val="nil"/>
              <w:bottom w:val="single" w:sz="4" w:space="0" w:color="auto"/>
              <w:right w:val="single" w:sz="4" w:space="0" w:color="auto"/>
            </w:tcBorders>
            <w:noWrap/>
            <w:vAlign w:val="bottom"/>
            <w:hideMark/>
          </w:tcPr>
          <w:p w14:paraId="0AD93D0E" w14:textId="77777777" w:rsidR="00587E45" w:rsidRPr="00CB4CDE" w:rsidRDefault="00587E45" w:rsidP="00587E45">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43.92</w:t>
            </w:r>
          </w:p>
        </w:tc>
      </w:tr>
    </w:tbl>
    <w:p w14:paraId="55DC6DB2" w14:textId="77777777" w:rsidR="00587E45" w:rsidRPr="00CB4CDE" w:rsidRDefault="00587E45" w:rsidP="00587E45">
      <w:pPr>
        <w:rPr>
          <w:rFonts w:ascii="Arial" w:hAnsi="Arial" w:cs="Arial"/>
          <w:sz w:val="28"/>
          <w:szCs w:val="28"/>
        </w:rPr>
      </w:pPr>
    </w:p>
    <w:tbl>
      <w:tblPr>
        <w:tblW w:w="5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028"/>
        <w:gridCol w:w="2501"/>
        <w:gridCol w:w="1429"/>
      </w:tblGrid>
      <w:tr w:rsidR="00587E45" w:rsidRPr="00CB4CDE" w14:paraId="0A95AE62" w14:textId="77777777" w:rsidTr="00587E45">
        <w:trPr>
          <w:trHeight w:val="300"/>
          <w:jc w:val="center"/>
        </w:trPr>
        <w:tc>
          <w:tcPr>
            <w:tcW w:w="5620" w:type="dxa"/>
            <w:gridSpan w:val="4"/>
            <w:noWrap/>
            <w:vAlign w:val="bottom"/>
            <w:hideMark/>
          </w:tcPr>
          <w:p w14:paraId="42D899EB" w14:textId="77777777" w:rsidR="00587E45" w:rsidRPr="00CB4CDE" w:rsidRDefault="00587E45" w:rsidP="00587E45">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C</w:t>
            </w:r>
          </w:p>
        </w:tc>
      </w:tr>
      <w:tr w:rsidR="00587E45" w:rsidRPr="00CB4CDE" w14:paraId="1234F9CD" w14:textId="77777777" w:rsidTr="00587E45">
        <w:trPr>
          <w:trHeight w:val="300"/>
          <w:jc w:val="center"/>
        </w:trPr>
        <w:tc>
          <w:tcPr>
            <w:tcW w:w="662" w:type="dxa"/>
            <w:noWrap/>
            <w:vAlign w:val="bottom"/>
            <w:hideMark/>
          </w:tcPr>
          <w:p w14:paraId="2B4F8932"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8" w:type="dxa"/>
            <w:noWrap/>
            <w:vAlign w:val="bottom"/>
            <w:hideMark/>
          </w:tcPr>
          <w:p w14:paraId="254F015B"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501" w:type="dxa"/>
            <w:noWrap/>
            <w:vAlign w:val="bottom"/>
            <w:hideMark/>
          </w:tcPr>
          <w:p w14:paraId="62F3D0C1"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(8%)</w:t>
            </w:r>
          </w:p>
        </w:tc>
        <w:tc>
          <w:tcPr>
            <w:tcW w:w="1429" w:type="dxa"/>
            <w:noWrap/>
            <w:vAlign w:val="bottom"/>
            <w:hideMark/>
          </w:tcPr>
          <w:p w14:paraId="3E9C6E01" w14:textId="77777777" w:rsidR="00587E45" w:rsidRPr="00CB4CDE" w:rsidRDefault="00587E45" w:rsidP="00587E45">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587E45" w:rsidRPr="00CB4CDE" w14:paraId="3BB69EA8" w14:textId="77777777" w:rsidTr="00587E45">
        <w:trPr>
          <w:trHeight w:val="300"/>
          <w:jc w:val="center"/>
        </w:trPr>
        <w:tc>
          <w:tcPr>
            <w:tcW w:w="662" w:type="dxa"/>
            <w:noWrap/>
            <w:vAlign w:val="bottom"/>
            <w:hideMark/>
          </w:tcPr>
          <w:p w14:paraId="155FF45C"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8" w:type="dxa"/>
            <w:noWrap/>
            <w:vAlign w:val="bottom"/>
            <w:hideMark/>
          </w:tcPr>
          <w:p w14:paraId="1D2E1A75"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501" w:type="dxa"/>
            <w:noWrap/>
            <w:vAlign w:val="bottom"/>
            <w:hideMark/>
          </w:tcPr>
          <w:p w14:paraId="0CB9B45A"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0.926</w:t>
            </w:r>
          </w:p>
        </w:tc>
        <w:tc>
          <w:tcPr>
            <w:tcW w:w="1429" w:type="dxa"/>
            <w:noWrap/>
            <w:vAlign w:val="bottom"/>
            <w:hideMark/>
          </w:tcPr>
          <w:p w14:paraId="4B489CDD"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4.63</w:t>
            </w:r>
          </w:p>
        </w:tc>
      </w:tr>
      <w:tr w:rsidR="00587E45" w:rsidRPr="00CB4CDE" w14:paraId="4E905275" w14:textId="77777777" w:rsidTr="00587E45">
        <w:trPr>
          <w:trHeight w:val="300"/>
          <w:jc w:val="center"/>
        </w:trPr>
        <w:tc>
          <w:tcPr>
            <w:tcW w:w="662" w:type="dxa"/>
            <w:noWrap/>
            <w:vAlign w:val="bottom"/>
            <w:hideMark/>
          </w:tcPr>
          <w:p w14:paraId="67F15ABC"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8" w:type="dxa"/>
            <w:noWrap/>
            <w:vAlign w:val="bottom"/>
            <w:hideMark/>
          </w:tcPr>
          <w:p w14:paraId="3132D7FB"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501" w:type="dxa"/>
            <w:noWrap/>
            <w:vAlign w:val="bottom"/>
            <w:hideMark/>
          </w:tcPr>
          <w:p w14:paraId="0694916D"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0.857</w:t>
            </w:r>
          </w:p>
        </w:tc>
        <w:tc>
          <w:tcPr>
            <w:tcW w:w="1429" w:type="dxa"/>
            <w:noWrap/>
            <w:vAlign w:val="bottom"/>
            <w:hideMark/>
          </w:tcPr>
          <w:p w14:paraId="0C9BC2E4"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8.57</w:t>
            </w:r>
          </w:p>
        </w:tc>
      </w:tr>
      <w:tr w:rsidR="00587E45" w:rsidRPr="00CB4CDE" w14:paraId="5DB29A83" w14:textId="77777777" w:rsidTr="00587E45">
        <w:trPr>
          <w:trHeight w:val="300"/>
          <w:jc w:val="center"/>
        </w:trPr>
        <w:tc>
          <w:tcPr>
            <w:tcW w:w="662" w:type="dxa"/>
            <w:noWrap/>
            <w:vAlign w:val="bottom"/>
            <w:hideMark/>
          </w:tcPr>
          <w:p w14:paraId="11B84419"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8" w:type="dxa"/>
            <w:noWrap/>
            <w:vAlign w:val="bottom"/>
            <w:hideMark/>
          </w:tcPr>
          <w:p w14:paraId="651934A4"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20</w:t>
            </w:r>
          </w:p>
        </w:tc>
        <w:tc>
          <w:tcPr>
            <w:tcW w:w="2501" w:type="dxa"/>
            <w:noWrap/>
            <w:vAlign w:val="bottom"/>
            <w:hideMark/>
          </w:tcPr>
          <w:p w14:paraId="13057550"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0.794</w:t>
            </w:r>
          </w:p>
        </w:tc>
        <w:tc>
          <w:tcPr>
            <w:tcW w:w="1429" w:type="dxa"/>
            <w:noWrap/>
            <w:vAlign w:val="bottom"/>
            <w:hideMark/>
          </w:tcPr>
          <w:p w14:paraId="53722998"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15.88</w:t>
            </w:r>
          </w:p>
        </w:tc>
      </w:tr>
      <w:tr w:rsidR="00587E45" w:rsidRPr="00CB4CDE" w14:paraId="58546E59" w14:textId="77777777" w:rsidTr="00587E45">
        <w:trPr>
          <w:trHeight w:val="300"/>
          <w:jc w:val="center"/>
        </w:trPr>
        <w:tc>
          <w:tcPr>
            <w:tcW w:w="662" w:type="dxa"/>
            <w:noWrap/>
            <w:vAlign w:val="bottom"/>
            <w:hideMark/>
          </w:tcPr>
          <w:p w14:paraId="27DE7BD1"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8" w:type="dxa"/>
            <w:noWrap/>
            <w:vAlign w:val="bottom"/>
            <w:hideMark/>
          </w:tcPr>
          <w:p w14:paraId="1D40CDCE"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25</w:t>
            </w:r>
          </w:p>
        </w:tc>
        <w:tc>
          <w:tcPr>
            <w:tcW w:w="2501" w:type="dxa"/>
            <w:noWrap/>
            <w:vAlign w:val="bottom"/>
            <w:hideMark/>
          </w:tcPr>
          <w:p w14:paraId="5A24193F"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0.735</w:t>
            </w:r>
          </w:p>
        </w:tc>
        <w:tc>
          <w:tcPr>
            <w:tcW w:w="1429" w:type="dxa"/>
            <w:noWrap/>
            <w:vAlign w:val="bottom"/>
            <w:hideMark/>
          </w:tcPr>
          <w:p w14:paraId="35E975AE"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18.38</w:t>
            </w:r>
          </w:p>
        </w:tc>
      </w:tr>
      <w:tr w:rsidR="00587E45" w:rsidRPr="00CB4CDE" w14:paraId="5FC66EAA" w14:textId="77777777" w:rsidTr="00587E45">
        <w:trPr>
          <w:trHeight w:val="300"/>
          <w:jc w:val="center"/>
        </w:trPr>
        <w:tc>
          <w:tcPr>
            <w:tcW w:w="662" w:type="dxa"/>
            <w:noWrap/>
            <w:vAlign w:val="bottom"/>
            <w:hideMark/>
          </w:tcPr>
          <w:p w14:paraId="3A1A39E1"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8" w:type="dxa"/>
            <w:noWrap/>
            <w:vAlign w:val="bottom"/>
            <w:hideMark/>
          </w:tcPr>
          <w:p w14:paraId="1B2B35A5"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501" w:type="dxa"/>
            <w:noWrap/>
            <w:vAlign w:val="bottom"/>
            <w:hideMark/>
          </w:tcPr>
          <w:p w14:paraId="63B5CAAA"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0.681</w:t>
            </w:r>
          </w:p>
        </w:tc>
        <w:tc>
          <w:tcPr>
            <w:tcW w:w="1429" w:type="dxa"/>
            <w:noWrap/>
            <w:vAlign w:val="bottom"/>
            <w:hideMark/>
          </w:tcPr>
          <w:p w14:paraId="502CBFC9" w14:textId="77777777" w:rsidR="00587E45" w:rsidRPr="00CB4CDE" w:rsidRDefault="00587E45" w:rsidP="00587E45">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3.40</w:t>
            </w:r>
          </w:p>
        </w:tc>
      </w:tr>
      <w:tr w:rsidR="00587E45" w:rsidRPr="00CB4CDE" w14:paraId="7B430923" w14:textId="77777777" w:rsidTr="00587E45">
        <w:trPr>
          <w:trHeight w:val="600"/>
          <w:jc w:val="center"/>
        </w:trPr>
        <w:tc>
          <w:tcPr>
            <w:tcW w:w="662" w:type="dxa"/>
            <w:noWrap/>
            <w:vAlign w:val="bottom"/>
            <w:hideMark/>
          </w:tcPr>
          <w:p w14:paraId="5A905822"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8" w:type="dxa"/>
            <w:noWrap/>
            <w:vAlign w:val="bottom"/>
            <w:hideMark/>
          </w:tcPr>
          <w:p w14:paraId="6E91EB2A" w14:textId="77777777" w:rsidR="00587E45" w:rsidRPr="00CB4CDE" w:rsidRDefault="00587E45" w:rsidP="00587E45">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501" w:type="dxa"/>
            <w:vAlign w:val="bottom"/>
            <w:hideMark/>
          </w:tcPr>
          <w:p w14:paraId="6EF789CA" w14:textId="77777777" w:rsidR="00587E45" w:rsidRPr="00CB4CDE" w:rsidRDefault="00587E45" w:rsidP="00587E45">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9" w:type="dxa"/>
            <w:noWrap/>
            <w:vAlign w:val="bottom"/>
            <w:hideMark/>
          </w:tcPr>
          <w:p w14:paraId="296DFB00" w14:textId="77777777" w:rsidR="00587E45" w:rsidRPr="00CB4CDE" w:rsidRDefault="00587E45" w:rsidP="00587E45">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50.86</w:t>
            </w:r>
          </w:p>
        </w:tc>
      </w:tr>
    </w:tbl>
    <w:p w14:paraId="15100CC8" w14:textId="77777777" w:rsidR="00587E45" w:rsidRPr="00CB4CDE" w:rsidRDefault="00587E45" w:rsidP="00587E45">
      <w:pPr>
        <w:rPr>
          <w:rFonts w:ascii="Arial" w:hAnsi="Arial" w:cs="Arial"/>
        </w:rPr>
      </w:pPr>
    </w:p>
    <w:p w14:paraId="11D5449A" w14:textId="48920C00" w:rsidR="00587E45" w:rsidRPr="00CB4CDE" w:rsidRDefault="00B11A77" w:rsidP="00587E45">
      <w:pPr>
        <w:rPr>
          <w:rFonts w:ascii="Arial" w:hAnsi="Arial" w:cs="Arial"/>
          <w:u w:val="single"/>
        </w:rPr>
      </w:pPr>
      <w:r w:rsidRPr="00CB4CDE">
        <w:rPr>
          <w:rFonts w:ascii="Arial" w:hAnsi="Arial" w:cs="Arial"/>
          <w:u w:val="single"/>
        </w:rPr>
        <w:t xml:space="preserve">3.2 </w:t>
      </w:r>
      <w:r w:rsidR="00587E45" w:rsidRPr="00CB4CDE">
        <w:rPr>
          <w:rFonts w:ascii="Arial" w:hAnsi="Arial" w:cs="Arial"/>
          <w:u w:val="single"/>
        </w:rPr>
        <w:t>Calculating NPV:</w:t>
      </w:r>
    </w:p>
    <w:p w14:paraId="13ADF20D" w14:textId="77777777" w:rsidR="00587E45" w:rsidRPr="00CB4CDE" w:rsidRDefault="00587E45" w:rsidP="00587E45">
      <w:pPr>
        <w:rPr>
          <w:rFonts w:ascii="Arial" w:hAnsi="Arial" w:cs="Arial"/>
        </w:rPr>
      </w:pPr>
      <w:r w:rsidRPr="00CB4CDE">
        <w:rPr>
          <w:rFonts w:ascii="Arial" w:hAnsi="Arial" w:cs="Arial"/>
          <w:b/>
          <w:bCs/>
        </w:rPr>
        <w:t>NPV of project A =</w:t>
      </w:r>
      <w:r w:rsidRPr="00CB4CDE">
        <w:rPr>
          <w:rFonts w:ascii="Arial" w:hAnsi="Arial" w:cs="Arial"/>
        </w:rPr>
        <w:t xml:space="preserve"> 43.46-50 = </w:t>
      </w:r>
      <w:r w:rsidRPr="00CB4CDE">
        <w:rPr>
          <w:rFonts w:ascii="Arial" w:hAnsi="Arial" w:cs="Arial"/>
          <w:b/>
          <w:bCs/>
        </w:rPr>
        <w:t>-6.54</w:t>
      </w:r>
    </w:p>
    <w:p w14:paraId="7B50AB65" w14:textId="77777777" w:rsidR="00587E45" w:rsidRPr="00CB4CDE" w:rsidRDefault="00587E45" w:rsidP="00587E45">
      <w:pPr>
        <w:rPr>
          <w:rFonts w:ascii="Arial" w:hAnsi="Arial" w:cs="Arial"/>
        </w:rPr>
      </w:pPr>
      <w:r w:rsidRPr="00CB4CDE">
        <w:rPr>
          <w:rFonts w:ascii="Arial" w:hAnsi="Arial" w:cs="Arial"/>
          <w:b/>
          <w:bCs/>
        </w:rPr>
        <w:t>NPV of Project B=</w:t>
      </w:r>
      <w:r w:rsidRPr="00CB4CDE">
        <w:rPr>
          <w:rFonts w:ascii="Arial" w:hAnsi="Arial" w:cs="Arial"/>
        </w:rPr>
        <w:t xml:space="preserve"> 43.92-50 = </w:t>
      </w:r>
      <w:r w:rsidRPr="00CB4CDE">
        <w:rPr>
          <w:rFonts w:ascii="Arial" w:hAnsi="Arial" w:cs="Arial"/>
          <w:b/>
          <w:bCs/>
        </w:rPr>
        <w:t>-6.08</w:t>
      </w:r>
    </w:p>
    <w:p w14:paraId="060DB0D4" w14:textId="77777777" w:rsidR="00587E45" w:rsidRPr="00CB4CDE" w:rsidRDefault="00587E45" w:rsidP="00587E45">
      <w:pPr>
        <w:rPr>
          <w:rFonts w:ascii="Arial" w:hAnsi="Arial" w:cs="Arial"/>
        </w:rPr>
      </w:pPr>
      <w:r w:rsidRPr="00CB4CDE">
        <w:rPr>
          <w:rFonts w:ascii="Arial" w:hAnsi="Arial" w:cs="Arial"/>
          <w:b/>
          <w:bCs/>
        </w:rPr>
        <w:t>NPV of Project C =</w:t>
      </w:r>
      <w:r w:rsidRPr="00CB4CDE">
        <w:rPr>
          <w:rFonts w:ascii="Arial" w:hAnsi="Arial" w:cs="Arial"/>
        </w:rPr>
        <w:t xml:space="preserve"> 50.86-50 =</w:t>
      </w:r>
      <w:r w:rsidRPr="00CB4CDE">
        <w:rPr>
          <w:rFonts w:ascii="Arial" w:hAnsi="Arial" w:cs="Arial"/>
          <w:b/>
          <w:bCs/>
        </w:rPr>
        <w:t xml:space="preserve"> 0.86</w:t>
      </w:r>
    </w:p>
    <w:p w14:paraId="0F34BF21" w14:textId="77777777" w:rsidR="00587E45" w:rsidRPr="00CB4CDE" w:rsidRDefault="00587E45" w:rsidP="00587E45">
      <w:pPr>
        <w:rPr>
          <w:rFonts w:ascii="Arial" w:hAnsi="Arial" w:cs="Arial"/>
        </w:rPr>
      </w:pPr>
    </w:p>
    <w:p w14:paraId="24089FA3" w14:textId="120F26D3" w:rsidR="00936FD4" w:rsidRPr="00CB4CDE" w:rsidRDefault="00936FD4" w:rsidP="00587E45">
      <w:pPr>
        <w:rPr>
          <w:rFonts w:ascii="Arial" w:hAnsi="Arial" w:cs="Arial"/>
        </w:rPr>
      </w:pPr>
      <w:r w:rsidRPr="00CB4CDE">
        <w:rPr>
          <w:rFonts w:ascii="Arial" w:hAnsi="Arial" w:cs="Arial"/>
          <w:b/>
          <w:bCs/>
        </w:rPr>
        <w:t>4. Profitability index</w:t>
      </w:r>
    </w:p>
    <w:tbl>
      <w:tblPr>
        <w:tblStyle w:val="TableGrid"/>
        <w:tblW w:w="0" w:type="auto"/>
        <w:jc w:val="center"/>
        <w:tblLook w:val="04A0" w:firstRow="1" w:lastRow="0" w:firstColumn="1" w:lastColumn="0" w:noHBand="0" w:noVBand="1"/>
      </w:tblPr>
      <w:tblGrid>
        <w:gridCol w:w="1820"/>
        <w:gridCol w:w="5420"/>
      </w:tblGrid>
      <w:tr w:rsidR="00936FD4" w:rsidRPr="00CB4CDE" w14:paraId="035B1D0B" w14:textId="77777777" w:rsidTr="00616AAE">
        <w:trPr>
          <w:trHeight w:val="300"/>
          <w:jc w:val="center"/>
        </w:trPr>
        <w:tc>
          <w:tcPr>
            <w:tcW w:w="1820" w:type="dxa"/>
            <w:noWrap/>
            <w:hideMark/>
          </w:tcPr>
          <w:p w14:paraId="7B364632" w14:textId="3055419A" w:rsidR="00936FD4" w:rsidRPr="00CB4CDE" w:rsidRDefault="00936FD4" w:rsidP="00936FD4">
            <w:pPr>
              <w:rPr>
                <w:rFonts w:ascii="Arial" w:hAnsi="Arial" w:cs="Arial"/>
                <w:b/>
                <w:bCs/>
              </w:rPr>
            </w:pPr>
            <w:r w:rsidRPr="00CB4CDE">
              <w:rPr>
                <w:rFonts w:ascii="Arial" w:hAnsi="Arial" w:cs="Arial"/>
                <w:b/>
                <w:bCs/>
              </w:rPr>
              <w:t>Formula:</w:t>
            </w:r>
          </w:p>
        </w:tc>
        <w:tc>
          <w:tcPr>
            <w:tcW w:w="5420" w:type="dxa"/>
            <w:noWrap/>
            <w:hideMark/>
          </w:tcPr>
          <w:p w14:paraId="6C2FDDC1" w14:textId="77777777" w:rsidR="00936FD4" w:rsidRPr="00CB4CDE" w:rsidRDefault="00936FD4">
            <w:pPr>
              <w:rPr>
                <w:rFonts w:ascii="Arial" w:hAnsi="Arial" w:cs="Arial"/>
                <w:b/>
                <w:bCs/>
              </w:rPr>
            </w:pPr>
            <w:r w:rsidRPr="00CB4CDE">
              <w:rPr>
                <w:rFonts w:ascii="Arial" w:hAnsi="Arial" w:cs="Arial"/>
                <w:b/>
                <w:bCs/>
              </w:rPr>
              <w:t>Present Value of Future Cash Flows / Initial Investment</w:t>
            </w:r>
          </w:p>
        </w:tc>
      </w:tr>
      <w:tr w:rsidR="00936FD4" w:rsidRPr="00CB4CDE" w14:paraId="28107661" w14:textId="77777777" w:rsidTr="00616AAE">
        <w:trPr>
          <w:trHeight w:val="300"/>
          <w:jc w:val="center"/>
        </w:trPr>
        <w:tc>
          <w:tcPr>
            <w:tcW w:w="1820" w:type="dxa"/>
            <w:noWrap/>
            <w:hideMark/>
          </w:tcPr>
          <w:p w14:paraId="5975E013" w14:textId="77777777" w:rsidR="00936FD4" w:rsidRPr="00CB4CDE" w:rsidRDefault="00936FD4">
            <w:pPr>
              <w:rPr>
                <w:rFonts w:ascii="Arial" w:hAnsi="Arial" w:cs="Arial"/>
              </w:rPr>
            </w:pPr>
            <w:r w:rsidRPr="00CB4CDE">
              <w:rPr>
                <w:rFonts w:ascii="Arial" w:hAnsi="Arial" w:cs="Arial"/>
              </w:rPr>
              <w:t>Project A</w:t>
            </w:r>
          </w:p>
        </w:tc>
        <w:tc>
          <w:tcPr>
            <w:tcW w:w="5420" w:type="dxa"/>
            <w:noWrap/>
            <w:hideMark/>
          </w:tcPr>
          <w:p w14:paraId="1A2211C5" w14:textId="77777777" w:rsidR="00936FD4" w:rsidRPr="00CB4CDE" w:rsidRDefault="00936FD4">
            <w:pPr>
              <w:rPr>
                <w:rFonts w:ascii="Arial" w:hAnsi="Arial" w:cs="Arial"/>
              </w:rPr>
            </w:pPr>
            <w:r w:rsidRPr="00CB4CDE">
              <w:rPr>
                <w:rFonts w:ascii="Arial" w:hAnsi="Arial" w:cs="Arial"/>
              </w:rPr>
              <w:t xml:space="preserve">(43.46/50) = </w:t>
            </w:r>
            <w:r w:rsidRPr="00CB4CDE">
              <w:rPr>
                <w:rFonts w:ascii="Arial" w:hAnsi="Arial" w:cs="Arial"/>
                <w:b/>
                <w:bCs/>
              </w:rPr>
              <w:t>0.869</w:t>
            </w:r>
          </w:p>
        </w:tc>
      </w:tr>
      <w:tr w:rsidR="00936FD4" w:rsidRPr="00CB4CDE" w14:paraId="5C451E04" w14:textId="77777777" w:rsidTr="00616AAE">
        <w:trPr>
          <w:trHeight w:val="300"/>
          <w:jc w:val="center"/>
        </w:trPr>
        <w:tc>
          <w:tcPr>
            <w:tcW w:w="1820" w:type="dxa"/>
            <w:noWrap/>
            <w:hideMark/>
          </w:tcPr>
          <w:p w14:paraId="1A9A297A" w14:textId="77777777" w:rsidR="00936FD4" w:rsidRPr="00CB4CDE" w:rsidRDefault="00936FD4">
            <w:pPr>
              <w:rPr>
                <w:rFonts w:ascii="Arial" w:hAnsi="Arial" w:cs="Arial"/>
              </w:rPr>
            </w:pPr>
            <w:r w:rsidRPr="00CB4CDE">
              <w:rPr>
                <w:rFonts w:ascii="Arial" w:hAnsi="Arial" w:cs="Arial"/>
              </w:rPr>
              <w:t>Project B</w:t>
            </w:r>
          </w:p>
        </w:tc>
        <w:tc>
          <w:tcPr>
            <w:tcW w:w="5420" w:type="dxa"/>
            <w:noWrap/>
            <w:hideMark/>
          </w:tcPr>
          <w:p w14:paraId="2735F6AD" w14:textId="77777777" w:rsidR="00936FD4" w:rsidRPr="00CB4CDE" w:rsidRDefault="00936FD4">
            <w:pPr>
              <w:rPr>
                <w:rFonts w:ascii="Arial" w:hAnsi="Arial" w:cs="Arial"/>
              </w:rPr>
            </w:pPr>
            <w:r w:rsidRPr="00CB4CDE">
              <w:rPr>
                <w:rFonts w:ascii="Arial" w:hAnsi="Arial" w:cs="Arial"/>
              </w:rPr>
              <w:t xml:space="preserve">(43.92/50) = </w:t>
            </w:r>
            <w:r w:rsidRPr="00CB4CDE">
              <w:rPr>
                <w:rFonts w:ascii="Arial" w:hAnsi="Arial" w:cs="Arial"/>
                <w:b/>
                <w:bCs/>
              </w:rPr>
              <w:t>0.878</w:t>
            </w:r>
          </w:p>
        </w:tc>
      </w:tr>
      <w:tr w:rsidR="00936FD4" w:rsidRPr="00CB4CDE" w14:paraId="7FB890FD" w14:textId="77777777" w:rsidTr="00616AAE">
        <w:trPr>
          <w:trHeight w:val="300"/>
          <w:jc w:val="center"/>
        </w:trPr>
        <w:tc>
          <w:tcPr>
            <w:tcW w:w="1820" w:type="dxa"/>
            <w:noWrap/>
            <w:hideMark/>
          </w:tcPr>
          <w:p w14:paraId="629D711E" w14:textId="77777777" w:rsidR="00936FD4" w:rsidRPr="00CB4CDE" w:rsidRDefault="00936FD4">
            <w:pPr>
              <w:rPr>
                <w:rFonts w:ascii="Arial" w:hAnsi="Arial" w:cs="Arial"/>
              </w:rPr>
            </w:pPr>
            <w:r w:rsidRPr="00CB4CDE">
              <w:rPr>
                <w:rFonts w:ascii="Arial" w:hAnsi="Arial" w:cs="Arial"/>
              </w:rPr>
              <w:t>Project C</w:t>
            </w:r>
          </w:p>
        </w:tc>
        <w:tc>
          <w:tcPr>
            <w:tcW w:w="5420" w:type="dxa"/>
            <w:noWrap/>
            <w:hideMark/>
          </w:tcPr>
          <w:p w14:paraId="4D097ACB" w14:textId="77777777" w:rsidR="00936FD4" w:rsidRPr="00CB4CDE" w:rsidRDefault="00936FD4">
            <w:pPr>
              <w:rPr>
                <w:rFonts w:ascii="Arial" w:hAnsi="Arial" w:cs="Arial"/>
              </w:rPr>
            </w:pPr>
            <w:r w:rsidRPr="00CB4CDE">
              <w:rPr>
                <w:rFonts w:ascii="Arial" w:hAnsi="Arial" w:cs="Arial"/>
              </w:rPr>
              <w:t xml:space="preserve">(50.86/50) = </w:t>
            </w:r>
            <w:r w:rsidRPr="00CB4CDE">
              <w:rPr>
                <w:rFonts w:ascii="Arial" w:hAnsi="Arial" w:cs="Arial"/>
                <w:b/>
                <w:bCs/>
              </w:rPr>
              <w:t>1.017</w:t>
            </w:r>
          </w:p>
        </w:tc>
      </w:tr>
    </w:tbl>
    <w:p w14:paraId="4424BDE0" w14:textId="77777777" w:rsidR="00936FD4" w:rsidRPr="00CB4CDE" w:rsidRDefault="00936FD4" w:rsidP="00587E45">
      <w:pPr>
        <w:rPr>
          <w:rFonts w:ascii="Arial" w:hAnsi="Arial" w:cs="Arial"/>
        </w:rPr>
      </w:pPr>
    </w:p>
    <w:p w14:paraId="7327967D" w14:textId="353A9FCA" w:rsidR="00587E45" w:rsidRPr="00CB4CDE" w:rsidRDefault="00616AAE" w:rsidP="00044024">
      <w:pPr>
        <w:rPr>
          <w:rFonts w:ascii="Arial" w:hAnsi="Arial" w:cs="Arial"/>
        </w:rPr>
      </w:pPr>
      <w:r w:rsidRPr="00CB4CDE">
        <w:rPr>
          <w:rFonts w:ascii="Arial" w:hAnsi="Arial" w:cs="Arial"/>
          <w:b/>
          <w:bCs/>
        </w:rPr>
        <w:t>5. Internal Rate of Return</w:t>
      </w:r>
    </w:p>
    <w:p w14:paraId="51612FC3" w14:textId="219ABF91" w:rsidR="00616AAE" w:rsidRPr="00CB4CDE" w:rsidRDefault="00616AAE" w:rsidP="00044024">
      <w:pPr>
        <w:rPr>
          <w:rFonts w:ascii="Arial" w:hAnsi="Arial" w:cs="Arial"/>
        </w:rPr>
      </w:pPr>
      <w:r w:rsidRPr="00CB4CDE">
        <w:rPr>
          <w:rFonts w:ascii="Arial" w:hAnsi="Arial" w:cs="Arial"/>
        </w:rPr>
        <w:t>Formula is as follows:</w:t>
      </w:r>
    </w:p>
    <w:tbl>
      <w:tblPr>
        <w:tblStyle w:val="TableGrid"/>
        <w:tblW w:w="0" w:type="auto"/>
        <w:jc w:val="center"/>
        <w:tblLook w:val="04A0" w:firstRow="1" w:lastRow="0" w:firstColumn="1" w:lastColumn="0" w:noHBand="0" w:noVBand="1"/>
      </w:tblPr>
      <w:tblGrid>
        <w:gridCol w:w="1600"/>
        <w:gridCol w:w="960"/>
        <w:gridCol w:w="3105"/>
        <w:gridCol w:w="2520"/>
      </w:tblGrid>
      <w:tr w:rsidR="00616AAE" w:rsidRPr="00CB4CDE" w14:paraId="6EF9972B" w14:textId="77777777" w:rsidTr="00616AAE">
        <w:trPr>
          <w:trHeight w:val="300"/>
          <w:jc w:val="center"/>
        </w:trPr>
        <w:tc>
          <w:tcPr>
            <w:tcW w:w="1600" w:type="dxa"/>
            <w:noWrap/>
            <w:hideMark/>
          </w:tcPr>
          <w:p w14:paraId="5EB35CF1" w14:textId="77777777" w:rsidR="00616AAE" w:rsidRPr="00CB4CDE" w:rsidRDefault="00616AAE" w:rsidP="00616AAE">
            <w:pPr>
              <w:rPr>
                <w:rFonts w:ascii="Arial" w:hAnsi="Arial" w:cs="Arial"/>
                <w:b/>
                <w:bCs/>
              </w:rPr>
            </w:pPr>
            <w:r w:rsidRPr="00CB4CDE">
              <w:rPr>
                <w:rFonts w:ascii="Arial" w:hAnsi="Arial" w:cs="Arial"/>
                <w:b/>
                <w:bCs/>
              </w:rPr>
              <w:t>IRR=</w:t>
            </w:r>
          </w:p>
        </w:tc>
        <w:tc>
          <w:tcPr>
            <w:tcW w:w="960" w:type="dxa"/>
            <w:noWrap/>
            <w:hideMark/>
          </w:tcPr>
          <w:p w14:paraId="22017EF7" w14:textId="77777777" w:rsidR="00616AAE" w:rsidRPr="00CB4CDE" w:rsidRDefault="00616AAE" w:rsidP="00616AAE">
            <w:pPr>
              <w:jc w:val="center"/>
              <w:rPr>
                <w:rFonts w:ascii="Arial" w:hAnsi="Arial" w:cs="Arial"/>
              </w:rPr>
            </w:pPr>
            <w:r w:rsidRPr="00CB4CDE">
              <w:rPr>
                <w:rFonts w:ascii="Arial" w:hAnsi="Arial" w:cs="Arial"/>
              </w:rPr>
              <w:t>LDR+</w:t>
            </w:r>
          </w:p>
        </w:tc>
        <w:tc>
          <w:tcPr>
            <w:tcW w:w="3105" w:type="dxa"/>
            <w:noWrap/>
            <w:hideMark/>
          </w:tcPr>
          <w:p w14:paraId="2E709569" w14:textId="77777777" w:rsidR="00616AAE" w:rsidRPr="00CB4CDE" w:rsidRDefault="00616AAE" w:rsidP="00616AAE">
            <w:pPr>
              <w:jc w:val="center"/>
              <w:rPr>
                <w:rFonts w:ascii="Arial" w:hAnsi="Arial" w:cs="Arial"/>
                <w:u w:val="single"/>
              </w:rPr>
            </w:pPr>
            <w:r w:rsidRPr="00CB4CDE">
              <w:rPr>
                <w:rFonts w:ascii="Arial" w:hAnsi="Arial" w:cs="Arial"/>
                <w:u w:val="single"/>
              </w:rPr>
              <w:t>NPV at LDR</w:t>
            </w:r>
          </w:p>
        </w:tc>
        <w:tc>
          <w:tcPr>
            <w:tcW w:w="2520" w:type="dxa"/>
            <w:noWrap/>
            <w:hideMark/>
          </w:tcPr>
          <w:p w14:paraId="3020A228" w14:textId="77777777" w:rsidR="00616AAE" w:rsidRPr="00CB4CDE" w:rsidRDefault="00616AAE" w:rsidP="00616AAE">
            <w:pPr>
              <w:jc w:val="center"/>
              <w:rPr>
                <w:rFonts w:ascii="Arial" w:hAnsi="Arial" w:cs="Arial"/>
              </w:rPr>
            </w:pPr>
            <w:r w:rsidRPr="00CB4CDE">
              <w:rPr>
                <w:rFonts w:ascii="Arial" w:hAnsi="Arial" w:cs="Arial"/>
              </w:rPr>
              <w:t>* (HDR-LDR)</w:t>
            </w:r>
          </w:p>
        </w:tc>
      </w:tr>
      <w:tr w:rsidR="00616AAE" w:rsidRPr="00CB4CDE" w14:paraId="1DA7B603" w14:textId="77777777" w:rsidTr="00616AAE">
        <w:trPr>
          <w:trHeight w:val="300"/>
          <w:jc w:val="center"/>
        </w:trPr>
        <w:tc>
          <w:tcPr>
            <w:tcW w:w="1600" w:type="dxa"/>
            <w:noWrap/>
            <w:hideMark/>
          </w:tcPr>
          <w:p w14:paraId="78294720" w14:textId="77777777" w:rsidR="00616AAE" w:rsidRPr="00CB4CDE" w:rsidRDefault="00616AAE">
            <w:pPr>
              <w:rPr>
                <w:rFonts w:ascii="Arial" w:hAnsi="Arial" w:cs="Arial"/>
                <w:b/>
                <w:bCs/>
              </w:rPr>
            </w:pPr>
            <w:r w:rsidRPr="00CB4CDE">
              <w:rPr>
                <w:rFonts w:ascii="Arial" w:hAnsi="Arial" w:cs="Arial"/>
                <w:b/>
                <w:bCs/>
              </w:rPr>
              <w:t> </w:t>
            </w:r>
          </w:p>
        </w:tc>
        <w:tc>
          <w:tcPr>
            <w:tcW w:w="960" w:type="dxa"/>
            <w:noWrap/>
            <w:hideMark/>
          </w:tcPr>
          <w:p w14:paraId="629A963A" w14:textId="506F42B6" w:rsidR="00616AAE" w:rsidRPr="00CB4CDE" w:rsidRDefault="00616AAE" w:rsidP="00616AAE">
            <w:pPr>
              <w:jc w:val="center"/>
              <w:rPr>
                <w:rFonts w:ascii="Arial" w:hAnsi="Arial" w:cs="Arial"/>
              </w:rPr>
            </w:pPr>
          </w:p>
        </w:tc>
        <w:tc>
          <w:tcPr>
            <w:tcW w:w="3105" w:type="dxa"/>
            <w:noWrap/>
            <w:hideMark/>
          </w:tcPr>
          <w:p w14:paraId="5F8215CC" w14:textId="77777777" w:rsidR="00616AAE" w:rsidRPr="00CB4CDE" w:rsidRDefault="00616AAE" w:rsidP="00616AAE">
            <w:pPr>
              <w:jc w:val="center"/>
              <w:rPr>
                <w:rFonts w:ascii="Arial" w:hAnsi="Arial" w:cs="Arial"/>
              </w:rPr>
            </w:pPr>
            <w:r w:rsidRPr="00CB4CDE">
              <w:rPr>
                <w:rFonts w:ascii="Arial" w:hAnsi="Arial" w:cs="Arial"/>
              </w:rPr>
              <w:t>NPV at LDR- NPV at HDR</w:t>
            </w:r>
          </w:p>
        </w:tc>
        <w:tc>
          <w:tcPr>
            <w:tcW w:w="2520" w:type="dxa"/>
            <w:noWrap/>
            <w:hideMark/>
          </w:tcPr>
          <w:p w14:paraId="1C8B0E13" w14:textId="575F2EC9" w:rsidR="00616AAE" w:rsidRPr="00CB4CDE" w:rsidRDefault="00616AAE" w:rsidP="00616AAE">
            <w:pPr>
              <w:jc w:val="center"/>
              <w:rPr>
                <w:rFonts w:ascii="Arial" w:hAnsi="Arial" w:cs="Arial"/>
              </w:rPr>
            </w:pPr>
          </w:p>
        </w:tc>
      </w:tr>
    </w:tbl>
    <w:p w14:paraId="381D77CD" w14:textId="6F64518D" w:rsidR="00616AAE" w:rsidRPr="00CB4CDE" w:rsidRDefault="00616AAE" w:rsidP="00044024">
      <w:pPr>
        <w:rPr>
          <w:rFonts w:ascii="Arial" w:hAnsi="Arial" w:cs="Arial"/>
        </w:rPr>
      </w:pPr>
      <w:r w:rsidRPr="00CB4CDE">
        <w:rPr>
          <w:rFonts w:ascii="Arial" w:hAnsi="Arial" w:cs="Arial"/>
          <w:b/>
          <w:bCs/>
        </w:rPr>
        <w:t>Step 1: Calculation of LDR and HDR</w:t>
      </w:r>
    </w:p>
    <w:p w14:paraId="788D04DC" w14:textId="36850D16" w:rsidR="00616AAE" w:rsidRPr="00CB4CDE" w:rsidRDefault="00616AAE" w:rsidP="00044024">
      <w:pPr>
        <w:rPr>
          <w:rFonts w:ascii="Arial" w:hAnsi="Arial" w:cs="Arial"/>
        </w:rPr>
      </w:pPr>
      <w:r w:rsidRPr="00CB4CDE">
        <w:rPr>
          <w:rFonts w:ascii="Arial" w:hAnsi="Arial" w:cs="Arial"/>
          <w:u w:val="single"/>
        </w:rPr>
        <w:t>Project A</w:t>
      </w:r>
    </w:p>
    <w:p w14:paraId="4D85331C" w14:textId="296C4EA0" w:rsidR="00832F05" w:rsidRPr="00CB4CDE" w:rsidRDefault="00832F05" w:rsidP="00832F05">
      <w:pPr>
        <w:rPr>
          <w:rFonts w:ascii="Arial" w:hAnsi="Arial" w:cs="Arial"/>
        </w:rPr>
      </w:pPr>
      <w:r w:rsidRPr="00CB4CDE">
        <w:rPr>
          <w:rFonts w:ascii="Arial" w:hAnsi="Arial" w:cs="Arial"/>
          <w:b/>
          <w:bCs/>
        </w:rPr>
        <w:t xml:space="preserve">LDR: </w:t>
      </w:r>
      <w:r w:rsidRPr="00CB4CDE">
        <w:rPr>
          <w:rFonts w:ascii="Arial" w:hAnsi="Arial" w:cs="Arial"/>
        </w:rPr>
        <w:t>2%</w:t>
      </w:r>
    </w:p>
    <w:p w14:paraId="0A06956A" w14:textId="19563F01" w:rsidR="00832F05" w:rsidRPr="00CB4CDE" w:rsidRDefault="00832F05" w:rsidP="00832F05">
      <w:pPr>
        <w:rPr>
          <w:rFonts w:ascii="Arial" w:hAnsi="Arial" w:cs="Arial"/>
        </w:rPr>
      </w:pPr>
      <w:r w:rsidRPr="00CB4CDE">
        <w:rPr>
          <w:rFonts w:ascii="Arial" w:hAnsi="Arial" w:cs="Arial"/>
          <w:b/>
          <w:bCs/>
        </w:rPr>
        <w:t xml:space="preserve">HDR: </w:t>
      </w:r>
      <w:r w:rsidRPr="00CB4CDE">
        <w:rPr>
          <w:rFonts w:ascii="Arial" w:hAnsi="Arial" w:cs="Arial"/>
        </w:rPr>
        <w:t>4%</w:t>
      </w:r>
    </w:p>
    <w:tbl>
      <w:tblPr>
        <w:tblW w:w="5620" w:type="dxa"/>
        <w:jc w:val="center"/>
        <w:tblLook w:val="04A0" w:firstRow="1" w:lastRow="0" w:firstColumn="1" w:lastColumn="0" w:noHBand="0" w:noVBand="1"/>
      </w:tblPr>
      <w:tblGrid>
        <w:gridCol w:w="737"/>
        <w:gridCol w:w="1025"/>
        <w:gridCol w:w="2494"/>
        <w:gridCol w:w="1425"/>
      </w:tblGrid>
      <w:tr w:rsidR="00616AAE" w:rsidRPr="00CB4CDE" w14:paraId="3431891B" w14:textId="77777777" w:rsidTr="00616AAE">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618B3307" w14:textId="4389B800" w:rsidR="00616AAE" w:rsidRPr="00CB4CDE" w:rsidRDefault="00616AAE" w:rsidP="00616AA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A (NPV at LDR)</w:t>
            </w:r>
          </w:p>
        </w:tc>
      </w:tr>
      <w:tr w:rsidR="00616AAE" w:rsidRPr="00CB4CDE" w14:paraId="48214E28"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6B65AA6C"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5" w:type="dxa"/>
            <w:tcBorders>
              <w:top w:val="nil"/>
              <w:left w:val="nil"/>
              <w:bottom w:val="single" w:sz="4" w:space="0" w:color="auto"/>
              <w:right w:val="single" w:sz="4" w:space="0" w:color="auto"/>
            </w:tcBorders>
            <w:noWrap/>
            <w:vAlign w:val="bottom"/>
            <w:hideMark/>
          </w:tcPr>
          <w:p w14:paraId="3647D45E"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494" w:type="dxa"/>
            <w:tcBorders>
              <w:top w:val="nil"/>
              <w:left w:val="nil"/>
              <w:bottom w:val="single" w:sz="4" w:space="0" w:color="auto"/>
              <w:right w:val="single" w:sz="4" w:space="0" w:color="auto"/>
            </w:tcBorders>
            <w:noWrap/>
            <w:vAlign w:val="bottom"/>
            <w:hideMark/>
          </w:tcPr>
          <w:p w14:paraId="7CAAD99C"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(2%)</w:t>
            </w:r>
          </w:p>
        </w:tc>
        <w:tc>
          <w:tcPr>
            <w:tcW w:w="1425" w:type="dxa"/>
            <w:tcBorders>
              <w:top w:val="nil"/>
              <w:left w:val="nil"/>
              <w:bottom w:val="single" w:sz="4" w:space="0" w:color="auto"/>
              <w:right w:val="single" w:sz="4" w:space="0" w:color="auto"/>
            </w:tcBorders>
            <w:noWrap/>
            <w:vAlign w:val="bottom"/>
            <w:hideMark/>
          </w:tcPr>
          <w:p w14:paraId="416B301B"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616AAE" w:rsidRPr="00CB4CDE" w14:paraId="3400050B"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40C01FE9"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 0</w:t>
            </w:r>
          </w:p>
        </w:tc>
        <w:tc>
          <w:tcPr>
            <w:tcW w:w="1025" w:type="dxa"/>
            <w:tcBorders>
              <w:top w:val="nil"/>
              <w:left w:val="nil"/>
              <w:bottom w:val="single" w:sz="4" w:space="0" w:color="auto"/>
              <w:right w:val="single" w:sz="4" w:space="0" w:color="auto"/>
            </w:tcBorders>
            <w:noWrap/>
            <w:vAlign w:val="bottom"/>
            <w:hideMark/>
          </w:tcPr>
          <w:p w14:paraId="2594FD25"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c>
          <w:tcPr>
            <w:tcW w:w="2494" w:type="dxa"/>
            <w:tcBorders>
              <w:top w:val="nil"/>
              <w:left w:val="nil"/>
              <w:bottom w:val="single" w:sz="4" w:space="0" w:color="auto"/>
              <w:right w:val="single" w:sz="4" w:space="0" w:color="auto"/>
            </w:tcBorders>
            <w:noWrap/>
            <w:vAlign w:val="bottom"/>
            <w:hideMark/>
          </w:tcPr>
          <w:p w14:paraId="5FC04390"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w:t>
            </w:r>
          </w:p>
        </w:tc>
        <w:tc>
          <w:tcPr>
            <w:tcW w:w="1425" w:type="dxa"/>
            <w:tcBorders>
              <w:top w:val="nil"/>
              <w:left w:val="nil"/>
              <w:bottom w:val="single" w:sz="4" w:space="0" w:color="auto"/>
              <w:right w:val="single" w:sz="4" w:space="0" w:color="auto"/>
            </w:tcBorders>
            <w:noWrap/>
            <w:vAlign w:val="bottom"/>
            <w:hideMark/>
          </w:tcPr>
          <w:p w14:paraId="6DECE452"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r>
      <w:tr w:rsidR="00616AAE" w:rsidRPr="00CB4CDE" w14:paraId="34EBBBD4"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7FCE3628"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5" w:type="dxa"/>
            <w:tcBorders>
              <w:top w:val="nil"/>
              <w:left w:val="nil"/>
              <w:bottom w:val="single" w:sz="4" w:space="0" w:color="auto"/>
              <w:right w:val="single" w:sz="4" w:space="0" w:color="auto"/>
            </w:tcBorders>
            <w:noWrap/>
            <w:vAlign w:val="bottom"/>
            <w:hideMark/>
          </w:tcPr>
          <w:p w14:paraId="2500A17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94" w:type="dxa"/>
            <w:tcBorders>
              <w:top w:val="nil"/>
              <w:left w:val="nil"/>
              <w:bottom w:val="single" w:sz="4" w:space="0" w:color="auto"/>
              <w:right w:val="single" w:sz="4" w:space="0" w:color="auto"/>
            </w:tcBorders>
            <w:noWrap/>
            <w:vAlign w:val="bottom"/>
            <w:hideMark/>
          </w:tcPr>
          <w:p w14:paraId="243EC1F9"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0.980</w:t>
            </w:r>
          </w:p>
        </w:tc>
        <w:tc>
          <w:tcPr>
            <w:tcW w:w="1425" w:type="dxa"/>
            <w:tcBorders>
              <w:top w:val="nil"/>
              <w:left w:val="nil"/>
              <w:bottom w:val="single" w:sz="4" w:space="0" w:color="auto"/>
              <w:right w:val="single" w:sz="4" w:space="0" w:color="auto"/>
            </w:tcBorders>
            <w:noWrap/>
            <w:vAlign w:val="bottom"/>
            <w:hideMark/>
          </w:tcPr>
          <w:p w14:paraId="16A43757"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9.80</w:t>
            </w:r>
          </w:p>
        </w:tc>
      </w:tr>
      <w:tr w:rsidR="00616AAE" w:rsidRPr="00CB4CDE" w14:paraId="0E03DDC5"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529188D5"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5" w:type="dxa"/>
            <w:tcBorders>
              <w:top w:val="nil"/>
              <w:left w:val="nil"/>
              <w:bottom w:val="single" w:sz="4" w:space="0" w:color="auto"/>
              <w:right w:val="single" w:sz="4" w:space="0" w:color="auto"/>
            </w:tcBorders>
            <w:noWrap/>
            <w:vAlign w:val="bottom"/>
            <w:hideMark/>
          </w:tcPr>
          <w:p w14:paraId="343B44E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w:t>
            </w:r>
          </w:p>
        </w:tc>
        <w:tc>
          <w:tcPr>
            <w:tcW w:w="2494" w:type="dxa"/>
            <w:tcBorders>
              <w:top w:val="nil"/>
              <w:left w:val="nil"/>
              <w:bottom w:val="single" w:sz="4" w:space="0" w:color="auto"/>
              <w:right w:val="single" w:sz="4" w:space="0" w:color="auto"/>
            </w:tcBorders>
            <w:noWrap/>
            <w:vAlign w:val="bottom"/>
            <w:hideMark/>
          </w:tcPr>
          <w:p w14:paraId="60CEE62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0.961</w:t>
            </w:r>
          </w:p>
        </w:tc>
        <w:tc>
          <w:tcPr>
            <w:tcW w:w="1425" w:type="dxa"/>
            <w:tcBorders>
              <w:top w:val="nil"/>
              <w:left w:val="nil"/>
              <w:bottom w:val="single" w:sz="4" w:space="0" w:color="auto"/>
              <w:right w:val="single" w:sz="4" w:space="0" w:color="auto"/>
            </w:tcBorders>
            <w:noWrap/>
            <w:vAlign w:val="bottom"/>
            <w:hideMark/>
          </w:tcPr>
          <w:p w14:paraId="7C601B4A"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11.53</w:t>
            </w:r>
          </w:p>
        </w:tc>
      </w:tr>
      <w:tr w:rsidR="00616AAE" w:rsidRPr="00CB4CDE" w14:paraId="488FFCA1"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455F9A05"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5" w:type="dxa"/>
            <w:tcBorders>
              <w:top w:val="nil"/>
              <w:left w:val="nil"/>
              <w:bottom w:val="single" w:sz="4" w:space="0" w:color="auto"/>
              <w:right w:val="single" w:sz="4" w:space="0" w:color="auto"/>
            </w:tcBorders>
            <w:noWrap/>
            <w:vAlign w:val="bottom"/>
            <w:hideMark/>
          </w:tcPr>
          <w:p w14:paraId="7FA48848"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w:t>
            </w:r>
          </w:p>
        </w:tc>
        <w:tc>
          <w:tcPr>
            <w:tcW w:w="2494" w:type="dxa"/>
            <w:tcBorders>
              <w:top w:val="nil"/>
              <w:left w:val="nil"/>
              <w:bottom w:val="single" w:sz="4" w:space="0" w:color="auto"/>
              <w:right w:val="single" w:sz="4" w:space="0" w:color="auto"/>
            </w:tcBorders>
            <w:noWrap/>
            <w:vAlign w:val="bottom"/>
            <w:hideMark/>
          </w:tcPr>
          <w:p w14:paraId="660D238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0.942</w:t>
            </w:r>
          </w:p>
        </w:tc>
        <w:tc>
          <w:tcPr>
            <w:tcW w:w="1425" w:type="dxa"/>
            <w:tcBorders>
              <w:top w:val="nil"/>
              <w:left w:val="nil"/>
              <w:bottom w:val="single" w:sz="4" w:space="0" w:color="auto"/>
              <w:right w:val="single" w:sz="4" w:space="0" w:color="auto"/>
            </w:tcBorders>
            <w:noWrap/>
            <w:vAlign w:val="bottom"/>
            <w:hideMark/>
          </w:tcPr>
          <w:p w14:paraId="21189EC7"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13.19</w:t>
            </w:r>
          </w:p>
        </w:tc>
      </w:tr>
      <w:tr w:rsidR="00616AAE" w:rsidRPr="00CB4CDE" w14:paraId="2284B456"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56DB7924"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5" w:type="dxa"/>
            <w:tcBorders>
              <w:top w:val="nil"/>
              <w:left w:val="nil"/>
              <w:bottom w:val="single" w:sz="4" w:space="0" w:color="auto"/>
              <w:right w:val="single" w:sz="4" w:space="0" w:color="auto"/>
            </w:tcBorders>
            <w:noWrap/>
            <w:vAlign w:val="bottom"/>
            <w:hideMark/>
          </w:tcPr>
          <w:p w14:paraId="3CC32CF3"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94" w:type="dxa"/>
            <w:tcBorders>
              <w:top w:val="nil"/>
              <w:left w:val="nil"/>
              <w:bottom w:val="single" w:sz="4" w:space="0" w:color="auto"/>
              <w:right w:val="single" w:sz="4" w:space="0" w:color="auto"/>
            </w:tcBorders>
            <w:noWrap/>
            <w:vAlign w:val="bottom"/>
            <w:hideMark/>
          </w:tcPr>
          <w:p w14:paraId="26A03C12"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0.924</w:t>
            </w:r>
          </w:p>
        </w:tc>
        <w:tc>
          <w:tcPr>
            <w:tcW w:w="1425" w:type="dxa"/>
            <w:tcBorders>
              <w:top w:val="nil"/>
              <w:left w:val="nil"/>
              <w:bottom w:val="single" w:sz="4" w:space="0" w:color="auto"/>
              <w:right w:val="single" w:sz="4" w:space="0" w:color="auto"/>
            </w:tcBorders>
            <w:noWrap/>
            <w:vAlign w:val="bottom"/>
            <w:hideMark/>
          </w:tcPr>
          <w:p w14:paraId="6C2D578D"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9.24</w:t>
            </w:r>
          </w:p>
        </w:tc>
      </w:tr>
      <w:tr w:rsidR="00616AAE" w:rsidRPr="00CB4CDE" w14:paraId="07310F64"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5807014F"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5" w:type="dxa"/>
            <w:tcBorders>
              <w:top w:val="nil"/>
              <w:left w:val="nil"/>
              <w:bottom w:val="single" w:sz="4" w:space="0" w:color="auto"/>
              <w:right w:val="single" w:sz="4" w:space="0" w:color="auto"/>
            </w:tcBorders>
            <w:noWrap/>
            <w:vAlign w:val="bottom"/>
            <w:hideMark/>
          </w:tcPr>
          <w:p w14:paraId="1FCA2B23"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w:t>
            </w:r>
          </w:p>
        </w:tc>
        <w:tc>
          <w:tcPr>
            <w:tcW w:w="2494" w:type="dxa"/>
            <w:tcBorders>
              <w:top w:val="nil"/>
              <w:left w:val="nil"/>
              <w:bottom w:val="single" w:sz="4" w:space="0" w:color="auto"/>
              <w:right w:val="single" w:sz="4" w:space="0" w:color="auto"/>
            </w:tcBorders>
            <w:noWrap/>
            <w:vAlign w:val="bottom"/>
            <w:hideMark/>
          </w:tcPr>
          <w:p w14:paraId="29E5A5B9"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0.906</w:t>
            </w:r>
          </w:p>
        </w:tc>
        <w:tc>
          <w:tcPr>
            <w:tcW w:w="1425" w:type="dxa"/>
            <w:tcBorders>
              <w:top w:val="nil"/>
              <w:left w:val="nil"/>
              <w:bottom w:val="single" w:sz="4" w:space="0" w:color="auto"/>
              <w:right w:val="single" w:sz="4" w:space="0" w:color="auto"/>
            </w:tcBorders>
            <w:noWrap/>
            <w:vAlign w:val="bottom"/>
            <w:hideMark/>
          </w:tcPr>
          <w:p w14:paraId="6A137309"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7.25</w:t>
            </w:r>
          </w:p>
        </w:tc>
      </w:tr>
      <w:tr w:rsidR="00616AAE" w:rsidRPr="00CB4CDE" w14:paraId="6C023186" w14:textId="77777777" w:rsidTr="00616AAE">
        <w:trPr>
          <w:trHeight w:val="600"/>
          <w:jc w:val="center"/>
        </w:trPr>
        <w:tc>
          <w:tcPr>
            <w:tcW w:w="676" w:type="dxa"/>
            <w:tcBorders>
              <w:top w:val="nil"/>
              <w:left w:val="single" w:sz="4" w:space="0" w:color="auto"/>
              <w:bottom w:val="single" w:sz="4" w:space="0" w:color="auto"/>
              <w:right w:val="single" w:sz="4" w:space="0" w:color="auto"/>
            </w:tcBorders>
            <w:noWrap/>
            <w:vAlign w:val="bottom"/>
            <w:hideMark/>
          </w:tcPr>
          <w:p w14:paraId="0028311F"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5" w:type="dxa"/>
            <w:tcBorders>
              <w:top w:val="nil"/>
              <w:left w:val="nil"/>
              <w:bottom w:val="single" w:sz="4" w:space="0" w:color="auto"/>
              <w:right w:val="single" w:sz="4" w:space="0" w:color="auto"/>
            </w:tcBorders>
            <w:noWrap/>
            <w:vAlign w:val="bottom"/>
            <w:hideMark/>
          </w:tcPr>
          <w:p w14:paraId="20F111CF"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94" w:type="dxa"/>
            <w:tcBorders>
              <w:top w:val="nil"/>
              <w:left w:val="nil"/>
              <w:bottom w:val="single" w:sz="4" w:space="0" w:color="auto"/>
              <w:right w:val="single" w:sz="4" w:space="0" w:color="auto"/>
            </w:tcBorders>
            <w:vAlign w:val="bottom"/>
            <w:hideMark/>
          </w:tcPr>
          <w:p w14:paraId="5B44F7BC"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5" w:type="dxa"/>
            <w:tcBorders>
              <w:top w:val="nil"/>
              <w:left w:val="nil"/>
              <w:bottom w:val="single" w:sz="4" w:space="0" w:color="auto"/>
              <w:right w:val="single" w:sz="4" w:space="0" w:color="auto"/>
            </w:tcBorders>
            <w:noWrap/>
            <w:vAlign w:val="bottom"/>
            <w:hideMark/>
          </w:tcPr>
          <w:p w14:paraId="7FE0BEBC"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1.01</w:t>
            </w:r>
          </w:p>
        </w:tc>
      </w:tr>
    </w:tbl>
    <w:p w14:paraId="0DEF4D37" w14:textId="77777777" w:rsidR="00616AAE" w:rsidRPr="00CB4CDE" w:rsidRDefault="00616AAE" w:rsidP="00044024">
      <w:pPr>
        <w:rPr>
          <w:rFonts w:ascii="Arial" w:hAnsi="Arial" w:cs="Arial"/>
        </w:rPr>
      </w:pPr>
    </w:p>
    <w:tbl>
      <w:tblPr>
        <w:tblW w:w="5620" w:type="dxa"/>
        <w:jc w:val="center"/>
        <w:tblLook w:val="04A0" w:firstRow="1" w:lastRow="0" w:firstColumn="1" w:lastColumn="0" w:noHBand="0" w:noVBand="1"/>
      </w:tblPr>
      <w:tblGrid>
        <w:gridCol w:w="737"/>
        <w:gridCol w:w="1025"/>
        <w:gridCol w:w="2494"/>
        <w:gridCol w:w="1425"/>
      </w:tblGrid>
      <w:tr w:rsidR="00616AAE" w:rsidRPr="00CB4CDE" w14:paraId="564BB32E" w14:textId="77777777" w:rsidTr="00616AAE">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034DAF53" w14:textId="496069FC" w:rsidR="00616AAE" w:rsidRPr="00CB4CDE" w:rsidRDefault="00616AAE" w:rsidP="00616AA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lastRenderedPageBreak/>
              <w:t>Project A (NPV at HDR)</w:t>
            </w:r>
          </w:p>
        </w:tc>
      </w:tr>
      <w:tr w:rsidR="00616AAE" w:rsidRPr="00CB4CDE" w14:paraId="50246C9C"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3125D61D"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5" w:type="dxa"/>
            <w:tcBorders>
              <w:top w:val="nil"/>
              <w:left w:val="nil"/>
              <w:bottom w:val="single" w:sz="4" w:space="0" w:color="auto"/>
              <w:right w:val="single" w:sz="4" w:space="0" w:color="auto"/>
            </w:tcBorders>
            <w:noWrap/>
            <w:vAlign w:val="bottom"/>
            <w:hideMark/>
          </w:tcPr>
          <w:p w14:paraId="1393DE52"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494" w:type="dxa"/>
            <w:tcBorders>
              <w:top w:val="nil"/>
              <w:left w:val="nil"/>
              <w:bottom w:val="single" w:sz="4" w:space="0" w:color="auto"/>
              <w:right w:val="single" w:sz="4" w:space="0" w:color="auto"/>
            </w:tcBorders>
            <w:noWrap/>
            <w:vAlign w:val="bottom"/>
            <w:hideMark/>
          </w:tcPr>
          <w:p w14:paraId="2AC4A3B7"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(4%)</w:t>
            </w:r>
          </w:p>
        </w:tc>
        <w:tc>
          <w:tcPr>
            <w:tcW w:w="1425" w:type="dxa"/>
            <w:tcBorders>
              <w:top w:val="nil"/>
              <w:left w:val="nil"/>
              <w:bottom w:val="single" w:sz="4" w:space="0" w:color="auto"/>
              <w:right w:val="single" w:sz="4" w:space="0" w:color="auto"/>
            </w:tcBorders>
            <w:noWrap/>
            <w:vAlign w:val="bottom"/>
            <w:hideMark/>
          </w:tcPr>
          <w:p w14:paraId="54C97899"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616AAE" w:rsidRPr="00CB4CDE" w14:paraId="52D19B86"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20676D26"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 0</w:t>
            </w:r>
          </w:p>
        </w:tc>
        <w:tc>
          <w:tcPr>
            <w:tcW w:w="1025" w:type="dxa"/>
            <w:tcBorders>
              <w:top w:val="nil"/>
              <w:left w:val="nil"/>
              <w:bottom w:val="single" w:sz="4" w:space="0" w:color="auto"/>
              <w:right w:val="single" w:sz="4" w:space="0" w:color="auto"/>
            </w:tcBorders>
            <w:noWrap/>
            <w:vAlign w:val="bottom"/>
            <w:hideMark/>
          </w:tcPr>
          <w:p w14:paraId="3AD3016E"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c>
          <w:tcPr>
            <w:tcW w:w="2494" w:type="dxa"/>
            <w:tcBorders>
              <w:top w:val="nil"/>
              <w:left w:val="nil"/>
              <w:bottom w:val="single" w:sz="4" w:space="0" w:color="auto"/>
              <w:right w:val="single" w:sz="4" w:space="0" w:color="auto"/>
            </w:tcBorders>
            <w:noWrap/>
            <w:vAlign w:val="bottom"/>
            <w:hideMark/>
          </w:tcPr>
          <w:p w14:paraId="4BEA9C65"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w:t>
            </w:r>
          </w:p>
        </w:tc>
        <w:tc>
          <w:tcPr>
            <w:tcW w:w="1425" w:type="dxa"/>
            <w:tcBorders>
              <w:top w:val="nil"/>
              <w:left w:val="nil"/>
              <w:bottom w:val="single" w:sz="4" w:space="0" w:color="auto"/>
              <w:right w:val="single" w:sz="4" w:space="0" w:color="auto"/>
            </w:tcBorders>
            <w:noWrap/>
            <w:vAlign w:val="bottom"/>
            <w:hideMark/>
          </w:tcPr>
          <w:p w14:paraId="027EBAD1"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r>
      <w:tr w:rsidR="00616AAE" w:rsidRPr="00CB4CDE" w14:paraId="06135178"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4E4834FB"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5" w:type="dxa"/>
            <w:tcBorders>
              <w:top w:val="nil"/>
              <w:left w:val="nil"/>
              <w:bottom w:val="single" w:sz="4" w:space="0" w:color="auto"/>
              <w:right w:val="single" w:sz="4" w:space="0" w:color="auto"/>
            </w:tcBorders>
            <w:noWrap/>
            <w:vAlign w:val="bottom"/>
            <w:hideMark/>
          </w:tcPr>
          <w:p w14:paraId="43254EBC"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94" w:type="dxa"/>
            <w:tcBorders>
              <w:top w:val="nil"/>
              <w:left w:val="nil"/>
              <w:bottom w:val="single" w:sz="4" w:space="0" w:color="auto"/>
              <w:right w:val="single" w:sz="4" w:space="0" w:color="auto"/>
            </w:tcBorders>
            <w:noWrap/>
            <w:vAlign w:val="bottom"/>
            <w:hideMark/>
          </w:tcPr>
          <w:p w14:paraId="094A5C11"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0.962</w:t>
            </w:r>
          </w:p>
        </w:tc>
        <w:tc>
          <w:tcPr>
            <w:tcW w:w="1425" w:type="dxa"/>
            <w:tcBorders>
              <w:top w:val="nil"/>
              <w:left w:val="nil"/>
              <w:bottom w:val="single" w:sz="4" w:space="0" w:color="auto"/>
              <w:right w:val="single" w:sz="4" w:space="0" w:color="auto"/>
            </w:tcBorders>
            <w:noWrap/>
            <w:vAlign w:val="bottom"/>
            <w:hideMark/>
          </w:tcPr>
          <w:p w14:paraId="04BA9C8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9.62</w:t>
            </w:r>
          </w:p>
        </w:tc>
      </w:tr>
      <w:tr w:rsidR="00616AAE" w:rsidRPr="00CB4CDE" w14:paraId="70EBBC39"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2E291015"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5" w:type="dxa"/>
            <w:tcBorders>
              <w:top w:val="nil"/>
              <w:left w:val="nil"/>
              <w:bottom w:val="single" w:sz="4" w:space="0" w:color="auto"/>
              <w:right w:val="single" w:sz="4" w:space="0" w:color="auto"/>
            </w:tcBorders>
            <w:noWrap/>
            <w:vAlign w:val="bottom"/>
            <w:hideMark/>
          </w:tcPr>
          <w:p w14:paraId="785AC4E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w:t>
            </w:r>
          </w:p>
        </w:tc>
        <w:tc>
          <w:tcPr>
            <w:tcW w:w="2494" w:type="dxa"/>
            <w:tcBorders>
              <w:top w:val="nil"/>
              <w:left w:val="nil"/>
              <w:bottom w:val="single" w:sz="4" w:space="0" w:color="auto"/>
              <w:right w:val="single" w:sz="4" w:space="0" w:color="auto"/>
            </w:tcBorders>
            <w:noWrap/>
            <w:vAlign w:val="bottom"/>
            <w:hideMark/>
          </w:tcPr>
          <w:p w14:paraId="4D40B280"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0.925</w:t>
            </w:r>
          </w:p>
        </w:tc>
        <w:tc>
          <w:tcPr>
            <w:tcW w:w="1425" w:type="dxa"/>
            <w:tcBorders>
              <w:top w:val="nil"/>
              <w:left w:val="nil"/>
              <w:bottom w:val="single" w:sz="4" w:space="0" w:color="auto"/>
              <w:right w:val="single" w:sz="4" w:space="0" w:color="auto"/>
            </w:tcBorders>
            <w:noWrap/>
            <w:vAlign w:val="bottom"/>
            <w:hideMark/>
          </w:tcPr>
          <w:p w14:paraId="460CB79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11.09</w:t>
            </w:r>
          </w:p>
        </w:tc>
      </w:tr>
      <w:tr w:rsidR="00616AAE" w:rsidRPr="00CB4CDE" w14:paraId="7A22FDC1"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1EA0C288"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5" w:type="dxa"/>
            <w:tcBorders>
              <w:top w:val="nil"/>
              <w:left w:val="nil"/>
              <w:bottom w:val="single" w:sz="4" w:space="0" w:color="auto"/>
              <w:right w:val="single" w:sz="4" w:space="0" w:color="auto"/>
            </w:tcBorders>
            <w:noWrap/>
            <w:vAlign w:val="bottom"/>
            <w:hideMark/>
          </w:tcPr>
          <w:p w14:paraId="18539D92"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14</w:t>
            </w:r>
          </w:p>
        </w:tc>
        <w:tc>
          <w:tcPr>
            <w:tcW w:w="2494" w:type="dxa"/>
            <w:tcBorders>
              <w:top w:val="nil"/>
              <w:left w:val="nil"/>
              <w:bottom w:val="single" w:sz="4" w:space="0" w:color="auto"/>
              <w:right w:val="single" w:sz="4" w:space="0" w:color="auto"/>
            </w:tcBorders>
            <w:noWrap/>
            <w:vAlign w:val="bottom"/>
            <w:hideMark/>
          </w:tcPr>
          <w:p w14:paraId="5AD0AC6D"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0.889</w:t>
            </w:r>
          </w:p>
        </w:tc>
        <w:tc>
          <w:tcPr>
            <w:tcW w:w="1425" w:type="dxa"/>
            <w:tcBorders>
              <w:top w:val="nil"/>
              <w:left w:val="nil"/>
              <w:bottom w:val="single" w:sz="4" w:space="0" w:color="auto"/>
              <w:right w:val="single" w:sz="4" w:space="0" w:color="auto"/>
            </w:tcBorders>
            <w:noWrap/>
            <w:vAlign w:val="bottom"/>
            <w:hideMark/>
          </w:tcPr>
          <w:p w14:paraId="1273A8E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12.45</w:t>
            </w:r>
          </w:p>
        </w:tc>
      </w:tr>
      <w:tr w:rsidR="00616AAE" w:rsidRPr="00CB4CDE" w14:paraId="70249135"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2B6DC788"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5" w:type="dxa"/>
            <w:tcBorders>
              <w:top w:val="nil"/>
              <w:left w:val="nil"/>
              <w:bottom w:val="single" w:sz="4" w:space="0" w:color="auto"/>
              <w:right w:val="single" w:sz="4" w:space="0" w:color="auto"/>
            </w:tcBorders>
            <w:noWrap/>
            <w:vAlign w:val="bottom"/>
            <w:hideMark/>
          </w:tcPr>
          <w:p w14:paraId="2D8C6DF8"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94" w:type="dxa"/>
            <w:tcBorders>
              <w:top w:val="nil"/>
              <w:left w:val="nil"/>
              <w:bottom w:val="single" w:sz="4" w:space="0" w:color="auto"/>
              <w:right w:val="single" w:sz="4" w:space="0" w:color="auto"/>
            </w:tcBorders>
            <w:noWrap/>
            <w:vAlign w:val="bottom"/>
            <w:hideMark/>
          </w:tcPr>
          <w:p w14:paraId="7F639A7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0.855</w:t>
            </w:r>
          </w:p>
        </w:tc>
        <w:tc>
          <w:tcPr>
            <w:tcW w:w="1425" w:type="dxa"/>
            <w:tcBorders>
              <w:top w:val="nil"/>
              <w:left w:val="nil"/>
              <w:bottom w:val="single" w:sz="4" w:space="0" w:color="auto"/>
              <w:right w:val="single" w:sz="4" w:space="0" w:color="auto"/>
            </w:tcBorders>
            <w:noWrap/>
            <w:vAlign w:val="bottom"/>
            <w:hideMark/>
          </w:tcPr>
          <w:p w14:paraId="2B2972C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8.55</w:t>
            </w:r>
          </w:p>
        </w:tc>
      </w:tr>
      <w:tr w:rsidR="00616AAE" w:rsidRPr="00CB4CDE" w14:paraId="646AC687"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45E38D73"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5" w:type="dxa"/>
            <w:tcBorders>
              <w:top w:val="nil"/>
              <w:left w:val="nil"/>
              <w:bottom w:val="single" w:sz="4" w:space="0" w:color="auto"/>
              <w:right w:val="single" w:sz="4" w:space="0" w:color="auto"/>
            </w:tcBorders>
            <w:noWrap/>
            <w:vAlign w:val="bottom"/>
            <w:hideMark/>
          </w:tcPr>
          <w:p w14:paraId="45B63D88"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w:t>
            </w:r>
          </w:p>
        </w:tc>
        <w:tc>
          <w:tcPr>
            <w:tcW w:w="2494" w:type="dxa"/>
            <w:tcBorders>
              <w:top w:val="nil"/>
              <w:left w:val="nil"/>
              <w:bottom w:val="single" w:sz="4" w:space="0" w:color="auto"/>
              <w:right w:val="single" w:sz="4" w:space="0" w:color="auto"/>
            </w:tcBorders>
            <w:noWrap/>
            <w:vAlign w:val="bottom"/>
            <w:hideMark/>
          </w:tcPr>
          <w:p w14:paraId="7B63728E"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0.822</w:t>
            </w:r>
          </w:p>
        </w:tc>
        <w:tc>
          <w:tcPr>
            <w:tcW w:w="1425" w:type="dxa"/>
            <w:tcBorders>
              <w:top w:val="nil"/>
              <w:left w:val="nil"/>
              <w:bottom w:val="single" w:sz="4" w:space="0" w:color="auto"/>
              <w:right w:val="single" w:sz="4" w:space="0" w:color="auto"/>
            </w:tcBorders>
            <w:noWrap/>
            <w:vAlign w:val="bottom"/>
            <w:hideMark/>
          </w:tcPr>
          <w:p w14:paraId="312E9DDC"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6.58</w:t>
            </w:r>
          </w:p>
        </w:tc>
      </w:tr>
      <w:tr w:rsidR="00616AAE" w:rsidRPr="00CB4CDE" w14:paraId="12E588B0" w14:textId="77777777" w:rsidTr="00616AAE">
        <w:trPr>
          <w:trHeight w:val="600"/>
          <w:jc w:val="center"/>
        </w:trPr>
        <w:tc>
          <w:tcPr>
            <w:tcW w:w="676" w:type="dxa"/>
            <w:tcBorders>
              <w:top w:val="nil"/>
              <w:left w:val="single" w:sz="4" w:space="0" w:color="auto"/>
              <w:bottom w:val="single" w:sz="4" w:space="0" w:color="auto"/>
              <w:right w:val="single" w:sz="4" w:space="0" w:color="auto"/>
            </w:tcBorders>
            <w:noWrap/>
            <w:vAlign w:val="bottom"/>
            <w:hideMark/>
          </w:tcPr>
          <w:p w14:paraId="6F4F1F6D"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5" w:type="dxa"/>
            <w:tcBorders>
              <w:top w:val="nil"/>
              <w:left w:val="nil"/>
              <w:bottom w:val="single" w:sz="4" w:space="0" w:color="auto"/>
              <w:right w:val="single" w:sz="4" w:space="0" w:color="auto"/>
            </w:tcBorders>
            <w:noWrap/>
            <w:vAlign w:val="bottom"/>
            <w:hideMark/>
          </w:tcPr>
          <w:p w14:paraId="49759880"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94" w:type="dxa"/>
            <w:tcBorders>
              <w:top w:val="nil"/>
              <w:left w:val="nil"/>
              <w:bottom w:val="single" w:sz="4" w:space="0" w:color="auto"/>
              <w:right w:val="single" w:sz="4" w:space="0" w:color="auto"/>
            </w:tcBorders>
            <w:vAlign w:val="bottom"/>
            <w:hideMark/>
          </w:tcPr>
          <w:p w14:paraId="3F6842BD"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5" w:type="dxa"/>
            <w:tcBorders>
              <w:top w:val="nil"/>
              <w:left w:val="nil"/>
              <w:bottom w:val="single" w:sz="4" w:space="0" w:color="auto"/>
              <w:right w:val="single" w:sz="4" w:space="0" w:color="auto"/>
            </w:tcBorders>
            <w:noWrap/>
            <w:vAlign w:val="bottom"/>
            <w:hideMark/>
          </w:tcPr>
          <w:p w14:paraId="1DD51724"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-1.72</w:t>
            </w:r>
          </w:p>
        </w:tc>
      </w:tr>
    </w:tbl>
    <w:p w14:paraId="14F471CB" w14:textId="77777777" w:rsidR="00616AAE" w:rsidRPr="00CB4CDE" w:rsidRDefault="00616AAE" w:rsidP="00044024">
      <w:pPr>
        <w:rPr>
          <w:rFonts w:ascii="Arial" w:hAnsi="Arial" w:cs="Arial"/>
        </w:rPr>
      </w:pPr>
    </w:p>
    <w:p w14:paraId="5910BCF3" w14:textId="244AFBB2" w:rsidR="001673F9" w:rsidRPr="00CB4CDE" w:rsidRDefault="00616AAE" w:rsidP="00044024">
      <w:pPr>
        <w:rPr>
          <w:rFonts w:ascii="Arial" w:hAnsi="Arial" w:cs="Arial"/>
          <w:u w:val="single"/>
        </w:rPr>
      </w:pPr>
      <w:r w:rsidRPr="00CB4CDE">
        <w:rPr>
          <w:rFonts w:ascii="Arial" w:hAnsi="Arial" w:cs="Arial"/>
          <w:u w:val="single"/>
        </w:rPr>
        <w:t>Project B</w:t>
      </w:r>
    </w:p>
    <w:p w14:paraId="2036FB31" w14:textId="60EEEB57" w:rsidR="00975C59" w:rsidRPr="00CB4CDE" w:rsidRDefault="00975C59" w:rsidP="00975C59">
      <w:pPr>
        <w:rPr>
          <w:rFonts w:ascii="Arial" w:hAnsi="Arial" w:cs="Arial"/>
        </w:rPr>
      </w:pPr>
      <w:r w:rsidRPr="00CB4CDE">
        <w:rPr>
          <w:rFonts w:ascii="Arial" w:hAnsi="Arial" w:cs="Arial"/>
          <w:b/>
          <w:bCs/>
        </w:rPr>
        <w:t xml:space="preserve">LDR: </w:t>
      </w:r>
      <w:r w:rsidRPr="00CB4CDE">
        <w:rPr>
          <w:rFonts w:ascii="Arial" w:hAnsi="Arial" w:cs="Arial"/>
        </w:rPr>
        <w:t>2%</w:t>
      </w:r>
    </w:p>
    <w:p w14:paraId="784F3B53" w14:textId="21CDE440" w:rsidR="00975C59" w:rsidRPr="00CB4CDE" w:rsidRDefault="00975C59" w:rsidP="00975C59">
      <w:pPr>
        <w:rPr>
          <w:rFonts w:ascii="Arial" w:hAnsi="Arial" w:cs="Arial"/>
        </w:rPr>
      </w:pPr>
      <w:r w:rsidRPr="00CB4CDE">
        <w:rPr>
          <w:rFonts w:ascii="Arial" w:hAnsi="Arial" w:cs="Arial"/>
          <w:b/>
          <w:bCs/>
        </w:rPr>
        <w:t xml:space="preserve">HDR: </w:t>
      </w:r>
      <w:r w:rsidRPr="00CB4CDE">
        <w:rPr>
          <w:rFonts w:ascii="Arial" w:hAnsi="Arial" w:cs="Arial"/>
        </w:rPr>
        <w:t>4%</w:t>
      </w:r>
    </w:p>
    <w:tbl>
      <w:tblPr>
        <w:tblW w:w="5620" w:type="dxa"/>
        <w:jc w:val="center"/>
        <w:tblLook w:val="04A0" w:firstRow="1" w:lastRow="0" w:firstColumn="1" w:lastColumn="0" w:noHBand="0" w:noVBand="1"/>
      </w:tblPr>
      <w:tblGrid>
        <w:gridCol w:w="737"/>
        <w:gridCol w:w="1025"/>
        <w:gridCol w:w="2494"/>
        <w:gridCol w:w="1425"/>
      </w:tblGrid>
      <w:tr w:rsidR="00616AAE" w:rsidRPr="00CB4CDE" w14:paraId="598A82CE" w14:textId="77777777" w:rsidTr="00616AAE">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4178FCE4" w14:textId="78642425" w:rsidR="00616AAE" w:rsidRPr="00CB4CDE" w:rsidRDefault="00616AAE" w:rsidP="00616AA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B (NPV at LDR)</w:t>
            </w:r>
          </w:p>
        </w:tc>
      </w:tr>
      <w:tr w:rsidR="00616AAE" w:rsidRPr="00CB4CDE" w14:paraId="72351D9E"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31C8F9B8"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5" w:type="dxa"/>
            <w:tcBorders>
              <w:top w:val="nil"/>
              <w:left w:val="nil"/>
              <w:bottom w:val="single" w:sz="4" w:space="0" w:color="auto"/>
              <w:right w:val="single" w:sz="4" w:space="0" w:color="auto"/>
            </w:tcBorders>
            <w:noWrap/>
            <w:vAlign w:val="bottom"/>
            <w:hideMark/>
          </w:tcPr>
          <w:p w14:paraId="0620DC5E"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494" w:type="dxa"/>
            <w:tcBorders>
              <w:top w:val="nil"/>
              <w:left w:val="nil"/>
              <w:bottom w:val="single" w:sz="4" w:space="0" w:color="auto"/>
              <w:right w:val="single" w:sz="4" w:space="0" w:color="auto"/>
            </w:tcBorders>
            <w:noWrap/>
            <w:vAlign w:val="bottom"/>
            <w:hideMark/>
          </w:tcPr>
          <w:p w14:paraId="35B2B16E"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(2%)</w:t>
            </w:r>
          </w:p>
        </w:tc>
        <w:tc>
          <w:tcPr>
            <w:tcW w:w="1425" w:type="dxa"/>
            <w:tcBorders>
              <w:top w:val="nil"/>
              <w:left w:val="nil"/>
              <w:bottom w:val="single" w:sz="4" w:space="0" w:color="auto"/>
              <w:right w:val="single" w:sz="4" w:space="0" w:color="auto"/>
            </w:tcBorders>
            <w:noWrap/>
            <w:vAlign w:val="bottom"/>
            <w:hideMark/>
          </w:tcPr>
          <w:p w14:paraId="234D940B"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616AAE" w:rsidRPr="00CB4CDE" w14:paraId="5A80E999"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7ABE3C5E"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 0</w:t>
            </w:r>
          </w:p>
        </w:tc>
        <w:tc>
          <w:tcPr>
            <w:tcW w:w="1025" w:type="dxa"/>
            <w:tcBorders>
              <w:top w:val="nil"/>
              <w:left w:val="nil"/>
              <w:bottom w:val="single" w:sz="4" w:space="0" w:color="auto"/>
              <w:right w:val="single" w:sz="4" w:space="0" w:color="auto"/>
            </w:tcBorders>
            <w:noWrap/>
            <w:vAlign w:val="bottom"/>
            <w:hideMark/>
          </w:tcPr>
          <w:p w14:paraId="6F1ED9A8"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c>
          <w:tcPr>
            <w:tcW w:w="2494" w:type="dxa"/>
            <w:tcBorders>
              <w:top w:val="nil"/>
              <w:left w:val="nil"/>
              <w:bottom w:val="single" w:sz="4" w:space="0" w:color="auto"/>
              <w:right w:val="single" w:sz="4" w:space="0" w:color="auto"/>
            </w:tcBorders>
            <w:noWrap/>
            <w:vAlign w:val="bottom"/>
            <w:hideMark/>
          </w:tcPr>
          <w:p w14:paraId="0D90F773"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w:t>
            </w:r>
          </w:p>
        </w:tc>
        <w:tc>
          <w:tcPr>
            <w:tcW w:w="1425" w:type="dxa"/>
            <w:tcBorders>
              <w:top w:val="nil"/>
              <w:left w:val="nil"/>
              <w:bottom w:val="single" w:sz="4" w:space="0" w:color="auto"/>
              <w:right w:val="single" w:sz="4" w:space="0" w:color="auto"/>
            </w:tcBorders>
            <w:noWrap/>
            <w:vAlign w:val="bottom"/>
            <w:hideMark/>
          </w:tcPr>
          <w:p w14:paraId="0D719C2C"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r>
      <w:tr w:rsidR="00616AAE" w:rsidRPr="00CB4CDE" w14:paraId="32C95BB5"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1E8E7377"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5" w:type="dxa"/>
            <w:tcBorders>
              <w:top w:val="nil"/>
              <w:left w:val="nil"/>
              <w:bottom w:val="single" w:sz="4" w:space="0" w:color="auto"/>
              <w:right w:val="single" w:sz="4" w:space="0" w:color="auto"/>
            </w:tcBorders>
            <w:noWrap/>
            <w:vAlign w:val="bottom"/>
            <w:hideMark/>
          </w:tcPr>
          <w:p w14:paraId="59F070C0"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78224B6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0.980</w:t>
            </w:r>
          </w:p>
        </w:tc>
        <w:tc>
          <w:tcPr>
            <w:tcW w:w="1425" w:type="dxa"/>
            <w:tcBorders>
              <w:top w:val="nil"/>
              <w:left w:val="nil"/>
              <w:bottom w:val="single" w:sz="4" w:space="0" w:color="auto"/>
              <w:right w:val="single" w:sz="4" w:space="0" w:color="auto"/>
            </w:tcBorders>
            <w:noWrap/>
            <w:vAlign w:val="bottom"/>
            <w:hideMark/>
          </w:tcPr>
          <w:p w14:paraId="56B32CC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10.78</w:t>
            </w:r>
          </w:p>
        </w:tc>
      </w:tr>
      <w:tr w:rsidR="00616AAE" w:rsidRPr="00CB4CDE" w14:paraId="597569CD"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71CFF5EF"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5" w:type="dxa"/>
            <w:tcBorders>
              <w:top w:val="nil"/>
              <w:left w:val="nil"/>
              <w:bottom w:val="single" w:sz="4" w:space="0" w:color="auto"/>
              <w:right w:val="single" w:sz="4" w:space="0" w:color="auto"/>
            </w:tcBorders>
            <w:noWrap/>
            <w:vAlign w:val="bottom"/>
            <w:hideMark/>
          </w:tcPr>
          <w:p w14:paraId="521AC118"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676E858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0.961</w:t>
            </w:r>
          </w:p>
        </w:tc>
        <w:tc>
          <w:tcPr>
            <w:tcW w:w="1425" w:type="dxa"/>
            <w:tcBorders>
              <w:top w:val="nil"/>
              <w:left w:val="nil"/>
              <w:bottom w:val="single" w:sz="4" w:space="0" w:color="auto"/>
              <w:right w:val="single" w:sz="4" w:space="0" w:color="auto"/>
            </w:tcBorders>
            <w:noWrap/>
            <w:vAlign w:val="bottom"/>
            <w:hideMark/>
          </w:tcPr>
          <w:p w14:paraId="160503F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10.57</w:t>
            </w:r>
          </w:p>
        </w:tc>
      </w:tr>
      <w:tr w:rsidR="00616AAE" w:rsidRPr="00CB4CDE" w14:paraId="589A9170"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0868C63A"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5" w:type="dxa"/>
            <w:tcBorders>
              <w:top w:val="nil"/>
              <w:left w:val="nil"/>
              <w:bottom w:val="single" w:sz="4" w:space="0" w:color="auto"/>
              <w:right w:val="single" w:sz="4" w:space="0" w:color="auto"/>
            </w:tcBorders>
            <w:noWrap/>
            <w:vAlign w:val="bottom"/>
            <w:hideMark/>
          </w:tcPr>
          <w:p w14:paraId="36895000"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4CCEDAEE"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0.942</w:t>
            </w:r>
          </w:p>
        </w:tc>
        <w:tc>
          <w:tcPr>
            <w:tcW w:w="1425" w:type="dxa"/>
            <w:tcBorders>
              <w:top w:val="nil"/>
              <w:left w:val="nil"/>
              <w:bottom w:val="single" w:sz="4" w:space="0" w:color="auto"/>
              <w:right w:val="single" w:sz="4" w:space="0" w:color="auto"/>
            </w:tcBorders>
            <w:noWrap/>
            <w:vAlign w:val="bottom"/>
            <w:hideMark/>
          </w:tcPr>
          <w:p w14:paraId="36B1A88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10.37</w:t>
            </w:r>
          </w:p>
        </w:tc>
      </w:tr>
      <w:tr w:rsidR="00616AAE" w:rsidRPr="00CB4CDE" w14:paraId="02634959"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3CCA6C73"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5" w:type="dxa"/>
            <w:tcBorders>
              <w:top w:val="nil"/>
              <w:left w:val="nil"/>
              <w:bottom w:val="single" w:sz="4" w:space="0" w:color="auto"/>
              <w:right w:val="single" w:sz="4" w:space="0" w:color="auto"/>
            </w:tcBorders>
            <w:noWrap/>
            <w:vAlign w:val="bottom"/>
            <w:hideMark/>
          </w:tcPr>
          <w:p w14:paraId="3CAF4DCC"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2C4852AB"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0.924</w:t>
            </w:r>
          </w:p>
        </w:tc>
        <w:tc>
          <w:tcPr>
            <w:tcW w:w="1425" w:type="dxa"/>
            <w:tcBorders>
              <w:top w:val="nil"/>
              <w:left w:val="nil"/>
              <w:bottom w:val="single" w:sz="4" w:space="0" w:color="auto"/>
              <w:right w:val="single" w:sz="4" w:space="0" w:color="auto"/>
            </w:tcBorders>
            <w:noWrap/>
            <w:vAlign w:val="bottom"/>
            <w:hideMark/>
          </w:tcPr>
          <w:p w14:paraId="6D982F81"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10.16</w:t>
            </w:r>
          </w:p>
        </w:tc>
      </w:tr>
      <w:tr w:rsidR="00616AAE" w:rsidRPr="00CB4CDE" w14:paraId="71AE34A5"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36019AF2"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5" w:type="dxa"/>
            <w:tcBorders>
              <w:top w:val="nil"/>
              <w:left w:val="nil"/>
              <w:bottom w:val="single" w:sz="4" w:space="0" w:color="auto"/>
              <w:right w:val="single" w:sz="4" w:space="0" w:color="auto"/>
            </w:tcBorders>
            <w:noWrap/>
            <w:vAlign w:val="bottom"/>
            <w:hideMark/>
          </w:tcPr>
          <w:p w14:paraId="76A217EB"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437C99B1"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0.906</w:t>
            </w:r>
          </w:p>
        </w:tc>
        <w:tc>
          <w:tcPr>
            <w:tcW w:w="1425" w:type="dxa"/>
            <w:tcBorders>
              <w:top w:val="nil"/>
              <w:left w:val="nil"/>
              <w:bottom w:val="single" w:sz="4" w:space="0" w:color="auto"/>
              <w:right w:val="single" w:sz="4" w:space="0" w:color="auto"/>
            </w:tcBorders>
            <w:noWrap/>
            <w:vAlign w:val="bottom"/>
            <w:hideMark/>
          </w:tcPr>
          <w:p w14:paraId="1E20F6F1"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9.96</w:t>
            </w:r>
          </w:p>
        </w:tc>
      </w:tr>
      <w:tr w:rsidR="00616AAE" w:rsidRPr="00CB4CDE" w14:paraId="7D2A8CAB" w14:textId="77777777" w:rsidTr="00616AAE">
        <w:trPr>
          <w:trHeight w:val="600"/>
          <w:jc w:val="center"/>
        </w:trPr>
        <w:tc>
          <w:tcPr>
            <w:tcW w:w="676" w:type="dxa"/>
            <w:tcBorders>
              <w:top w:val="nil"/>
              <w:left w:val="single" w:sz="4" w:space="0" w:color="auto"/>
              <w:bottom w:val="single" w:sz="4" w:space="0" w:color="auto"/>
              <w:right w:val="single" w:sz="4" w:space="0" w:color="auto"/>
            </w:tcBorders>
            <w:noWrap/>
            <w:vAlign w:val="bottom"/>
            <w:hideMark/>
          </w:tcPr>
          <w:p w14:paraId="43268784"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5" w:type="dxa"/>
            <w:tcBorders>
              <w:top w:val="nil"/>
              <w:left w:val="nil"/>
              <w:bottom w:val="single" w:sz="4" w:space="0" w:color="auto"/>
              <w:right w:val="single" w:sz="4" w:space="0" w:color="auto"/>
            </w:tcBorders>
            <w:noWrap/>
            <w:vAlign w:val="bottom"/>
            <w:hideMark/>
          </w:tcPr>
          <w:p w14:paraId="3829AA3F"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94" w:type="dxa"/>
            <w:tcBorders>
              <w:top w:val="nil"/>
              <w:left w:val="nil"/>
              <w:bottom w:val="single" w:sz="4" w:space="0" w:color="auto"/>
              <w:right w:val="single" w:sz="4" w:space="0" w:color="auto"/>
            </w:tcBorders>
            <w:vAlign w:val="bottom"/>
            <w:hideMark/>
          </w:tcPr>
          <w:p w14:paraId="3174FDD1"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5" w:type="dxa"/>
            <w:tcBorders>
              <w:top w:val="nil"/>
              <w:left w:val="nil"/>
              <w:bottom w:val="single" w:sz="4" w:space="0" w:color="auto"/>
              <w:right w:val="single" w:sz="4" w:space="0" w:color="auto"/>
            </w:tcBorders>
            <w:noWrap/>
            <w:vAlign w:val="bottom"/>
            <w:hideMark/>
          </w:tcPr>
          <w:p w14:paraId="703A06FA"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1.85</w:t>
            </w:r>
          </w:p>
        </w:tc>
      </w:tr>
    </w:tbl>
    <w:p w14:paraId="74D30FF0" w14:textId="77777777" w:rsidR="00616AAE" w:rsidRPr="00CB4CDE" w:rsidRDefault="00616AAE" w:rsidP="00044024">
      <w:pPr>
        <w:rPr>
          <w:rFonts w:ascii="Arial" w:hAnsi="Arial" w:cs="Arial"/>
        </w:rPr>
      </w:pPr>
    </w:p>
    <w:tbl>
      <w:tblPr>
        <w:tblW w:w="5620" w:type="dxa"/>
        <w:jc w:val="center"/>
        <w:tblLook w:val="04A0" w:firstRow="1" w:lastRow="0" w:firstColumn="1" w:lastColumn="0" w:noHBand="0" w:noVBand="1"/>
      </w:tblPr>
      <w:tblGrid>
        <w:gridCol w:w="737"/>
        <w:gridCol w:w="1025"/>
        <w:gridCol w:w="2494"/>
        <w:gridCol w:w="1425"/>
      </w:tblGrid>
      <w:tr w:rsidR="00616AAE" w:rsidRPr="00CB4CDE" w14:paraId="0F593051" w14:textId="77777777" w:rsidTr="00616AAE">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2F69F7EE" w14:textId="73448378" w:rsidR="00616AAE" w:rsidRPr="00CB4CDE" w:rsidRDefault="00616AAE" w:rsidP="00616AA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B (NPV at HDR)</w:t>
            </w:r>
          </w:p>
        </w:tc>
      </w:tr>
      <w:tr w:rsidR="00616AAE" w:rsidRPr="00CB4CDE" w14:paraId="0F303FE5"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6B9F5882"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5" w:type="dxa"/>
            <w:tcBorders>
              <w:top w:val="nil"/>
              <w:left w:val="nil"/>
              <w:bottom w:val="single" w:sz="4" w:space="0" w:color="auto"/>
              <w:right w:val="single" w:sz="4" w:space="0" w:color="auto"/>
            </w:tcBorders>
            <w:noWrap/>
            <w:vAlign w:val="bottom"/>
            <w:hideMark/>
          </w:tcPr>
          <w:p w14:paraId="5B135F32"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494" w:type="dxa"/>
            <w:tcBorders>
              <w:top w:val="nil"/>
              <w:left w:val="nil"/>
              <w:bottom w:val="single" w:sz="4" w:space="0" w:color="auto"/>
              <w:right w:val="single" w:sz="4" w:space="0" w:color="auto"/>
            </w:tcBorders>
            <w:noWrap/>
            <w:vAlign w:val="bottom"/>
            <w:hideMark/>
          </w:tcPr>
          <w:p w14:paraId="1137F7A1"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(4%)</w:t>
            </w:r>
          </w:p>
        </w:tc>
        <w:tc>
          <w:tcPr>
            <w:tcW w:w="1425" w:type="dxa"/>
            <w:tcBorders>
              <w:top w:val="nil"/>
              <w:left w:val="nil"/>
              <w:bottom w:val="single" w:sz="4" w:space="0" w:color="auto"/>
              <w:right w:val="single" w:sz="4" w:space="0" w:color="auto"/>
            </w:tcBorders>
            <w:noWrap/>
            <w:vAlign w:val="bottom"/>
            <w:hideMark/>
          </w:tcPr>
          <w:p w14:paraId="2B2395A2"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616AAE" w:rsidRPr="00CB4CDE" w14:paraId="2AFE7C31"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490FF814"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 0</w:t>
            </w:r>
          </w:p>
        </w:tc>
        <w:tc>
          <w:tcPr>
            <w:tcW w:w="1025" w:type="dxa"/>
            <w:tcBorders>
              <w:top w:val="nil"/>
              <w:left w:val="nil"/>
              <w:bottom w:val="single" w:sz="4" w:space="0" w:color="auto"/>
              <w:right w:val="single" w:sz="4" w:space="0" w:color="auto"/>
            </w:tcBorders>
            <w:noWrap/>
            <w:vAlign w:val="bottom"/>
            <w:hideMark/>
          </w:tcPr>
          <w:p w14:paraId="04ACE079"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c>
          <w:tcPr>
            <w:tcW w:w="2494" w:type="dxa"/>
            <w:tcBorders>
              <w:top w:val="nil"/>
              <w:left w:val="nil"/>
              <w:bottom w:val="single" w:sz="4" w:space="0" w:color="auto"/>
              <w:right w:val="single" w:sz="4" w:space="0" w:color="auto"/>
            </w:tcBorders>
            <w:noWrap/>
            <w:vAlign w:val="bottom"/>
            <w:hideMark/>
          </w:tcPr>
          <w:p w14:paraId="772C4730"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w:t>
            </w:r>
          </w:p>
        </w:tc>
        <w:tc>
          <w:tcPr>
            <w:tcW w:w="1425" w:type="dxa"/>
            <w:tcBorders>
              <w:top w:val="nil"/>
              <w:left w:val="nil"/>
              <w:bottom w:val="single" w:sz="4" w:space="0" w:color="auto"/>
              <w:right w:val="single" w:sz="4" w:space="0" w:color="auto"/>
            </w:tcBorders>
            <w:noWrap/>
            <w:vAlign w:val="bottom"/>
            <w:hideMark/>
          </w:tcPr>
          <w:p w14:paraId="78B3F658"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r>
      <w:tr w:rsidR="00616AAE" w:rsidRPr="00CB4CDE" w14:paraId="6CA4D557"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7FEF1EC4"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5" w:type="dxa"/>
            <w:tcBorders>
              <w:top w:val="nil"/>
              <w:left w:val="nil"/>
              <w:bottom w:val="single" w:sz="4" w:space="0" w:color="auto"/>
              <w:right w:val="single" w:sz="4" w:space="0" w:color="auto"/>
            </w:tcBorders>
            <w:noWrap/>
            <w:vAlign w:val="bottom"/>
            <w:hideMark/>
          </w:tcPr>
          <w:p w14:paraId="137C4389"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21379BD7"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0.962</w:t>
            </w:r>
          </w:p>
        </w:tc>
        <w:tc>
          <w:tcPr>
            <w:tcW w:w="1425" w:type="dxa"/>
            <w:tcBorders>
              <w:top w:val="nil"/>
              <w:left w:val="nil"/>
              <w:bottom w:val="single" w:sz="4" w:space="0" w:color="auto"/>
              <w:right w:val="single" w:sz="4" w:space="0" w:color="auto"/>
            </w:tcBorders>
            <w:noWrap/>
            <w:vAlign w:val="bottom"/>
            <w:hideMark/>
          </w:tcPr>
          <w:p w14:paraId="6D623C01"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10.58</w:t>
            </w:r>
          </w:p>
        </w:tc>
      </w:tr>
      <w:tr w:rsidR="00616AAE" w:rsidRPr="00CB4CDE" w14:paraId="01E43B62"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0A9968DD"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lastRenderedPageBreak/>
              <w:t>Year 2</w:t>
            </w:r>
          </w:p>
        </w:tc>
        <w:tc>
          <w:tcPr>
            <w:tcW w:w="1025" w:type="dxa"/>
            <w:tcBorders>
              <w:top w:val="nil"/>
              <w:left w:val="nil"/>
              <w:bottom w:val="single" w:sz="4" w:space="0" w:color="auto"/>
              <w:right w:val="single" w:sz="4" w:space="0" w:color="auto"/>
            </w:tcBorders>
            <w:noWrap/>
            <w:vAlign w:val="bottom"/>
            <w:hideMark/>
          </w:tcPr>
          <w:p w14:paraId="3A589C4F"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74715B1D"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0.925</w:t>
            </w:r>
          </w:p>
        </w:tc>
        <w:tc>
          <w:tcPr>
            <w:tcW w:w="1425" w:type="dxa"/>
            <w:tcBorders>
              <w:top w:val="nil"/>
              <w:left w:val="nil"/>
              <w:bottom w:val="single" w:sz="4" w:space="0" w:color="auto"/>
              <w:right w:val="single" w:sz="4" w:space="0" w:color="auto"/>
            </w:tcBorders>
            <w:noWrap/>
            <w:vAlign w:val="bottom"/>
            <w:hideMark/>
          </w:tcPr>
          <w:p w14:paraId="3BC14E43"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10.17</w:t>
            </w:r>
          </w:p>
        </w:tc>
      </w:tr>
      <w:tr w:rsidR="00616AAE" w:rsidRPr="00CB4CDE" w14:paraId="3678C4AE"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2BC6C651"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5" w:type="dxa"/>
            <w:tcBorders>
              <w:top w:val="nil"/>
              <w:left w:val="nil"/>
              <w:bottom w:val="single" w:sz="4" w:space="0" w:color="auto"/>
              <w:right w:val="single" w:sz="4" w:space="0" w:color="auto"/>
            </w:tcBorders>
            <w:noWrap/>
            <w:vAlign w:val="bottom"/>
            <w:hideMark/>
          </w:tcPr>
          <w:p w14:paraId="03B2CF3F"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7DC568BE"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0.889</w:t>
            </w:r>
          </w:p>
        </w:tc>
        <w:tc>
          <w:tcPr>
            <w:tcW w:w="1425" w:type="dxa"/>
            <w:tcBorders>
              <w:top w:val="nil"/>
              <w:left w:val="nil"/>
              <w:bottom w:val="single" w:sz="4" w:space="0" w:color="auto"/>
              <w:right w:val="single" w:sz="4" w:space="0" w:color="auto"/>
            </w:tcBorders>
            <w:noWrap/>
            <w:vAlign w:val="bottom"/>
            <w:hideMark/>
          </w:tcPr>
          <w:p w14:paraId="19503E7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9.78</w:t>
            </w:r>
          </w:p>
        </w:tc>
      </w:tr>
      <w:tr w:rsidR="00616AAE" w:rsidRPr="00CB4CDE" w14:paraId="3B974702"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521E0733"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5" w:type="dxa"/>
            <w:tcBorders>
              <w:top w:val="nil"/>
              <w:left w:val="nil"/>
              <w:bottom w:val="single" w:sz="4" w:space="0" w:color="auto"/>
              <w:right w:val="single" w:sz="4" w:space="0" w:color="auto"/>
            </w:tcBorders>
            <w:noWrap/>
            <w:vAlign w:val="bottom"/>
            <w:hideMark/>
          </w:tcPr>
          <w:p w14:paraId="65070E03"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5AB164CD"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0.855</w:t>
            </w:r>
          </w:p>
        </w:tc>
        <w:tc>
          <w:tcPr>
            <w:tcW w:w="1425" w:type="dxa"/>
            <w:tcBorders>
              <w:top w:val="nil"/>
              <w:left w:val="nil"/>
              <w:bottom w:val="single" w:sz="4" w:space="0" w:color="auto"/>
              <w:right w:val="single" w:sz="4" w:space="0" w:color="auto"/>
            </w:tcBorders>
            <w:noWrap/>
            <w:vAlign w:val="bottom"/>
            <w:hideMark/>
          </w:tcPr>
          <w:p w14:paraId="6274F2E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9.40</w:t>
            </w:r>
          </w:p>
        </w:tc>
      </w:tr>
      <w:tr w:rsidR="00616AAE" w:rsidRPr="00CB4CDE" w14:paraId="718CA001"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358BEF52"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5" w:type="dxa"/>
            <w:tcBorders>
              <w:top w:val="nil"/>
              <w:left w:val="nil"/>
              <w:bottom w:val="single" w:sz="4" w:space="0" w:color="auto"/>
              <w:right w:val="single" w:sz="4" w:space="0" w:color="auto"/>
            </w:tcBorders>
            <w:noWrap/>
            <w:vAlign w:val="bottom"/>
            <w:hideMark/>
          </w:tcPr>
          <w:p w14:paraId="5468DD3A"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11</w:t>
            </w:r>
          </w:p>
        </w:tc>
        <w:tc>
          <w:tcPr>
            <w:tcW w:w="2494" w:type="dxa"/>
            <w:tcBorders>
              <w:top w:val="nil"/>
              <w:left w:val="nil"/>
              <w:bottom w:val="single" w:sz="4" w:space="0" w:color="auto"/>
              <w:right w:val="single" w:sz="4" w:space="0" w:color="auto"/>
            </w:tcBorders>
            <w:noWrap/>
            <w:vAlign w:val="bottom"/>
            <w:hideMark/>
          </w:tcPr>
          <w:p w14:paraId="55FBDC00"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0.822</w:t>
            </w:r>
          </w:p>
        </w:tc>
        <w:tc>
          <w:tcPr>
            <w:tcW w:w="1425" w:type="dxa"/>
            <w:tcBorders>
              <w:top w:val="nil"/>
              <w:left w:val="nil"/>
              <w:bottom w:val="single" w:sz="4" w:space="0" w:color="auto"/>
              <w:right w:val="single" w:sz="4" w:space="0" w:color="auto"/>
            </w:tcBorders>
            <w:noWrap/>
            <w:vAlign w:val="bottom"/>
            <w:hideMark/>
          </w:tcPr>
          <w:p w14:paraId="3A33D55A"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9.04</w:t>
            </w:r>
          </w:p>
        </w:tc>
      </w:tr>
      <w:tr w:rsidR="00616AAE" w:rsidRPr="00CB4CDE" w14:paraId="0E1A6A38" w14:textId="77777777" w:rsidTr="00616AAE">
        <w:trPr>
          <w:trHeight w:val="600"/>
          <w:jc w:val="center"/>
        </w:trPr>
        <w:tc>
          <w:tcPr>
            <w:tcW w:w="676" w:type="dxa"/>
            <w:tcBorders>
              <w:top w:val="nil"/>
              <w:left w:val="single" w:sz="4" w:space="0" w:color="auto"/>
              <w:bottom w:val="single" w:sz="4" w:space="0" w:color="auto"/>
              <w:right w:val="single" w:sz="4" w:space="0" w:color="auto"/>
            </w:tcBorders>
            <w:noWrap/>
            <w:vAlign w:val="bottom"/>
            <w:hideMark/>
          </w:tcPr>
          <w:p w14:paraId="3AE33D0D"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5" w:type="dxa"/>
            <w:tcBorders>
              <w:top w:val="nil"/>
              <w:left w:val="nil"/>
              <w:bottom w:val="single" w:sz="4" w:space="0" w:color="auto"/>
              <w:right w:val="single" w:sz="4" w:space="0" w:color="auto"/>
            </w:tcBorders>
            <w:noWrap/>
            <w:vAlign w:val="bottom"/>
            <w:hideMark/>
          </w:tcPr>
          <w:p w14:paraId="3AA9EAC6"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94" w:type="dxa"/>
            <w:tcBorders>
              <w:top w:val="nil"/>
              <w:left w:val="nil"/>
              <w:bottom w:val="single" w:sz="4" w:space="0" w:color="auto"/>
              <w:right w:val="single" w:sz="4" w:space="0" w:color="auto"/>
            </w:tcBorders>
            <w:vAlign w:val="bottom"/>
            <w:hideMark/>
          </w:tcPr>
          <w:p w14:paraId="23A0799C"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5" w:type="dxa"/>
            <w:tcBorders>
              <w:top w:val="nil"/>
              <w:left w:val="nil"/>
              <w:bottom w:val="single" w:sz="4" w:space="0" w:color="auto"/>
              <w:right w:val="single" w:sz="4" w:space="0" w:color="auto"/>
            </w:tcBorders>
            <w:noWrap/>
            <w:vAlign w:val="bottom"/>
            <w:hideMark/>
          </w:tcPr>
          <w:p w14:paraId="5E661AAE"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-1.03</w:t>
            </w:r>
          </w:p>
        </w:tc>
      </w:tr>
    </w:tbl>
    <w:p w14:paraId="5D73FAE7" w14:textId="77777777" w:rsidR="00616AAE" w:rsidRPr="00CB4CDE" w:rsidRDefault="00616AAE" w:rsidP="00044024">
      <w:pPr>
        <w:rPr>
          <w:rFonts w:ascii="Arial" w:hAnsi="Arial" w:cs="Arial"/>
        </w:rPr>
      </w:pPr>
    </w:p>
    <w:p w14:paraId="395F5459" w14:textId="51022E7B" w:rsidR="000962C2" w:rsidRPr="00CB4CDE" w:rsidRDefault="00616AAE" w:rsidP="00044024">
      <w:pPr>
        <w:rPr>
          <w:rFonts w:ascii="Arial" w:hAnsi="Arial" w:cs="Arial"/>
          <w:u w:val="single"/>
        </w:rPr>
      </w:pPr>
      <w:r w:rsidRPr="00CB4CDE">
        <w:rPr>
          <w:rFonts w:ascii="Arial" w:hAnsi="Arial" w:cs="Arial"/>
          <w:u w:val="single"/>
        </w:rPr>
        <w:t>Project C</w:t>
      </w:r>
    </w:p>
    <w:p w14:paraId="381B5846" w14:textId="41B22CE6" w:rsidR="00616AAE" w:rsidRPr="00CB4CDE" w:rsidRDefault="00616AAE" w:rsidP="00044024">
      <w:pPr>
        <w:rPr>
          <w:rFonts w:ascii="Arial" w:hAnsi="Arial" w:cs="Arial"/>
        </w:rPr>
      </w:pPr>
      <w:r w:rsidRPr="00CB4CDE">
        <w:rPr>
          <w:rFonts w:ascii="Arial" w:hAnsi="Arial" w:cs="Arial"/>
          <w:b/>
          <w:bCs/>
        </w:rPr>
        <w:t xml:space="preserve">LDR: </w:t>
      </w:r>
      <w:r w:rsidRPr="00CB4CDE">
        <w:rPr>
          <w:rFonts w:ascii="Arial" w:hAnsi="Arial" w:cs="Arial"/>
        </w:rPr>
        <w:t>7%</w:t>
      </w:r>
    </w:p>
    <w:p w14:paraId="27A8B173" w14:textId="0A053294" w:rsidR="00616AAE" w:rsidRPr="00CB4CDE" w:rsidRDefault="00616AAE" w:rsidP="00044024">
      <w:pPr>
        <w:rPr>
          <w:rFonts w:ascii="Arial" w:hAnsi="Arial" w:cs="Arial"/>
        </w:rPr>
      </w:pPr>
      <w:r w:rsidRPr="00CB4CDE">
        <w:rPr>
          <w:rFonts w:ascii="Arial" w:hAnsi="Arial" w:cs="Arial"/>
          <w:b/>
          <w:bCs/>
        </w:rPr>
        <w:t xml:space="preserve">HDR: </w:t>
      </w:r>
      <w:r w:rsidRPr="00CB4CDE">
        <w:rPr>
          <w:rFonts w:ascii="Arial" w:hAnsi="Arial" w:cs="Arial"/>
        </w:rPr>
        <w:t>9%</w:t>
      </w:r>
    </w:p>
    <w:tbl>
      <w:tblPr>
        <w:tblW w:w="5620" w:type="dxa"/>
        <w:jc w:val="center"/>
        <w:tblLook w:val="04A0" w:firstRow="1" w:lastRow="0" w:firstColumn="1" w:lastColumn="0" w:noHBand="0" w:noVBand="1"/>
      </w:tblPr>
      <w:tblGrid>
        <w:gridCol w:w="737"/>
        <w:gridCol w:w="1025"/>
        <w:gridCol w:w="2494"/>
        <w:gridCol w:w="1425"/>
      </w:tblGrid>
      <w:tr w:rsidR="00616AAE" w:rsidRPr="00CB4CDE" w14:paraId="73AFF0F3" w14:textId="77777777" w:rsidTr="00616AAE">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0218277F" w14:textId="5FE78C29" w:rsidR="00616AAE" w:rsidRPr="00CB4CDE" w:rsidRDefault="00616AAE" w:rsidP="00616AA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C (NPV at LDR)</w:t>
            </w:r>
          </w:p>
        </w:tc>
      </w:tr>
      <w:tr w:rsidR="00616AAE" w:rsidRPr="00CB4CDE" w14:paraId="3F364FE5"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3FBB94DD"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5" w:type="dxa"/>
            <w:tcBorders>
              <w:top w:val="nil"/>
              <w:left w:val="nil"/>
              <w:bottom w:val="single" w:sz="4" w:space="0" w:color="auto"/>
              <w:right w:val="single" w:sz="4" w:space="0" w:color="auto"/>
            </w:tcBorders>
            <w:noWrap/>
            <w:vAlign w:val="bottom"/>
            <w:hideMark/>
          </w:tcPr>
          <w:p w14:paraId="1A4AB323"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494" w:type="dxa"/>
            <w:tcBorders>
              <w:top w:val="nil"/>
              <w:left w:val="nil"/>
              <w:bottom w:val="single" w:sz="4" w:space="0" w:color="auto"/>
              <w:right w:val="single" w:sz="4" w:space="0" w:color="auto"/>
            </w:tcBorders>
            <w:noWrap/>
            <w:vAlign w:val="bottom"/>
            <w:hideMark/>
          </w:tcPr>
          <w:p w14:paraId="3EC6F8D1"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(7%)</w:t>
            </w:r>
          </w:p>
        </w:tc>
        <w:tc>
          <w:tcPr>
            <w:tcW w:w="1425" w:type="dxa"/>
            <w:tcBorders>
              <w:top w:val="nil"/>
              <w:left w:val="nil"/>
              <w:bottom w:val="single" w:sz="4" w:space="0" w:color="auto"/>
              <w:right w:val="single" w:sz="4" w:space="0" w:color="auto"/>
            </w:tcBorders>
            <w:noWrap/>
            <w:vAlign w:val="bottom"/>
            <w:hideMark/>
          </w:tcPr>
          <w:p w14:paraId="72443F1E"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616AAE" w:rsidRPr="00CB4CDE" w14:paraId="615A5CCF"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21A3D08C"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 0</w:t>
            </w:r>
          </w:p>
        </w:tc>
        <w:tc>
          <w:tcPr>
            <w:tcW w:w="1025" w:type="dxa"/>
            <w:tcBorders>
              <w:top w:val="nil"/>
              <w:left w:val="nil"/>
              <w:bottom w:val="single" w:sz="4" w:space="0" w:color="auto"/>
              <w:right w:val="single" w:sz="4" w:space="0" w:color="auto"/>
            </w:tcBorders>
            <w:noWrap/>
            <w:vAlign w:val="bottom"/>
            <w:hideMark/>
          </w:tcPr>
          <w:p w14:paraId="248441DC"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c>
          <w:tcPr>
            <w:tcW w:w="2494" w:type="dxa"/>
            <w:tcBorders>
              <w:top w:val="nil"/>
              <w:left w:val="nil"/>
              <w:bottom w:val="single" w:sz="4" w:space="0" w:color="auto"/>
              <w:right w:val="single" w:sz="4" w:space="0" w:color="auto"/>
            </w:tcBorders>
            <w:noWrap/>
            <w:vAlign w:val="bottom"/>
            <w:hideMark/>
          </w:tcPr>
          <w:p w14:paraId="00DF54D7"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w:t>
            </w:r>
          </w:p>
        </w:tc>
        <w:tc>
          <w:tcPr>
            <w:tcW w:w="1425" w:type="dxa"/>
            <w:tcBorders>
              <w:top w:val="nil"/>
              <w:left w:val="nil"/>
              <w:bottom w:val="single" w:sz="4" w:space="0" w:color="auto"/>
              <w:right w:val="single" w:sz="4" w:space="0" w:color="auto"/>
            </w:tcBorders>
            <w:noWrap/>
            <w:vAlign w:val="bottom"/>
            <w:hideMark/>
          </w:tcPr>
          <w:p w14:paraId="12C66D43"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r>
      <w:tr w:rsidR="00616AAE" w:rsidRPr="00CB4CDE" w14:paraId="408DB40C"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62A762C0"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5" w:type="dxa"/>
            <w:tcBorders>
              <w:top w:val="nil"/>
              <w:left w:val="nil"/>
              <w:bottom w:val="single" w:sz="4" w:space="0" w:color="auto"/>
              <w:right w:val="single" w:sz="4" w:space="0" w:color="auto"/>
            </w:tcBorders>
            <w:noWrap/>
            <w:vAlign w:val="bottom"/>
            <w:hideMark/>
          </w:tcPr>
          <w:p w14:paraId="4A84575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494" w:type="dxa"/>
            <w:tcBorders>
              <w:top w:val="nil"/>
              <w:left w:val="nil"/>
              <w:bottom w:val="single" w:sz="4" w:space="0" w:color="auto"/>
              <w:right w:val="single" w:sz="4" w:space="0" w:color="auto"/>
            </w:tcBorders>
            <w:noWrap/>
            <w:vAlign w:val="bottom"/>
            <w:hideMark/>
          </w:tcPr>
          <w:p w14:paraId="5217542F"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0.935</w:t>
            </w:r>
          </w:p>
        </w:tc>
        <w:tc>
          <w:tcPr>
            <w:tcW w:w="1425" w:type="dxa"/>
            <w:tcBorders>
              <w:top w:val="nil"/>
              <w:left w:val="nil"/>
              <w:bottom w:val="single" w:sz="4" w:space="0" w:color="auto"/>
              <w:right w:val="single" w:sz="4" w:space="0" w:color="auto"/>
            </w:tcBorders>
            <w:noWrap/>
            <w:vAlign w:val="bottom"/>
            <w:hideMark/>
          </w:tcPr>
          <w:p w14:paraId="6405760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4.67</w:t>
            </w:r>
          </w:p>
        </w:tc>
      </w:tr>
      <w:tr w:rsidR="00616AAE" w:rsidRPr="00CB4CDE" w14:paraId="7259C220"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17411178"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5" w:type="dxa"/>
            <w:tcBorders>
              <w:top w:val="nil"/>
              <w:left w:val="nil"/>
              <w:bottom w:val="single" w:sz="4" w:space="0" w:color="auto"/>
              <w:right w:val="single" w:sz="4" w:space="0" w:color="auto"/>
            </w:tcBorders>
            <w:noWrap/>
            <w:vAlign w:val="bottom"/>
            <w:hideMark/>
          </w:tcPr>
          <w:p w14:paraId="3647EBA8"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94" w:type="dxa"/>
            <w:tcBorders>
              <w:top w:val="nil"/>
              <w:left w:val="nil"/>
              <w:bottom w:val="single" w:sz="4" w:space="0" w:color="auto"/>
              <w:right w:val="single" w:sz="4" w:space="0" w:color="auto"/>
            </w:tcBorders>
            <w:noWrap/>
            <w:vAlign w:val="bottom"/>
            <w:hideMark/>
          </w:tcPr>
          <w:p w14:paraId="00285551"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0.873</w:t>
            </w:r>
          </w:p>
        </w:tc>
        <w:tc>
          <w:tcPr>
            <w:tcW w:w="1425" w:type="dxa"/>
            <w:tcBorders>
              <w:top w:val="nil"/>
              <w:left w:val="nil"/>
              <w:bottom w:val="single" w:sz="4" w:space="0" w:color="auto"/>
              <w:right w:val="single" w:sz="4" w:space="0" w:color="auto"/>
            </w:tcBorders>
            <w:noWrap/>
            <w:vAlign w:val="bottom"/>
            <w:hideMark/>
          </w:tcPr>
          <w:p w14:paraId="265DAA4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8.73</w:t>
            </w:r>
          </w:p>
        </w:tc>
      </w:tr>
      <w:tr w:rsidR="00616AAE" w:rsidRPr="00CB4CDE" w14:paraId="18DC52A3"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78794287"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5" w:type="dxa"/>
            <w:tcBorders>
              <w:top w:val="nil"/>
              <w:left w:val="nil"/>
              <w:bottom w:val="single" w:sz="4" w:space="0" w:color="auto"/>
              <w:right w:val="single" w:sz="4" w:space="0" w:color="auto"/>
            </w:tcBorders>
            <w:noWrap/>
            <w:vAlign w:val="bottom"/>
            <w:hideMark/>
          </w:tcPr>
          <w:p w14:paraId="5EFA2D7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20</w:t>
            </w:r>
          </w:p>
        </w:tc>
        <w:tc>
          <w:tcPr>
            <w:tcW w:w="2494" w:type="dxa"/>
            <w:tcBorders>
              <w:top w:val="nil"/>
              <w:left w:val="nil"/>
              <w:bottom w:val="single" w:sz="4" w:space="0" w:color="auto"/>
              <w:right w:val="single" w:sz="4" w:space="0" w:color="auto"/>
            </w:tcBorders>
            <w:noWrap/>
            <w:vAlign w:val="bottom"/>
            <w:hideMark/>
          </w:tcPr>
          <w:p w14:paraId="3EAE911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0.816</w:t>
            </w:r>
          </w:p>
        </w:tc>
        <w:tc>
          <w:tcPr>
            <w:tcW w:w="1425" w:type="dxa"/>
            <w:tcBorders>
              <w:top w:val="nil"/>
              <w:left w:val="nil"/>
              <w:bottom w:val="single" w:sz="4" w:space="0" w:color="auto"/>
              <w:right w:val="single" w:sz="4" w:space="0" w:color="auto"/>
            </w:tcBorders>
            <w:noWrap/>
            <w:vAlign w:val="bottom"/>
            <w:hideMark/>
          </w:tcPr>
          <w:p w14:paraId="4A00B995"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16.33</w:t>
            </w:r>
          </w:p>
        </w:tc>
      </w:tr>
      <w:tr w:rsidR="00616AAE" w:rsidRPr="00CB4CDE" w14:paraId="4F8CBAFE"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575AF1F5"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5" w:type="dxa"/>
            <w:tcBorders>
              <w:top w:val="nil"/>
              <w:left w:val="nil"/>
              <w:bottom w:val="single" w:sz="4" w:space="0" w:color="auto"/>
              <w:right w:val="single" w:sz="4" w:space="0" w:color="auto"/>
            </w:tcBorders>
            <w:noWrap/>
            <w:vAlign w:val="bottom"/>
            <w:hideMark/>
          </w:tcPr>
          <w:p w14:paraId="57012D6D"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25</w:t>
            </w:r>
          </w:p>
        </w:tc>
        <w:tc>
          <w:tcPr>
            <w:tcW w:w="2494" w:type="dxa"/>
            <w:tcBorders>
              <w:top w:val="nil"/>
              <w:left w:val="nil"/>
              <w:bottom w:val="single" w:sz="4" w:space="0" w:color="auto"/>
              <w:right w:val="single" w:sz="4" w:space="0" w:color="auto"/>
            </w:tcBorders>
            <w:noWrap/>
            <w:vAlign w:val="bottom"/>
            <w:hideMark/>
          </w:tcPr>
          <w:p w14:paraId="63389E3D"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0.763</w:t>
            </w:r>
          </w:p>
        </w:tc>
        <w:tc>
          <w:tcPr>
            <w:tcW w:w="1425" w:type="dxa"/>
            <w:tcBorders>
              <w:top w:val="nil"/>
              <w:left w:val="nil"/>
              <w:bottom w:val="single" w:sz="4" w:space="0" w:color="auto"/>
              <w:right w:val="single" w:sz="4" w:space="0" w:color="auto"/>
            </w:tcBorders>
            <w:noWrap/>
            <w:vAlign w:val="bottom"/>
            <w:hideMark/>
          </w:tcPr>
          <w:p w14:paraId="0E1B7CBB"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19.07</w:t>
            </w:r>
          </w:p>
        </w:tc>
      </w:tr>
      <w:tr w:rsidR="00616AAE" w:rsidRPr="00CB4CDE" w14:paraId="6A7F7F37"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64EE90CA"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5</w:t>
            </w:r>
          </w:p>
        </w:tc>
        <w:tc>
          <w:tcPr>
            <w:tcW w:w="1025" w:type="dxa"/>
            <w:tcBorders>
              <w:top w:val="nil"/>
              <w:left w:val="nil"/>
              <w:bottom w:val="single" w:sz="4" w:space="0" w:color="auto"/>
              <w:right w:val="single" w:sz="4" w:space="0" w:color="auto"/>
            </w:tcBorders>
            <w:noWrap/>
            <w:vAlign w:val="bottom"/>
            <w:hideMark/>
          </w:tcPr>
          <w:p w14:paraId="2F35928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494" w:type="dxa"/>
            <w:tcBorders>
              <w:top w:val="nil"/>
              <w:left w:val="nil"/>
              <w:bottom w:val="single" w:sz="4" w:space="0" w:color="auto"/>
              <w:right w:val="single" w:sz="4" w:space="0" w:color="auto"/>
            </w:tcBorders>
            <w:noWrap/>
            <w:vAlign w:val="bottom"/>
            <w:hideMark/>
          </w:tcPr>
          <w:p w14:paraId="35429278"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0.713</w:t>
            </w:r>
          </w:p>
        </w:tc>
        <w:tc>
          <w:tcPr>
            <w:tcW w:w="1425" w:type="dxa"/>
            <w:tcBorders>
              <w:top w:val="nil"/>
              <w:left w:val="nil"/>
              <w:bottom w:val="single" w:sz="4" w:space="0" w:color="auto"/>
              <w:right w:val="single" w:sz="4" w:space="0" w:color="auto"/>
            </w:tcBorders>
            <w:noWrap/>
            <w:vAlign w:val="bottom"/>
            <w:hideMark/>
          </w:tcPr>
          <w:p w14:paraId="55F9C821"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3.56</w:t>
            </w:r>
          </w:p>
        </w:tc>
      </w:tr>
      <w:tr w:rsidR="00616AAE" w:rsidRPr="00CB4CDE" w14:paraId="19399A0D" w14:textId="77777777" w:rsidTr="00616AAE">
        <w:trPr>
          <w:trHeight w:val="600"/>
          <w:jc w:val="center"/>
        </w:trPr>
        <w:tc>
          <w:tcPr>
            <w:tcW w:w="676" w:type="dxa"/>
            <w:tcBorders>
              <w:top w:val="nil"/>
              <w:left w:val="single" w:sz="4" w:space="0" w:color="auto"/>
              <w:bottom w:val="single" w:sz="4" w:space="0" w:color="auto"/>
              <w:right w:val="single" w:sz="4" w:space="0" w:color="auto"/>
            </w:tcBorders>
            <w:noWrap/>
            <w:vAlign w:val="bottom"/>
            <w:hideMark/>
          </w:tcPr>
          <w:p w14:paraId="38404A08"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5" w:type="dxa"/>
            <w:tcBorders>
              <w:top w:val="nil"/>
              <w:left w:val="nil"/>
              <w:bottom w:val="single" w:sz="4" w:space="0" w:color="auto"/>
              <w:right w:val="single" w:sz="4" w:space="0" w:color="auto"/>
            </w:tcBorders>
            <w:noWrap/>
            <w:vAlign w:val="bottom"/>
            <w:hideMark/>
          </w:tcPr>
          <w:p w14:paraId="1564E1B6"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94" w:type="dxa"/>
            <w:tcBorders>
              <w:top w:val="nil"/>
              <w:left w:val="nil"/>
              <w:bottom w:val="single" w:sz="4" w:space="0" w:color="auto"/>
              <w:right w:val="single" w:sz="4" w:space="0" w:color="auto"/>
            </w:tcBorders>
            <w:vAlign w:val="bottom"/>
            <w:hideMark/>
          </w:tcPr>
          <w:p w14:paraId="5A33BD8F"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5" w:type="dxa"/>
            <w:tcBorders>
              <w:top w:val="nil"/>
              <w:left w:val="nil"/>
              <w:bottom w:val="single" w:sz="4" w:space="0" w:color="auto"/>
              <w:right w:val="single" w:sz="4" w:space="0" w:color="auto"/>
            </w:tcBorders>
            <w:noWrap/>
            <w:vAlign w:val="bottom"/>
            <w:hideMark/>
          </w:tcPr>
          <w:p w14:paraId="0DFC0ADE"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2.37</w:t>
            </w:r>
          </w:p>
        </w:tc>
      </w:tr>
    </w:tbl>
    <w:p w14:paraId="256F4E9C" w14:textId="07385538" w:rsidR="00616AAE" w:rsidRPr="00CB4CDE" w:rsidRDefault="00616AAE" w:rsidP="00044024">
      <w:pPr>
        <w:rPr>
          <w:rFonts w:ascii="Arial" w:hAnsi="Arial" w:cs="Arial"/>
        </w:rPr>
      </w:pPr>
    </w:p>
    <w:tbl>
      <w:tblPr>
        <w:tblW w:w="5620" w:type="dxa"/>
        <w:jc w:val="center"/>
        <w:tblLook w:val="04A0" w:firstRow="1" w:lastRow="0" w:firstColumn="1" w:lastColumn="0" w:noHBand="0" w:noVBand="1"/>
      </w:tblPr>
      <w:tblGrid>
        <w:gridCol w:w="737"/>
        <w:gridCol w:w="1025"/>
        <w:gridCol w:w="2494"/>
        <w:gridCol w:w="1425"/>
      </w:tblGrid>
      <w:tr w:rsidR="00616AAE" w:rsidRPr="00CB4CDE" w14:paraId="66A8A65C" w14:textId="77777777" w:rsidTr="00616AAE">
        <w:trPr>
          <w:trHeight w:val="300"/>
          <w:jc w:val="center"/>
        </w:trPr>
        <w:tc>
          <w:tcPr>
            <w:tcW w:w="5620" w:type="dxa"/>
            <w:gridSpan w:val="4"/>
            <w:tcBorders>
              <w:top w:val="single" w:sz="4" w:space="0" w:color="auto"/>
              <w:left w:val="single" w:sz="4" w:space="0" w:color="auto"/>
              <w:bottom w:val="single" w:sz="4" w:space="0" w:color="auto"/>
              <w:right w:val="single" w:sz="4" w:space="0" w:color="auto"/>
            </w:tcBorders>
            <w:noWrap/>
            <w:vAlign w:val="bottom"/>
            <w:hideMark/>
          </w:tcPr>
          <w:p w14:paraId="4E9FE1DC" w14:textId="1629D4F2" w:rsidR="00616AAE" w:rsidRPr="00CB4CDE" w:rsidRDefault="00616AAE" w:rsidP="00616AAE">
            <w:pPr>
              <w:spacing w:line="240" w:lineRule="auto"/>
              <w:jc w:val="center"/>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Project C (NPV at HDR)</w:t>
            </w:r>
          </w:p>
        </w:tc>
      </w:tr>
      <w:tr w:rsidR="00616AAE" w:rsidRPr="00CB4CDE" w14:paraId="519DA70F"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6F0317C6"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xml:space="preserve">Year </w:t>
            </w:r>
          </w:p>
        </w:tc>
        <w:tc>
          <w:tcPr>
            <w:tcW w:w="1025" w:type="dxa"/>
            <w:tcBorders>
              <w:top w:val="nil"/>
              <w:left w:val="nil"/>
              <w:bottom w:val="single" w:sz="4" w:space="0" w:color="auto"/>
              <w:right w:val="single" w:sz="4" w:space="0" w:color="auto"/>
            </w:tcBorders>
            <w:noWrap/>
            <w:vAlign w:val="bottom"/>
            <w:hideMark/>
          </w:tcPr>
          <w:p w14:paraId="64B3E689"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Cash flow</w:t>
            </w:r>
          </w:p>
        </w:tc>
        <w:tc>
          <w:tcPr>
            <w:tcW w:w="2494" w:type="dxa"/>
            <w:tcBorders>
              <w:top w:val="nil"/>
              <w:left w:val="nil"/>
              <w:bottom w:val="single" w:sz="4" w:space="0" w:color="auto"/>
              <w:right w:val="single" w:sz="4" w:space="0" w:color="auto"/>
            </w:tcBorders>
            <w:noWrap/>
            <w:vAlign w:val="bottom"/>
            <w:hideMark/>
          </w:tcPr>
          <w:p w14:paraId="64A00D47"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Discounting factor (9%)</w:t>
            </w:r>
          </w:p>
        </w:tc>
        <w:tc>
          <w:tcPr>
            <w:tcW w:w="1425" w:type="dxa"/>
            <w:tcBorders>
              <w:top w:val="nil"/>
              <w:left w:val="nil"/>
              <w:bottom w:val="single" w:sz="4" w:space="0" w:color="auto"/>
              <w:right w:val="single" w:sz="4" w:space="0" w:color="auto"/>
            </w:tcBorders>
            <w:noWrap/>
            <w:vAlign w:val="bottom"/>
            <w:hideMark/>
          </w:tcPr>
          <w:p w14:paraId="6B2A5221"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w:t>
            </w:r>
          </w:p>
        </w:tc>
      </w:tr>
      <w:tr w:rsidR="00616AAE" w:rsidRPr="00CB4CDE" w14:paraId="62E04E1E"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281EDA05" w14:textId="77777777" w:rsidR="00616AAE" w:rsidRPr="00CB4CDE" w:rsidRDefault="00616AAE" w:rsidP="00616AAE">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Year 0</w:t>
            </w:r>
          </w:p>
        </w:tc>
        <w:tc>
          <w:tcPr>
            <w:tcW w:w="1025" w:type="dxa"/>
            <w:tcBorders>
              <w:top w:val="nil"/>
              <w:left w:val="nil"/>
              <w:bottom w:val="single" w:sz="4" w:space="0" w:color="auto"/>
              <w:right w:val="single" w:sz="4" w:space="0" w:color="auto"/>
            </w:tcBorders>
            <w:noWrap/>
            <w:vAlign w:val="bottom"/>
            <w:hideMark/>
          </w:tcPr>
          <w:p w14:paraId="429EB70D"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c>
          <w:tcPr>
            <w:tcW w:w="2494" w:type="dxa"/>
            <w:tcBorders>
              <w:top w:val="nil"/>
              <w:left w:val="nil"/>
              <w:bottom w:val="single" w:sz="4" w:space="0" w:color="auto"/>
              <w:right w:val="single" w:sz="4" w:space="0" w:color="auto"/>
            </w:tcBorders>
            <w:noWrap/>
            <w:vAlign w:val="bottom"/>
            <w:hideMark/>
          </w:tcPr>
          <w:p w14:paraId="5DE14144"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1</w:t>
            </w:r>
          </w:p>
        </w:tc>
        <w:tc>
          <w:tcPr>
            <w:tcW w:w="1425" w:type="dxa"/>
            <w:tcBorders>
              <w:top w:val="nil"/>
              <w:left w:val="nil"/>
              <w:bottom w:val="single" w:sz="4" w:space="0" w:color="auto"/>
              <w:right w:val="single" w:sz="4" w:space="0" w:color="auto"/>
            </w:tcBorders>
            <w:noWrap/>
            <w:vAlign w:val="bottom"/>
            <w:hideMark/>
          </w:tcPr>
          <w:p w14:paraId="2591BBDA"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-50</w:t>
            </w:r>
          </w:p>
        </w:tc>
      </w:tr>
      <w:tr w:rsidR="00616AAE" w:rsidRPr="00CB4CDE" w14:paraId="49617E6B"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5221D061"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1</w:t>
            </w:r>
          </w:p>
        </w:tc>
        <w:tc>
          <w:tcPr>
            <w:tcW w:w="1025" w:type="dxa"/>
            <w:tcBorders>
              <w:top w:val="nil"/>
              <w:left w:val="nil"/>
              <w:bottom w:val="single" w:sz="4" w:space="0" w:color="auto"/>
              <w:right w:val="single" w:sz="4" w:space="0" w:color="auto"/>
            </w:tcBorders>
            <w:noWrap/>
            <w:vAlign w:val="bottom"/>
            <w:hideMark/>
          </w:tcPr>
          <w:p w14:paraId="76440043"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494" w:type="dxa"/>
            <w:tcBorders>
              <w:top w:val="nil"/>
              <w:left w:val="nil"/>
              <w:bottom w:val="single" w:sz="4" w:space="0" w:color="auto"/>
              <w:right w:val="single" w:sz="4" w:space="0" w:color="auto"/>
            </w:tcBorders>
            <w:noWrap/>
            <w:vAlign w:val="bottom"/>
            <w:hideMark/>
          </w:tcPr>
          <w:p w14:paraId="29CB012E"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0.917</w:t>
            </w:r>
          </w:p>
        </w:tc>
        <w:tc>
          <w:tcPr>
            <w:tcW w:w="1425" w:type="dxa"/>
            <w:tcBorders>
              <w:top w:val="nil"/>
              <w:left w:val="nil"/>
              <w:bottom w:val="single" w:sz="4" w:space="0" w:color="auto"/>
              <w:right w:val="single" w:sz="4" w:space="0" w:color="auto"/>
            </w:tcBorders>
            <w:noWrap/>
            <w:vAlign w:val="bottom"/>
            <w:hideMark/>
          </w:tcPr>
          <w:p w14:paraId="6BF8F87B"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4.59</w:t>
            </w:r>
          </w:p>
        </w:tc>
      </w:tr>
      <w:tr w:rsidR="00616AAE" w:rsidRPr="00CB4CDE" w14:paraId="551CAF77"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3C3BB2E7"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2</w:t>
            </w:r>
          </w:p>
        </w:tc>
        <w:tc>
          <w:tcPr>
            <w:tcW w:w="1025" w:type="dxa"/>
            <w:tcBorders>
              <w:top w:val="nil"/>
              <w:left w:val="nil"/>
              <w:bottom w:val="single" w:sz="4" w:space="0" w:color="auto"/>
              <w:right w:val="single" w:sz="4" w:space="0" w:color="auto"/>
            </w:tcBorders>
            <w:noWrap/>
            <w:vAlign w:val="bottom"/>
            <w:hideMark/>
          </w:tcPr>
          <w:p w14:paraId="594B0E33"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10</w:t>
            </w:r>
          </w:p>
        </w:tc>
        <w:tc>
          <w:tcPr>
            <w:tcW w:w="2494" w:type="dxa"/>
            <w:tcBorders>
              <w:top w:val="nil"/>
              <w:left w:val="nil"/>
              <w:bottom w:val="single" w:sz="4" w:space="0" w:color="auto"/>
              <w:right w:val="single" w:sz="4" w:space="0" w:color="auto"/>
            </w:tcBorders>
            <w:noWrap/>
            <w:vAlign w:val="bottom"/>
            <w:hideMark/>
          </w:tcPr>
          <w:p w14:paraId="2F6CA2E7"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0.842</w:t>
            </w:r>
          </w:p>
        </w:tc>
        <w:tc>
          <w:tcPr>
            <w:tcW w:w="1425" w:type="dxa"/>
            <w:tcBorders>
              <w:top w:val="nil"/>
              <w:left w:val="nil"/>
              <w:bottom w:val="single" w:sz="4" w:space="0" w:color="auto"/>
              <w:right w:val="single" w:sz="4" w:space="0" w:color="auto"/>
            </w:tcBorders>
            <w:noWrap/>
            <w:vAlign w:val="bottom"/>
            <w:hideMark/>
          </w:tcPr>
          <w:p w14:paraId="75B252BA"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8.42</w:t>
            </w:r>
          </w:p>
        </w:tc>
      </w:tr>
      <w:tr w:rsidR="00616AAE" w:rsidRPr="00CB4CDE" w14:paraId="65233D91"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488458D9"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3</w:t>
            </w:r>
          </w:p>
        </w:tc>
        <w:tc>
          <w:tcPr>
            <w:tcW w:w="1025" w:type="dxa"/>
            <w:tcBorders>
              <w:top w:val="nil"/>
              <w:left w:val="nil"/>
              <w:bottom w:val="single" w:sz="4" w:space="0" w:color="auto"/>
              <w:right w:val="single" w:sz="4" w:space="0" w:color="auto"/>
            </w:tcBorders>
            <w:noWrap/>
            <w:vAlign w:val="bottom"/>
            <w:hideMark/>
          </w:tcPr>
          <w:p w14:paraId="185156E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20</w:t>
            </w:r>
          </w:p>
        </w:tc>
        <w:tc>
          <w:tcPr>
            <w:tcW w:w="2494" w:type="dxa"/>
            <w:tcBorders>
              <w:top w:val="nil"/>
              <w:left w:val="nil"/>
              <w:bottom w:val="single" w:sz="4" w:space="0" w:color="auto"/>
              <w:right w:val="single" w:sz="4" w:space="0" w:color="auto"/>
            </w:tcBorders>
            <w:noWrap/>
            <w:vAlign w:val="bottom"/>
            <w:hideMark/>
          </w:tcPr>
          <w:p w14:paraId="037F75C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0.772</w:t>
            </w:r>
          </w:p>
        </w:tc>
        <w:tc>
          <w:tcPr>
            <w:tcW w:w="1425" w:type="dxa"/>
            <w:tcBorders>
              <w:top w:val="nil"/>
              <w:left w:val="nil"/>
              <w:bottom w:val="single" w:sz="4" w:space="0" w:color="auto"/>
              <w:right w:val="single" w:sz="4" w:space="0" w:color="auto"/>
            </w:tcBorders>
            <w:noWrap/>
            <w:vAlign w:val="bottom"/>
            <w:hideMark/>
          </w:tcPr>
          <w:p w14:paraId="4BD5D398"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15.44</w:t>
            </w:r>
          </w:p>
        </w:tc>
      </w:tr>
      <w:tr w:rsidR="00616AAE" w:rsidRPr="00CB4CDE" w14:paraId="193617FE"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13FDCB3B"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Year 4</w:t>
            </w:r>
          </w:p>
        </w:tc>
        <w:tc>
          <w:tcPr>
            <w:tcW w:w="1025" w:type="dxa"/>
            <w:tcBorders>
              <w:top w:val="nil"/>
              <w:left w:val="nil"/>
              <w:bottom w:val="single" w:sz="4" w:space="0" w:color="auto"/>
              <w:right w:val="single" w:sz="4" w:space="0" w:color="auto"/>
            </w:tcBorders>
            <w:noWrap/>
            <w:vAlign w:val="bottom"/>
            <w:hideMark/>
          </w:tcPr>
          <w:p w14:paraId="0A6A4AF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25</w:t>
            </w:r>
          </w:p>
        </w:tc>
        <w:tc>
          <w:tcPr>
            <w:tcW w:w="2494" w:type="dxa"/>
            <w:tcBorders>
              <w:top w:val="nil"/>
              <w:left w:val="nil"/>
              <w:bottom w:val="single" w:sz="4" w:space="0" w:color="auto"/>
              <w:right w:val="single" w:sz="4" w:space="0" w:color="auto"/>
            </w:tcBorders>
            <w:noWrap/>
            <w:vAlign w:val="bottom"/>
            <w:hideMark/>
          </w:tcPr>
          <w:p w14:paraId="2ACA7F82"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0.708</w:t>
            </w:r>
          </w:p>
        </w:tc>
        <w:tc>
          <w:tcPr>
            <w:tcW w:w="1425" w:type="dxa"/>
            <w:tcBorders>
              <w:top w:val="nil"/>
              <w:left w:val="nil"/>
              <w:bottom w:val="single" w:sz="4" w:space="0" w:color="auto"/>
              <w:right w:val="single" w:sz="4" w:space="0" w:color="auto"/>
            </w:tcBorders>
            <w:noWrap/>
            <w:vAlign w:val="bottom"/>
            <w:hideMark/>
          </w:tcPr>
          <w:p w14:paraId="358A6449"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17.71</w:t>
            </w:r>
          </w:p>
        </w:tc>
      </w:tr>
      <w:tr w:rsidR="00616AAE" w:rsidRPr="00CB4CDE" w14:paraId="675848FF" w14:textId="77777777" w:rsidTr="00616AAE">
        <w:trPr>
          <w:trHeight w:val="300"/>
          <w:jc w:val="center"/>
        </w:trPr>
        <w:tc>
          <w:tcPr>
            <w:tcW w:w="676" w:type="dxa"/>
            <w:tcBorders>
              <w:top w:val="nil"/>
              <w:left w:val="single" w:sz="4" w:space="0" w:color="auto"/>
              <w:bottom w:val="single" w:sz="4" w:space="0" w:color="auto"/>
              <w:right w:val="single" w:sz="4" w:space="0" w:color="auto"/>
            </w:tcBorders>
            <w:noWrap/>
            <w:vAlign w:val="bottom"/>
            <w:hideMark/>
          </w:tcPr>
          <w:p w14:paraId="4B432C16"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lastRenderedPageBreak/>
              <w:t>Year 5</w:t>
            </w:r>
          </w:p>
        </w:tc>
        <w:tc>
          <w:tcPr>
            <w:tcW w:w="1025" w:type="dxa"/>
            <w:tcBorders>
              <w:top w:val="nil"/>
              <w:left w:val="nil"/>
              <w:bottom w:val="single" w:sz="4" w:space="0" w:color="auto"/>
              <w:right w:val="single" w:sz="4" w:space="0" w:color="auto"/>
            </w:tcBorders>
            <w:noWrap/>
            <w:vAlign w:val="bottom"/>
            <w:hideMark/>
          </w:tcPr>
          <w:p w14:paraId="6AFF2666"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5</w:t>
            </w:r>
          </w:p>
        </w:tc>
        <w:tc>
          <w:tcPr>
            <w:tcW w:w="2494" w:type="dxa"/>
            <w:tcBorders>
              <w:top w:val="nil"/>
              <w:left w:val="nil"/>
              <w:bottom w:val="single" w:sz="4" w:space="0" w:color="auto"/>
              <w:right w:val="single" w:sz="4" w:space="0" w:color="auto"/>
            </w:tcBorders>
            <w:noWrap/>
            <w:vAlign w:val="bottom"/>
            <w:hideMark/>
          </w:tcPr>
          <w:p w14:paraId="59711229"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0.650</w:t>
            </w:r>
          </w:p>
        </w:tc>
        <w:tc>
          <w:tcPr>
            <w:tcW w:w="1425" w:type="dxa"/>
            <w:tcBorders>
              <w:top w:val="nil"/>
              <w:left w:val="nil"/>
              <w:bottom w:val="single" w:sz="4" w:space="0" w:color="auto"/>
              <w:right w:val="single" w:sz="4" w:space="0" w:color="auto"/>
            </w:tcBorders>
            <w:noWrap/>
            <w:vAlign w:val="bottom"/>
            <w:hideMark/>
          </w:tcPr>
          <w:p w14:paraId="61D29984" w14:textId="77777777" w:rsidR="00616AAE" w:rsidRPr="00CB4CDE" w:rsidRDefault="00616AAE" w:rsidP="00616AAE">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3.25</w:t>
            </w:r>
          </w:p>
        </w:tc>
      </w:tr>
      <w:tr w:rsidR="00616AAE" w:rsidRPr="00CB4CDE" w14:paraId="544F4534" w14:textId="77777777" w:rsidTr="00616AAE">
        <w:trPr>
          <w:trHeight w:val="600"/>
          <w:jc w:val="center"/>
        </w:trPr>
        <w:tc>
          <w:tcPr>
            <w:tcW w:w="676" w:type="dxa"/>
            <w:tcBorders>
              <w:top w:val="nil"/>
              <w:left w:val="single" w:sz="4" w:space="0" w:color="auto"/>
              <w:bottom w:val="single" w:sz="4" w:space="0" w:color="auto"/>
              <w:right w:val="single" w:sz="4" w:space="0" w:color="auto"/>
            </w:tcBorders>
            <w:noWrap/>
            <w:vAlign w:val="bottom"/>
            <w:hideMark/>
          </w:tcPr>
          <w:p w14:paraId="40F55BFE"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025" w:type="dxa"/>
            <w:tcBorders>
              <w:top w:val="nil"/>
              <w:left w:val="nil"/>
              <w:bottom w:val="single" w:sz="4" w:space="0" w:color="auto"/>
              <w:right w:val="single" w:sz="4" w:space="0" w:color="auto"/>
            </w:tcBorders>
            <w:noWrap/>
            <w:vAlign w:val="bottom"/>
            <w:hideMark/>
          </w:tcPr>
          <w:p w14:paraId="1FD6F4B2" w14:textId="77777777" w:rsidR="00616AAE" w:rsidRPr="00CB4CDE" w:rsidRDefault="00616AAE" w:rsidP="00616AAE">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494" w:type="dxa"/>
            <w:tcBorders>
              <w:top w:val="nil"/>
              <w:left w:val="nil"/>
              <w:bottom w:val="single" w:sz="4" w:space="0" w:color="auto"/>
              <w:right w:val="single" w:sz="4" w:space="0" w:color="auto"/>
            </w:tcBorders>
            <w:vAlign w:val="bottom"/>
            <w:hideMark/>
          </w:tcPr>
          <w:p w14:paraId="147606D7"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Present value of Cash flows</w:t>
            </w:r>
          </w:p>
        </w:tc>
        <w:tc>
          <w:tcPr>
            <w:tcW w:w="1425" w:type="dxa"/>
            <w:tcBorders>
              <w:top w:val="nil"/>
              <w:left w:val="nil"/>
              <w:bottom w:val="single" w:sz="4" w:space="0" w:color="auto"/>
              <w:right w:val="single" w:sz="4" w:space="0" w:color="auto"/>
            </w:tcBorders>
            <w:noWrap/>
            <w:vAlign w:val="bottom"/>
            <w:hideMark/>
          </w:tcPr>
          <w:p w14:paraId="0EF12619" w14:textId="77777777" w:rsidR="00616AAE" w:rsidRPr="00CB4CDE" w:rsidRDefault="00616AAE" w:rsidP="00616AAE">
            <w:pPr>
              <w:spacing w:line="240" w:lineRule="auto"/>
              <w:jc w:val="righ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-0.59</w:t>
            </w:r>
          </w:p>
        </w:tc>
      </w:tr>
    </w:tbl>
    <w:p w14:paraId="4212CCC0" w14:textId="77777777" w:rsidR="00616AAE" w:rsidRPr="00CB4CDE" w:rsidRDefault="00616AAE" w:rsidP="00044024">
      <w:pPr>
        <w:rPr>
          <w:rFonts w:ascii="Arial" w:hAnsi="Arial" w:cs="Arial"/>
        </w:rPr>
      </w:pPr>
    </w:p>
    <w:p w14:paraId="57BB2581" w14:textId="543E5FAC" w:rsidR="004D470B" w:rsidRPr="00CB4CDE" w:rsidRDefault="004D470B" w:rsidP="00044024">
      <w:pPr>
        <w:rPr>
          <w:rFonts w:ascii="Arial" w:hAnsi="Arial" w:cs="Arial"/>
        </w:rPr>
      </w:pPr>
      <w:r w:rsidRPr="00CB4CDE">
        <w:rPr>
          <w:rFonts w:ascii="Arial" w:hAnsi="Arial" w:cs="Arial"/>
          <w:b/>
          <w:bCs/>
        </w:rPr>
        <w:t xml:space="preserve">Step 2: </w:t>
      </w:r>
      <w:r w:rsidRPr="00CB4CDE">
        <w:rPr>
          <w:rFonts w:ascii="Arial" w:hAnsi="Arial" w:cs="Arial"/>
        </w:rPr>
        <w:t>Calculation of IRR using formula</w:t>
      </w:r>
    </w:p>
    <w:p w14:paraId="4267EEE0" w14:textId="0CB9E452" w:rsidR="004D470B" w:rsidRPr="00CB4CDE" w:rsidRDefault="004D470B" w:rsidP="004D470B">
      <w:pPr>
        <w:rPr>
          <w:rFonts w:ascii="Arial" w:hAnsi="Arial" w:cs="Arial"/>
          <w:b/>
          <w:bCs/>
        </w:rPr>
      </w:pPr>
      <w:r w:rsidRPr="00CB4CDE">
        <w:rPr>
          <w:rFonts w:ascii="Arial" w:hAnsi="Arial" w:cs="Arial"/>
          <w:b/>
          <w:bCs/>
        </w:rPr>
        <w:t>IRR of project A</w:t>
      </w:r>
    </w:p>
    <w:tbl>
      <w:tblPr>
        <w:tblW w:w="6140" w:type="dxa"/>
        <w:jc w:val="center"/>
        <w:tblLook w:val="04A0" w:firstRow="1" w:lastRow="0" w:firstColumn="1" w:lastColumn="0" w:noHBand="0" w:noVBand="1"/>
      </w:tblPr>
      <w:tblGrid>
        <w:gridCol w:w="1600"/>
        <w:gridCol w:w="960"/>
        <w:gridCol w:w="2360"/>
        <w:gridCol w:w="1220"/>
      </w:tblGrid>
      <w:tr w:rsidR="004D470B" w:rsidRPr="00CB4CDE" w14:paraId="4315A9ED" w14:textId="77777777" w:rsidTr="004D470B">
        <w:trPr>
          <w:trHeight w:val="300"/>
          <w:jc w:val="center"/>
        </w:trPr>
        <w:tc>
          <w:tcPr>
            <w:tcW w:w="1600" w:type="dxa"/>
            <w:tcBorders>
              <w:top w:val="single" w:sz="4" w:space="0" w:color="auto"/>
              <w:left w:val="single" w:sz="4" w:space="0" w:color="auto"/>
              <w:bottom w:val="single" w:sz="4" w:space="0" w:color="auto"/>
              <w:right w:val="single" w:sz="4" w:space="0" w:color="auto"/>
            </w:tcBorders>
            <w:noWrap/>
            <w:vAlign w:val="bottom"/>
            <w:hideMark/>
          </w:tcPr>
          <w:p w14:paraId="3036FA11"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single" w:sz="4" w:space="0" w:color="auto"/>
              <w:left w:val="nil"/>
              <w:bottom w:val="single" w:sz="4" w:space="0" w:color="auto"/>
              <w:right w:val="single" w:sz="4" w:space="0" w:color="auto"/>
            </w:tcBorders>
            <w:noWrap/>
            <w:vAlign w:val="bottom"/>
            <w:hideMark/>
          </w:tcPr>
          <w:p w14:paraId="48242E80"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LDR+</w:t>
            </w:r>
          </w:p>
        </w:tc>
        <w:tc>
          <w:tcPr>
            <w:tcW w:w="2360" w:type="dxa"/>
            <w:tcBorders>
              <w:top w:val="single" w:sz="4" w:space="0" w:color="auto"/>
              <w:left w:val="nil"/>
              <w:bottom w:val="single" w:sz="4" w:space="0" w:color="auto"/>
              <w:right w:val="single" w:sz="4" w:space="0" w:color="auto"/>
            </w:tcBorders>
            <w:noWrap/>
            <w:vAlign w:val="bottom"/>
            <w:hideMark/>
          </w:tcPr>
          <w:p w14:paraId="2F18B38D" w14:textId="77777777" w:rsidR="004D470B" w:rsidRPr="00CB4CDE" w:rsidRDefault="004D470B" w:rsidP="004D470B">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NPV at LDR</w:t>
            </w:r>
          </w:p>
        </w:tc>
        <w:tc>
          <w:tcPr>
            <w:tcW w:w="1220" w:type="dxa"/>
            <w:tcBorders>
              <w:top w:val="single" w:sz="4" w:space="0" w:color="auto"/>
              <w:left w:val="nil"/>
              <w:bottom w:val="single" w:sz="4" w:space="0" w:color="auto"/>
              <w:right w:val="single" w:sz="4" w:space="0" w:color="auto"/>
            </w:tcBorders>
            <w:noWrap/>
            <w:vAlign w:val="bottom"/>
            <w:hideMark/>
          </w:tcPr>
          <w:p w14:paraId="61ACF3E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(HDR-LDR)</w:t>
            </w:r>
          </w:p>
        </w:tc>
      </w:tr>
      <w:tr w:rsidR="004D470B" w:rsidRPr="00CB4CDE" w14:paraId="3B691E5C" w14:textId="77777777" w:rsidTr="004D470B">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3124CE1A"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6C038F9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5FA86D05" w14:textId="77777777" w:rsidR="004D470B" w:rsidRPr="00CB4CDE" w:rsidRDefault="004D470B" w:rsidP="004D470B">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NPV at LDR- NPV at HDR</w:t>
            </w:r>
          </w:p>
        </w:tc>
        <w:tc>
          <w:tcPr>
            <w:tcW w:w="1220" w:type="dxa"/>
            <w:tcBorders>
              <w:top w:val="nil"/>
              <w:left w:val="nil"/>
              <w:bottom w:val="single" w:sz="4" w:space="0" w:color="auto"/>
              <w:right w:val="single" w:sz="4" w:space="0" w:color="auto"/>
            </w:tcBorders>
            <w:noWrap/>
            <w:vAlign w:val="bottom"/>
            <w:hideMark/>
          </w:tcPr>
          <w:p w14:paraId="5B6B38A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5A378702" w14:textId="77777777" w:rsidTr="004D470B">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4ABE7208"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0729891B"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5F7D8F5F"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220" w:type="dxa"/>
            <w:tcBorders>
              <w:top w:val="nil"/>
              <w:left w:val="nil"/>
              <w:bottom w:val="single" w:sz="4" w:space="0" w:color="auto"/>
              <w:right w:val="single" w:sz="4" w:space="0" w:color="auto"/>
            </w:tcBorders>
            <w:noWrap/>
            <w:vAlign w:val="bottom"/>
            <w:hideMark/>
          </w:tcPr>
          <w:p w14:paraId="6EF2230C"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2C423E41" w14:textId="77777777" w:rsidTr="004D470B">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1F43371D"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70A60FC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2DB820A2"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220" w:type="dxa"/>
            <w:tcBorders>
              <w:top w:val="nil"/>
              <w:left w:val="nil"/>
              <w:bottom w:val="single" w:sz="4" w:space="0" w:color="auto"/>
              <w:right w:val="single" w:sz="4" w:space="0" w:color="auto"/>
            </w:tcBorders>
            <w:noWrap/>
            <w:vAlign w:val="bottom"/>
            <w:hideMark/>
          </w:tcPr>
          <w:p w14:paraId="0BC8AA84"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46F47BD0" w14:textId="77777777" w:rsidTr="004D470B">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045B1537"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35498B0A"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c>
          <w:tcPr>
            <w:tcW w:w="2360" w:type="dxa"/>
            <w:tcBorders>
              <w:top w:val="nil"/>
              <w:left w:val="nil"/>
              <w:bottom w:val="single" w:sz="4" w:space="0" w:color="auto"/>
              <w:right w:val="single" w:sz="4" w:space="0" w:color="auto"/>
            </w:tcBorders>
            <w:noWrap/>
            <w:vAlign w:val="bottom"/>
            <w:hideMark/>
          </w:tcPr>
          <w:p w14:paraId="6167D0FA" w14:textId="77777777" w:rsidR="004D470B" w:rsidRPr="00CB4CDE" w:rsidRDefault="004D470B" w:rsidP="004D470B">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1.01</w:t>
            </w:r>
          </w:p>
        </w:tc>
        <w:tc>
          <w:tcPr>
            <w:tcW w:w="1220" w:type="dxa"/>
            <w:tcBorders>
              <w:top w:val="nil"/>
              <w:left w:val="nil"/>
              <w:bottom w:val="single" w:sz="4" w:space="0" w:color="auto"/>
              <w:right w:val="single" w:sz="4" w:space="0" w:color="auto"/>
            </w:tcBorders>
            <w:noWrap/>
            <w:vAlign w:val="bottom"/>
            <w:hideMark/>
          </w:tcPr>
          <w:p w14:paraId="66C8F88F"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(4-2)</w:t>
            </w:r>
          </w:p>
        </w:tc>
      </w:tr>
      <w:tr w:rsidR="004D470B" w:rsidRPr="00CB4CDE" w14:paraId="2EA879C4" w14:textId="77777777" w:rsidTr="004D470B">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2C3EA9B0"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7B009795"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60C41661" w14:textId="77777777" w:rsidR="004D470B" w:rsidRPr="00CB4CDE" w:rsidRDefault="004D470B" w:rsidP="004D470B">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2.74</w:t>
            </w:r>
          </w:p>
        </w:tc>
        <w:tc>
          <w:tcPr>
            <w:tcW w:w="1220" w:type="dxa"/>
            <w:tcBorders>
              <w:top w:val="nil"/>
              <w:left w:val="nil"/>
              <w:bottom w:val="single" w:sz="4" w:space="0" w:color="auto"/>
              <w:right w:val="single" w:sz="4" w:space="0" w:color="auto"/>
            </w:tcBorders>
            <w:noWrap/>
            <w:vAlign w:val="bottom"/>
            <w:hideMark/>
          </w:tcPr>
          <w:p w14:paraId="5D9B6CC4"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6EE8DB4B" w14:textId="77777777" w:rsidTr="004D470B">
        <w:trPr>
          <w:trHeight w:val="600"/>
          <w:jc w:val="center"/>
        </w:trPr>
        <w:tc>
          <w:tcPr>
            <w:tcW w:w="1600" w:type="dxa"/>
            <w:tcBorders>
              <w:top w:val="nil"/>
              <w:left w:val="single" w:sz="4" w:space="0" w:color="auto"/>
              <w:bottom w:val="single" w:sz="4" w:space="0" w:color="auto"/>
              <w:right w:val="single" w:sz="4" w:space="0" w:color="auto"/>
            </w:tcBorders>
            <w:noWrap/>
            <w:vAlign w:val="bottom"/>
            <w:hideMark/>
          </w:tcPr>
          <w:p w14:paraId="10541086"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040AA0A0"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c>
          <w:tcPr>
            <w:tcW w:w="2360" w:type="dxa"/>
            <w:tcBorders>
              <w:top w:val="nil"/>
              <w:left w:val="nil"/>
              <w:bottom w:val="single" w:sz="4" w:space="0" w:color="auto"/>
              <w:right w:val="single" w:sz="4" w:space="0" w:color="auto"/>
            </w:tcBorders>
            <w:noWrap/>
            <w:vAlign w:val="bottom"/>
            <w:hideMark/>
          </w:tcPr>
          <w:p w14:paraId="26C0D997" w14:textId="77777777" w:rsidR="004D470B" w:rsidRPr="00CB4CDE" w:rsidRDefault="004D470B" w:rsidP="004D470B">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0.370987757</w:t>
            </w:r>
          </w:p>
        </w:tc>
        <w:tc>
          <w:tcPr>
            <w:tcW w:w="1220" w:type="dxa"/>
            <w:tcBorders>
              <w:top w:val="nil"/>
              <w:left w:val="nil"/>
              <w:bottom w:val="single" w:sz="4" w:space="0" w:color="auto"/>
              <w:right w:val="single" w:sz="4" w:space="0" w:color="auto"/>
            </w:tcBorders>
            <w:noWrap/>
            <w:vAlign w:val="bottom"/>
            <w:hideMark/>
          </w:tcPr>
          <w:p w14:paraId="4F6849ED"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r>
      <w:tr w:rsidR="004D470B" w:rsidRPr="00CB4CDE" w14:paraId="5648EE92" w14:textId="77777777" w:rsidTr="004D470B">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7631B00C"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6B3BBA7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c>
          <w:tcPr>
            <w:tcW w:w="2360" w:type="dxa"/>
            <w:tcBorders>
              <w:top w:val="nil"/>
              <w:left w:val="nil"/>
              <w:bottom w:val="single" w:sz="4" w:space="0" w:color="auto"/>
              <w:right w:val="single" w:sz="4" w:space="0" w:color="auto"/>
            </w:tcBorders>
            <w:noWrap/>
            <w:vAlign w:val="bottom"/>
            <w:hideMark/>
          </w:tcPr>
          <w:p w14:paraId="6D6D35AE" w14:textId="77777777" w:rsidR="004D470B" w:rsidRPr="00CB4CDE" w:rsidRDefault="004D470B" w:rsidP="004D470B">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0.741975514</w:t>
            </w:r>
          </w:p>
        </w:tc>
        <w:tc>
          <w:tcPr>
            <w:tcW w:w="1220" w:type="dxa"/>
            <w:tcBorders>
              <w:top w:val="nil"/>
              <w:left w:val="nil"/>
              <w:bottom w:val="single" w:sz="4" w:space="0" w:color="auto"/>
              <w:right w:val="single" w:sz="4" w:space="0" w:color="auto"/>
            </w:tcBorders>
            <w:noWrap/>
            <w:vAlign w:val="bottom"/>
            <w:hideMark/>
          </w:tcPr>
          <w:p w14:paraId="11B134F2"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40BBD876" w14:textId="77777777" w:rsidTr="004D470B">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46F53BE4"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 (Project A) =</w:t>
            </w:r>
          </w:p>
        </w:tc>
        <w:tc>
          <w:tcPr>
            <w:tcW w:w="4540" w:type="dxa"/>
            <w:gridSpan w:val="3"/>
            <w:tcBorders>
              <w:top w:val="single" w:sz="4" w:space="0" w:color="auto"/>
              <w:left w:val="nil"/>
              <w:bottom w:val="single" w:sz="4" w:space="0" w:color="auto"/>
              <w:right w:val="single" w:sz="4" w:space="0" w:color="auto"/>
            </w:tcBorders>
            <w:noWrap/>
            <w:vAlign w:val="bottom"/>
            <w:hideMark/>
          </w:tcPr>
          <w:p w14:paraId="49078666"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2.74%</w:t>
            </w:r>
          </w:p>
        </w:tc>
      </w:tr>
    </w:tbl>
    <w:p w14:paraId="7E23C4D7" w14:textId="77777777" w:rsidR="004D470B" w:rsidRPr="00CB4CDE" w:rsidRDefault="004D470B" w:rsidP="004D470B">
      <w:pPr>
        <w:rPr>
          <w:rFonts w:ascii="Arial" w:hAnsi="Arial" w:cs="Arial"/>
          <w:b/>
          <w:bCs/>
        </w:rPr>
      </w:pPr>
    </w:p>
    <w:p w14:paraId="3AB7EF70" w14:textId="5278C4D3" w:rsidR="004D470B" w:rsidRPr="00CB4CDE" w:rsidRDefault="004D470B" w:rsidP="004D470B">
      <w:pPr>
        <w:rPr>
          <w:rFonts w:ascii="Arial" w:hAnsi="Arial" w:cs="Arial"/>
          <w:b/>
          <w:bCs/>
        </w:rPr>
      </w:pPr>
      <w:r w:rsidRPr="00CB4CDE">
        <w:rPr>
          <w:rFonts w:ascii="Arial" w:hAnsi="Arial" w:cs="Arial"/>
          <w:b/>
          <w:bCs/>
        </w:rPr>
        <w:t>IRR of project B</w:t>
      </w:r>
    </w:p>
    <w:tbl>
      <w:tblPr>
        <w:tblW w:w="6140" w:type="dxa"/>
        <w:jc w:val="center"/>
        <w:tblLook w:val="04A0" w:firstRow="1" w:lastRow="0" w:firstColumn="1" w:lastColumn="0" w:noHBand="0" w:noVBand="1"/>
      </w:tblPr>
      <w:tblGrid>
        <w:gridCol w:w="1600"/>
        <w:gridCol w:w="960"/>
        <w:gridCol w:w="2360"/>
        <w:gridCol w:w="1220"/>
      </w:tblGrid>
      <w:tr w:rsidR="004D470B" w:rsidRPr="00CB4CDE" w14:paraId="5CC9C7FF" w14:textId="77777777" w:rsidTr="0050490D">
        <w:trPr>
          <w:trHeight w:val="300"/>
          <w:jc w:val="center"/>
        </w:trPr>
        <w:tc>
          <w:tcPr>
            <w:tcW w:w="1600" w:type="dxa"/>
            <w:tcBorders>
              <w:top w:val="single" w:sz="4" w:space="0" w:color="auto"/>
              <w:left w:val="single" w:sz="4" w:space="0" w:color="auto"/>
              <w:bottom w:val="single" w:sz="4" w:space="0" w:color="auto"/>
              <w:right w:val="single" w:sz="4" w:space="0" w:color="auto"/>
            </w:tcBorders>
            <w:noWrap/>
            <w:vAlign w:val="bottom"/>
            <w:hideMark/>
          </w:tcPr>
          <w:p w14:paraId="1FC87E63"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single" w:sz="4" w:space="0" w:color="auto"/>
              <w:left w:val="nil"/>
              <w:bottom w:val="single" w:sz="4" w:space="0" w:color="auto"/>
              <w:right w:val="single" w:sz="4" w:space="0" w:color="auto"/>
            </w:tcBorders>
            <w:noWrap/>
            <w:vAlign w:val="bottom"/>
            <w:hideMark/>
          </w:tcPr>
          <w:p w14:paraId="69A56FA8"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LDR+</w:t>
            </w:r>
          </w:p>
        </w:tc>
        <w:tc>
          <w:tcPr>
            <w:tcW w:w="2360" w:type="dxa"/>
            <w:tcBorders>
              <w:top w:val="single" w:sz="4" w:space="0" w:color="auto"/>
              <w:left w:val="nil"/>
              <w:bottom w:val="single" w:sz="4" w:space="0" w:color="auto"/>
              <w:right w:val="single" w:sz="4" w:space="0" w:color="auto"/>
            </w:tcBorders>
            <w:noWrap/>
            <w:vAlign w:val="bottom"/>
            <w:hideMark/>
          </w:tcPr>
          <w:p w14:paraId="0AB97C1E" w14:textId="77777777" w:rsidR="004D470B" w:rsidRPr="00CB4CDE" w:rsidRDefault="004D470B" w:rsidP="004D470B">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NPV at LDR</w:t>
            </w:r>
          </w:p>
        </w:tc>
        <w:tc>
          <w:tcPr>
            <w:tcW w:w="1220" w:type="dxa"/>
            <w:tcBorders>
              <w:top w:val="single" w:sz="4" w:space="0" w:color="auto"/>
              <w:left w:val="nil"/>
              <w:bottom w:val="single" w:sz="4" w:space="0" w:color="auto"/>
              <w:right w:val="single" w:sz="4" w:space="0" w:color="auto"/>
            </w:tcBorders>
            <w:noWrap/>
            <w:vAlign w:val="bottom"/>
            <w:hideMark/>
          </w:tcPr>
          <w:p w14:paraId="08DB369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(HDR-LDR)</w:t>
            </w:r>
          </w:p>
        </w:tc>
      </w:tr>
      <w:tr w:rsidR="004D470B" w:rsidRPr="00CB4CDE" w14:paraId="135C0F8F"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440A619F"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5D4FDE63"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5C135CB2" w14:textId="77777777" w:rsidR="004D470B" w:rsidRPr="00CB4CDE" w:rsidRDefault="004D470B" w:rsidP="004D470B">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NPV at LDR- NPV at HDR</w:t>
            </w:r>
          </w:p>
        </w:tc>
        <w:tc>
          <w:tcPr>
            <w:tcW w:w="1220" w:type="dxa"/>
            <w:tcBorders>
              <w:top w:val="nil"/>
              <w:left w:val="nil"/>
              <w:bottom w:val="single" w:sz="4" w:space="0" w:color="auto"/>
              <w:right w:val="single" w:sz="4" w:space="0" w:color="auto"/>
            </w:tcBorders>
            <w:noWrap/>
            <w:vAlign w:val="bottom"/>
            <w:hideMark/>
          </w:tcPr>
          <w:p w14:paraId="6DD8059B"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4443C599"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4DCDAB5A"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663383B2"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615021FF"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220" w:type="dxa"/>
            <w:tcBorders>
              <w:top w:val="nil"/>
              <w:left w:val="nil"/>
              <w:bottom w:val="single" w:sz="4" w:space="0" w:color="auto"/>
              <w:right w:val="single" w:sz="4" w:space="0" w:color="auto"/>
            </w:tcBorders>
            <w:noWrap/>
            <w:vAlign w:val="bottom"/>
            <w:hideMark/>
          </w:tcPr>
          <w:p w14:paraId="5A3527C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7E105943"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77006348"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64EDC627"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10D7AFE5"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220" w:type="dxa"/>
            <w:tcBorders>
              <w:top w:val="nil"/>
              <w:left w:val="nil"/>
              <w:bottom w:val="single" w:sz="4" w:space="0" w:color="auto"/>
              <w:right w:val="single" w:sz="4" w:space="0" w:color="auto"/>
            </w:tcBorders>
            <w:noWrap/>
            <w:vAlign w:val="bottom"/>
            <w:hideMark/>
          </w:tcPr>
          <w:p w14:paraId="3D83A2FB"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41FC1F45"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543D56A0"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5031188F"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c>
          <w:tcPr>
            <w:tcW w:w="2360" w:type="dxa"/>
            <w:tcBorders>
              <w:top w:val="nil"/>
              <w:left w:val="nil"/>
              <w:bottom w:val="single" w:sz="4" w:space="0" w:color="auto"/>
              <w:right w:val="single" w:sz="4" w:space="0" w:color="auto"/>
            </w:tcBorders>
            <w:noWrap/>
            <w:vAlign w:val="bottom"/>
            <w:hideMark/>
          </w:tcPr>
          <w:p w14:paraId="0687F707" w14:textId="77777777" w:rsidR="004D470B" w:rsidRPr="00CB4CDE" w:rsidRDefault="004D470B" w:rsidP="004D470B">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1.85</w:t>
            </w:r>
          </w:p>
        </w:tc>
        <w:tc>
          <w:tcPr>
            <w:tcW w:w="1220" w:type="dxa"/>
            <w:tcBorders>
              <w:top w:val="nil"/>
              <w:left w:val="nil"/>
              <w:bottom w:val="single" w:sz="4" w:space="0" w:color="auto"/>
              <w:right w:val="single" w:sz="4" w:space="0" w:color="auto"/>
            </w:tcBorders>
            <w:noWrap/>
            <w:vAlign w:val="bottom"/>
            <w:hideMark/>
          </w:tcPr>
          <w:p w14:paraId="291C6930"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(4-2)</w:t>
            </w:r>
          </w:p>
        </w:tc>
      </w:tr>
      <w:tr w:rsidR="004D470B" w:rsidRPr="00CB4CDE" w14:paraId="4E083E03" w14:textId="77777777" w:rsidTr="0050490D">
        <w:trPr>
          <w:trHeight w:val="600"/>
          <w:jc w:val="center"/>
        </w:trPr>
        <w:tc>
          <w:tcPr>
            <w:tcW w:w="1600" w:type="dxa"/>
            <w:tcBorders>
              <w:top w:val="nil"/>
              <w:left w:val="single" w:sz="4" w:space="0" w:color="auto"/>
              <w:bottom w:val="single" w:sz="4" w:space="0" w:color="auto"/>
              <w:right w:val="single" w:sz="4" w:space="0" w:color="auto"/>
            </w:tcBorders>
            <w:noWrap/>
            <w:vAlign w:val="bottom"/>
            <w:hideMark/>
          </w:tcPr>
          <w:p w14:paraId="004862D3"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7403FA70"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57AB86F6" w14:textId="77777777" w:rsidR="004D470B" w:rsidRPr="00CB4CDE" w:rsidRDefault="004D470B" w:rsidP="004D470B">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2.88</w:t>
            </w:r>
          </w:p>
        </w:tc>
        <w:tc>
          <w:tcPr>
            <w:tcW w:w="1220" w:type="dxa"/>
            <w:tcBorders>
              <w:top w:val="nil"/>
              <w:left w:val="nil"/>
              <w:bottom w:val="single" w:sz="4" w:space="0" w:color="auto"/>
              <w:right w:val="single" w:sz="4" w:space="0" w:color="auto"/>
            </w:tcBorders>
            <w:noWrap/>
            <w:vAlign w:val="bottom"/>
            <w:hideMark/>
          </w:tcPr>
          <w:p w14:paraId="6A655F5C"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422B6E60"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2D3FE104"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06A82DD3"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c>
          <w:tcPr>
            <w:tcW w:w="2360" w:type="dxa"/>
            <w:tcBorders>
              <w:top w:val="nil"/>
              <w:left w:val="nil"/>
              <w:bottom w:val="single" w:sz="4" w:space="0" w:color="auto"/>
              <w:right w:val="single" w:sz="4" w:space="0" w:color="auto"/>
            </w:tcBorders>
            <w:noWrap/>
            <w:vAlign w:val="bottom"/>
            <w:hideMark/>
          </w:tcPr>
          <w:p w14:paraId="7CF2A32F" w14:textId="77777777" w:rsidR="004D470B" w:rsidRPr="00CB4CDE" w:rsidRDefault="004D470B" w:rsidP="004D470B">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0.64212955</w:t>
            </w:r>
          </w:p>
        </w:tc>
        <w:tc>
          <w:tcPr>
            <w:tcW w:w="1220" w:type="dxa"/>
            <w:tcBorders>
              <w:top w:val="nil"/>
              <w:left w:val="nil"/>
              <w:bottom w:val="single" w:sz="4" w:space="0" w:color="auto"/>
              <w:right w:val="single" w:sz="4" w:space="0" w:color="auto"/>
            </w:tcBorders>
            <w:noWrap/>
            <w:vAlign w:val="bottom"/>
            <w:hideMark/>
          </w:tcPr>
          <w:p w14:paraId="036B305F"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r>
      <w:tr w:rsidR="004D470B" w:rsidRPr="00CB4CDE" w14:paraId="41A9CC57"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173625C1"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13531E87"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c>
          <w:tcPr>
            <w:tcW w:w="2360" w:type="dxa"/>
            <w:tcBorders>
              <w:top w:val="nil"/>
              <w:left w:val="nil"/>
              <w:bottom w:val="single" w:sz="4" w:space="0" w:color="auto"/>
              <w:right w:val="single" w:sz="4" w:space="0" w:color="auto"/>
            </w:tcBorders>
            <w:noWrap/>
            <w:vAlign w:val="bottom"/>
            <w:hideMark/>
          </w:tcPr>
          <w:p w14:paraId="76C6EA78" w14:textId="77777777" w:rsidR="004D470B" w:rsidRPr="00CB4CDE" w:rsidRDefault="004D470B" w:rsidP="004D470B">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1.2842591</w:t>
            </w:r>
          </w:p>
        </w:tc>
        <w:tc>
          <w:tcPr>
            <w:tcW w:w="1220" w:type="dxa"/>
            <w:tcBorders>
              <w:top w:val="nil"/>
              <w:left w:val="nil"/>
              <w:bottom w:val="single" w:sz="4" w:space="0" w:color="auto"/>
              <w:right w:val="single" w:sz="4" w:space="0" w:color="auto"/>
            </w:tcBorders>
            <w:noWrap/>
            <w:vAlign w:val="bottom"/>
            <w:hideMark/>
          </w:tcPr>
          <w:p w14:paraId="481DFE18"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6F3D43EC"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2A10F57B"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 (Project B) =</w:t>
            </w:r>
          </w:p>
        </w:tc>
        <w:tc>
          <w:tcPr>
            <w:tcW w:w="4540" w:type="dxa"/>
            <w:gridSpan w:val="3"/>
            <w:tcBorders>
              <w:top w:val="single" w:sz="4" w:space="0" w:color="auto"/>
              <w:left w:val="nil"/>
              <w:bottom w:val="single" w:sz="4" w:space="0" w:color="auto"/>
              <w:right w:val="single" w:sz="4" w:space="0" w:color="auto"/>
            </w:tcBorders>
            <w:noWrap/>
            <w:vAlign w:val="bottom"/>
            <w:hideMark/>
          </w:tcPr>
          <w:p w14:paraId="67A63B49"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3.28%</w:t>
            </w:r>
          </w:p>
        </w:tc>
      </w:tr>
    </w:tbl>
    <w:p w14:paraId="4275C65B" w14:textId="77777777" w:rsidR="004D470B" w:rsidRPr="00CB4CDE" w:rsidRDefault="004D470B" w:rsidP="00044024">
      <w:pPr>
        <w:rPr>
          <w:rFonts w:ascii="Arial" w:hAnsi="Arial" w:cs="Arial"/>
        </w:rPr>
      </w:pPr>
    </w:p>
    <w:p w14:paraId="025EA1A1" w14:textId="04115F08" w:rsidR="004D470B" w:rsidRPr="00CB4CDE" w:rsidRDefault="004D470B" w:rsidP="00044024">
      <w:pPr>
        <w:rPr>
          <w:rFonts w:ascii="Arial" w:hAnsi="Arial" w:cs="Arial"/>
          <w:b/>
          <w:bCs/>
        </w:rPr>
      </w:pPr>
      <w:r w:rsidRPr="00CB4CDE">
        <w:rPr>
          <w:rFonts w:ascii="Arial" w:hAnsi="Arial" w:cs="Arial"/>
          <w:b/>
          <w:bCs/>
        </w:rPr>
        <w:t>IRR of project C</w:t>
      </w:r>
    </w:p>
    <w:tbl>
      <w:tblPr>
        <w:tblW w:w="6140" w:type="dxa"/>
        <w:jc w:val="center"/>
        <w:tblLook w:val="04A0" w:firstRow="1" w:lastRow="0" w:firstColumn="1" w:lastColumn="0" w:noHBand="0" w:noVBand="1"/>
      </w:tblPr>
      <w:tblGrid>
        <w:gridCol w:w="1600"/>
        <w:gridCol w:w="960"/>
        <w:gridCol w:w="2360"/>
        <w:gridCol w:w="1220"/>
      </w:tblGrid>
      <w:tr w:rsidR="004D470B" w:rsidRPr="00CB4CDE" w14:paraId="7FDF2FDF" w14:textId="77777777" w:rsidTr="0050490D">
        <w:trPr>
          <w:trHeight w:val="300"/>
          <w:jc w:val="center"/>
        </w:trPr>
        <w:tc>
          <w:tcPr>
            <w:tcW w:w="1600" w:type="dxa"/>
            <w:tcBorders>
              <w:top w:val="single" w:sz="4" w:space="0" w:color="auto"/>
              <w:left w:val="single" w:sz="4" w:space="0" w:color="auto"/>
              <w:bottom w:val="single" w:sz="4" w:space="0" w:color="auto"/>
              <w:right w:val="single" w:sz="4" w:space="0" w:color="auto"/>
            </w:tcBorders>
            <w:noWrap/>
            <w:vAlign w:val="bottom"/>
            <w:hideMark/>
          </w:tcPr>
          <w:p w14:paraId="731CD030"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single" w:sz="4" w:space="0" w:color="auto"/>
              <w:left w:val="nil"/>
              <w:bottom w:val="single" w:sz="4" w:space="0" w:color="auto"/>
              <w:right w:val="single" w:sz="4" w:space="0" w:color="auto"/>
            </w:tcBorders>
            <w:noWrap/>
            <w:vAlign w:val="bottom"/>
            <w:hideMark/>
          </w:tcPr>
          <w:p w14:paraId="336BA88A"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LDR+</w:t>
            </w:r>
          </w:p>
        </w:tc>
        <w:tc>
          <w:tcPr>
            <w:tcW w:w="2360" w:type="dxa"/>
            <w:tcBorders>
              <w:top w:val="single" w:sz="4" w:space="0" w:color="auto"/>
              <w:left w:val="nil"/>
              <w:bottom w:val="single" w:sz="4" w:space="0" w:color="auto"/>
              <w:right w:val="single" w:sz="4" w:space="0" w:color="auto"/>
            </w:tcBorders>
            <w:noWrap/>
            <w:vAlign w:val="bottom"/>
            <w:hideMark/>
          </w:tcPr>
          <w:p w14:paraId="442D8D93" w14:textId="77777777" w:rsidR="004D470B" w:rsidRPr="00CB4CDE" w:rsidRDefault="004D470B" w:rsidP="004D470B">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NPV at LDR</w:t>
            </w:r>
          </w:p>
        </w:tc>
        <w:tc>
          <w:tcPr>
            <w:tcW w:w="1220" w:type="dxa"/>
            <w:tcBorders>
              <w:top w:val="single" w:sz="4" w:space="0" w:color="auto"/>
              <w:left w:val="nil"/>
              <w:bottom w:val="single" w:sz="4" w:space="0" w:color="auto"/>
              <w:right w:val="single" w:sz="4" w:space="0" w:color="auto"/>
            </w:tcBorders>
            <w:noWrap/>
            <w:vAlign w:val="bottom"/>
            <w:hideMark/>
          </w:tcPr>
          <w:p w14:paraId="229D1945"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(HDR-LDR)</w:t>
            </w:r>
          </w:p>
        </w:tc>
      </w:tr>
      <w:tr w:rsidR="004D470B" w:rsidRPr="00CB4CDE" w14:paraId="7CA5365D"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303C8CFA"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1DF91C2D"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78BABD84" w14:textId="77777777" w:rsidR="004D470B" w:rsidRPr="00CB4CDE" w:rsidRDefault="004D470B" w:rsidP="004D470B">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NPV at LDR- NPV at HDR</w:t>
            </w:r>
          </w:p>
        </w:tc>
        <w:tc>
          <w:tcPr>
            <w:tcW w:w="1220" w:type="dxa"/>
            <w:tcBorders>
              <w:top w:val="nil"/>
              <w:left w:val="nil"/>
              <w:bottom w:val="single" w:sz="4" w:space="0" w:color="auto"/>
              <w:right w:val="single" w:sz="4" w:space="0" w:color="auto"/>
            </w:tcBorders>
            <w:noWrap/>
            <w:vAlign w:val="bottom"/>
            <w:hideMark/>
          </w:tcPr>
          <w:p w14:paraId="2F05629F"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5BC03A18"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69238E5C"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141953F0"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2AB5E2F9"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220" w:type="dxa"/>
            <w:tcBorders>
              <w:top w:val="nil"/>
              <w:left w:val="nil"/>
              <w:bottom w:val="single" w:sz="4" w:space="0" w:color="auto"/>
              <w:right w:val="single" w:sz="4" w:space="0" w:color="auto"/>
            </w:tcBorders>
            <w:noWrap/>
            <w:vAlign w:val="bottom"/>
            <w:hideMark/>
          </w:tcPr>
          <w:p w14:paraId="1ED13A8F"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1D3FB386"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788182C2"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 </w:t>
            </w:r>
          </w:p>
        </w:tc>
        <w:tc>
          <w:tcPr>
            <w:tcW w:w="960" w:type="dxa"/>
            <w:tcBorders>
              <w:top w:val="nil"/>
              <w:left w:val="nil"/>
              <w:bottom w:val="single" w:sz="4" w:space="0" w:color="auto"/>
              <w:right w:val="single" w:sz="4" w:space="0" w:color="auto"/>
            </w:tcBorders>
            <w:noWrap/>
            <w:vAlign w:val="bottom"/>
            <w:hideMark/>
          </w:tcPr>
          <w:p w14:paraId="1B8236BA"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6D7A46EC"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1220" w:type="dxa"/>
            <w:tcBorders>
              <w:top w:val="nil"/>
              <w:left w:val="nil"/>
              <w:bottom w:val="single" w:sz="4" w:space="0" w:color="auto"/>
              <w:right w:val="single" w:sz="4" w:space="0" w:color="auto"/>
            </w:tcBorders>
            <w:noWrap/>
            <w:vAlign w:val="bottom"/>
            <w:hideMark/>
          </w:tcPr>
          <w:p w14:paraId="06FFC546"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2AC6AAD3"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2FD6CBC9"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5E54A905"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w:t>
            </w:r>
          </w:p>
        </w:tc>
        <w:tc>
          <w:tcPr>
            <w:tcW w:w="2360" w:type="dxa"/>
            <w:tcBorders>
              <w:top w:val="nil"/>
              <w:left w:val="nil"/>
              <w:bottom w:val="single" w:sz="4" w:space="0" w:color="auto"/>
              <w:right w:val="single" w:sz="4" w:space="0" w:color="auto"/>
            </w:tcBorders>
            <w:noWrap/>
            <w:vAlign w:val="bottom"/>
            <w:hideMark/>
          </w:tcPr>
          <w:p w14:paraId="70E51E33" w14:textId="77777777" w:rsidR="004D470B" w:rsidRPr="00CB4CDE" w:rsidRDefault="004D470B" w:rsidP="004D470B">
            <w:pPr>
              <w:spacing w:line="240" w:lineRule="auto"/>
              <w:jc w:val="center"/>
              <w:rPr>
                <w:rFonts w:ascii="Arial" w:eastAsia="Times New Roman" w:hAnsi="Arial" w:cs="Arial"/>
                <w:color w:val="000000"/>
                <w:kern w:val="0"/>
                <w:u w:val="single"/>
                <w14:ligatures w14:val="none"/>
              </w:rPr>
            </w:pPr>
            <w:r w:rsidRPr="00CB4CDE">
              <w:rPr>
                <w:rFonts w:ascii="Arial" w:eastAsia="Times New Roman" w:hAnsi="Arial" w:cs="Arial"/>
                <w:color w:val="000000"/>
                <w:kern w:val="0"/>
                <w:u w:val="single"/>
                <w14:ligatures w14:val="none"/>
              </w:rPr>
              <w:t>2.37</w:t>
            </w:r>
          </w:p>
        </w:tc>
        <w:tc>
          <w:tcPr>
            <w:tcW w:w="1220" w:type="dxa"/>
            <w:tcBorders>
              <w:top w:val="nil"/>
              <w:left w:val="nil"/>
              <w:bottom w:val="single" w:sz="4" w:space="0" w:color="auto"/>
              <w:right w:val="single" w:sz="4" w:space="0" w:color="auto"/>
            </w:tcBorders>
            <w:noWrap/>
            <w:vAlign w:val="bottom"/>
            <w:hideMark/>
          </w:tcPr>
          <w:p w14:paraId="20C46E42"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(9-7)</w:t>
            </w:r>
          </w:p>
        </w:tc>
      </w:tr>
      <w:tr w:rsidR="004D470B" w:rsidRPr="00CB4CDE" w14:paraId="3C7C8CB8"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22943A1E"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lastRenderedPageBreak/>
              <w:t> </w:t>
            </w:r>
          </w:p>
        </w:tc>
        <w:tc>
          <w:tcPr>
            <w:tcW w:w="960" w:type="dxa"/>
            <w:tcBorders>
              <w:top w:val="nil"/>
              <w:left w:val="nil"/>
              <w:bottom w:val="single" w:sz="4" w:space="0" w:color="auto"/>
              <w:right w:val="single" w:sz="4" w:space="0" w:color="auto"/>
            </w:tcBorders>
            <w:noWrap/>
            <w:vAlign w:val="bottom"/>
            <w:hideMark/>
          </w:tcPr>
          <w:p w14:paraId="2B866618"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c>
          <w:tcPr>
            <w:tcW w:w="2360" w:type="dxa"/>
            <w:tcBorders>
              <w:top w:val="nil"/>
              <w:left w:val="nil"/>
              <w:bottom w:val="single" w:sz="4" w:space="0" w:color="auto"/>
              <w:right w:val="single" w:sz="4" w:space="0" w:color="auto"/>
            </w:tcBorders>
            <w:noWrap/>
            <w:vAlign w:val="bottom"/>
            <w:hideMark/>
          </w:tcPr>
          <w:p w14:paraId="5E076E59" w14:textId="77777777" w:rsidR="004D470B" w:rsidRPr="00CB4CDE" w:rsidRDefault="004D470B" w:rsidP="004D470B">
            <w:pPr>
              <w:spacing w:line="240" w:lineRule="auto"/>
              <w:jc w:val="center"/>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2.96</w:t>
            </w:r>
          </w:p>
        </w:tc>
        <w:tc>
          <w:tcPr>
            <w:tcW w:w="1220" w:type="dxa"/>
            <w:tcBorders>
              <w:top w:val="nil"/>
              <w:left w:val="nil"/>
              <w:bottom w:val="single" w:sz="4" w:space="0" w:color="auto"/>
              <w:right w:val="single" w:sz="4" w:space="0" w:color="auto"/>
            </w:tcBorders>
            <w:noWrap/>
            <w:vAlign w:val="bottom"/>
            <w:hideMark/>
          </w:tcPr>
          <w:p w14:paraId="5E213F0C"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4FD8B5D2"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112F5520"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5FE15DC7"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w:t>
            </w:r>
          </w:p>
        </w:tc>
        <w:tc>
          <w:tcPr>
            <w:tcW w:w="2360" w:type="dxa"/>
            <w:tcBorders>
              <w:top w:val="nil"/>
              <w:left w:val="nil"/>
              <w:bottom w:val="single" w:sz="4" w:space="0" w:color="auto"/>
              <w:right w:val="single" w:sz="4" w:space="0" w:color="auto"/>
            </w:tcBorders>
            <w:noWrap/>
            <w:vAlign w:val="bottom"/>
            <w:hideMark/>
          </w:tcPr>
          <w:p w14:paraId="63D77B20" w14:textId="77777777" w:rsidR="004D470B" w:rsidRPr="00CB4CDE" w:rsidRDefault="004D470B" w:rsidP="004D470B">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0.800148789</w:t>
            </w:r>
          </w:p>
        </w:tc>
        <w:tc>
          <w:tcPr>
            <w:tcW w:w="1220" w:type="dxa"/>
            <w:tcBorders>
              <w:top w:val="nil"/>
              <w:left w:val="nil"/>
              <w:bottom w:val="single" w:sz="4" w:space="0" w:color="auto"/>
              <w:right w:val="single" w:sz="4" w:space="0" w:color="auto"/>
            </w:tcBorders>
            <w:noWrap/>
            <w:vAlign w:val="bottom"/>
            <w:hideMark/>
          </w:tcPr>
          <w:p w14:paraId="5C9B60AD"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*2</w:t>
            </w:r>
          </w:p>
        </w:tc>
      </w:tr>
      <w:tr w:rsidR="004D470B" w:rsidRPr="00CB4CDE" w14:paraId="7FA8510A" w14:textId="77777777" w:rsidTr="0050490D">
        <w:trPr>
          <w:trHeight w:val="600"/>
          <w:jc w:val="center"/>
        </w:trPr>
        <w:tc>
          <w:tcPr>
            <w:tcW w:w="1600" w:type="dxa"/>
            <w:tcBorders>
              <w:top w:val="nil"/>
              <w:left w:val="single" w:sz="4" w:space="0" w:color="auto"/>
              <w:bottom w:val="single" w:sz="4" w:space="0" w:color="auto"/>
              <w:right w:val="single" w:sz="4" w:space="0" w:color="auto"/>
            </w:tcBorders>
            <w:noWrap/>
            <w:vAlign w:val="bottom"/>
            <w:hideMark/>
          </w:tcPr>
          <w:p w14:paraId="47C4257C"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w:t>
            </w:r>
          </w:p>
        </w:tc>
        <w:tc>
          <w:tcPr>
            <w:tcW w:w="960" w:type="dxa"/>
            <w:tcBorders>
              <w:top w:val="nil"/>
              <w:left w:val="nil"/>
              <w:bottom w:val="single" w:sz="4" w:space="0" w:color="auto"/>
              <w:right w:val="single" w:sz="4" w:space="0" w:color="auto"/>
            </w:tcBorders>
            <w:noWrap/>
            <w:vAlign w:val="bottom"/>
            <w:hideMark/>
          </w:tcPr>
          <w:p w14:paraId="4ADEEAFA"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7+</w:t>
            </w:r>
          </w:p>
        </w:tc>
        <w:tc>
          <w:tcPr>
            <w:tcW w:w="2360" w:type="dxa"/>
            <w:tcBorders>
              <w:top w:val="nil"/>
              <w:left w:val="nil"/>
              <w:bottom w:val="single" w:sz="4" w:space="0" w:color="auto"/>
              <w:right w:val="single" w:sz="4" w:space="0" w:color="auto"/>
            </w:tcBorders>
            <w:noWrap/>
            <w:vAlign w:val="bottom"/>
            <w:hideMark/>
          </w:tcPr>
          <w:p w14:paraId="64E945FF" w14:textId="77777777" w:rsidR="004D470B" w:rsidRPr="00CB4CDE" w:rsidRDefault="004D470B" w:rsidP="004D470B">
            <w:pPr>
              <w:spacing w:line="240" w:lineRule="auto"/>
              <w:jc w:val="righ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1.600297577</w:t>
            </w:r>
          </w:p>
        </w:tc>
        <w:tc>
          <w:tcPr>
            <w:tcW w:w="1220" w:type="dxa"/>
            <w:tcBorders>
              <w:top w:val="nil"/>
              <w:left w:val="nil"/>
              <w:bottom w:val="single" w:sz="4" w:space="0" w:color="auto"/>
              <w:right w:val="single" w:sz="4" w:space="0" w:color="auto"/>
            </w:tcBorders>
            <w:noWrap/>
            <w:vAlign w:val="bottom"/>
            <w:hideMark/>
          </w:tcPr>
          <w:p w14:paraId="642F24EC" w14:textId="77777777" w:rsidR="004D470B" w:rsidRPr="00CB4CDE" w:rsidRDefault="004D470B" w:rsidP="004D470B">
            <w:pPr>
              <w:spacing w:line="240" w:lineRule="auto"/>
              <w:jc w:val="left"/>
              <w:rPr>
                <w:rFonts w:ascii="Arial" w:eastAsia="Times New Roman" w:hAnsi="Arial" w:cs="Arial"/>
                <w:color w:val="000000"/>
                <w:kern w:val="0"/>
                <w14:ligatures w14:val="none"/>
              </w:rPr>
            </w:pPr>
            <w:r w:rsidRPr="00CB4CDE">
              <w:rPr>
                <w:rFonts w:ascii="Arial" w:eastAsia="Times New Roman" w:hAnsi="Arial" w:cs="Arial"/>
                <w:color w:val="000000"/>
                <w:kern w:val="0"/>
                <w14:ligatures w14:val="none"/>
              </w:rPr>
              <w:t> </w:t>
            </w:r>
          </w:p>
        </w:tc>
      </w:tr>
      <w:tr w:rsidR="004D470B" w:rsidRPr="00CB4CDE" w14:paraId="6E704C37" w14:textId="77777777" w:rsidTr="0050490D">
        <w:trPr>
          <w:trHeight w:val="300"/>
          <w:jc w:val="center"/>
        </w:trPr>
        <w:tc>
          <w:tcPr>
            <w:tcW w:w="1600" w:type="dxa"/>
            <w:tcBorders>
              <w:top w:val="nil"/>
              <w:left w:val="single" w:sz="4" w:space="0" w:color="auto"/>
              <w:bottom w:val="single" w:sz="4" w:space="0" w:color="auto"/>
              <w:right w:val="single" w:sz="4" w:space="0" w:color="auto"/>
            </w:tcBorders>
            <w:noWrap/>
            <w:vAlign w:val="bottom"/>
            <w:hideMark/>
          </w:tcPr>
          <w:p w14:paraId="7739EEA1"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IRR (Project C) =</w:t>
            </w:r>
          </w:p>
        </w:tc>
        <w:tc>
          <w:tcPr>
            <w:tcW w:w="4540" w:type="dxa"/>
            <w:gridSpan w:val="3"/>
            <w:tcBorders>
              <w:top w:val="single" w:sz="4" w:space="0" w:color="auto"/>
              <w:left w:val="nil"/>
              <w:bottom w:val="single" w:sz="4" w:space="0" w:color="auto"/>
              <w:right w:val="single" w:sz="4" w:space="0" w:color="auto"/>
            </w:tcBorders>
            <w:noWrap/>
            <w:vAlign w:val="bottom"/>
            <w:hideMark/>
          </w:tcPr>
          <w:p w14:paraId="04849C64" w14:textId="77777777" w:rsidR="004D470B" w:rsidRPr="00CB4CDE" w:rsidRDefault="004D470B" w:rsidP="004D470B">
            <w:pPr>
              <w:spacing w:line="240" w:lineRule="auto"/>
              <w:jc w:val="left"/>
              <w:rPr>
                <w:rFonts w:ascii="Arial" w:eastAsia="Times New Roman" w:hAnsi="Arial" w:cs="Arial"/>
                <w:b/>
                <w:bCs/>
                <w:color w:val="000000"/>
                <w:kern w:val="0"/>
                <w14:ligatures w14:val="none"/>
              </w:rPr>
            </w:pPr>
            <w:r w:rsidRPr="00CB4CDE">
              <w:rPr>
                <w:rFonts w:ascii="Arial" w:eastAsia="Times New Roman" w:hAnsi="Arial" w:cs="Arial"/>
                <w:b/>
                <w:bCs/>
                <w:color w:val="000000"/>
                <w:kern w:val="0"/>
                <w14:ligatures w14:val="none"/>
              </w:rPr>
              <w:t>8.60%</w:t>
            </w:r>
          </w:p>
        </w:tc>
      </w:tr>
    </w:tbl>
    <w:p w14:paraId="56415E7D" w14:textId="77777777" w:rsidR="004D470B" w:rsidRPr="00CB4CDE" w:rsidRDefault="004D470B" w:rsidP="00044024">
      <w:pPr>
        <w:rPr>
          <w:rFonts w:ascii="Arial" w:hAnsi="Arial" w:cs="Arial"/>
        </w:rPr>
      </w:pPr>
    </w:p>
    <w:p w14:paraId="4945CC6D" w14:textId="77777777" w:rsidR="004D470B" w:rsidRPr="00CB4CDE" w:rsidRDefault="004D470B" w:rsidP="00044024">
      <w:pPr>
        <w:rPr>
          <w:rFonts w:ascii="Arial" w:hAnsi="Arial" w:cs="Arial"/>
        </w:rPr>
      </w:pPr>
    </w:p>
    <w:sectPr w:rsidR="004D470B" w:rsidRPr="00CB4CDE" w:rsidSect="0084603D">
      <w:footerReference w:type="default" r:id="rId3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5D6EB" w14:textId="77777777" w:rsidR="00F46918" w:rsidRDefault="00F46918" w:rsidP="00044024">
      <w:pPr>
        <w:spacing w:line="240" w:lineRule="auto"/>
      </w:pPr>
      <w:r>
        <w:separator/>
      </w:r>
    </w:p>
  </w:endnote>
  <w:endnote w:type="continuationSeparator" w:id="0">
    <w:p w14:paraId="2F7A26D3" w14:textId="77777777" w:rsidR="00F46918" w:rsidRDefault="00F46918" w:rsidP="000440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62834"/>
      <w:docPartObj>
        <w:docPartGallery w:val="Page Numbers (Bottom of Page)"/>
        <w:docPartUnique/>
      </w:docPartObj>
    </w:sdtPr>
    <w:sdtEndPr>
      <w:rPr>
        <w:noProof/>
      </w:rPr>
    </w:sdtEndPr>
    <w:sdtContent>
      <w:p w14:paraId="28F25B48" w14:textId="688B8AD2" w:rsidR="00044024" w:rsidRDefault="000440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8551C4" w14:textId="77777777" w:rsidR="00044024" w:rsidRDefault="00044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4BCE0" w14:textId="77777777" w:rsidR="00F46918" w:rsidRDefault="00F46918" w:rsidP="00044024">
      <w:pPr>
        <w:spacing w:line="240" w:lineRule="auto"/>
      </w:pPr>
      <w:r>
        <w:separator/>
      </w:r>
    </w:p>
  </w:footnote>
  <w:footnote w:type="continuationSeparator" w:id="0">
    <w:p w14:paraId="41218EFF" w14:textId="77777777" w:rsidR="00F46918" w:rsidRDefault="00F46918" w:rsidP="0004402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E71"/>
    <w:rsid w:val="000276B9"/>
    <w:rsid w:val="00031DB9"/>
    <w:rsid w:val="00044024"/>
    <w:rsid w:val="00052AB6"/>
    <w:rsid w:val="00075FA6"/>
    <w:rsid w:val="0008095B"/>
    <w:rsid w:val="00093AF5"/>
    <w:rsid w:val="000962C2"/>
    <w:rsid w:val="000A65A0"/>
    <w:rsid w:val="000D5256"/>
    <w:rsid w:val="000D7F94"/>
    <w:rsid w:val="000E5E39"/>
    <w:rsid w:val="000F0855"/>
    <w:rsid w:val="000F3FAC"/>
    <w:rsid w:val="00101D52"/>
    <w:rsid w:val="00114DA6"/>
    <w:rsid w:val="00122B8B"/>
    <w:rsid w:val="0015369D"/>
    <w:rsid w:val="0015554A"/>
    <w:rsid w:val="001673F9"/>
    <w:rsid w:val="00171457"/>
    <w:rsid w:val="0018230E"/>
    <w:rsid w:val="0019469C"/>
    <w:rsid w:val="001A2970"/>
    <w:rsid w:val="001A3B22"/>
    <w:rsid w:val="001B1B66"/>
    <w:rsid w:val="001C576C"/>
    <w:rsid w:val="001D6A04"/>
    <w:rsid w:val="001F7A7B"/>
    <w:rsid w:val="00200552"/>
    <w:rsid w:val="0020293F"/>
    <w:rsid w:val="00202DAB"/>
    <w:rsid w:val="00203F4A"/>
    <w:rsid w:val="0020558D"/>
    <w:rsid w:val="0024468F"/>
    <w:rsid w:val="002545DF"/>
    <w:rsid w:val="0025790B"/>
    <w:rsid w:val="00282FE0"/>
    <w:rsid w:val="00284DE0"/>
    <w:rsid w:val="0028714E"/>
    <w:rsid w:val="00294DE5"/>
    <w:rsid w:val="002A74C6"/>
    <w:rsid w:val="002B2AC0"/>
    <w:rsid w:val="002B6832"/>
    <w:rsid w:val="002D0902"/>
    <w:rsid w:val="002E1869"/>
    <w:rsid w:val="002E2C31"/>
    <w:rsid w:val="002E2C69"/>
    <w:rsid w:val="002F1A92"/>
    <w:rsid w:val="002F5B6E"/>
    <w:rsid w:val="00313565"/>
    <w:rsid w:val="0031749C"/>
    <w:rsid w:val="00331CC8"/>
    <w:rsid w:val="00361803"/>
    <w:rsid w:val="00366540"/>
    <w:rsid w:val="0036790E"/>
    <w:rsid w:val="00375312"/>
    <w:rsid w:val="0038257B"/>
    <w:rsid w:val="0038449A"/>
    <w:rsid w:val="003872C5"/>
    <w:rsid w:val="003A7F9A"/>
    <w:rsid w:val="003E47BA"/>
    <w:rsid w:val="003F65E9"/>
    <w:rsid w:val="00400410"/>
    <w:rsid w:val="00404A92"/>
    <w:rsid w:val="004133B3"/>
    <w:rsid w:val="00415E4A"/>
    <w:rsid w:val="0042572D"/>
    <w:rsid w:val="00456F55"/>
    <w:rsid w:val="00467D09"/>
    <w:rsid w:val="00495670"/>
    <w:rsid w:val="004A0D7A"/>
    <w:rsid w:val="004B1B5C"/>
    <w:rsid w:val="004B3DCA"/>
    <w:rsid w:val="004D470B"/>
    <w:rsid w:val="004F49BA"/>
    <w:rsid w:val="0050490D"/>
    <w:rsid w:val="00505D11"/>
    <w:rsid w:val="0051410A"/>
    <w:rsid w:val="00545E4B"/>
    <w:rsid w:val="005522DA"/>
    <w:rsid w:val="00561129"/>
    <w:rsid w:val="00587BB1"/>
    <w:rsid w:val="00587E45"/>
    <w:rsid w:val="005B49D5"/>
    <w:rsid w:val="005E55F1"/>
    <w:rsid w:val="005F5549"/>
    <w:rsid w:val="00616AAE"/>
    <w:rsid w:val="0062447D"/>
    <w:rsid w:val="006260A7"/>
    <w:rsid w:val="00640D67"/>
    <w:rsid w:val="00641D91"/>
    <w:rsid w:val="006674E6"/>
    <w:rsid w:val="006678DA"/>
    <w:rsid w:val="00675FAF"/>
    <w:rsid w:val="006822A5"/>
    <w:rsid w:val="006A12A8"/>
    <w:rsid w:val="006A1B35"/>
    <w:rsid w:val="006A5A5B"/>
    <w:rsid w:val="006A5FDB"/>
    <w:rsid w:val="006A66BA"/>
    <w:rsid w:val="006B1C2A"/>
    <w:rsid w:val="006C2015"/>
    <w:rsid w:val="006C3B1E"/>
    <w:rsid w:val="006D540A"/>
    <w:rsid w:val="006E08AB"/>
    <w:rsid w:val="006E4BE9"/>
    <w:rsid w:val="006E51E5"/>
    <w:rsid w:val="00704BA1"/>
    <w:rsid w:val="00707B0B"/>
    <w:rsid w:val="00737ADE"/>
    <w:rsid w:val="007458AF"/>
    <w:rsid w:val="00752291"/>
    <w:rsid w:val="007551D9"/>
    <w:rsid w:val="0076751A"/>
    <w:rsid w:val="007707C1"/>
    <w:rsid w:val="00781FF3"/>
    <w:rsid w:val="00792B5C"/>
    <w:rsid w:val="007B6B9F"/>
    <w:rsid w:val="007B7184"/>
    <w:rsid w:val="007D56CC"/>
    <w:rsid w:val="007F02A9"/>
    <w:rsid w:val="007F1D63"/>
    <w:rsid w:val="008067EE"/>
    <w:rsid w:val="00827166"/>
    <w:rsid w:val="00832F05"/>
    <w:rsid w:val="0084603D"/>
    <w:rsid w:val="008A03DA"/>
    <w:rsid w:val="008C14DF"/>
    <w:rsid w:val="008C2B93"/>
    <w:rsid w:val="008C30A3"/>
    <w:rsid w:val="008C3ED8"/>
    <w:rsid w:val="008D1788"/>
    <w:rsid w:val="008F65D7"/>
    <w:rsid w:val="00900545"/>
    <w:rsid w:val="0090793D"/>
    <w:rsid w:val="009108D5"/>
    <w:rsid w:val="009239AB"/>
    <w:rsid w:val="00935EA7"/>
    <w:rsid w:val="00936FD4"/>
    <w:rsid w:val="00951AC3"/>
    <w:rsid w:val="00957EF2"/>
    <w:rsid w:val="0096571C"/>
    <w:rsid w:val="0097374C"/>
    <w:rsid w:val="00974854"/>
    <w:rsid w:val="00975C59"/>
    <w:rsid w:val="00984861"/>
    <w:rsid w:val="00987E51"/>
    <w:rsid w:val="0099781A"/>
    <w:rsid w:val="009B71C7"/>
    <w:rsid w:val="009C12F0"/>
    <w:rsid w:val="009C1C33"/>
    <w:rsid w:val="009C61DC"/>
    <w:rsid w:val="009F220A"/>
    <w:rsid w:val="009F2387"/>
    <w:rsid w:val="00A17815"/>
    <w:rsid w:val="00A26720"/>
    <w:rsid w:val="00A31B2D"/>
    <w:rsid w:val="00A41919"/>
    <w:rsid w:val="00A430FB"/>
    <w:rsid w:val="00A47E0A"/>
    <w:rsid w:val="00A53537"/>
    <w:rsid w:val="00A653A5"/>
    <w:rsid w:val="00A73BB4"/>
    <w:rsid w:val="00A7679A"/>
    <w:rsid w:val="00AA6CF2"/>
    <w:rsid w:val="00AC14CD"/>
    <w:rsid w:val="00AD1FD5"/>
    <w:rsid w:val="00AD6B02"/>
    <w:rsid w:val="00AF0CA3"/>
    <w:rsid w:val="00B11A77"/>
    <w:rsid w:val="00B11D7B"/>
    <w:rsid w:val="00B16E54"/>
    <w:rsid w:val="00B37B79"/>
    <w:rsid w:val="00B42716"/>
    <w:rsid w:val="00B50EE8"/>
    <w:rsid w:val="00BB6FEB"/>
    <w:rsid w:val="00BD7462"/>
    <w:rsid w:val="00BE4AE4"/>
    <w:rsid w:val="00BE7E0C"/>
    <w:rsid w:val="00C02345"/>
    <w:rsid w:val="00C0635E"/>
    <w:rsid w:val="00C2078B"/>
    <w:rsid w:val="00C30E5E"/>
    <w:rsid w:val="00C66F4D"/>
    <w:rsid w:val="00C76A9F"/>
    <w:rsid w:val="00C77B98"/>
    <w:rsid w:val="00C82D41"/>
    <w:rsid w:val="00C83392"/>
    <w:rsid w:val="00CB4CDE"/>
    <w:rsid w:val="00CE6182"/>
    <w:rsid w:val="00CF434F"/>
    <w:rsid w:val="00D05B5C"/>
    <w:rsid w:val="00D27428"/>
    <w:rsid w:val="00D40DCB"/>
    <w:rsid w:val="00D428EC"/>
    <w:rsid w:val="00D545E9"/>
    <w:rsid w:val="00D57E71"/>
    <w:rsid w:val="00D6758A"/>
    <w:rsid w:val="00D86254"/>
    <w:rsid w:val="00DB47EE"/>
    <w:rsid w:val="00DE1481"/>
    <w:rsid w:val="00DE753B"/>
    <w:rsid w:val="00DF4154"/>
    <w:rsid w:val="00DF4E89"/>
    <w:rsid w:val="00E00DBD"/>
    <w:rsid w:val="00E15AB9"/>
    <w:rsid w:val="00E34DAB"/>
    <w:rsid w:val="00E5461B"/>
    <w:rsid w:val="00E63A8B"/>
    <w:rsid w:val="00E63D69"/>
    <w:rsid w:val="00E73EB8"/>
    <w:rsid w:val="00E74F85"/>
    <w:rsid w:val="00EC21ED"/>
    <w:rsid w:val="00EE4243"/>
    <w:rsid w:val="00F03411"/>
    <w:rsid w:val="00F357CE"/>
    <w:rsid w:val="00F37B74"/>
    <w:rsid w:val="00F46918"/>
    <w:rsid w:val="00F606DC"/>
    <w:rsid w:val="00F70DE8"/>
    <w:rsid w:val="00F73D96"/>
    <w:rsid w:val="00F841BA"/>
    <w:rsid w:val="00F84CF5"/>
    <w:rsid w:val="00F87E66"/>
    <w:rsid w:val="00F94438"/>
    <w:rsid w:val="00FB2FBF"/>
    <w:rsid w:val="00FC122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4BBBF"/>
  <w15:chartTrackingRefBased/>
  <w15:docId w15:val="{0EF41A92-08C3-4348-BD78-8C5304941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69D"/>
    <w:pPr>
      <w:spacing w:after="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044024"/>
    <w:pPr>
      <w:outlineLvl w:val="0"/>
    </w:pPr>
    <w:rPr>
      <w:b/>
      <w:bCs/>
      <w:sz w:val="28"/>
      <w:szCs w:val="28"/>
    </w:rPr>
  </w:style>
  <w:style w:type="paragraph" w:styleId="Heading2">
    <w:name w:val="heading 2"/>
    <w:basedOn w:val="Normal"/>
    <w:next w:val="Normal"/>
    <w:link w:val="Heading2Char"/>
    <w:uiPriority w:val="9"/>
    <w:unhideWhenUsed/>
    <w:qFormat/>
    <w:rsid w:val="006A66BA"/>
    <w:pPr>
      <w:spacing w:after="160" w:line="278" w:lineRule="auto"/>
      <w:jc w:val="left"/>
      <w:outlineLvl w:val="1"/>
    </w:pPr>
    <w:rPr>
      <w:b/>
      <w:bCs/>
      <w:u w:val="single"/>
      <w:lang w:val="en-GB"/>
    </w:rPr>
  </w:style>
  <w:style w:type="paragraph" w:styleId="Heading3">
    <w:name w:val="heading 3"/>
    <w:basedOn w:val="Normal"/>
    <w:next w:val="Normal"/>
    <w:link w:val="Heading3Char"/>
    <w:uiPriority w:val="9"/>
    <w:semiHidden/>
    <w:unhideWhenUsed/>
    <w:qFormat/>
    <w:rsid w:val="00D57E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7E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7E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7E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E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E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E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024"/>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6A66BA"/>
    <w:rPr>
      <w:rFonts w:ascii="Times New Roman" w:hAnsi="Times New Roman" w:cs="Times New Roman"/>
      <w:b/>
      <w:bCs/>
      <w:u w:val="single"/>
      <w:lang w:val="en-GB"/>
    </w:rPr>
  </w:style>
  <w:style w:type="character" w:customStyle="1" w:styleId="Heading3Char">
    <w:name w:val="Heading 3 Char"/>
    <w:basedOn w:val="DefaultParagraphFont"/>
    <w:link w:val="Heading3"/>
    <w:uiPriority w:val="9"/>
    <w:semiHidden/>
    <w:rsid w:val="00D57E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7E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7E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7E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E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E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E71"/>
    <w:rPr>
      <w:rFonts w:eastAsiaTheme="majorEastAsia" w:cstheme="majorBidi"/>
      <w:color w:val="272727" w:themeColor="text1" w:themeTint="D8"/>
    </w:rPr>
  </w:style>
  <w:style w:type="paragraph" w:styleId="Title">
    <w:name w:val="Title"/>
    <w:basedOn w:val="Normal"/>
    <w:next w:val="Normal"/>
    <w:link w:val="TitleChar"/>
    <w:uiPriority w:val="10"/>
    <w:qFormat/>
    <w:rsid w:val="00D57E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E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E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E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E71"/>
    <w:pPr>
      <w:spacing w:before="160"/>
      <w:jc w:val="center"/>
    </w:pPr>
    <w:rPr>
      <w:i/>
      <w:iCs/>
      <w:color w:val="404040" w:themeColor="text1" w:themeTint="BF"/>
    </w:rPr>
  </w:style>
  <w:style w:type="character" w:customStyle="1" w:styleId="QuoteChar">
    <w:name w:val="Quote Char"/>
    <w:basedOn w:val="DefaultParagraphFont"/>
    <w:link w:val="Quote"/>
    <w:uiPriority w:val="29"/>
    <w:rsid w:val="00D57E71"/>
    <w:rPr>
      <w:i/>
      <w:iCs/>
      <w:color w:val="404040" w:themeColor="text1" w:themeTint="BF"/>
    </w:rPr>
  </w:style>
  <w:style w:type="paragraph" w:styleId="ListParagraph">
    <w:name w:val="List Paragraph"/>
    <w:basedOn w:val="Normal"/>
    <w:uiPriority w:val="34"/>
    <w:qFormat/>
    <w:rsid w:val="00D57E71"/>
    <w:pPr>
      <w:ind w:left="720"/>
      <w:contextualSpacing/>
    </w:pPr>
  </w:style>
  <w:style w:type="character" w:styleId="IntenseEmphasis">
    <w:name w:val="Intense Emphasis"/>
    <w:basedOn w:val="DefaultParagraphFont"/>
    <w:uiPriority w:val="21"/>
    <w:qFormat/>
    <w:rsid w:val="00D57E71"/>
    <w:rPr>
      <w:i/>
      <w:iCs/>
      <w:color w:val="2F5496" w:themeColor="accent1" w:themeShade="BF"/>
    </w:rPr>
  </w:style>
  <w:style w:type="paragraph" w:styleId="IntenseQuote">
    <w:name w:val="Intense Quote"/>
    <w:basedOn w:val="Normal"/>
    <w:next w:val="Normal"/>
    <w:link w:val="IntenseQuoteChar"/>
    <w:uiPriority w:val="30"/>
    <w:qFormat/>
    <w:rsid w:val="00D57E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7E71"/>
    <w:rPr>
      <w:i/>
      <w:iCs/>
      <w:color w:val="2F5496" w:themeColor="accent1" w:themeShade="BF"/>
    </w:rPr>
  </w:style>
  <w:style w:type="character" w:styleId="IntenseReference">
    <w:name w:val="Intense Reference"/>
    <w:basedOn w:val="DefaultParagraphFont"/>
    <w:uiPriority w:val="32"/>
    <w:qFormat/>
    <w:rsid w:val="00D57E71"/>
    <w:rPr>
      <w:b/>
      <w:bCs/>
      <w:smallCaps/>
      <w:color w:val="2F5496" w:themeColor="accent1" w:themeShade="BF"/>
      <w:spacing w:val="5"/>
    </w:rPr>
  </w:style>
  <w:style w:type="paragraph" w:styleId="Header">
    <w:name w:val="header"/>
    <w:basedOn w:val="Normal"/>
    <w:link w:val="HeaderChar"/>
    <w:uiPriority w:val="99"/>
    <w:unhideWhenUsed/>
    <w:rsid w:val="00044024"/>
    <w:pPr>
      <w:tabs>
        <w:tab w:val="center" w:pos="4680"/>
        <w:tab w:val="right" w:pos="9360"/>
      </w:tabs>
      <w:spacing w:line="240" w:lineRule="auto"/>
    </w:pPr>
  </w:style>
  <w:style w:type="character" w:customStyle="1" w:styleId="HeaderChar">
    <w:name w:val="Header Char"/>
    <w:basedOn w:val="DefaultParagraphFont"/>
    <w:link w:val="Header"/>
    <w:uiPriority w:val="99"/>
    <w:rsid w:val="00044024"/>
    <w:rPr>
      <w:rFonts w:ascii="Times New Roman" w:hAnsi="Times New Roman" w:cs="Times New Roman"/>
    </w:rPr>
  </w:style>
  <w:style w:type="paragraph" w:styleId="Footer">
    <w:name w:val="footer"/>
    <w:basedOn w:val="Normal"/>
    <w:link w:val="FooterChar"/>
    <w:uiPriority w:val="99"/>
    <w:unhideWhenUsed/>
    <w:rsid w:val="00044024"/>
    <w:pPr>
      <w:tabs>
        <w:tab w:val="center" w:pos="4680"/>
        <w:tab w:val="right" w:pos="9360"/>
      </w:tabs>
      <w:spacing w:line="240" w:lineRule="auto"/>
    </w:pPr>
  </w:style>
  <w:style w:type="character" w:customStyle="1" w:styleId="FooterChar">
    <w:name w:val="Footer Char"/>
    <w:basedOn w:val="DefaultParagraphFont"/>
    <w:link w:val="Footer"/>
    <w:uiPriority w:val="99"/>
    <w:rsid w:val="00044024"/>
    <w:rPr>
      <w:rFonts w:ascii="Times New Roman" w:hAnsi="Times New Roman" w:cs="Times New Roman"/>
    </w:rPr>
  </w:style>
  <w:style w:type="paragraph" w:styleId="TOCHeading">
    <w:name w:val="TOC Heading"/>
    <w:basedOn w:val="Heading1"/>
    <w:next w:val="Normal"/>
    <w:uiPriority w:val="39"/>
    <w:unhideWhenUsed/>
    <w:qFormat/>
    <w:rsid w:val="00044024"/>
    <w:pPr>
      <w:spacing w:before="240" w:line="259" w:lineRule="auto"/>
      <w:jc w:val="left"/>
      <w:outlineLvl w:val="9"/>
    </w:pPr>
    <w:rPr>
      <w:kern w:val="0"/>
      <w:sz w:val="32"/>
      <w:szCs w:val="32"/>
      <w14:ligatures w14:val="none"/>
    </w:rPr>
  </w:style>
  <w:style w:type="paragraph" w:styleId="TOC1">
    <w:name w:val="toc 1"/>
    <w:basedOn w:val="Normal"/>
    <w:next w:val="Normal"/>
    <w:autoRedefine/>
    <w:uiPriority w:val="39"/>
    <w:unhideWhenUsed/>
    <w:rsid w:val="0038257B"/>
    <w:pPr>
      <w:spacing w:after="100"/>
    </w:pPr>
  </w:style>
  <w:style w:type="character" w:styleId="Hyperlink">
    <w:name w:val="Hyperlink"/>
    <w:basedOn w:val="DefaultParagraphFont"/>
    <w:uiPriority w:val="99"/>
    <w:unhideWhenUsed/>
    <w:rsid w:val="0038257B"/>
    <w:rPr>
      <w:color w:val="0563C1" w:themeColor="hyperlink"/>
      <w:u w:val="single"/>
    </w:rPr>
  </w:style>
  <w:style w:type="paragraph" w:styleId="TOC2">
    <w:name w:val="toc 2"/>
    <w:basedOn w:val="Normal"/>
    <w:next w:val="Normal"/>
    <w:autoRedefine/>
    <w:uiPriority w:val="39"/>
    <w:unhideWhenUsed/>
    <w:rsid w:val="00951AC3"/>
    <w:pPr>
      <w:spacing w:after="100"/>
      <w:ind w:left="240"/>
    </w:pPr>
  </w:style>
  <w:style w:type="table" w:styleId="TableGrid">
    <w:name w:val="Table Grid"/>
    <w:basedOn w:val="TableNormal"/>
    <w:uiPriority w:val="39"/>
    <w:rsid w:val="008C2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40DC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22A5"/>
  </w:style>
  <w:style w:type="character" w:styleId="UnresolvedMention">
    <w:name w:val="Unresolved Mention"/>
    <w:basedOn w:val="DefaultParagraphFont"/>
    <w:uiPriority w:val="99"/>
    <w:semiHidden/>
    <w:unhideWhenUsed/>
    <w:rsid w:val="009C1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35912/ijfam.v7i3.3371" TargetMode="External"/><Relationship Id="rId18" Type="http://schemas.openxmlformats.org/officeDocument/2006/relationships/hyperlink" Target="https://irjems.org/irjems-v4i11p113.html" TargetMode="External"/><Relationship Id="rId26" Type="http://schemas.openxmlformats.org/officeDocument/2006/relationships/hyperlink" Target="https://gpim.in/index.php/journal/article/view/GPM25105" TargetMode="External"/><Relationship Id="rId3" Type="http://schemas.openxmlformats.org/officeDocument/2006/relationships/settings" Target="settings.xml"/><Relationship Id="rId21" Type="http://schemas.openxmlformats.org/officeDocument/2006/relationships/hyperlink" Target="https://doi.org/10.35912/ijfam.v4i1.852" TargetMode="External"/><Relationship Id="rId7" Type="http://schemas.openxmlformats.org/officeDocument/2006/relationships/image" Target="media/image1.png"/><Relationship Id="rId12" Type="http://schemas.openxmlformats.org/officeDocument/2006/relationships/hyperlink" Target="https://doi.org/10.56338/ijhess.v5i2.3611" TargetMode="External"/><Relationship Id="rId17" Type="http://schemas.openxmlformats.org/officeDocument/2006/relationships/hyperlink" Target="https://in.investing.com/equities/hilton-worldwide-ratios" TargetMode="External"/><Relationship Id="rId25" Type="http://schemas.openxmlformats.org/officeDocument/2006/relationships/hyperlink" Target="https://doi.org/10.30574/wjarr.2023.19.2.1483" TargetMode="External"/><Relationship Id="rId2" Type="http://schemas.openxmlformats.org/officeDocument/2006/relationships/styles" Target="styles.xml"/><Relationship Id="rId16" Type="http://schemas.openxmlformats.org/officeDocument/2006/relationships/hyperlink" Target="https://ir.hilton.com/financial-reporting/annual-reports" TargetMode="External"/><Relationship Id="rId20" Type="http://schemas.openxmlformats.org/officeDocument/2006/relationships/hyperlink" Target="https://www.marketbeat.com/instant-alerts/filing-hilton-worldwide-holdings-inc-hlt-stock-holdings-lessened-by-baader-bank-aktiengesellschaft-2026-07-21/" TargetMode="External"/><Relationship Id="rId29" Type="http://schemas.openxmlformats.org/officeDocument/2006/relationships/hyperlink" Target="https://geramjournal.org/index.php/go/article/view/2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esr.2025.101916" TargetMode="External"/><Relationship Id="rId24" Type="http://schemas.openxmlformats.org/officeDocument/2006/relationships/hyperlink" Target="https://legalvision.co.uk/corporations/term-financin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vestopedia.com/terms/c/cashconversioncycle.asp" TargetMode="External"/><Relationship Id="rId23" Type="http://schemas.openxmlformats.org/officeDocument/2006/relationships/hyperlink" Target="https://doi.org/10.2139/ssrn.5083705" TargetMode="External"/><Relationship Id="rId28" Type="http://schemas.openxmlformats.org/officeDocument/2006/relationships/hyperlink" Target="https://doi.org/10.36407/jrmb.v8i1.987" TargetMode="External"/><Relationship Id="rId10" Type="http://schemas.openxmlformats.org/officeDocument/2006/relationships/hyperlink" Target="https://doi.org/10.1093/rcfs/cfac029" TargetMode="External"/><Relationship Id="rId19" Type="http://schemas.openxmlformats.org/officeDocument/2006/relationships/hyperlink" Target="https://www.aijfr.com/papers/2026/3/5499.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aruda.id/index.php/go/article/view/89" TargetMode="External"/><Relationship Id="rId14" Type="http://schemas.openxmlformats.org/officeDocument/2006/relationships/hyperlink" Target="https://doi.org/10.62051/a4ybws71" TargetMode="External"/><Relationship Id="rId22" Type="http://schemas.openxmlformats.org/officeDocument/2006/relationships/hyperlink" Target="https://doi.org/10.54254/2754-1169/76/20241901" TargetMode="External"/><Relationship Id="rId27" Type="http://schemas.openxmlformats.org/officeDocument/2006/relationships/hyperlink" Target="https://finance.yahoo.com/quote/HLT/history/?period1=1386858600&amp;period2=1785933708"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8A03C-9C3A-4A86-BC41-509508763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37</Pages>
  <Words>8456</Words>
  <Characters>48205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CHETAN PATIL</cp:lastModifiedBy>
  <cp:revision>260</cp:revision>
  <dcterms:created xsi:type="dcterms:W3CDTF">2026-03-19T04:57:00Z</dcterms:created>
  <dcterms:modified xsi:type="dcterms:W3CDTF">2026-08-12T16:46:00Z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168046b4-0241-45c0-a1b4-086dcd175215</vt:lpwstr>
  </property>
</Properties>
</file>