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8ACA379"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A241134" wp14:editId="24B4B0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085BC9" w14:textId="191F4418" w:rsidR="007D1947" w:rsidRPr="009D6498" w:rsidRDefault="00A45BAA">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80"/>
                  <w:szCs w:val="80"/>
                </w:rPr>
              </w:pPr>
              <w:r>
                <w:rPr>
                  <w:rFonts w:ascii="Arial" w:eastAsiaTheme="majorEastAsia" w:hAnsi="Arial" w:cs="Arial"/>
                  <w:color w:val="5B9BD5" w:themeColor="accent1"/>
                  <w:sz w:val="72"/>
                  <w:szCs w:val="72"/>
                </w:rPr>
                <w:t>Marriott International</w:t>
              </w:r>
            </w:p>
          </w:sdtContent>
        </w:sdt>
        <w:sdt>
          <w:sdtPr>
            <w:rPr>
              <w:rFonts w:ascii="Arial" w:hAnsi="Arial" w:cs="Arial"/>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65B5E730" w14:textId="41BAD672" w:rsidR="007D1947" w:rsidRPr="00997BA2" w:rsidRDefault="009D6498">
              <w:pPr>
                <w:pStyle w:val="NoSpacing"/>
                <w:jc w:val="center"/>
                <w:rPr>
                  <w:rFonts w:ascii="Arial" w:hAnsi="Arial" w:cs="Arial"/>
                  <w:color w:val="5B9BD5" w:themeColor="accent1"/>
                  <w:sz w:val="28"/>
                  <w:szCs w:val="28"/>
                </w:rPr>
              </w:pPr>
              <w:r w:rsidRPr="00997BA2">
                <w:rPr>
                  <w:rFonts w:ascii="Arial" w:hAnsi="Arial" w:cs="Arial"/>
                  <w:color w:val="5B9BD5" w:themeColor="accent1"/>
                  <w:sz w:val="28"/>
                  <w:szCs w:val="28"/>
                </w:rPr>
                <w:t>Analysis of the Financial Statement</w:t>
              </w:r>
            </w:p>
          </w:sdtContent>
        </w:sdt>
        <w:p w14:paraId="0E730CF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2DF9E28" wp14:editId="17C336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5B9BD5"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Content>
                                  <w:p w14:paraId="58731C0A" w14:textId="7FF4DA84" w:rsidR="007D1947" w:rsidRPr="00997BA2" w:rsidRDefault="00997BA2">
                                    <w:pPr>
                                      <w:pStyle w:val="NoSpacing"/>
                                      <w:spacing w:after="40"/>
                                      <w:jc w:val="center"/>
                                      <w:rPr>
                                        <w:rFonts w:ascii="Arial" w:hAnsi="Arial" w:cs="Arial"/>
                                        <w:caps/>
                                        <w:color w:val="5B9BD5" w:themeColor="accent1"/>
                                        <w:sz w:val="24"/>
                                        <w:szCs w:val="24"/>
                                      </w:rPr>
                                    </w:pPr>
                                    <w:r w:rsidRPr="00997BA2">
                                      <w:rPr>
                                        <w:rFonts w:ascii="Arial" w:hAnsi="Arial" w:cs="Arial"/>
                                        <w:color w:val="5B9BD5" w:themeColor="accent1"/>
                                        <w:sz w:val="24"/>
                                        <w:szCs w:val="24"/>
                                      </w:rPr>
                                      <w:t>December 9, 2022</w:t>
                                    </w:r>
                                  </w:p>
                                </w:sdtContent>
                              </w:sdt>
                              <w:p w14:paraId="53078492" w14:textId="1A12F857" w:rsidR="007D1947" w:rsidRPr="00997BA2" w:rsidRDefault="00000000">
                                <w:pPr>
                                  <w:pStyle w:val="NoSpacing"/>
                                  <w:jc w:val="center"/>
                                  <w:rPr>
                                    <w:rFonts w:ascii="Arial" w:hAnsi="Arial" w:cs="Arial"/>
                                    <w:color w:val="5B9BD5" w:themeColor="accent1"/>
                                    <w:sz w:val="24"/>
                                    <w:szCs w:val="24"/>
                                  </w:rPr>
                                </w:pPr>
                                <w:sdt>
                                  <w:sdtPr>
                                    <w:rPr>
                                      <w:rFonts w:ascii="Arial" w:hAnsi="Arial" w:cs="Arial"/>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997BA2" w:rsidRPr="00997BA2">
                                      <w:rPr>
                                        <w:rFonts w:ascii="Arial" w:hAnsi="Arial" w:cs="Arial"/>
                                        <w:color w:val="5B9BD5" w:themeColor="accent1"/>
                                        <w:sz w:val="24"/>
                                        <w:szCs w:val="24"/>
                                        <w:lang w:val="en-GB"/>
                                      </w:rPr>
                                      <w:t>University Of Wales Trinity Saint David</w:t>
                                    </w:r>
                                  </w:sdtContent>
                                </w:sdt>
                              </w:p>
                              <w:p w14:paraId="6275C62E"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DF9E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caps/>
                              <w:color w:val="5B9BD5"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Content>
                            <w:p w14:paraId="58731C0A" w14:textId="7FF4DA84" w:rsidR="007D1947" w:rsidRPr="00997BA2" w:rsidRDefault="00997BA2">
                              <w:pPr>
                                <w:pStyle w:val="NoSpacing"/>
                                <w:spacing w:after="40"/>
                                <w:jc w:val="center"/>
                                <w:rPr>
                                  <w:rFonts w:ascii="Arial" w:hAnsi="Arial" w:cs="Arial"/>
                                  <w:caps/>
                                  <w:color w:val="5B9BD5" w:themeColor="accent1"/>
                                  <w:sz w:val="24"/>
                                  <w:szCs w:val="24"/>
                                </w:rPr>
                              </w:pPr>
                              <w:r w:rsidRPr="00997BA2">
                                <w:rPr>
                                  <w:rFonts w:ascii="Arial" w:hAnsi="Arial" w:cs="Arial"/>
                                  <w:color w:val="5B9BD5" w:themeColor="accent1"/>
                                  <w:sz w:val="24"/>
                                  <w:szCs w:val="24"/>
                                </w:rPr>
                                <w:t>December 9, 2022</w:t>
                              </w:r>
                            </w:p>
                          </w:sdtContent>
                        </w:sdt>
                        <w:p w14:paraId="53078492" w14:textId="1A12F857" w:rsidR="007D1947" w:rsidRPr="00997BA2" w:rsidRDefault="00000000">
                          <w:pPr>
                            <w:pStyle w:val="NoSpacing"/>
                            <w:jc w:val="center"/>
                            <w:rPr>
                              <w:rFonts w:ascii="Arial" w:hAnsi="Arial" w:cs="Arial"/>
                              <w:color w:val="5B9BD5" w:themeColor="accent1"/>
                              <w:sz w:val="24"/>
                              <w:szCs w:val="24"/>
                            </w:rPr>
                          </w:pPr>
                          <w:sdt>
                            <w:sdtPr>
                              <w:rPr>
                                <w:rFonts w:ascii="Arial" w:hAnsi="Arial" w:cs="Arial"/>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997BA2" w:rsidRPr="00997BA2">
                                <w:rPr>
                                  <w:rFonts w:ascii="Arial" w:hAnsi="Arial" w:cs="Arial"/>
                                  <w:color w:val="5B9BD5" w:themeColor="accent1"/>
                                  <w:sz w:val="24"/>
                                  <w:szCs w:val="24"/>
                                  <w:lang w:val="en-GB"/>
                                </w:rPr>
                                <w:t>University Of Wales Trinity Saint David</w:t>
                              </w:r>
                            </w:sdtContent>
                          </w:sdt>
                        </w:p>
                        <w:p w14:paraId="6275C62E"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7090206" wp14:editId="6F9F66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FE3B4F4" w14:textId="3A8DE7F0" w:rsidR="005E4896" w:rsidRDefault="002F109F" w:rsidP="007D1947">
          <w:pPr>
            <w:pStyle w:val="Heading1"/>
          </w:pPr>
          <w:r>
            <w:rPr>
              <w:noProof/>
            </w:rPr>
            <mc:AlternateContent>
              <mc:Choice Requires="wps">
                <w:drawing>
                  <wp:anchor distT="0" distB="0" distL="114300" distR="114300" simplePos="0" relativeHeight="251662336" behindDoc="0" locked="0" layoutInCell="1" allowOverlap="1" wp14:anchorId="7107B907" wp14:editId="6A433F6B">
                    <wp:simplePos x="0" y="0"/>
                    <wp:positionH relativeFrom="margin">
                      <wp:align>center</wp:align>
                    </wp:positionH>
                    <wp:positionV relativeFrom="paragraph">
                      <wp:posOffset>2053590</wp:posOffset>
                    </wp:positionV>
                    <wp:extent cx="3498850" cy="1473200"/>
                    <wp:effectExtent l="0" t="0" r="25400" b="12700"/>
                    <wp:wrapNone/>
                    <wp:docPr id="2" name="Text Box 2"/>
                    <wp:cNvGraphicFramePr/>
                    <a:graphic xmlns:a="http://schemas.openxmlformats.org/drawingml/2006/main">
                      <a:graphicData uri="http://schemas.microsoft.com/office/word/2010/wordprocessingShape">
                        <wps:wsp>
                          <wps:cNvSpPr txBox="1"/>
                          <wps:spPr>
                            <a:xfrm>
                              <a:off x="0" y="0"/>
                              <a:ext cx="3498850" cy="1473200"/>
                            </a:xfrm>
                            <a:prstGeom prst="rect">
                              <a:avLst/>
                            </a:prstGeom>
                            <a:solidFill>
                              <a:schemeClr val="lt1"/>
                            </a:solidFill>
                            <a:ln w="6350">
                              <a:solidFill>
                                <a:prstClr val="black"/>
                              </a:solidFill>
                            </a:ln>
                          </wps:spPr>
                          <wps:txbx>
                            <w:txbxContent>
                              <w:p w14:paraId="6017975E" w14:textId="334EEB48" w:rsidR="002F109F" w:rsidRDefault="002F109F" w:rsidP="004650C7">
                                <w:pPr>
                                  <w:jc w:val="center"/>
                                  <w:rPr>
                                    <w:rFonts w:ascii="Arial" w:hAnsi="Arial" w:cs="Arial"/>
                                    <w:sz w:val="24"/>
                                    <w:szCs w:val="24"/>
                                  </w:rPr>
                                </w:pPr>
                                <w:r>
                                  <w:rPr>
                                    <w:rFonts w:ascii="Arial" w:hAnsi="Arial" w:cs="Arial"/>
                                    <w:sz w:val="24"/>
                                    <w:szCs w:val="24"/>
                                  </w:rPr>
                                  <w:t>Nicolae Adrian Puiu</w:t>
                                </w:r>
                              </w:p>
                              <w:p w14:paraId="75A5004B" w14:textId="54C15145" w:rsidR="002F109F" w:rsidRDefault="004650C7" w:rsidP="004650C7">
                                <w:pPr>
                                  <w:jc w:val="center"/>
                                  <w:rPr>
                                    <w:rFonts w:ascii="Arial" w:hAnsi="Arial" w:cs="Arial"/>
                                    <w:sz w:val="24"/>
                                    <w:szCs w:val="24"/>
                                  </w:rPr>
                                </w:pPr>
                                <w:r>
                                  <w:rPr>
                                    <w:rFonts w:ascii="Arial" w:hAnsi="Arial" w:cs="Arial"/>
                                    <w:sz w:val="24"/>
                                    <w:szCs w:val="24"/>
                                  </w:rPr>
                                  <w:t>2025173</w:t>
                                </w:r>
                              </w:p>
                              <w:p w14:paraId="3CF4462D" w14:textId="5AC7DE26" w:rsidR="002F109F" w:rsidRDefault="002F109F" w:rsidP="004650C7">
                                <w:pPr>
                                  <w:jc w:val="center"/>
                                  <w:rPr>
                                    <w:rFonts w:ascii="Arial" w:hAnsi="Arial" w:cs="Arial"/>
                                    <w:sz w:val="24"/>
                                    <w:szCs w:val="24"/>
                                  </w:rPr>
                                </w:pPr>
                                <w:r>
                                  <w:rPr>
                                    <w:rFonts w:ascii="Arial" w:hAnsi="Arial" w:cs="Arial"/>
                                    <w:sz w:val="24"/>
                                    <w:szCs w:val="24"/>
                                  </w:rPr>
                                  <w:t>Financial Management for the Hotel Industry</w:t>
                                </w:r>
                              </w:p>
                              <w:p w14:paraId="40A24B6B" w14:textId="6820FFA5" w:rsidR="004650C7" w:rsidRDefault="004650C7" w:rsidP="004650C7">
                                <w:pPr>
                                  <w:jc w:val="center"/>
                                  <w:rPr>
                                    <w:rFonts w:ascii="Arial" w:hAnsi="Arial" w:cs="Arial"/>
                                    <w:sz w:val="24"/>
                                    <w:szCs w:val="24"/>
                                  </w:rPr>
                                </w:pPr>
                                <w:r>
                                  <w:rPr>
                                    <w:rFonts w:ascii="Arial" w:hAnsi="Arial" w:cs="Arial"/>
                                    <w:sz w:val="24"/>
                                    <w:szCs w:val="24"/>
                                  </w:rPr>
                                  <w:t>BMIH5007</w:t>
                                </w:r>
                              </w:p>
                              <w:p w14:paraId="69778FCC" w14:textId="6D2FB88D" w:rsidR="002F109F" w:rsidRPr="002F109F" w:rsidRDefault="002F109F" w:rsidP="004650C7">
                                <w:pPr>
                                  <w:jc w:val="center"/>
                                  <w:rPr>
                                    <w:rFonts w:ascii="Arial" w:hAnsi="Arial" w:cs="Arial"/>
                                    <w:sz w:val="24"/>
                                    <w:szCs w:val="24"/>
                                  </w:rPr>
                                </w:pPr>
                                <w:r>
                                  <w:rPr>
                                    <w:rFonts w:ascii="Arial" w:hAnsi="Arial" w:cs="Arial"/>
                                    <w:sz w:val="24"/>
                                    <w:szCs w:val="24"/>
                                  </w:rPr>
                                  <w:t xml:space="preserve">Dale </w:t>
                                </w:r>
                                <w:r w:rsidR="004650C7">
                                  <w:rPr>
                                    <w:rFonts w:ascii="Arial" w:hAnsi="Arial" w:cs="Arial"/>
                                    <w:sz w:val="24"/>
                                    <w:szCs w:val="24"/>
                                  </w:rPr>
                                  <w:t>Clarke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7B907" id="Text Box 2" o:spid="_x0000_s1027" type="#_x0000_t202" style="position:absolute;margin-left:0;margin-top:161.7pt;width:275.5pt;height:116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" fillcolor="white [3201]" strokeweight=".5pt">
                    <v:textbox>
                      <w:txbxContent>
                        <w:p w14:paraId="6017975E" w14:textId="334EEB48" w:rsidR="002F109F" w:rsidRDefault="002F109F" w:rsidP="004650C7">
                          <w:pPr>
                            <w:jc w:val="center"/>
                            <w:rPr>
                              <w:rFonts w:ascii="Arial" w:hAnsi="Arial" w:cs="Arial"/>
                              <w:sz w:val="24"/>
                              <w:szCs w:val="24"/>
                            </w:rPr>
                          </w:pPr>
                          <w:r>
                            <w:rPr>
                              <w:rFonts w:ascii="Arial" w:hAnsi="Arial" w:cs="Arial"/>
                              <w:sz w:val="24"/>
                              <w:szCs w:val="24"/>
                            </w:rPr>
                            <w:t>Nicolae Adrian Puiu</w:t>
                          </w:r>
                        </w:p>
                        <w:p w14:paraId="75A5004B" w14:textId="54C15145" w:rsidR="002F109F" w:rsidRDefault="004650C7" w:rsidP="004650C7">
                          <w:pPr>
                            <w:jc w:val="center"/>
                            <w:rPr>
                              <w:rFonts w:ascii="Arial" w:hAnsi="Arial" w:cs="Arial"/>
                              <w:sz w:val="24"/>
                              <w:szCs w:val="24"/>
                            </w:rPr>
                          </w:pPr>
                          <w:r>
                            <w:rPr>
                              <w:rFonts w:ascii="Arial" w:hAnsi="Arial" w:cs="Arial"/>
                              <w:sz w:val="24"/>
                              <w:szCs w:val="24"/>
                            </w:rPr>
                            <w:t>2025173</w:t>
                          </w:r>
                        </w:p>
                        <w:p w14:paraId="3CF4462D" w14:textId="5AC7DE26" w:rsidR="002F109F" w:rsidRDefault="002F109F" w:rsidP="004650C7">
                          <w:pPr>
                            <w:jc w:val="center"/>
                            <w:rPr>
                              <w:rFonts w:ascii="Arial" w:hAnsi="Arial" w:cs="Arial"/>
                              <w:sz w:val="24"/>
                              <w:szCs w:val="24"/>
                            </w:rPr>
                          </w:pPr>
                          <w:r>
                            <w:rPr>
                              <w:rFonts w:ascii="Arial" w:hAnsi="Arial" w:cs="Arial"/>
                              <w:sz w:val="24"/>
                              <w:szCs w:val="24"/>
                            </w:rPr>
                            <w:t>Financial Management for the Hotel Industry</w:t>
                          </w:r>
                        </w:p>
                        <w:p w14:paraId="40A24B6B" w14:textId="6820FFA5" w:rsidR="004650C7" w:rsidRDefault="004650C7" w:rsidP="004650C7">
                          <w:pPr>
                            <w:jc w:val="center"/>
                            <w:rPr>
                              <w:rFonts w:ascii="Arial" w:hAnsi="Arial" w:cs="Arial"/>
                              <w:sz w:val="24"/>
                              <w:szCs w:val="24"/>
                            </w:rPr>
                          </w:pPr>
                          <w:r>
                            <w:rPr>
                              <w:rFonts w:ascii="Arial" w:hAnsi="Arial" w:cs="Arial"/>
                              <w:sz w:val="24"/>
                              <w:szCs w:val="24"/>
                            </w:rPr>
                            <w:t>BMIH5007</w:t>
                          </w:r>
                        </w:p>
                        <w:p w14:paraId="69778FCC" w14:textId="6D2FB88D" w:rsidR="002F109F" w:rsidRPr="002F109F" w:rsidRDefault="002F109F" w:rsidP="004650C7">
                          <w:pPr>
                            <w:jc w:val="center"/>
                            <w:rPr>
                              <w:rFonts w:ascii="Arial" w:hAnsi="Arial" w:cs="Arial"/>
                              <w:sz w:val="24"/>
                              <w:szCs w:val="24"/>
                            </w:rPr>
                          </w:pPr>
                          <w:r>
                            <w:rPr>
                              <w:rFonts w:ascii="Arial" w:hAnsi="Arial" w:cs="Arial"/>
                              <w:sz w:val="24"/>
                              <w:szCs w:val="24"/>
                            </w:rPr>
                            <w:t xml:space="preserve">Dale </w:t>
                          </w:r>
                          <w:r w:rsidR="004650C7">
                            <w:rPr>
                              <w:rFonts w:ascii="Arial" w:hAnsi="Arial" w:cs="Arial"/>
                              <w:sz w:val="24"/>
                              <w:szCs w:val="24"/>
                            </w:rPr>
                            <w:t>Clarke</w:t>
                          </w:r>
                        </w:p>
                      </w:txbxContent>
                    </v:textbox>
                    <w10:wrap anchorx="margin"/>
                  </v:shape>
                </w:pict>
              </mc:Fallback>
            </mc:AlternateContent>
          </w:r>
          <w:r w:rsidR="007D1947">
            <w:br w:type="page"/>
          </w:r>
          <w:bookmarkStart w:id="0" w:name="_Toc463944599"/>
        </w:p>
        <w:p w14:paraId="309577B9" w14:textId="7393FBD2" w:rsidR="005E4896" w:rsidRDefault="005E4896" w:rsidP="007D1947">
          <w:pPr>
            <w:pStyle w:val="Heading1"/>
            <w:rPr>
              <w:rFonts w:ascii="Arial" w:hAnsi="Arial" w:cs="Arial"/>
              <w:b/>
              <w:bCs/>
              <w:color w:val="auto"/>
              <w:sz w:val="28"/>
              <w:szCs w:val="28"/>
            </w:rPr>
          </w:pPr>
          <w:r>
            <w:rPr>
              <w:rFonts w:ascii="Arial" w:hAnsi="Arial" w:cs="Arial"/>
              <w:b/>
              <w:bCs/>
              <w:color w:val="auto"/>
              <w:sz w:val="28"/>
              <w:szCs w:val="28"/>
            </w:rPr>
            <w:lastRenderedPageBreak/>
            <w:t>Executive Summary</w:t>
          </w:r>
        </w:p>
        <w:p w14:paraId="0F30AA0B" w14:textId="58F81A1F" w:rsidR="005E4896" w:rsidRDefault="005E4896" w:rsidP="005E4896"/>
        <w:p w14:paraId="410F04F5" w14:textId="504A5BEB" w:rsidR="005E4896" w:rsidRDefault="005E4896" w:rsidP="005E4896">
          <w:pPr>
            <w:spacing w:line="360" w:lineRule="auto"/>
            <w:jc w:val="both"/>
            <w:rPr>
              <w:rFonts w:ascii="Arial" w:hAnsi="Arial" w:cs="Arial"/>
              <w:sz w:val="24"/>
              <w:szCs w:val="24"/>
            </w:rPr>
          </w:pPr>
          <w:r w:rsidRPr="005E4896">
            <w:rPr>
              <w:rFonts w:ascii="Arial" w:hAnsi="Arial" w:cs="Arial"/>
              <w:sz w:val="24"/>
              <w:szCs w:val="24"/>
            </w:rPr>
            <w:t>This report compares the performance of Marriott's financial ratios in 2020 and 2021, as well as the significance of ratios and their variations in decision-making.</w:t>
          </w:r>
          <w:r w:rsidR="00DA69D0">
            <w:rPr>
              <w:rFonts w:ascii="Arial" w:hAnsi="Arial" w:cs="Arial"/>
              <w:sz w:val="24"/>
              <w:szCs w:val="24"/>
            </w:rPr>
            <w:t xml:space="preserve"> </w:t>
          </w:r>
        </w:p>
        <w:bookmarkEnd w:id="0"/>
        <w:p w14:paraId="46F14963" w14:textId="77777777" w:rsidR="007D1947" w:rsidRDefault="007D1947"/>
        <w:p w14:paraId="319933FB" w14:textId="77777777" w:rsidR="007D1947" w:rsidRDefault="007D1947"/>
        <w:p w14:paraId="5D6BF5EE" w14:textId="77777777" w:rsidR="007D1947" w:rsidRDefault="007D1947"/>
        <w:p w14:paraId="11C68BD2" w14:textId="77777777" w:rsidR="007D1947" w:rsidRDefault="007D1947"/>
        <w:p w14:paraId="08EEC166" w14:textId="77777777" w:rsidR="007D1947" w:rsidRDefault="007D1947"/>
        <w:p w14:paraId="4A7E0BD1" w14:textId="77777777" w:rsidR="007D1947" w:rsidRDefault="007D1947"/>
        <w:p w14:paraId="60983FBE" w14:textId="77777777" w:rsidR="007D1947" w:rsidRDefault="007D1947"/>
        <w:p w14:paraId="4BD24EAA" w14:textId="77777777" w:rsidR="007D1947" w:rsidRDefault="007D1947"/>
        <w:p w14:paraId="5E20A626" w14:textId="77777777" w:rsidR="007D1947" w:rsidRDefault="007D1947"/>
        <w:p w14:paraId="2592EA34" w14:textId="77777777" w:rsidR="007D1947" w:rsidRDefault="007D1947"/>
        <w:p w14:paraId="102FA409" w14:textId="77777777" w:rsidR="007D1947" w:rsidRDefault="007D1947"/>
        <w:p w14:paraId="0EB4AA44" w14:textId="77777777" w:rsidR="007D1947" w:rsidRDefault="007D1947"/>
        <w:p w14:paraId="43F4A0A2" w14:textId="77777777" w:rsidR="007D1947" w:rsidRDefault="007D1947"/>
        <w:p w14:paraId="1AC34DF5" w14:textId="77777777" w:rsidR="007D1947" w:rsidRDefault="007D1947"/>
        <w:p w14:paraId="51926115" w14:textId="77777777" w:rsidR="007D1947" w:rsidRDefault="007D1947"/>
        <w:p w14:paraId="77A33B7E" w14:textId="77777777" w:rsidR="007D1947" w:rsidRDefault="007D1947"/>
        <w:p w14:paraId="4C2E3AF2" w14:textId="77777777" w:rsidR="007D1947" w:rsidRDefault="007D1947"/>
        <w:p w14:paraId="24983E97" w14:textId="77777777" w:rsidR="007D1947" w:rsidRDefault="007D1947"/>
        <w:p w14:paraId="7FA5F72D" w14:textId="77777777" w:rsidR="007D1947" w:rsidRDefault="007D1947"/>
        <w:p w14:paraId="1D086EC3" w14:textId="77777777" w:rsidR="007D1947" w:rsidRDefault="007D1947"/>
        <w:p w14:paraId="678DFA97" w14:textId="77777777" w:rsidR="007D1947" w:rsidRDefault="007D1947"/>
        <w:p w14:paraId="4CD36532" w14:textId="77777777" w:rsidR="007D1947" w:rsidRDefault="007D1947"/>
        <w:p w14:paraId="64DE100B" w14:textId="77777777" w:rsidR="007D1947" w:rsidRDefault="007D1947"/>
        <w:p w14:paraId="361A70E1" w14:textId="77777777" w:rsidR="007D1947" w:rsidRDefault="007D1947"/>
        <w:p w14:paraId="2F693D62" w14:textId="77777777" w:rsidR="007D1947" w:rsidRDefault="007D1947"/>
        <w:p w14:paraId="7364A3AD" w14:textId="77777777" w:rsidR="007D1947" w:rsidRDefault="007D1947"/>
        <w:p w14:paraId="76E82432" w14:textId="77777777" w:rsidR="007D1947" w:rsidRDefault="007D1947"/>
        <w:p w14:paraId="42C19836"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color w:val="FF0000"/>
            </w:rPr>
          </w:sdtEndPr>
          <w:sdtContent>
            <w:p w14:paraId="17F927D0" w14:textId="77777777" w:rsidR="007D1947" w:rsidRPr="000E5A59" w:rsidRDefault="007D1947">
              <w:pPr>
                <w:pStyle w:val="TOCHeading"/>
                <w:rPr>
                  <w:rFonts w:ascii="Arial" w:hAnsi="Arial" w:cs="Arial"/>
                  <w:b/>
                  <w:bCs/>
                  <w:color w:val="auto"/>
                  <w:sz w:val="28"/>
                  <w:szCs w:val="28"/>
                </w:rPr>
              </w:pPr>
              <w:r w:rsidRPr="000E5A59">
                <w:rPr>
                  <w:rFonts w:ascii="Arial" w:hAnsi="Arial" w:cs="Arial"/>
                  <w:b/>
                  <w:bCs/>
                  <w:color w:val="auto"/>
                  <w:sz w:val="28"/>
                  <w:szCs w:val="28"/>
                </w:rPr>
                <w:t>Table of Contents</w:t>
              </w:r>
            </w:p>
            <w:p w14:paraId="4C790205" w14:textId="77777777" w:rsidR="00115B96" w:rsidRPr="000E5A59" w:rsidRDefault="007D1947" w:rsidP="000E5A59">
              <w:pPr>
                <w:pStyle w:val="TOC1"/>
                <w:tabs>
                  <w:tab w:val="right" w:leader="dot" w:pos="9016"/>
                </w:tabs>
                <w:spacing w:line="360" w:lineRule="auto"/>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463944599" w:history="1">
                <w:r w:rsidR="00115B96" w:rsidRPr="000E5A59">
                  <w:rPr>
                    <w:rStyle w:val="Hyperlink"/>
                    <w:rFonts w:ascii="Arial" w:hAnsi="Arial" w:cs="Arial"/>
                    <w:noProof/>
                    <w:sz w:val="24"/>
                    <w:szCs w:val="24"/>
                  </w:rPr>
                  <w:t>Executive Summary</w:t>
                </w:r>
                <w:r w:rsidR="00115B96" w:rsidRPr="000E5A59">
                  <w:rPr>
                    <w:rFonts w:ascii="Arial" w:hAnsi="Arial" w:cs="Arial"/>
                    <w:noProof/>
                    <w:webHidden/>
                    <w:sz w:val="24"/>
                    <w:szCs w:val="24"/>
                  </w:rPr>
                  <w:tab/>
                </w:r>
                <w:r w:rsidR="00115B96" w:rsidRPr="000E5A59">
                  <w:rPr>
                    <w:rFonts w:ascii="Arial" w:hAnsi="Arial" w:cs="Arial"/>
                    <w:noProof/>
                    <w:webHidden/>
                    <w:sz w:val="24"/>
                    <w:szCs w:val="24"/>
                  </w:rPr>
                  <w:fldChar w:fldCharType="begin"/>
                </w:r>
                <w:r w:rsidR="00115B96" w:rsidRPr="000E5A59">
                  <w:rPr>
                    <w:rFonts w:ascii="Arial" w:hAnsi="Arial" w:cs="Arial"/>
                    <w:noProof/>
                    <w:webHidden/>
                    <w:sz w:val="24"/>
                    <w:szCs w:val="24"/>
                  </w:rPr>
                  <w:instrText xml:space="preserve"> PAGEREF _Toc463944599 \h </w:instrText>
                </w:r>
                <w:r w:rsidR="00115B96" w:rsidRPr="000E5A59">
                  <w:rPr>
                    <w:rFonts w:ascii="Arial" w:hAnsi="Arial" w:cs="Arial"/>
                    <w:noProof/>
                    <w:webHidden/>
                    <w:sz w:val="24"/>
                    <w:szCs w:val="24"/>
                  </w:rPr>
                </w:r>
                <w:r w:rsidR="00115B96" w:rsidRPr="000E5A59">
                  <w:rPr>
                    <w:rFonts w:ascii="Arial" w:hAnsi="Arial" w:cs="Arial"/>
                    <w:noProof/>
                    <w:webHidden/>
                    <w:sz w:val="24"/>
                    <w:szCs w:val="24"/>
                  </w:rPr>
                  <w:fldChar w:fldCharType="separate"/>
                </w:r>
                <w:r w:rsidR="00115B96" w:rsidRPr="000E5A59">
                  <w:rPr>
                    <w:rFonts w:ascii="Arial" w:hAnsi="Arial" w:cs="Arial"/>
                    <w:noProof/>
                    <w:webHidden/>
                    <w:sz w:val="24"/>
                    <w:szCs w:val="24"/>
                  </w:rPr>
                  <w:t>1</w:t>
                </w:r>
                <w:r w:rsidR="00115B96" w:rsidRPr="000E5A59">
                  <w:rPr>
                    <w:rFonts w:ascii="Arial" w:hAnsi="Arial" w:cs="Arial"/>
                    <w:noProof/>
                    <w:webHidden/>
                    <w:sz w:val="24"/>
                    <w:szCs w:val="24"/>
                  </w:rPr>
                  <w:fldChar w:fldCharType="end"/>
                </w:r>
              </w:hyperlink>
            </w:p>
            <w:p w14:paraId="594F6124" w14:textId="77777777" w:rsidR="00115B96" w:rsidRPr="000E5A59" w:rsidRDefault="00000000" w:rsidP="000E5A59">
              <w:pPr>
                <w:pStyle w:val="TOC1"/>
                <w:tabs>
                  <w:tab w:val="right" w:leader="dot" w:pos="9016"/>
                </w:tabs>
                <w:spacing w:line="360" w:lineRule="auto"/>
                <w:rPr>
                  <w:rFonts w:ascii="Arial" w:eastAsiaTheme="minorEastAsia" w:hAnsi="Arial" w:cs="Arial"/>
                  <w:noProof/>
                  <w:sz w:val="24"/>
                  <w:szCs w:val="24"/>
                  <w:lang w:eastAsia="en-GB"/>
                </w:rPr>
              </w:pPr>
              <w:hyperlink w:anchor="_Toc463944600" w:history="1">
                <w:r w:rsidR="00115B96" w:rsidRPr="000E5A59">
                  <w:rPr>
                    <w:rStyle w:val="Hyperlink"/>
                    <w:rFonts w:ascii="Arial" w:hAnsi="Arial" w:cs="Arial"/>
                    <w:noProof/>
                    <w:sz w:val="24"/>
                    <w:szCs w:val="24"/>
                  </w:rPr>
                  <w:t>Introduction</w:t>
                </w:r>
                <w:r w:rsidR="00115B96" w:rsidRPr="000E5A59">
                  <w:rPr>
                    <w:rFonts w:ascii="Arial" w:hAnsi="Arial" w:cs="Arial"/>
                    <w:noProof/>
                    <w:webHidden/>
                    <w:sz w:val="24"/>
                    <w:szCs w:val="24"/>
                  </w:rPr>
                  <w:tab/>
                </w:r>
                <w:r w:rsidR="00115B96" w:rsidRPr="000E5A59">
                  <w:rPr>
                    <w:rFonts w:ascii="Arial" w:hAnsi="Arial" w:cs="Arial"/>
                    <w:noProof/>
                    <w:webHidden/>
                    <w:sz w:val="24"/>
                    <w:szCs w:val="24"/>
                  </w:rPr>
                  <w:fldChar w:fldCharType="begin"/>
                </w:r>
                <w:r w:rsidR="00115B96" w:rsidRPr="000E5A59">
                  <w:rPr>
                    <w:rFonts w:ascii="Arial" w:hAnsi="Arial" w:cs="Arial"/>
                    <w:noProof/>
                    <w:webHidden/>
                    <w:sz w:val="24"/>
                    <w:szCs w:val="24"/>
                  </w:rPr>
                  <w:instrText xml:space="preserve"> PAGEREF _Toc463944600 \h </w:instrText>
                </w:r>
                <w:r w:rsidR="00115B96" w:rsidRPr="000E5A59">
                  <w:rPr>
                    <w:rFonts w:ascii="Arial" w:hAnsi="Arial" w:cs="Arial"/>
                    <w:noProof/>
                    <w:webHidden/>
                    <w:sz w:val="24"/>
                    <w:szCs w:val="24"/>
                  </w:rPr>
                </w:r>
                <w:r w:rsidR="00115B96" w:rsidRPr="000E5A59">
                  <w:rPr>
                    <w:rFonts w:ascii="Arial" w:hAnsi="Arial" w:cs="Arial"/>
                    <w:noProof/>
                    <w:webHidden/>
                    <w:sz w:val="24"/>
                    <w:szCs w:val="24"/>
                  </w:rPr>
                  <w:fldChar w:fldCharType="separate"/>
                </w:r>
                <w:r w:rsidR="00115B96" w:rsidRPr="000E5A59">
                  <w:rPr>
                    <w:rFonts w:ascii="Arial" w:hAnsi="Arial" w:cs="Arial"/>
                    <w:noProof/>
                    <w:webHidden/>
                    <w:sz w:val="24"/>
                    <w:szCs w:val="24"/>
                  </w:rPr>
                  <w:t>3</w:t>
                </w:r>
                <w:r w:rsidR="00115B96" w:rsidRPr="000E5A59">
                  <w:rPr>
                    <w:rFonts w:ascii="Arial" w:hAnsi="Arial" w:cs="Arial"/>
                    <w:noProof/>
                    <w:webHidden/>
                    <w:sz w:val="24"/>
                    <w:szCs w:val="24"/>
                  </w:rPr>
                  <w:fldChar w:fldCharType="end"/>
                </w:r>
              </w:hyperlink>
            </w:p>
            <w:p w14:paraId="554E8E6C" w14:textId="66BA6F70" w:rsidR="00115B96" w:rsidRPr="000E5A59" w:rsidRDefault="00000000" w:rsidP="000E5A59">
              <w:pPr>
                <w:pStyle w:val="TOC1"/>
                <w:tabs>
                  <w:tab w:val="right" w:leader="dot" w:pos="9016"/>
                </w:tabs>
                <w:spacing w:line="360" w:lineRule="auto"/>
                <w:rPr>
                  <w:rFonts w:ascii="Arial" w:eastAsiaTheme="minorEastAsia" w:hAnsi="Arial" w:cs="Arial"/>
                  <w:noProof/>
                  <w:sz w:val="24"/>
                  <w:szCs w:val="24"/>
                  <w:lang w:eastAsia="en-GB"/>
                </w:rPr>
              </w:pPr>
              <w:hyperlink w:anchor="_Toc463944602" w:history="1">
                <w:r w:rsidR="00115B96" w:rsidRPr="000E5A59">
                  <w:rPr>
                    <w:rStyle w:val="Hyperlink"/>
                    <w:rFonts w:ascii="Arial" w:hAnsi="Arial" w:cs="Arial"/>
                    <w:noProof/>
                    <w:sz w:val="24"/>
                    <w:szCs w:val="24"/>
                  </w:rPr>
                  <w:t>Financial Analysis Trends</w:t>
                </w:r>
                <w:r w:rsidR="00115B96" w:rsidRPr="000E5A59">
                  <w:rPr>
                    <w:rFonts w:ascii="Arial" w:hAnsi="Arial" w:cs="Arial"/>
                    <w:noProof/>
                    <w:webHidden/>
                    <w:sz w:val="24"/>
                    <w:szCs w:val="24"/>
                  </w:rPr>
                  <w:tab/>
                </w:r>
                <w:r w:rsidR="006B1943" w:rsidRPr="000E5A59">
                  <w:rPr>
                    <w:rFonts w:ascii="Arial" w:hAnsi="Arial" w:cs="Arial"/>
                    <w:noProof/>
                    <w:webHidden/>
                    <w:sz w:val="24"/>
                    <w:szCs w:val="24"/>
                  </w:rPr>
                  <w:t>3</w:t>
                </w:r>
              </w:hyperlink>
            </w:p>
            <w:p w14:paraId="41BAB81A" w14:textId="77777777" w:rsidR="00115B96" w:rsidRPr="000E5A59" w:rsidRDefault="00000000" w:rsidP="000E5A59">
              <w:pPr>
                <w:pStyle w:val="TOC2"/>
                <w:tabs>
                  <w:tab w:val="right" w:leader="dot" w:pos="9016"/>
                </w:tabs>
                <w:spacing w:line="360" w:lineRule="auto"/>
                <w:rPr>
                  <w:rFonts w:ascii="Arial" w:hAnsi="Arial" w:cs="Arial"/>
                  <w:noProof/>
                  <w:sz w:val="24"/>
                  <w:szCs w:val="24"/>
                </w:rPr>
              </w:pPr>
              <w:hyperlink w:anchor="_Toc463944603" w:history="1">
                <w:r w:rsidR="00115B96" w:rsidRPr="000E5A59">
                  <w:rPr>
                    <w:rStyle w:val="Hyperlink"/>
                    <w:rFonts w:ascii="Arial" w:hAnsi="Arial" w:cs="Arial"/>
                    <w:noProof/>
                    <w:sz w:val="24"/>
                    <w:szCs w:val="24"/>
                  </w:rPr>
                  <w:t>Profitability</w:t>
                </w:r>
                <w:r w:rsidR="00115B96" w:rsidRPr="000E5A59">
                  <w:rPr>
                    <w:rFonts w:ascii="Arial" w:hAnsi="Arial" w:cs="Arial"/>
                    <w:noProof/>
                    <w:webHidden/>
                    <w:sz w:val="24"/>
                    <w:szCs w:val="24"/>
                  </w:rPr>
                  <w:tab/>
                </w:r>
                <w:r w:rsidR="00115B96" w:rsidRPr="000E5A59">
                  <w:rPr>
                    <w:rFonts w:ascii="Arial" w:hAnsi="Arial" w:cs="Arial"/>
                    <w:noProof/>
                    <w:webHidden/>
                    <w:sz w:val="24"/>
                    <w:szCs w:val="24"/>
                  </w:rPr>
                  <w:fldChar w:fldCharType="begin"/>
                </w:r>
                <w:r w:rsidR="00115B96" w:rsidRPr="000E5A59">
                  <w:rPr>
                    <w:rFonts w:ascii="Arial" w:hAnsi="Arial" w:cs="Arial"/>
                    <w:noProof/>
                    <w:webHidden/>
                    <w:sz w:val="24"/>
                    <w:szCs w:val="24"/>
                  </w:rPr>
                  <w:instrText xml:space="preserve"> PAGEREF _Toc463944603 \h </w:instrText>
                </w:r>
                <w:r w:rsidR="00115B96" w:rsidRPr="000E5A59">
                  <w:rPr>
                    <w:rFonts w:ascii="Arial" w:hAnsi="Arial" w:cs="Arial"/>
                    <w:noProof/>
                    <w:webHidden/>
                    <w:sz w:val="24"/>
                    <w:szCs w:val="24"/>
                  </w:rPr>
                </w:r>
                <w:r w:rsidR="00115B96" w:rsidRPr="000E5A59">
                  <w:rPr>
                    <w:rFonts w:ascii="Arial" w:hAnsi="Arial" w:cs="Arial"/>
                    <w:noProof/>
                    <w:webHidden/>
                    <w:sz w:val="24"/>
                    <w:szCs w:val="24"/>
                  </w:rPr>
                  <w:fldChar w:fldCharType="separate"/>
                </w:r>
                <w:r w:rsidR="00115B96" w:rsidRPr="000E5A59">
                  <w:rPr>
                    <w:rFonts w:ascii="Arial" w:hAnsi="Arial" w:cs="Arial"/>
                    <w:noProof/>
                    <w:webHidden/>
                    <w:sz w:val="24"/>
                    <w:szCs w:val="24"/>
                  </w:rPr>
                  <w:t>4</w:t>
                </w:r>
                <w:r w:rsidR="00115B96" w:rsidRPr="000E5A59">
                  <w:rPr>
                    <w:rFonts w:ascii="Arial" w:hAnsi="Arial" w:cs="Arial"/>
                    <w:noProof/>
                    <w:webHidden/>
                    <w:sz w:val="24"/>
                    <w:szCs w:val="24"/>
                  </w:rPr>
                  <w:fldChar w:fldCharType="end"/>
                </w:r>
              </w:hyperlink>
            </w:p>
            <w:p w14:paraId="33358261" w14:textId="08BA61BE" w:rsidR="00115B96" w:rsidRPr="000E5A59" w:rsidRDefault="00000000" w:rsidP="000E5A59">
              <w:pPr>
                <w:pStyle w:val="TOC2"/>
                <w:tabs>
                  <w:tab w:val="right" w:leader="dot" w:pos="9016"/>
                </w:tabs>
                <w:spacing w:line="360" w:lineRule="auto"/>
                <w:rPr>
                  <w:rFonts w:ascii="Arial" w:hAnsi="Arial" w:cs="Arial"/>
                  <w:noProof/>
                  <w:sz w:val="24"/>
                  <w:szCs w:val="24"/>
                </w:rPr>
              </w:pPr>
              <w:hyperlink w:anchor="_Toc463944604" w:history="1">
                <w:r w:rsidR="00115B96" w:rsidRPr="000E5A59">
                  <w:rPr>
                    <w:rStyle w:val="Hyperlink"/>
                    <w:rFonts w:ascii="Arial" w:hAnsi="Arial" w:cs="Arial"/>
                    <w:noProof/>
                    <w:sz w:val="24"/>
                    <w:szCs w:val="24"/>
                  </w:rPr>
                  <w:t>Liquidity</w:t>
                </w:r>
                <w:r w:rsidR="00115B96" w:rsidRPr="000E5A59">
                  <w:rPr>
                    <w:rFonts w:ascii="Arial" w:hAnsi="Arial" w:cs="Arial"/>
                    <w:noProof/>
                    <w:webHidden/>
                    <w:sz w:val="24"/>
                    <w:szCs w:val="24"/>
                  </w:rPr>
                  <w:tab/>
                </w:r>
                <w:r w:rsidR="000E5A59">
                  <w:rPr>
                    <w:rFonts w:ascii="Arial" w:hAnsi="Arial" w:cs="Arial"/>
                    <w:noProof/>
                    <w:webHidden/>
                    <w:sz w:val="24"/>
                    <w:szCs w:val="24"/>
                  </w:rPr>
                  <w:t>5</w:t>
                </w:r>
              </w:hyperlink>
            </w:p>
            <w:p w14:paraId="26D7A146" w14:textId="661D815D" w:rsidR="00115B96" w:rsidRPr="000E5A59" w:rsidRDefault="00000000" w:rsidP="000E5A59">
              <w:pPr>
                <w:pStyle w:val="TOC2"/>
                <w:tabs>
                  <w:tab w:val="right" w:leader="dot" w:pos="9016"/>
                </w:tabs>
                <w:spacing w:line="360" w:lineRule="auto"/>
                <w:rPr>
                  <w:rFonts w:ascii="Arial" w:hAnsi="Arial" w:cs="Arial"/>
                  <w:noProof/>
                  <w:sz w:val="24"/>
                  <w:szCs w:val="24"/>
                </w:rPr>
              </w:pPr>
              <w:hyperlink w:anchor="_Toc463944605" w:history="1">
                <w:r w:rsidR="00115B96" w:rsidRPr="000E5A59">
                  <w:rPr>
                    <w:rStyle w:val="Hyperlink"/>
                    <w:rFonts w:ascii="Arial" w:hAnsi="Arial" w:cs="Arial"/>
                    <w:noProof/>
                    <w:sz w:val="24"/>
                    <w:szCs w:val="24"/>
                  </w:rPr>
                  <w:t>Gearing</w:t>
                </w:r>
                <w:r w:rsidR="00115B96" w:rsidRPr="000E5A59">
                  <w:rPr>
                    <w:rFonts w:ascii="Arial" w:hAnsi="Arial" w:cs="Arial"/>
                    <w:noProof/>
                    <w:webHidden/>
                    <w:sz w:val="24"/>
                    <w:szCs w:val="24"/>
                  </w:rPr>
                  <w:tab/>
                </w:r>
                <w:r w:rsidR="000E5A59">
                  <w:rPr>
                    <w:rFonts w:ascii="Arial" w:hAnsi="Arial" w:cs="Arial"/>
                    <w:noProof/>
                    <w:webHidden/>
                    <w:sz w:val="24"/>
                    <w:szCs w:val="24"/>
                  </w:rPr>
                  <w:t>6</w:t>
                </w:r>
              </w:hyperlink>
            </w:p>
            <w:p w14:paraId="3952D2B2" w14:textId="2472FEE6" w:rsidR="00115B96" w:rsidRPr="000E5A59" w:rsidRDefault="00000000" w:rsidP="000E5A59">
              <w:pPr>
                <w:pStyle w:val="TOC1"/>
                <w:tabs>
                  <w:tab w:val="right" w:leader="dot" w:pos="9016"/>
                </w:tabs>
                <w:spacing w:line="360" w:lineRule="auto"/>
                <w:rPr>
                  <w:rFonts w:ascii="Arial" w:eastAsiaTheme="minorEastAsia" w:hAnsi="Arial" w:cs="Arial"/>
                  <w:noProof/>
                  <w:sz w:val="24"/>
                  <w:szCs w:val="24"/>
                  <w:lang w:eastAsia="en-GB"/>
                </w:rPr>
              </w:pPr>
              <w:hyperlink w:anchor="_Toc463944606" w:history="1">
                <w:r w:rsidR="00115B96" w:rsidRPr="000E5A59">
                  <w:rPr>
                    <w:rStyle w:val="Hyperlink"/>
                    <w:rFonts w:ascii="Arial" w:hAnsi="Arial" w:cs="Arial"/>
                    <w:noProof/>
                    <w:sz w:val="24"/>
                    <w:szCs w:val="24"/>
                  </w:rPr>
                  <w:t>Knowledge from Ratio Analysis</w:t>
                </w:r>
                <w:r w:rsidR="00115B96" w:rsidRPr="000E5A59">
                  <w:rPr>
                    <w:rFonts w:ascii="Arial" w:hAnsi="Arial" w:cs="Arial"/>
                    <w:noProof/>
                    <w:webHidden/>
                    <w:sz w:val="24"/>
                    <w:szCs w:val="24"/>
                  </w:rPr>
                  <w:tab/>
                </w:r>
                <w:r w:rsidR="000E5A59">
                  <w:rPr>
                    <w:rFonts w:ascii="Arial" w:hAnsi="Arial" w:cs="Arial"/>
                    <w:noProof/>
                    <w:webHidden/>
                    <w:sz w:val="24"/>
                    <w:szCs w:val="24"/>
                  </w:rPr>
                  <w:t>6</w:t>
                </w:r>
              </w:hyperlink>
            </w:p>
            <w:p w14:paraId="3969CF74" w14:textId="0516A6E8" w:rsidR="00115B96" w:rsidRPr="000E5A59" w:rsidRDefault="00000000" w:rsidP="000E5A59">
              <w:pPr>
                <w:pStyle w:val="TOC1"/>
                <w:tabs>
                  <w:tab w:val="right" w:leader="dot" w:pos="9016"/>
                </w:tabs>
                <w:spacing w:line="360" w:lineRule="auto"/>
                <w:rPr>
                  <w:rFonts w:ascii="Arial" w:eastAsiaTheme="minorEastAsia" w:hAnsi="Arial" w:cs="Arial"/>
                  <w:noProof/>
                  <w:sz w:val="24"/>
                  <w:szCs w:val="24"/>
                  <w:lang w:eastAsia="en-GB"/>
                </w:rPr>
              </w:pPr>
              <w:hyperlink w:anchor="_Toc463944607" w:history="1">
                <w:r w:rsidR="00115B96" w:rsidRPr="000E5A59">
                  <w:rPr>
                    <w:rStyle w:val="Hyperlink"/>
                    <w:rFonts w:ascii="Arial" w:hAnsi="Arial" w:cs="Arial"/>
                    <w:noProof/>
                    <w:sz w:val="24"/>
                    <w:szCs w:val="24"/>
                  </w:rPr>
                  <w:t>Benefits and Limitations of Ratio Analysis</w:t>
                </w:r>
                <w:r w:rsidR="00115B96" w:rsidRPr="000E5A59">
                  <w:rPr>
                    <w:rFonts w:ascii="Arial" w:hAnsi="Arial" w:cs="Arial"/>
                    <w:noProof/>
                    <w:webHidden/>
                    <w:sz w:val="24"/>
                    <w:szCs w:val="24"/>
                  </w:rPr>
                  <w:tab/>
                </w:r>
                <w:r w:rsidR="000E5A59">
                  <w:rPr>
                    <w:rFonts w:ascii="Arial" w:hAnsi="Arial" w:cs="Arial"/>
                    <w:noProof/>
                    <w:webHidden/>
                    <w:sz w:val="24"/>
                    <w:szCs w:val="24"/>
                  </w:rPr>
                  <w:t>7</w:t>
                </w:r>
              </w:hyperlink>
            </w:p>
            <w:p w14:paraId="2B487859" w14:textId="2D10FCB6" w:rsidR="00115B96" w:rsidRPr="000E5A59" w:rsidRDefault="00000000" w:rsidP="000E5A59">
              <w:pPr>
                <w:pStyle w:val="TOC1"/>
                <w:tabs>
                  <w:tab w:val="right" w:leader="dot" w:pos="9016"/>
                </w:tabs>
                <w:spacing w:line="360" w:lineRule="auto"/>
                <w:rPr>
                  <w:rFonts w:ascii="Arial" w:eastAsiaTheme="minorEastAsia" w:hAnsi="Arial" w:cs="Arial"/>
                  <w:noProof/>
                  <w:sz w:val="24"/>
                  <w:szCs w:val="24"/>
                  <w:lang w:eastAsia="en-GB"/>
                </w:rPr>
              </w:pPr>
              <w:hyperlink w:anchor="_Toc463944608" w:history="1">
                <w:r w:rsidR="00115B96" w:rsidRPr="000E5A59">
                  <w:rPr>
                    <w:rStyle w:val="Hyperlink"/>
                    <w:rFonts w:ascii="Arial" w:hAnsi="Arial" w:cs="Arial"/>
                    <w:noProof/>
                    <w:sz w:val="24"/>
                    <w:szCs w:val="24"/>
                  </w:rPr>
                  <w:t>Conclusion</w:t>
                </w:r>
                <w:r w:rsidR="00115B96" w:rsidRPr="000E5A59">
                  <w:rPr>
                    <w:rFonts w:ascii="Arial" w:hAnsi="Arial" w:cs="Arial"/>
                    <w:noProof/>
                    <w:webHidden/>
                    <w:sz w:val="24"/>
                    <w:szCs w:val="24"/>
                  </w:rPr>
                  <w:tab/>
                </w:r>
                <w:r w:rsidR="000E5A59" w:rsidRPr="000E5A59">
                  <w:rPr>
                    <w:rFonts w:ascii="Arial" w:hAnsi="Arial" w:cs="Arial"/>
                    <w:noProof/>
                    <w:webHidden/>
                    <w:sz w:val="24"/>
                    <w:szCs w:val="24"/>
                  </w:rPr>
                  <w:t>8</w:t>
                </w:r>
              </w:hyperlink>
            </w:p>
            <w:p w14:paraId="163DB4B1" w14:textId="107AD1A8" w:rsidR="00115B96" w:rsidRPr="000E5A59" w:rsidRDefault="00000000" w:rsidP="000E5A59">
              <w:pPr>
                <w:pStyle w:val="TOC1"/>
                <w:tabs>
                  <w:tab w:val="right" w:leader="dot" w:pos="9016"/>
                </w:tabs>
                <w:spacing w:line="360" w:lineRule="auto"/>
                <w:rPr>
                  <w:rFonts w:ascii="Arial" w:eastAsiaTheme="minorEastAsia" w:hAnsi="Arial" w:cs="Arial"/>
                  <w:noProof/>
                  <w:sz w:val="24"/>
                  <w:szCs w:val="24"/>
                  <w:lang w:eastAsia="en-GB"/>
                </w:rPr>
              </w:pPr>
              <w:hyperlink w:anchor="_Toc463944609" w:history="1">
                <w:r w:rsidR="000E5A59" w:rsidRPr="000E5A59">
                  <w:rPr>
                    <w:rStyle w:val="Hyperlink"/>
                    <w:rFonts w:ascii="Arial" w:hAnsi="Arial" w:cs="Arial"/>
                    <w:noProof/>
                    <w:sz w:val="24"/>
                    <w:szCs w:val="24"/>
                  </w:rPr>
                  <w:t>Reference</w:t>
                </w:r>
                <w:r w:rsidR="00115B96" w:rsidRPr="000E5A59">
                  <w:rPr>
                    <w:rFonts w:ascii="Arial" w:hAnsi="Arial" w:cs="Arial"/>
                    <w:noProof/>
                    <w:webHidden/>
                    <w:sz w:val="24"/>
                    <w:szCs w:val="24"/>
                  </w:rPr>
                  <w:tab/>
                </w:r>
                <w:r w:rsidR="000E5A59" w:rsidRPr="000E5A59">
                  <w:rPr>
                    <w:rFonts w:ascii="Arial" w:hAnsi="Arial" w:cs="Arial"/>
                    <w:noProof/>
                    <w:webHidden/>
                    <w:sz w:val="24"/>
                    <w:szCs w:val="24"/>
                  </w:rPr>
                  <w:t>9</w:t>
                </w:r>
              </w:hyperlink>
            </w:p>
            <w:p w14:paraId="5849B348" w14:textId="75D52F1B" w:rsidR="007D1947" w:rsidRPr="005E4896" w:rsidRDefault="007D1947">
              <w:pPr>
                <w:rPr>
                  <w:color w:val="FF0000"/>
                </w:rPr>
              </w:pPr>
              <w:r>
                <w:rPr>
                  <w:b/>
                  <w:bCs/>
                  <w:noProof/>
                </w:rPr>
                <w:fldChar w:fldCharType="end"/>
              </w:r>
              <w:r w:rsidR="000E5A59">
                <w:rPr>
                  <w:b/>
                  <w:bCs/>
                  <w:noProof/>
                  <w:color w:val="FF0000"/>
                </w:rPr>
                <w:t xml:space="preserve"> </w:t>
              </w:r>
            </w:p>
          </w:sdtContent>
        </w:sdt>
        <w:p w14:paraId="1E6FA7DA" w14:textId="77777777" w:rsidR="007D1947" w:rsidRDefault="007D1947"/>
        <w:p w14:paraId="3C870FBE" w14:textId="77777777" w:rsidR="007D1947" w:rsidRDefault="007D1947"/>
        <w:p w14:paraId="2473B2AF" w14:textId="77777777" w:rsidR="007D1947" w:rsidRDefault="007D1947"/>
        <w:p w14:paraId="059AA211" w14:textId="77777777" w:rsidR="007D1947" w:rsidRDefault="007D1947"/>
        <w:p w14:paraId="18482C63" w14:textId="77777777" w:rsidR="007D1947" w:rsidRDefault="007D1947"/>
        <w:p w14:paraId="23DB8D03" w14:textId="77777777" w:rsidR="007D1947" w:rsidRDefault="007D1947"/>
        <w:p w14:paraId="38BD64A9" w14:textId="77777777" w:rsidR="007D1947" w:rsidRDefault="007D1947"/>
        <w:p w14:paraId="54CB868D" w14:textId="77777777" w:rsidR="007D1947" w:rsidRDefault="007D1947"/>
        <w:p w14:paraId="1EF5C34A" w14:textId="77777777" w:rsidR="007D1947" w:rsidRDefault="007D1947"/>
        <w:p w14:paraId="5551AF38" w14:textId="77777777" w:rsidR="007D1947" w:rsidRDefault="007D1947"/>
        <w:p w14:paraId="39BBE02B" w14:textId="77777777" w:rsidR="007D1947" w:rsidRDefault="007D1947"/>
        <w:p w14:paraId="017F22C6" w14:textId="2620565B" w:rsidR="007D1947" w:rsidRDefault="007D1947"/>
        <w:p w14:paraId="419DA219" w14:textId="77777777" w:rsidR="00EC60EC" w:rsidRDefault="00EC60EC"/>
        <w:p w14:paraId="0565AA6C" w14:textId="58CD4152" w:rsidR="007D1947" w:rsidRDefault="007D1947"/>
        <w:p w14:paraId="554FC007" w14:textId="6F86B331" w:rsidR="00A4661E" w:rsidRDefault="00A4661E"/>
        <w:p w14:paraId="5C32D633" w14:textId="77777777" w:rsidR="00A4661E" w:rsidRDefault="00A4661E">
          <w:pPr>
            <w:rPr>
              <w:rFonts w:ascii="Arial" w:hAnsi="Arial" w:cs="Arial"/>
              <w:b/>
              <w:bCs/>
              <w:sz w:val="28"/>
              <w:szCs w:val="28"/>
            </w:rPr>
          </w:pPr>
        </w:p>
        <w:p w14:paraId="2847B652" w14:textId="3D901999" w:rsidR="007D1947" w:rsidRPr="005E4896" w:rsidRDefault="005E4896" w:rsidP="00A807D2">
          <w:pPr>
            <w:spacing w:line="360" w:lineRule="auto"/>
            <w:jc w:val="both"/>
            <w:rPr>
              <w:rFonts w:ascii="Arial" w:hAnsi="Arial" w:cs="Arial"/>
              <w:b/>
              <w:bCs/>
              <w:sz w:val="28"/>
              <w:szCs w:val="28"/>
            </w:rPr>
          </w:pPr>
          <w:r>
            <w:rPr>
              <w:rFonts w:ascii="Arial" w:hAnsi="Arial" w:cs="Arial"/>
              <w:b/>
              <w:bCs/>
              <w:sz w:val="28"/>
              <w:szCs w:val="28"/>
            </w:rPr>
            <w:t>Introduction</w:t>
          </w:r>
        </w:p>
        <w:p w14:paraId="34EDE590" w14:textId="25E62BD3" w:rsidR="005E4896" w:rsidRPr="00FF43B3" w:rsidRDefault="00894B27" w:rsidP="00A807D2">
          <w:pPr>
            <w:spacing w:line="360" w:lineRule="auto"/>
            <w:jc w:val="both"/>
            <w:rPr>
              <w:rFonts w:ascii="Arial" w:hAnsi="Arial" w:cs="Arial"/>
              <w:sz w:val="24"/>
              <w:szCs w:val="24"/>
            </w:rPr>
          </w:pPr>
          <w:r w:rsidRPr="00894B27">
            <w:rPr>
              <w:rFonts w:ascii="Arial" w:hAnsi="Arial" w:cs="Arial"/>
              <w:sz w:val="24"/>
              <w:szCs w:val="24"/>
            </w:rPr>
            <w:t>Marriott International, which was founded about 100 years ago, is now the world's largest and most global lodging firm</w:t>
          </w:r>
          <w:r>
            <w:rPr>
              <w:rFonts w:ascii="Arial" w:hAnsi="Arial" w:cs="Arial"/>
              <w:sz w:val="24"/>
              <w:szCs w:val="24"/>
            </w:rPr>
            <w:t xml:space="preserve"> (Marriott International, 2022a)</w:t>
          </w:r>
          <w:r w:rsidRPr="00894B27">
            <w:rPr>
              <w:rFonts w:ascii="Arial" w:hAnsi="Arial" w:cs="Arial"/>
              <w:sz w:val="24"/>
              <w:szCs w:val="24"/>
            </w:rPr>
            <w:t xml:space="preserve">. Marriott boasts the industry's most powerful portfolio, with 30 brands and over 8,000 locations in 139 countries and territories, giving people </w:t>
          </w:r>
          <w:r w:rsidR="002516F8" w:rsidRPr="002516F8">
            <w:rPr>
              <w:rFonts w:ascii="Arial" w:hAnsi="Arial" w:cs="Arial"/>
              <w:sz w:val="24"/>
              <w:szCs w:val="24"/>
            </w:rPr>
            <w:t>more chances to interact and broaden their world</w:t>
          </w:r>
          <w:r>
            <w:rPr>
              <w:rFonts w:ascii="Arial" w:hAnsi="Arial" w:cs="Arial"/>
              <w:sz w:val="24"/>
              <w:szCs w:val="24"/>
            </w:rPr>
            <w:t xml:space="preserve"> (Marriott International, 2022b)</w:t>
          </w:r>
          <w:r w:rsidRPr="00894B27">
            <w:rPr>
              <w:rFonts w:ascii="Arial" w:hAnsi="Arial" w:cs="Arial"/>
              <w:sz w:val="24"/>
              <w:szCs w:val="24"/>
            </w:rPr>
            <w:t>.</w:t>
          </w:r>
          <w:r w:rsidR="005C6CB1">
            <w:rPr>
              <w:rFonts w:ascii="Arial" w:hAnsi="Arial" w:cs="Arial"/>
              <w:sz w:val="24"/>
              <w:szCs w:val="24"/>
            </w:rPr>
            <w:t xml:space="preserve"> </w:t>
          </w:r>
          <w:r w:rsidR="002516F8" w:rsidRPr="002516F8">
            <w:rPr>
              <w:rFonts w:ascii="Arial" w:hAnsi="Arial" w:cs="Arial"/>
              <w:sz w:val="24"/>
              <w:szCs w:val="24"/>
            </w:rPr>
            <w:t>Marriott International,</w:t>
          </w:r>
          <w:r w:rsidR="002516F8">
            <w:rPr>
              <w:rFonts w:ascii="Arial" w:hAnsi="Arial" w:cs="Arial"/>
              <w:sz w:val="24"/>
              <w:szCs w:val="24"/>
            </w:rPr>
            <w:t xml:space="preserve"> Inc.</w:t>
          </w:r>
          <w:r w:rsidR="002516F8" w:rsidRPr="002516F8">
            <w:rPr>
              <w:rFonts w:ascii="Arial" w:hAnsi="Arial" w:cs="Arial"/>
              <w:sz w:val="24"/>
              <w:szCs w:val="24"/>
            </w:rPr>
            <w:t xml:space="preserve"> generate business in the hospitality industry</w:t>
          </w:r>
          <w:r w:rsidR="002516F8">
            <w:rPr>
              <w:rFonts w:ascii="Arial" w:hAnsi="Arial" w:cs="Arial"/>
              <w:sz w:val="24"/>
              <w:szCs w:val="24"/>
            </w:rPr>
            <w:t xml:space="preserve"> and</w:t>
          </w:r>
          <w:r w:rsidR="00EB4B06" w:rsidRPr="00EB4B06">
            <w:rPr>
              <w:rFonts w:ascii="Arial" w:hAnsi="Arial" w:cs="Arial"/>
              <w:sz w:val="24"/>
              <w:szCs w:val="24"/>
            </w:rPr>
            <w:t xml:space="preserve"> that operates and owns hotels and dining establishments. It operates, franchises, and licences hotels, residential units, and timeshares under a variety of luxury, elite, and selected brand names.</w:t>
          </w:r>
          <w:r w:rsidR="00EB4B06">
            <w:rPr>
              <w:rFonts w:ascii="Arial" w:hAnsi="Arial" w:cs="Arial"/>
              <w:sz w:val="24"/>
              <w:szCs w:val="24"/>
            </w:rPr>
            <w:t xml:space="preserve"> </w:t>
          </w:r>
          <w:r w:rsidR="005E4896" w:rsidRPr="0073302C">
            <w:rPr>
              <w:rFonts w:ascii="Arial" w:hAnsi="Arial" w:cs="Arial"/>
              <w:sz w:val="24"/>
              <w:szCs w:val="24"/>
            </w:rPr>
            <w:t xml:space="preserve">The performance of Marriott's financial ratios </w:t>
          </w:r>
          <w:r w:rsidR="00EB4B06">
            <w:rPr>
              <w:rFonts w:ascii="Arial" w:hAnsi="Arial" w:cs="Arial"/>
              <w:sz w:val="24"/>
              <w:szCs w:val="24"/>
            </w:rPr>
            <w:t>over the years of</w:t>
          </w:r>
          <w:r w:rsidR="005E4896" w:rsidRPr="0073302C">
            <w:rPr>
              <w:rFonts w:ascii="Arial" w:hAnsi="Arial" w:cs="Arial"/>
              <w:sz w:val="24"/>
              <w:szCs w:val="24"/>
            </w:rPr>
            <w:t xml:space="preserve"> 2020 and 2021 is compared in this paper, which also highlights the significance of ratios</w:t>
          </w:r>
          <w:r w:rsidR="00A633A2">
            <w:rPr>
              <w:rFonts w:ascii="Arial" w:hAnsi="Arial" w:cs="Arial"/>
              <w:sz w:val="24"/>
              <w:szCs w:val="24"/>
            </w:rPr>
            <w:t>, the limitations of data analysis</w:t>
          </w:r>
          <w:r w:rsidR="005E4896" w:rsidRPr="0073302C">
            <w:rPr>
              <w:rFonts w:ascii="Arial" w:hAnsi="Arial" w:cs="Arial"/>
              <w:sz w:val="24"/>
              <w:szCs w:val="24"/>
            </w:rPr>
            <w:t xml:space="preserve"> and their variations in decision-making.</w:t>
          </w:r>
          <w:r w:rsidR="005E4896">
            <w:rPr>
              <w:rFonts w:ascii="Arial" w:hAnsi="Arial" w:cs="Arial"/>
              <w:sz w:val="24"/>
              <w:szCs w:val="24"/>
            </w:rPr>
            <w:t xml:space="preserve"> </w:t>
          </w:r>
        </w:p>
        <w:p w14:paraId="622A38E4" w14:textId="57606608" w:rsidR="007D1947" w:rsidRDefault="007D1947"/>
        <w:p w14:paraId="28372FA7" w14:textId="77777777" w:rsidR="00EC60EC" w:rsidRDefault="00EC60EC"/>
        <w:p w14:paraId="2921F07A" w14:textId="29C92F17" w:rsidR="004A11F6" w:rsidRPr="00EC60EC" w:rsidRDefault="00901A03" w:rsidP="00A807D2">
          <w:pPr>
            <w:spacing w:line="360" w:lineRule="auto"/>
            <w:jc w:val="both"/>
            <w:rPr>
              <w:color w:val="FF0000"/>
            </w:rPr>
          </w:pPr>
          <w:r>
            <w:rPr>
              <w:rFonts w:ascii="Arial" w:hAnsi="Arial" w:cs="Arial"/>
              <w:b/>
              <w:bCs/>
              <w:sz w:val="28"/>
              <w:szCs w:val="28"/>
            </w:rPr>
            <w:t>Financial Analysis Trends</w:t>
          </w:r>
        </w:p>
        <w:p w14:paraId="53928725" w14:textId="1EEAB09C" w:rsidR="00284F1F" w:rsidRPr="00A807D2" w:rsidRDefault="00A633A2" w:rsidP="00A807D2">
          <w:pPr>
            <w:spacing w:line="360" w:lineRule="auto"/>
            <w:jc w:val="both"/>
            <w:rPr>
              <w:rFonts w:ascii="Arial" w:hAnsi="Arial" w:cs="Arial"/>
              <w:sz w:val="24"/>
              <w:szCs w:val="24"/>
            </w:rPr>
          </w:pPr>
          <w:r w:rsidRPr="00A633A2">
            <w:rPr>
              <w:rFonts w:ascii="Arial" w:hAnsi="Arial" w:cs="Arial"/>
              <w:sz w:val="24"/>
              <w:szCs w:val="24"/>
            </w:rPr>
            <w:t>Trend analysis</w:t>
          </w:r>
          <w:r>
            <w:rPr>
              <w:rFonts w:ascii="Arial" w:hAnsi="Arial" w:cs="Arial"/>
              <w:sz w:val="24"/>
              <w:szCs w:val="24"/>
            </w:rPr>
            <w:t xml:space="preserve"> is a </w:t>
          </w:r>
          <w:r w:rsidRPr="00A633A2">
            <w:rPr>
              <w:rFonts w:ascii="Arial" w:hAnsi="Arial" w:cs="Arial"/>
              <w:sz w:val="24"/>
              <w:szCs w:val="24"/>
            </w:rPr>
            <w:t>technique for creating future predictions based on historical data</w:t>
          </w:r>
          <w:r>
            <w:rPr>
              <w:rFonts w:ascii="Arial" w:hAnsi="Arial" w:cs="Arial"/>
              <w:sz w:val="24"/>
              <w:szCs w:val="24"/>
            </w:rPr>
            <w:t xml:space="preserve">. </w:t>
          </w:r>
          <w:r w:rsidR="00DB1D38" w:rsidRPr="00DB1D38">
            <w:rPr>
              <w:rFonts w:ascii="Arial" w:hAnsi="Arial" w:cs="Arial"/>
              <w:sz w:val="24"/>
              <w:szCs w:val="24"/>
            </w:rPr>
            <w:t xml:space="preserve">Trend analysis is a method of evaluating business data over time by focusing on changes in individual line items, like income statement as well as the balance sheet. </w:t>
          </w:r>
          <w:r w:rsidR="002D10EB">
            <w:rPr>
              <w:rFonts w:ascii="Arial" w:hAnsi="Arial" w:cs="Arial"/>
              <w:sz w:val="24"/>
              <w:szCs w:val="24"/>
            </w:rPr>
            <w:t>(Gordon, 2022)</w:t>
          </w:r>
          <w:r w:rsidR="00901A03" w:rsidRPr="00901A03">
            <w:rPr>
              <w:rFonts w:ascii="Arial" w:hAnsi="Arial" w:cs="Arial"/>
              <w:sz w:val="24"/>
              <w:szCs w:val="24"/>
            </w:rPr>
            <w:t>.</w:t>
          </w:r>
          <w:r w:rsidR="00901A03">
            <w:rPr>
              <w:rFonts w:ascii="Arial" w:hAnsi="Arial" w:cs="Arial"/>
              <w:sz w:val="24"/>
              <w:szCs w:val="24"/>
            </w:rPr>
            <w:t xml:space="preserve"> </w:t>
          </w:r>
          <w:r w:rsidR="00901A03" w:rsidRPr="00901A03">
            <w:rPr>
              <w:rFonts w:ascii="Arial" w:hAnsi="Arial" w:cs="Arial"/>
              <w:sz w:val="24"/>
              <w:szCs w:val="24"/>
            </w:rPr>
            <w:t>This study provides a trend analysis review of Marriott's key financial ratio over a two-year period, precisely 2020 and 2021.</w:t>
          </w:r>
        </w:p>
        <w:p w14:paraId="32FAF316" w14:textId="77777777" w:rsidR="0021314D" w:rsidRDefault="0021314D" w:rsidP="00284F1F"/>
        <w:tbl>
          <w:tblPr>
            <w:tblStyle w:val="TableGrid"/>
            <w:tblW w:w="0" w:type="auto"/>
            <w:tblLook w:val="04A0" w:firstRow="1" w:lastRow="0" w:firstColumn="1" w:lastColumn="0" w:noHBand="0" w:noVBand="1"/>
          </w:tblPr>
          <w:tblGrid>
            <w:gridCol w:w="4390"/>
            <w:gridCol w:w="2409"/>
            <w:gridCol w:w="2217"/>
          </w:tblGrid>
          <w:tr w:rsidR="00901A03" w14:paraId="14B72387" w14:textId="77777777" w:rsidTr="00EC60EC">
            <w:tc>
              <w:tcPr>
                <w:tcW w:w="4390" w:type="dxa"/>
              </w:tcPr>
              <w:p w14:paraId="190B5671" w14:textId="0623EF80" w:rsidR="00901A03" w:rsidRPr="00EC60EC" w:rsidRDefault="00901A03" w:rsidP="00901A03">
                <w:pPr>
                  <w:jc w:val="center"/>
                  <w:rPr>
                    <w:rFonts w:ascii="Arial" w:hAnsi="Arial" w:cs="Arial"/>
                    <w:sz w:val="24"/>
                    <w:szCs w:val="24"/>
                  </w:rPr>
                </w:pPr>
                <w:r w:rsidRPr="00EC60EC">
                  <w:rPr>
                    <w:rFonts w:ascii="Arial" w:hAnsi="Arial" w:cs="Arial"/>
                    <w:sz w:val="24"/>
                    <w:szCs w:val="24"/>
                  </w:rPr>
                  <w:t>Ratio</w:t>
                </w:r>
              </w:p>
            </w:tc>
            <w:tc>
              <w:tcPr>
                <w:tcW w:w="2409" w:type="dxa"/>
              </w:tcPr>
              <w:p w14:paraId="62FFFC2C" w14:textId="78559AEE" w:rsidR="00901A03" w:rsidRPr="00EC60EC" w:rsidRDefault="00901A03" w:rsidP="00901A03">
                <w:pPr>
                  <w:jc w:val="center"/>
                  <w:rPr>
                    <w:rFonts w:ascii="Arial" w:hAnsi="Arial" w:cs="Arial"/>
                    <w:color w:val="FF0000"/>
                    <w:sz w:val="24"/>
                    <w:szCs w:val="24"/>
                  </w:rPr>
                </w:pPr>
                <w:r w:rsidRPr="00EC60EC">
                  <w:rPr>
                    <w:rFonts w:ascii="Arial" w:hAnsi="Arial" w:cs="Arial"/>
                    <w:sz w:val="24"/>
                    <w:szCs w:val="24"/>
                  </w:rPr>
                  <w:t>2020</w:t>
                </w:r>
              </w:p>
            </w:tc>
            <w:tc>
              <w:tcPr>
                <w:tcW w:w="2217" w:type="dxa"/>
              </w:tcPr>
              <w:p w14:paraId="117A1CFF" w14:textId="331A797F" w:rsidR="00901A03" w:rsidRPr="00EC60EC" w:rsidRDefault="00901A03" w:rsidP="00901A03">
                <w:pPr>
                  <w:jc w:val="center"/>
                  <w:rPr>
                    <w:rFonts w:ascii="Arial" w:hAnsi="Arial" w:cs="Arial"/>
                    <w:sz w:val="24"/>
                    <w:szCs w:val="24"/>
                  </w:rPr>
                </w:pPr>
                <w:r w:rsidRPr="00EC60EC">
                  <w:rPr>
                    <w:rFonts w:ascii="Arial" w:hAnsi="Arial" w:cs="Arial"/>
                    <w:sz w:val="24"/>
                    <w:szCs w:val="24"/>
                  </w:rPr>
                  <w:t>2021</w:t>
                </w:r>
              </w:p>
            </w:tc>
          </w:tr>
          <w:tr w:rsidR="00901A03" w14:paraId="60499E7F" w14:textId="77777777" w:rsidTr="00EC60EC">
            <w:tc>
              <w:tcPr>
                <w:tcW w:w="4390" w:type="dxa"/>
              </w:tcPr>
              <w:p w14:paraId="50DAB10F" w14:textId="32AE9D2F" w:rsidR="00901A03" w:rsidRPr="00EC60EC" w:rsidRDefault="00901A03" w:rsidP="00284F1F">
                <w:pPr>
                  <w:rPr>
                    <w:rFonts w:ascii="Arial" w:hAnsi="Arial" w:cs="Arial"/>
                    <w:color w:val="FF0000"/>
                    <w:sz w:val="24"/>
                    <w:szCs w:val="24"/>
                  </w:rPr>
                </w:pPr>
                <w:r w:rsidRPr="00EC60EC">
                  <w:rPr>
                    <w:rFonts w:ascii="Arial" w:hAnsi="Arial" w:cs="Arial"/>
                    <w:sz w:val="24"/>
                    <w:szCs w:val="24"/>
                  </w:rPr>
                  <w:t>Net Profit Margin</w:t>
                </w:r>
              </w:p>
            </w:tc>
            <w:tc>
              <w:tcPr>
                <w:tcW w:w="2409" w:type="dxa"/>
              </w:tcPr>
              <w:p w14:paraId="70C75D12" w14:textId="047ED61F"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-2.53%</w:t>
                </w:r>
              </w:p>
            </w:tc>
            <w:tc>
              <w:tcPr>
                <w:tcW w:w="2217" w:type="dxa"/>
              </w:tcPr>
              <w:p w14:paraId="2B4A6677" w14:textId="7494A82A"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7.93%</w:t>
                </w:r>
              </w:p>
            </w:tc>
          </w:tr>
          <w:tr w:rsidR="00901A03" w14:paraId="3282C0D6" w14:textId="77777777" w:rsidTr="00EC60EC">
            <w:tc>
              <w:tcPr>
                <w:tcW w:w="4390" w:type="dxa"/>
              </w:tcPr>
              <w:p w14:paraId="035261FB" w14:textId="1CC64783" w:rsidR="00901A03" w:rsidRPr="00EC60EC" w:rsidRDefault="00901A03" w:rsidP="00901A03">
                <w:pPr>
                  <w:rPr>
                    <w:rFonts w:ascii="Arial" w:hAnsi="Arial" w:cs="Arial"/>
                    <w:color w:val="FF0000"/>
                    <w:sz w:val="24"/>
                    <w:szCs w:val="24"/>
                  </w:rPr>
                </w:pPr>
                <w:r w:rsidRPr="00EC60EC">
                  <w:rPr>
                    <w:rFonts w:ascii="Arial" w:hAnsi="Arial" w:cs="Arial"/>
                    <w:sz w:val="24"/>
                    <w:szCs w:val="24"/>
                  </w:rPr>
                  <w:t>Gross Margin</w:t>
                </w:r>
              </w:p>
            </w:tc>
            <w:tc>
              <w:tcPr>
                <w:tcW w:w="2409" w:type="dxa"/>
              </w:tcPr>
              <w:p w14:paraId="0A85869F" w14:textId="773F221F"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13.80%</w:t>
                </w:r>
              </w:p>
            </w:tc>
            <w:tc>
              <w:tcPr>
                <w:tcW w:w="2217" w:type="dxa"/>
              </w:tcPr>
              <w:p w14:paraId="3F8A2A3A" w14:textId="19CDDAD6"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20.21%</w:t>
                </w:r>
              </w:p>
            </w:tc>
          </w:tr>
          <w:tr w:rsidR="00901A03" w14:paraId="69F72C83" w14:textId="77777777" w:rsidTr="00EC60EC">
            <w:tc>
              <w:tcPr>
                <w:tcW w:w="4390" w:type="dxa"/>
              </w:tcPr>
              <w:p w14:paraId="5D2CB120" w14:textId="2AA0FCC0" w:rsidR="00901A03" w:rsidRPr="00EC60EC" w:rsidRDefault="00901A03" w:rsidP="00901A03">
                <w:pPr>
                  <w:rPr>
                    <w:rFonts w:ascii="Arial" w:hAnsi="Arial" w:cs="Arial"/>
                    <w:color w:val="FF0000"/>
                    <w:sz w:val="24"/>
                    <w:szCs w:val="24"/>
                  </w:rPr>
                </w:pPr>
                <w:r w:rsidRPr="00EC60EC">
                  <w:rPr>
                    <w:rFonts w:ascii="Arial" w:hAnsi="Arial" w:cs="Arial"/>
                    <w:sz w:val="24"/>
                    <w:szCs w:val="24"/>
                  </w:rPr>
                  <w:t>Operating Margin</w:t>
                </w:r>
              </w:p>
            </w:tc>
            <w:tc>
              <w:tcPr>
                <w:tcW w:w="2409" w:type="dxa"/>
              </w:tcPr>
              <w:p w14:paraId="1693FB3C" w14:textId="3FE9062E"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0.79%</w:t>
                </w:r>
              </w:p>
            </w:tc>
            <w:tc>
              <w:tcPr>
                <w:tcW w:w="2217" w:type="dxa"/>
              </w:tcPr>
              <w:p w14:paraId="4619E1C5" w14:textId="77A25169"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12.63%</w:t>
                </w:r>
              </w:p>
            </w:tc>
          </w:tr>
          <w:tr w:rsidR="00901A03" w14:paraId="219537F1" w14:textId="77777777" w:rsidTr="00EC60EC">
            <w:tc>
              <w:tcPr>
                <w:tcW w:w="4390" w:type="dxa"/>
              </w:tcPr>
              <w:p w14:paraId="4A7397A6" w14:textId="1E49ACC1" w:rsidR="00901A03" w:rsidRPr="00EC60EC" w:rsidRDefault="00901A03" w:rsidP="00901A03">
                <w:pPr>
                  <w:rPr>
                    <w:rFonts w:ascii="Arial" w:hAnsi="Arial" w:cs="Arial"/>
                    <w:color w:val="FF0000"/>
                    <w:sz w:val="24"/>
                    <w:szCs w:val="24"/>
                  </w:rPr>
                </w:pPr>
                <w:r w:rsidRPr="00EC60EC">
                  <w:rPr>
                    <w:rFonts w:ascii="Arial" w:hAnsi="Arial" w:cs="Arial"/>
                    <w:sz w:val="24"/>
                    <w:szCs w:val="24"/>
                  </w:rPr>
                  <w:t>Operating Cash Flow</w:t>
                </w:r>
              </w:p>
            </w:tc>
            <w:tc>
              <w:tcPr>
                <w:tcW w:w="2409" w:type="dxa"/>
              </w:tcPr>
              <w:p w14:paraId="4F8D9106" w14:textId="601EEDE1"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0.01%</w:t>
                </w:r>
              </w:p>
            </w:tc>
            <w:tc>
              <w:tcPr>
                <w:tcW w:w="2217" w:type="dxa"/>
              </w:tcPr>
              <w:p w14:paraId="0501653B" w14:textId="47F8D9A0"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-1.46%</w:t>
                </w:r>
              </w:p>
            </w:tc>
          </w:tr>
          <w:tr w:rsidR="00901A03" w14:paraId="0098605E" w14:textId="77777777" w:rsidTr="00EC60EC">
            <w:tc>
              <w:tcPr>
                <w:tcW w:w="4390" w:type="dxa"/>
              </w:tcPr>
              <w:p w14:paraId="748FD22B" w14:textId="56C467B8" w:rsidR="00901A03" w:rsidRPr="00EC60EC" w:rsidRDefault="00901A03" w:rsidP="00901A03">
                <w:pPr>
                  <w:rPr>
                    <w:rFonts w:ascii="Arial" w:hAnsi="Arial" w:cs="Arial"/>
                    <w:color w:val="FF0000"/>
                    <w:sz w:val="24"/>
                    <w:szCs w:val="24"/>
                  </w:rPr>
                </w:pPr>
                <w:r w:rsidRPr="00EC60EC">
                  <w:rPr>
                    <w:rFonts w:ascii="Arial" w:hAnsi="Arial" w:cs="Arial"/>
                    <w:sz w:val="24"/>
                    <w:szCs w:val="24"/>
                  </w:rPr>
                  <w:t>Working Capital</w:t>
                </w:r>
              </w:p>
            </w:tc>
            <w:tc>
              <w:tcPr>
                <w:tcW w:w="2409" w:type="dxa"/>
              </w:tcPr>
              <w:p w14:paraId="4C7EAF9C" w14:textId="32612F4F"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4.29%</w:t>
                </w:r>
              </w:p>
            </w:tc>
            <w:tc>
              <w:tcPr>
                <w:tcW w:w="2217" w:type="dxa"/>
              </w:tcPr>
              <w:p w14:paraId="3323D468" w14:textId="50352986"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3.9%</w:t>
                </w:r>
              </w:p>
            </w:tc>
          </w:tr>
          <w:tr w:rsidR="00901A03" w14:paraId="78F222C1" w14:textId="77777777" w:rsidTr="00EC60EC">
            <w:tc>
              <w:tcPr>
                <w:tcW w:w="4390" w:type="dxa"/>
              </w:tcPr>
              <w:p w14:paraId="70B5ADAB" w14:textId="3A3346BB" w:rsidR="00901A03" w:rsidRPr="00EC60EC" w:rsidRDefault="00901A03" w:rsidP="00901A03">
                <w:pPr>
                  <w:rPr>
                    <w:rFonts w:ascii="Arial" w:hAnsi="Arial" w:cs="Arial"/>
                    <w:color w:val="FF0000"/>
                    <w:sz w:val="24"/>
                    <w:szCs w:val="24"/>
                  </w:rPr>
                </w:pPr>
                <w:r w:rsidRPr="00EC60EC">
                  <w:rPr>
                    <w:rFonts w:ascii="Arial" w:hAnsi="Arial" w:cs="Arial"/>
                    <w:sz w:val="24"/>
                    <w:szCs w:val="24"/>
                  </w:rPr>
                  <w:t>Current Ratio</w:t>
                </w:r>
              </w:p>
            </w:tc>
            <w:tc>
              <w:tcPr>
                <w:tcW w:w="2409" w:type="dxa"/>
              </w:tcPr>
              <w:p w14:paraId="04D469D1" w14:textId="596D3EB4"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0.49%</w:t>
                </w:r>
              </w:p>
            </w:tc>
            <w:tc>
              <w:tcPr>
                <w:tcW w:w="2217" w:type="dxa"/>
              </w:tcPr>
              <w:p w14:paraId="63EC3D22" w14:textId="0E8EF92F" w:rsidR="00901A03" w:rsidRPr="00EC60EC" w:rsidRDefault="00901A03" w:rsidP="00901A03">
                <w:pPr>
                  <w:jc w:val="right"/>
                  <w:rPr>
                    <w:rFonts w:ascii="Arial" w:hAnsi="Arial" w:cs="Arial"/>
                    <w:color w:val="FF0000"/>
                    <w:sz w:val="24"/>
                    <w:szCs w:val="24"/>
                  </w:rPr>
                </w:pPr>
                <w:r w:rsidRPr="00EC60EC">
                  <w:rPr>
                    <w:rFonts w:ascii="Arial" w:hAnsi="Arial" w:cs="Arial"/>
                    <w:sz w:val="24"/>
                    <w:szCs w:val="24"/>
                  </w:rPr>
                  <w:t>0.57%</w:t>
                </w:r>
              </w:p>
            </w:tc>
          </w:tr>
          <w:tr w:rsidR="00901A03" w14:paraId="694B7ABB" w14:textId="77777777" w:rsidTr="00EC60EC">
            <w:tc>
              <w:tcPr>
                <w:tcW w:w="4390" w:type="dxa"/>
              </w:tcPr>
              <w:p w14:paraId="7C2C4B68" w14:textId="757AE05A" w:rsidR="00901A03" w:rsidRPr="00EC60EC" w:rsidRDefault="00901A03" w:rsidP="00901A03">
                <w:pPr>
                  <w:rPr>
                    <w:rFonts w:ascii="Arial" w:hAnsi="Arial" w:cs="Arial"/>
                    <w:color w:val="FF0000"/>
                    <w:sz w:val="24"/>
                    <w:szCs w:val="24"/>
                  </w:rPr>
                </w:pPr>
                <w:r w:rsidRPr="00EC60EC">
                  <w:rPr>
                    <w:rFonts w:ascii="Arial" w:hAnsi="Arial" w:cs="Arial"/>
                    <w:sz w:val="24"/>
                    <w:szCs w:val="24"/>
                  </w:rPr>
                  <w:t>Total asset Turnover</w:t>
                </w:r>
              </w:p>
            </w:tc>
            <w:tc>
              <w:tcPr>
                <w:tcW w:w="2409" w:type="dxa"/>
              </w:tcPr>
              <w:p w14:paraId="4A55DA61" w14:textId="72DAAB7B" w:rsidR="00901A03" w:rsidRPr="00EC60EC" w:rsidRDefault="00EC60EC" w:rsidP="00901A03">
                <w:pPr>
                  <w:jc w:val="right"/>
                  <w:rPr>
                    <w:rFonts w:ascii="Arial" w:hAnsi="Arial" w:cs="Arial"/>
                    <w:color w:val="FF0000"/>
                    <w:sz w:val="24"/>
                    <w:szCs w:val="24"/>
                  </w:rPr>
                </w:pPr>
                <w:r w:rsidRPr="00EC60EC">
                  <w:rPr>
                    <w:rFonts w:ascii="Arial" w:hAnsi="Arial" w:cs="Arial"/>
                    <w:sz w:val="24"/>
                    <w:szCs w:val="24"/>
                  </w:rPr>
                  <w:t>0.43%</w:t>
                </w:r>
              </w:p>
            </w:tc>
            <w:tc>
              <w:tcPr>
                <w:tcW w:w="2217" w:type="dxa"/>
              </w:tcPr>
              <w:p w14:paraId="5AA78FFB" w14:textId="09E7A789" w:rsidR="00901A03" w:rsidRPr="00EC60EC" w:rsidRDefault="00EC60EC" w:rsidP="00901A03">
                <w:pPr>
                  <w:jc w:val="right"/>
                  <w:rPr>
                    <w:rFonts w:ascii="Arial" w:hAnsi="Arial" w:cs="Arial"/>
                    <w:color w:val="FF0000"/>
                    <w:sz w:val="24"/>
                    <w:szCs w:val="24"/>
                  </w:rPr>
                </w:pPr>
                <w:r w:rsidRPr="00EC60EC">
                  <w:rPr>
                    <w:rFonts w:ascii="Arial" w:hAnsi="Arial" w:cs="Arial"/>
                    <w:sz w:val="24"/>
                    <w:szCs w:val="24"/>
                  </w:rPr>
                  <w:t>0.54%</w:t>
                </w:r>
              </w:p>
            </w:tc>
          </w:tr>
          <w:tr w:rsidR="00EC60EC" w14:paraId="4C840A87" w14:textId="77777777" w:rsidTr="00EC60EC">
            <w:tc>
              <w:tcPr>
                <w:tcW w:w="4390" w:type="dxa"/>
              </w:tcPr>
              <w:p w14:paraId="3CCD0F2B" w14:textId="2500B91E" w:rsidR="00EC60EC" w:rsidRPr="00EC60EC" w:rsidRDefault="00EC60EC" w:rsidP="00EC60EC">
                <w:pPr>
                  <w:rPr>
                    <w:rFonts w:ascii="Arial" w:hAnsi="Arial" w:cs="Arial"/>
                    <w:color w:val="FF0000"/>
                    <w:sz w:val="24"/>
                    <w:szCs w:val="24"/>
                  </w:rPr>
                </w:pPr>
                <w:r w:rsidRPr="00EC60EC">
                  <w:rPr>
                    <w:rFonts w:ascii="Arial" w:hAnsi="Arial" w:cs="Arial"/>
                    <w:sz w:val="24"/>
                    <w:szCs w:val="24"/>
                  </w:rPr>
                  <w:t>Debt/Equity Ratio</w:t>
                </w:r>
              </w:p>
            </w:tc>
            <w:tc>
              <w:tcPr>
                <w:tcW w:w="2409" w:type="dxa"/>
              </w:tcPr>
              <w:p w14:paraId="21CBABF4" w14:textId="1F2096CB" w:rsidR="00EC60EC" w:rsidRPr="00EC60EC" w:rsidRDefault="00EC60EC" w:rsidP="00EC60EC">
                <w:pPr>
                  <w:jc w:val="right"/>
                  <w:rPr>
                    <w:rFonts w:ascii="Arial" w:hAnsi="Arial" w:cs="Arial"/>
                    <w:color w:val="FF0000"/>
                    <w:sz w:val="24"/>
                    <w:szCs w:val="24"/>
                  </w:rPr>
                </w:pPr>
                <w:r w:rsidRPr="00EC60EC">
                  <w:rPr>
                    <w:rFonts w:ascii="Arial" w:hAnsi="Arial" w:cs="Arial"/>
                    <w:sz w:val="24"/>
                    <w:szCs w:val="24"/>
                  </w:rPr>
                  <w:t>24.13%</w:t>
                </w:r>
              </w:p>
            </w:tc>
            <w:tc>
              <w:tcPr>
                <w:tcW w:w="2217" w:type="dxa"/>
              </w:tcPr>
              <w:p w14:paraId="1D90867C" w14:textId="68DDDF2A" w:rsidR="00EC60EC" w:rsidRPr="00EC60EC" w:rsidRDefault="00EC60EC" w:rsidP="00EC60EC">
                <w:pPr>
                  <w:jc w:val="right"/>
                  <w:rPr>
                    <w:rFonts w:ascii="Arial" w:hAnsi="Arial" w:cs="Arial"/>
                    <w:color w:val="FF0000"/>
                    <w:sz w:val="24"/>
                    <w:szCs w:val="24"/>
                  </w:rPr>
                </w:pPr>
                <w:r w:rsidRPr="001E4E31">
                  <w:rPr>
                    <w:rFonts w:ascii="Arial" w:hAnsi="Arial" w:cs="Arial"/>
                    <w:sz w:val="24"/>
                    <w:szCs w:val="24"/>
                  </w:rPr>
                  <w:t>7.17%</w:t>
                </w:r>
              </w:p>
            </w:tc>
          </w:tr>
          <w:tr w:rsidR="00EC60EC" w14:paraId="54CC09E4" w14:textId="77777777" w:rsidTr="00EC60EC">
            <w:tc>
              <w:tcPr>
                <w:tcW w:w="4390" w:type="dxa"/>
              </w:tcPr>
              <w:p w14:paraId="3DC12715" w14:textId="650DF714" w:rsidR="00EC60EC" w:rsidRPr="00EC60EC" w:rsidRDefault="00EC60EC" w:rsidP="00EC60EC">
                <w:pPr>
                  <w:rPr>
                    <w:rFonts w:ascii="Arial" w:hAnsi="Arial" w:cs="Arial"/>
                    <w:color w:val="FF0000"/>
                    <w:sz w:val="24"/>
                    <w:szCs w:val="24"/>
                  </w:rPr>
                </w:pPr>
                <w:r w:rsidRPr="00EC60EC">
                  <w:rPr>
                    <w:rFonts w:ascii="Arial" w:hAnsi="Arial" w:cs="Arial"/>
                    <w:sz w:val="24"/>
                    <w:szCs w:val="24"/>
                  </w:rPr>
                  <w:t>Return on Equity (ROE)</w:t>
                </w:r>
              </w:p>
            </w:tc>
            <w:tc>
              <w:tcPr>
                <w:tcW w:w="2409" w:type="dxa"/>
              </w:tcPr>
              <w:p w14:paraId="36052B4B" w14:textId="4FEF3B02" w:rsidR="00EC60EC" w:rsidRPr="00EC60EC" w:rsidRDefault="00EC60EC" w:rsidP="00EC60EC">
                <w:pPr>
                  <w:jc w:val="right"/>
                  <w:rPr>
                    <w:rFonts w:ascii="Arial" w:hAnsi="Arial" w:cs="Arial"/>
                    <w:color w:val="FF0000"/>
                    <w:sz w:val="24"/>
                    <w:szCs w:val="24"/>
                  </w:rPr>
                </w:pPr>
                <w:r w:rsidRPr="001E4E31">
                  <w:rPr>
                    <w:rFonts w:ascii="Arial" w:hAnsi="Arial" w:cs="Arial"/>
                    <w:sz w:val="24"/>
                    <w:szCs w:val="24"/>
                  </w:rPr>
                  <w:t>-62.09%</w:t>
                </w:r>
              </w:p>
            </w:tc>
            <w:tc>
              <w:tcPr>
                <w:tcW w:w="2217" w:type="dxa"/>
              </w:tcPr>
              <w:p w14:paraId="7F5AADD7" w14:textId="022F98FB" w:rsidR="00EC60EC" w:rsidRPr="00EC60EC" w:rsidRDefault="00EC60EC" w:rsidP="00EC60EC">
                <w:pPr>
                  <w:jc w:val="right"/>
                  <w:rPr>
                    <w:rFonts w:ascii="Arial" w:hAnsi="Arial" w:cs="Arial"/>
                    <w:b/>
                    <w:bCs/>
                    <w:color w:val="FF0000"/>
                    <w:sz w:val="24"/>
                    <w:szCs w:val="24"/>
                  </w:rPr>
                </w:pPr>
                <w:r w:rsidRPr="001E4E31">
                  <w:rPr>
                    <w:rFonts w:ascii="Arial" w:hAnsi="Arial" w:cs="Arial"/>
                    <w:sz w:val="24"/>
                    <w:szCs w:val="24"/>
                  </w:rPr>
                  <w:t>77.72%</w:t>
                </w:r>
              </w:p>
            </w:tc>
          </w:tr>
          <w:tr w:rsidR="00EC60EC" w14:paraId="0F751A81" w14:textId="77777777" w:rsidTr="00EC60EC">
            <w:tc>
              <w:tcPr>
                <w:tcW w:w="4390" w:type="dxa"/>
              </w:tcPr>
              <w:p w14:paraId="1F11EFAA" w14:textId="2DB5B95E" w:rsidR="00EC60EC" w:rsidRPr="00EC60EC" w:rsidRDefault="00EC60EC" w:rsidP="00EC60EC">
                <w:pPr>
                  <w:rPr>
                    <w:rFonts w:ascii="Arial" w:hAnsi="Arial" w:cs="Arial"/>
                    <w:color w:val="FF0000"/>
                    <w:sz w:val="24"/>
                    <w:szCs w:val="24"/>
                  </w:rPr>
                </w:pPr>
                <w:r w:rsidRPr="00EC60EC">
                  <w:rPr>
                    <w:rFonts w:ascii="Arial" w:hAnsi="Arial" w:cs="Arial"/>
                    <w:sz w:val="24"/>
                    <w:szCs w:val="24"/>
                  </w:rPr>
                  <w:t>Return on Assets (ROA)</w:t>
                </w:r>
              </w:p>
            </w:tc>
            <w:tc>
              <w:tcPr>
                <w:tcW w:w="2409" w:type="dxa"/>
              </w:tcPr>
              <w:p w14:paraId="0E241F68" w14:textId="273BA1C6" w:rsidR="00EC60EC" w:rsidRPr="00EC60EC" w:rsidRDefault="00EC60EC" w:rsidP="00EC60EC">
                <w:pPr>
                  <w:jc w:val="right"/>
                  <w:rPr>
                    <w:rFonts w:ascii="Arial" w:hAnsi="Arial" w:cs="Arial"/>
                    <w:color w:val="FF0000"/>
                    <w:sz w:val="24"/>
                    <w:szCs w:val="24"/>
                  </w:rPr>
                </w:pPr>
                <w:r w:rsidRPr="001E4E31">
                  <w:rPr>
                    <w:rFonts w:ascii="Arial" w:hAnsi="Arial" w:cs="Arial"/>
                    <w:sz w:val="24"/>
                    <w:szCs w:val="24"/>
                  </w:rPr>
                  <w:t>-1.08%</w:t>
                </w:r>
              </w:p>
            </w:tc>
            <w:tc>
              <w:tcPr>
                <w:tcW w:w="2217" w:type="dxa"/>
              </w:tcPr>
              <w:p w14:paraId="1AD599AC" w14:textId="05E09DC2" w:rsidR="00EC60EC" w:rsidRPr="00EC60EC" w:rsidRDefault="00EC60EC" w:rsidP="00EC60EC">
                <w:pPr>
                  <w:jc w:val="right"/>
                  <w:rPr>
                    <w:rFonts w:ascii="Arial" w:hAnsi="Arial" w:cs="Arial"/>
                    <w:color w:val="FF0000"/>
                    <w:sz w:val="24"/>
                    <w:szCs w:val="24"/>
                  </w:rPr>
                </w:pPr>
                <w:r w:rsidRPr="001E4E31">
                  <w:rPr>
                    <w:rFonts w:ascii="Arial" w:hAnsi="Arial" w:cs="Arial"/>
                    <w:sz w:val="24"/>
                    <w:szCs w:val="24"/>
                  </w:rPr>
                  <w:t>4.30%</w:t>
                </w:r>
              </w:p>
            </w:tc>
          </w:tr>
          <w:tr w:rsidR="00EC60EC" w14:paraId="0E1AEF6E" w14:textId="77777777" w:rsidTr="00EC60EC">
            <w:tc>
              <w:tcPr>
                <w:tcW w:w="4390" w:type="dxa"/>
              </w:tcPr>
              <w:p w14:paraId="064320F1" w14:textId="07B6B0DF" w:rsidR="00EC60EC" w:rsidRPr="00EC60EC" w:rsidRDefault="00EC60EC" w:rsidP="00EC60EC">
                <w:pPr>
                  <w:rPr>
                    <w:rFonts w:ascii="Arial" w:hAnsi="Arial" w:cs="Arial"/>
                    <w:color w:val="FF0000"/>
                    <w:sz w:val="24"/>
                    <w:szCs w:val="24"/>
                  </w:rPr>
                </w:pPr>
                <w:r w:rsidRPr="00EC60EC">
                  <w:rPr>
                    <w:rFonts w:ascii="Arial" w:hAnsi="Arial" w:cs="Arial"/>
                    <w:sz w:val="24"/>
                    <w:szCs w:val="24"/>
                  </w:rPr>
                  <w:t>Return on Investment (ROI)</w:t>
                </w:r>
              </w:p>
            </w:tc>
            <w:tc>
              <w:tcPr>
                <w:tcW w:w="2409" w:type="dxa"/>
              </w:tcPr>
              <w:p w14:paraId="58536556" w14:textId="7F1A5169" w:rsidR="00EC60EC" w:rsidRPr="00EC60EC" w:rsidRDefault="00EC60EC" w:rsidP="00EC60EC">
                <w:pPr>
                  <w:jc w:val="right"/>
                  <w:rPr>
                    <w:rFonts w:ascii="Arial" w:hAnsi="Arial" w:cs="Arial"/>
                    <w:color w:val="FF0000"/>
                    <w:sz w:val="24"/>
                    <w:szCs w:val="24"/>
                  </w:rPr>
                </w:pPr>
                <w:r w:rsidRPr="001E4E31">
                  <w:rPr>
                    <w:rFonts w:ascii="Arial" w:hAnsi="Arial" w:cs="Arial"/>
                    <w:sz w:val="24"/>
                    <w:szCs w:val="24"/>
                  </w:rPr>
                  <w:t>-2.77%</w:t>
                </w:r>
              </w:p>
            </w:tc>
            <w:tc>
              <w:tcPr>
                <w:tcW w:w="2217" w:type="dxa"/>
              </w:tcPr>
              <w:p w14:paraId="12637F65" w14:textId="6FE19A48" w:rsidR="00EC60EC" w:rsidRPr="00EC60EC" w:rsidRDefault="00EC60EC" w:rsidP="00EC60EC">
                <w:pPr>
                  <w:jc w:val="right"/>
                  <w:rPr>
                    <w:rFonts w:ascii="Arial" w:hAnsi="Arial" w:cs="Arial"/>
                    <w:color w:val="FF0000"/>
                    <w:sz w:val="24"/>
                    <w:szCs w:val="24"/>
                  </w:rPr>
                </w:pPr>
                <w:r w:rsidRPr="001E4E31">
                  <w:rPr>
                    <w:rFonts w:ascii="Arial" w:hAnsi="Arial" w:cs="Arial"/>
                    <w:sz w:val="24"/>
                    <w:szCs w:val="24"/>
                  </w:rPr>
                  <w:t>10.23%</w:t>
                </w:r>
              </w:p>
            </w:tc>
          </w:tr>
          <w:tr w:rsidR="00EC60EC" w14:paraId="5F9DFD82" w14:textId="77777777" w:rsidTr="00EC60EC">
            <w:tc>
              <w:tcPr>
                <w:tcW w:w="4390" w:type="dxa"/>
              </w:tcPr>
              <w:p w14:paraId="74594FBA" w14:textId="18980AC1" w:rsidR="00EC60EC" w:rsidRPr="00EC60EC" w:rsidRDefault="00EC60EC" w:rsidP="00EC60EC">
                <w:pPr>
                  <w:rPr>
                    <w:rFonts w:ascii="Arial" w:hAnsi="Arial" w:cs="Arial"/>
                    <w:sz w:val="24"/>
                    <w:szCs w:val="24"/>
                  </w:rPr>
                </w:pPr>
                <w:r w:rsidRPr="00EC60EC">
                  <w:rPr>
                    <w:rFonts w:ascii="Arial" w:hAnsi="Arial" w:cs="Arial"/>
                    <w:sz w:val="24"/>
                    <w:szCs w:val="24"/>
                  </w:rPr>
                  <w:t>Return on capital employment (ROCE)</w:t>
                </w:r>
              </w:p>
            </w:tc>
            <w:tc>
              <w:tcPr>
                <w:tcW w:w="2409" w:type="dxa"/>
              </w:tcPr>
              <w:p w14:paraId="21547EB2" w14:textId="6C1ED8F1" w:rsidR="00EC60EC" w:rsidRPr="00EC60EC" w:rsidRDefault="00EC60EC" w:rsidP="00EC60EC">
                <w:pPr>
                  <w:jc w:val="right"/>
                  <w:rPr>
                    <w:rFonts w:ascii="Arial" w:hAnsi="Arial" w:cs="Arial"/>
                    <w:color w:val="FF0000"/>
                    <w:sz w:val="24"/>
                    <w:szCs w:val="24"/>
                  </w:rPr>
                </w:pPr>
                <w:r w:rsidRPr="001E4E31">
                  <w:rPr>
                    <w:rFonts w:ascii="Arial" w:hAnsi="Arial" w:cs="Arial"/>
                    <w:sz w:val="24"/>
                    <w:szCs w:val="24"/>
                  </w:rPr>
                  <w:t>0.01%</w:t>
                </w:r>
              </w:p>
            </w:tc>
            <w:tc>
              <w:tcPr>
                <w:tcW w:w="2217" w:type="dxa"/>
              </w:tcPr>
              <w:p w14:paraId="418D2A56" w14:textId="49FF7527" w:rsidR="00EC60EC" w:rsidRPr="00EC60EC" w:rsidRDefault="00EC60EC" w:rsidP="00EC60EC">
                <w:pPr>
                  <w:jc w:val="right"/>
                  <w:rPr>
                    <w:rFonts w:ascii="Arial" w:hAnsi="Arial" w:cs="Arial"/>
                    <w:color w:val="FF0000"/>
                    <w:sz w:val="24"/>
                    <w:szCs w:val="24"/>
                  </w:rPr>
                </w:pPr>
                <w:r w:rsidRPr="001E4E31">
                  <w:rPr>
                    <w:rFonts w:ascii="Arial" w:hAnsi="Arial" w:cs="Arial"/>
                    <w:sz w:val="24"/>
                    <w:szCs w:val="24"/>
                  </w:rPr>
                  <w:t>9.14%</w:t>
                </w:r>
              </w:p>
            </w:tc>
          </w:tr>
        </w:tbl>
        <w:p w14:paraId="31921F49" w14:textId="6A9B8CF1" w:rsidR="00284F1F" w:rsidRDefault="00EC60EC" w:rsidP="00284F1F">
          <w:pPr>
            <w:rPr>
              <w:rFonts w:ascii="Arial" w:hAnsi="Arial" w:cs="Arial"/>
              <w:sz w:val="24"/>
              <w:szCs w:val="24"/>
            </w:rPr>
          </w:pPr>
          <w:r>
            <w:rPr>
              <w:rFonts w:ascii="Arial" w:hAnsi="Arial" w:cs="Arial"/>
              <w:sz w:val="24"/>
              <w:szCs w:val="24"/>
            </w:rPr>
            <w:t>Fig.1</w:t>
          </w:r>
        </w:p>
        <w:p w14:paraId="6E236603" w14:textId="77777777" w:rsidR="00EC60EC" w:rsidRDefault="00EC60EC" w:rsidP="00EC60EC">
          <w:pPr>
            <w:rPr>
              <w:rFonts w:ascii="Arial" w:hAnsi="Arial" w:cs="Arial"/>
              <w:sz w:val="24"/>
              <w:szCs w:val="24"/>
            </w:rPr>
          </w:pPr>
        </w:p>
        <w:p w14:paraId="1FE07F73" w14:textId="02861D6C" w:rsidR="00EC60EC" w:rsidRPr="00EC60EC" w:rsidRDefault="00EC60EC" w:rsidP="00EC60EC">
          <w:pPr>
            <w:rPr>
              <w:rFonts w:ascii="Arial" w:hAnsi="Arial" w:cs="Arial"/>
              <w:sz w:val="24"/>
              <w:szCs w:val="24"/>
            </w:rPr>
          </w:pPr>
          <w:r>
            <w:rPr>
              <w:rFonts w:ascii="Arial" w:hAnsi="Arial" w:cs="Arial"/>
              <w:sz w:val="24"/>
              <w:szCs w:val="24"/>
            </w:rPr>
            <w:t>Fig.2</w:t>
          </w:r>
        </w:p>
        <w:p w14:paraId="3B0896DB" w14:textId="74A39676" w:rsidR="00901A03" w:rsidRDefault="00EC60EC" w:rsidP="00284F1F">
          <w:pPr>
            <w:rPr>
              <w:color w:val="FF0000"/>
            </w:rPr>
          </w:pPr>
          <w:r>
            <w:rPr>
              <w:noProof/>
            </w:rPr>
            <w:drawing>
              <wp:anchor distT="0" distB="0" distL="114300" distR="114300" simplePos="0" relativeHeight="251661312" behindDoc="1" locked="0" layoutInCell="1" allowOverlap="1" wp14:anchorId="6CEBAEC6" wp14:editId="197D1152">
                <wp:simplePos x="0" y="0"/>
                <wp:positionH relativeFrom="margin">
                  <wp:align>center</wp:align>
                </wp:positionH>
                <wp:positionV relativeFrom="margin">
                  <wp:align>top</wp:align>
                </wp:positionV>
                <wp:extent cx="5721350" cy="3149600"/>
                <wp:effectExtent l="0" t="0" r="12700" b="12700"/>
                <wp:wrapTopAndBottom/>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anchor>
            </w:drawing>
          </w:r>
        </w:p>
        <w:p w14:paraId="3CFC774B" w14:textId="7B8DDF82" w:rsidR="00901A03" w:rsidRDefault="006B1943" w:rsidP="00A807D2">
          <w:pPr>
            <w:spacing w:line="360" w:lineRule="auto"/>
            <w:jc w:val="both"/>
            <w:rPr>
              <w:rFonts w:ascii="Arial" w:hAnsi="Arial" w:cs="Arial"/>
              <w:b/>
              <w:bCs/>
              <w:sz w:val="28"/>
              <w:szCs w:val="28"/>
            </w:rPr>
          </w:pPr>
          <w:r>
            <w:rPr>
              <w:rFonts w:ascii="Arial" w:hAnsi="Arial" w:cs="Arial"/>
              <w:b/>
              <w:bCs/>
              <w:sz w:val="28"/>
              <w:szCs w:val="28"/>
            </w:rPr>
            <w:t>Profitability</w:t>
          </w:r>
        </w:p>
        <w:p w14:paraId="39185B5D" w14:textId="425ACB6B" w:rsidR="00CB32C4" w:rsidRPr="006B1943" w:rsidRDefault="00801318" w:rsidP="00A807D2">
          <w:pPr>
            <w:spacing w:line="360" w:lineRule="auto"/>
            <w:jc w:val="both"/>
            <w:rPr>
              <w:rFonts w:ascii="Arial" w:hAnsi="Arial" w:cs="Arial"/>
              <w:sz w:val="24"/>
              <w:szCs w:val="24"/>
            </w:rPr>
          </w:pPr>
          <w:r w:rsidRPr="00801318">
            <w:rPr>
              <w:rFonts w:ascii="Arial" w:hAnsi="Arial" w:cs="Arial"/>
              <w:sz w:val="24"/>
              <w:szCs w:val="24"/>
            </w:rPr>
            <w:t>Profitability and profit are closely connected, but with one significant exception.</w:t>
          </w:r>
          <w:r w:rsidR="00F53D8F">
            <w:rPr>
              <w:rFonts w:ascii="Arial" w:hAnsi="Arial" w:cs="Arial"/>
              <w:sz w:val="24"/>
              <w:szCs w:val="24"/>
            </w:rPr>
            <w:t xml:space="preserve"> </w:t>
          </w:r>
          <w:r w:rsidR="00F53D8F" w:rsidRPr="00F53D8F">
            <w:rPr>
              <w:rFonts w:ascii="Arial" w:hAnsi="Arial" w:cs="Arial"/>
              <w:sz w:val="24"/>
              <w:szCs w:val="24"/>
            </w:rPr>
            <w:t>Profitability is a relative concept as opposed to profit, which is an absolute sum. It serves as a gauge for comparing the magnitude of a company's profit to its overall size. Profitability is a gauge of effectiveness, and ultimately, whether it succeeds or fails</w:t>
          </w:r>
          <w:r w:rsidR="00F53D8F">
            <w:rPr>
              <w:rFonts w:ascii="Arial" w:hAnsi="Arial" w:cs="Arial"/>
              <w:sz w:val="24"/>
              <w:szCs w:val="24"/>
            </w:rPr>
            <w:t xml:space="preserve"> (Horton, 2021)</w:t>
          </w:r>
          <w:r w:rsidR="00F53D8F" w:rsidRPr="00F53D8F">
            <w:rPr>
              <w:rFonts w:ascii="Arial" w:hAnsi="Arial" w:cs="Arial"/>
              <w:sz w:val="24"/>
              <w:szCs w:val="24"/>
            </w:rPr>
            <w:t>.</w:t>
          </w:r>
          <w:r w:rsidR="00F53D8F">
            <w:rPr>
              <w:rFonts w:ascii="Arial" w:hAnsi="Arial" w:cs="Arial"/>
              <w:sz w:val="24"/>
              <w:szCs w:val="24"/>
            </w:rPr>
            <w:t xml:space="preserve"> </w:t>
          </w:r>
          <w:r w:rsidR="007333EF" w:rsidRPr="007333EF">
            <w:rPr>
              <w:rFonts w:ascii="Arial" w:hAnsi="Arial" w:cs="Arial"/>
              <w:sz w:val="24"/>
              <w:szCs w:val="24"/>
            </w:rPr>
            <w:t>Profitability is most measured using margins. Margin can be represented by three different profit levels. None of them tell the entire tale. Profitability is thus best quantified using Return on Investment and Return on Equity</w:t>
          </w:r>
          <w:r w:rsidR="00A92717">
            <w:rPr>
              <w:rFonts w:ascii="Arial" w:hAnsi="Arial" w:cs="Arial"/>
              <w:sz w:val="24"/>
              <w:szCs w:val="24"/>
            </w:rPr>
            <w:t xml:space="preserve"> (Fitzgerald, 2002)</w:t>
          </w:r>
          <w:r w:rsidR="007333EF" w:rsidRPr="007333EF">
            <w:rPr>
              <w:rFonts w:ascii="Arial" w:hAnsi="Arial" w:cs="Arial"/>
              <w:sz w:val="24"/>
              <w:szCs w:val="24"/>
            </w:rPr>
            <w:t>.</w:t>
          </w:r>
          <w:r w:rsidR="007333EF">
            <w:rPr>
              <w:rFonts w:ascii="Arial" w:hAnsi="Arial" w:cs="Arial"/>
              <w:sz w:val="24"/>
              <w:szCs w:val="24"/>
            </w:rPr>
            <w:t xml:space="preserve"> </w:t>
          </w:r>
          <w:r w:rsidR="00DB1D38" w:rsidRPr="00DB1D38">
            <w:rPr>
              <w:rFonts w:ascii="Arial" w:hAnsi="Arial" w:cs="Arial"/>
              <w:sz w:val="24"/>
              <w:szCs w:val="24"/>
            </w:rPr>
            <w:t xml:space="preserve">Among the most prominent profitability or margin ratios is gross profit margin. Gross profit, also known as cost of </w:t>
          </w:r>
          <w:proofErr w:type="gramStart"/>
          <w:r w:rsidR="00DB1D38" w:rsidRPr="00DB1D38">
            <w:rPr>
              <w:rFonts w:ascii="Arial" w:hAnsi="Arial" w:cs="Arial"/>
              <w:sz w:val="24"/>
              <w:szCs w:val="24"/>
            </w:rPr>
            <w:t>goods</w:t>
          </w:r>
          <w:proofErr w:type="gramEnd"/>
          <w:r w:rsidR="00DB1D38" w:rsidRPr="00DB1D38">
            <w:rPr>
              <w:rFonts w:ascii="Arial" w:hAnsi="Arial" w:cs="Arial"/>
              <w:sz w:val="24"/>
              <w:szCs w:val="24"/>
            </w:rPr>
            <w:t xml:space="preserve"> sold (COGS), is the gap between income and production costs.</w:t>
          </w:r>
          <w:r w:rsidR="00463EFF">
            <w:rPr>
              <w:rFonts w:ascii="Arial" w:hAnsi="Arial" w:cs="Arial"/>
              <w:sz w:val="24"/>
              <w:szCs w:val="24"/>
            </w:rPr>
            <w:t xml:space="preserve"> </w:t>
          </w:r>
          <w:r w:rsidR="00A065F0" w:rsidRPr="00A065F0">
            <w:rPr>
              <w:rFonts w:ascii="Arial" w:hAnsi="Arial" w:cs="Arial"/>
              <w:sz w:val="24"/>
              <w:szCs w:val="24"/>
            </w:rPr>
            <w:t xml:space="preserve">The net profit margin of a company is one of the most important indicators of its financial health. A company must determine whether its existing </w:t>
          </w:r>
          <w:proofErr w:type="spellStart"/>
          <w:r w:rsidR="00A065F0" w:rsidRPr="00A065F0">
            <w:rPr>
              <w:rFonts w:ascii="Arial" w:hAnsi="Arial" w:cs="Arial"/>
              <w:sz w:val="24"/>
              <w:szCs w:val="24"/>
            </w:rPr>
            <w:t>pstrategies</w:t>
          </w:r>
          <w:proofErr w:type="spellEnd"/>
          <w:r w:rsidR="00A065F0" w:rsidRPr="00A065F0">
            <w:rPr>
              <w:rFonts w:ascii="Arial" w:hAnsi="Arial" w:cs="Arial"/>
              <w:sz w:val="24"/>
              <w:szCs w:val="24"/>
            </w:rPr>
            <w:t xml:space="preserve"> are successful and predict earnings based on revenue generated by tracking rise and declines in its net profit margin </w:t>
          </w:r>
          <w:r w:rsidR="009E10EB">
            <w:rPr>
              <w:rFonts w:ascii="Arial" w:hAnsi="Arial" w:cs="Arial"/>
              <w:sz w:val="24"/>
              <w:szCs w:val="24"/>
            </w:rPr>
            <w:t>(Murphy, 2022)</w:t>
          </w:r>
          <w:r w:rsidR="009E10EB" w:rsidRPr="009E10EB">
            <w:rPr>
              <w:rFonts w:ascii="Arial" w:hAnsi="Arial" w:cs="Arial"/>
              <w:sz w:val="24"/>
              <w:szCs w:val="24"/>
            </w:rPr>
            <w:t>.</w:t>
          </w:r>
          <w:r w:rsidR="008A751A">
            <w:rPr>
              <w:rFonts w:ascii="Arial" w:hAnsi="Arial" w:cs="Arial"/>
              <w:sz w:val="24"/>
              <w:szCs w:val="24"/>
            </w:rPr>
            <w:t xml:space="preserve"> </w:t>
          </w:r>
          <w:r w:rsidR="009E10EB" w:rsidRPr="009E10EB">
            <w:rPr>
              <w:rFonts w:ascii="Arial" w:hAnsi="Arial" w:cs="Arial"/>
              <w:sz w:val="24"/>
              <w:szCs w:val="24"/>
            </w:rPr>
            <w:t xml:space="preserve">The net profit margin </w:t>
          </w:r>
          <w:r w:rsidR="00A065F0">
            <w:rPr>
              <w:rFonts w:ascii="Arial" w:hAnsi="Arial" w:cs="Arial"/>
              <w:sz w:val="24"/>
              <w:szCs w:val="24"/>
            </w:rPr>
            <w:t>determents</w:t>
          </w:r>
          <w:r w:rsidR="009E10EB" w:rsidRPr="009E10EB">
            <w:rPr>
              <w:rFonts w:ascii="Arial" w:hAnsi="Arial" w:cs="Arial"/>
              <w:sz w:val="24"/>
              <w:szCs w:val="24"/>
            </w:rPr>
            <w:t xml:space="preserve"> the profit as a </w:t>
          </w:r>
          <w:r w:rsidR="00A065F0">
            <w:rPr>
              <w:rFonts w:ascii="Arial" w:hAnsi="Arial" w:cs="Arial"/>
              <w:sz w:val="24"/>
              <w:szCs w:val="24"/>
            </w:rPr>
            <w:t>percentage</w:t>
          </w:r>
          <w:r w:rsidR="009E10EB" w:rsidRPr="009E10EB">
            <w:rPr>
              <w:rFonts w:ascii="Arial" w:hAnsi="Arial" w:cs="Arial"/>
              <w:sz w:val="24"/>
              <w:szCs w:val="24"/>
            </w:rPr>
            <w:t xml:space="preserve"> of revenue. A</w:t>
          </w:r>
          <w:r w:rsidR="00A065F0">
            <w:rPr>
              <w:rFonts w:ascii="Arial" w:hAnsi="Arial" w:cs="Arial"/>
              <w:sz w:val="24"/>
              <w:szCs w:val="24"/>
            </w:rPr>
            <w:t>n organisation’s</w:t>
          </w:r>
          <w:r w:rsidR="009E10EB" w:rsidRPr="009E10EB">
            <w:rPr>
              <w:rFonts w:ascii="Arial" w:hAnsi="Arial" w:cs="Arial"/>
              <w:sz w:val="24"/>
              <w:szCs w:val="24"/>
            </w:rPr>
            <w:t xml:space="preserve"> net profit margin shows how much of every pound in revenue it </w:t>
          </w:r>
          <w:r w:rsidR="00A065F0">
            <w:rPr>
              <w:rFonts w:ascii="Arial" w:hAnsi="Arial" w:cs="Arial"/>
              <w:sz w:val="24"/>
              <w:szCs w:val="24"/>
            </w:rPr>
            <w:t>obtains</w:t>
          </w:r>
          <w:r w:rsidR="009E10EB" w:rsidRPr="009E10EB">
            <w:rPr>
              <w:rFonts w:ascii="Arial" w:hAnsi="Arial" w:cs="Arial"/>
              <w:sz w:val="24"/>
              <w:szCs w:val="24"/>
            </w:rPr>
            <w:t xml:space="preserve"> is </w:t>
          </w:r>
          <w:r w:rsidR="00A065F0">
            <w:rPr>
              <w:rFonts w:ascii="Arial" w:hAnsi="Arial" w:cs="Arial"/>
              <w:sz w:val="24"/>
              <w:szCs w:val="24"/>
            </w:rPr>
            <w:t>reshaped</w:t>
          </w:r>
          <w:r w:rsidR="009E10EB" w:rsidRPr="009E10EB">
            <w:rPr>
              <w:rFonts w:ascii="Arial" w:hAnsi="Arial" w:cs="Arial"/>
              <w:sz w:val="24"/>
              <w:szCs w:val="24"/>
            </w:rPr>
            <w:t xml:space="preserve"> into profit</w:t>
          </w:r>
          <w:r w:rsidR="002F7C76">
            <w:rPr>
              <w:rFonts w:ascii="Arial" w:hAnsi="Arial" w:cs="Arial"/>
              <w:sz w:val="24"/>
              <w:szCs w:val="24"/>
            </w:rPr>
            <w:t xml:space="preserve"> (Hayes, 2022</w:t>
          </w:r>
          <w:r w:rsidR="00280838">
            <w:rPr>
              <w:rFonts w:ascii="Arial" w:hAnsi="Arial" w:cs="Arial"/>
              <w:sz w:val="24"/>
              <w:szCs w:val="24"/>
            </w:rPr>
            <w:t>a</w:t>
          </w:r>
          <w:r w:rsidR="002F7C76">
            <w:rPr>
              <w:rFonts w:ascii="Arial" w:hAnsi="Arial" w:cs="Arial"/>
              <w:sz w:val="24"/>
              <w:szCs w:val="24"/>
            </w:rPr>
            <w:t>)</w:t>
          </w:r>
          <w:r w:rsidR="009E10EB" w:rsidRPr="009E10EB">
            <w:rPr>
              <w:rFonts w:ascii="Arial" w:hAnsi="Arial" w:cs="Arial"/>
              <w:sz w:val="24"/>
              <w:szCs w:val="24"/>
            </w:rPr>
            <w:t>.</w:t>
          </w:r>
          <w:r w:rsidR="008A751A" w:rsidRPr="008A751A">
            <w:rPr>
              <w:rFonts w:ascii="Arial" w:hAnsi="Arial" w:cs="Arial"/>
              <w:sz w:val="24"/>
              <w:szCs w:val="24"/>
            </w:rPr>
            <w:t xml:space="preserve"> </w:t>
          </w:r>
          <w:r w:rsidR="008A751A">
            <w:rPr>
              <w:rFonts w:ascii="Arial" w:hAnsi="Arial" w:cs="Arial"/>
              <w:sz w:val="24"/>
              <w:szCs w:val="24"/>
            </w:rPr>
            <w:t>The above figures show that Marriott had a negative net profit margin in 2020. The negative margin indicates that Marriott failed at</w:t>
          </w:r>
          <w:r w:rsidR="008A751A" w:rsidRPr="00463EFF">
            <w:rPr>
              <w:rFonts w:ascii="Arial" w:hAnsi="Arial" w:cs="Arial"/>
              <w:sz w:val="24"/>
              <w:szCs w:val="24"/>
            </w:rPr>
            <w:t xml:space="preserve"> </w:t>
          </w:r>
          <w:r w:rsidR="008A751A">
            <w:rPr>
              <w:rFonts w:ascii="Arial" w:hAnsi="Arial" w:cs="Arial"/>
              <w:sz w:val="24"/>
              <w:szCs w:val="24"/>
            </w:rPr>
            <w:t>controlling its</w:t>
          </w:r>
          <w:r w:rsidR="008A751A" w:rsidRPr="00463EFF">
            <w:rPr>
              <w:rFonts w:ascii="Arial" w:hAnsi="Arial" w:cs="Arial"/>
              <w:sz w:val="24"/>
              <w:szCs w:val="24"/>
            </w:rPr>
            <w:t xml:space="preserve"> costs.</w:t>
          </w:r>
          <w:r w:rsidR="008A751A">
            <w:rPr>
              <w:rFonts w:ascii="Arial" w:hAnsi="Arial" w:cs="Arial"/>
              <w:sz w:val="24"/>
              <w:szCs w:val="24"/>
            </w:rPr>
            <w:t xml:space="preserve"> Having said that the net margin percentage changed the following year in 2021 to 7.93%. while this number is positive and has past the low level, it is still not a healthy profit margin for the hotel industry (Lacalle, 2021).</w:t>
          </w:r>
          <w:r w:rsidR="00A925CB">
            <w:rPr>
              <w:rFonts w:ascii="Arial" w:hAnsi="Arial" w:cs="Arial"/>
              <w:sz w:val="24"/>
              <w:szCs w:val="24"/>
            </w:rPr>
            <w:t xml:space="preserve"> </w:t>
          </w:r>
          <w:r w:rsidR="008A751A">
            <w:rPr>
              <w:rFonts w:ascii="Arial" w:hAnsi="Arial" w:cs="Arial"/>
              <w:sz w:val="24"/>
              <w:szCs w:val="24"/>
            </w:rPr>
            <w:t xml:space="preserve"> The drastic change in the margin levels is most likely the result of lockdown and travel restrictions that occurred in 2020 and the return of costumers in 2021.</w:t>
          </w:r>
          <w:r w:rsidR="00A925CB">
            <w:rPr>
              <w:rFonts w:ascii="Arial" w:hAnsi="Arial" w:cs="Arial"/>
              <w:sz w:val="24"/>
              <w:szCs w:val="24"/>
            </w:rPr>
            <w:t xml:space="preserve"> </w:t>
          </w:r>
          <w:r w:rsidR="00A925CB" w:rsidRPr="00A925CB">
            <w:rPr>
              <w:rFonts w:ascii="Arial" w:hAnsi="Arial" w:cs="Arial"/>
              <w:sz w:val="24"/>
              <w:szCs w:val="24"/>
            </w:rPr>
            <w:t>Although Marriott has made a profit in 2021, this does not imply that the business was profitable.</w:t>
          </w:r>
          <w:r w:rsidR="00A925CB">
            <w:rPr>
              <w:rFonts w:ascii="Arial" w:hAnsi="Arial" w:cs="Arial"/>
              <w:sz w:val="24"/>
              <w:szCs w:val="24"/>
            </w:rPr>
            <w:t xml:space="preserve"> </w:t>
          </w:r>
          <w:r w:rsidR="00CB32C4" w:rsidRPr="00CB32C4">
            <w:rPr>
              <w:rFonts w:ascii="Arial" w:hAnsi="Arial" w:cs="Arial"/>
              <w:sz w:val="24"/>
              <w:szCs w:val="24"/>
            </w:rPr>
            <w:t>The most effective method of analysing profitability is R</w:t>
          </w:r>
          <w:r w:rsidR="00CB32C4">
            <w:rPr>
              <w:rFonts w:ascii="Arial" w:hAnsi="Arial" w:cs="Arial"/>
              <w:sz w:val="24"/>
              <w:szCs w:val="24"/>
            </w:rPr>
            <w:t xml:space="preserve">eturn on </w:t>
          </w:r>
          <w:r w:rsidR="00CB32C4" w:rsidRPr="00CB32C4">
            <w:rPr>
              <w:rFonts w:ascii="Arial" w:hAnsi="Arial" w:cs="Arial"/>
              <w:sz w:val="24"/>
              <w:szCs w:val="24"/>
            </w:rPr>
            <w:t>I</w:t>
          </w:r>
          <w:r w:rsidR="00CB32C4">
            <w:rPr>
              <w:rFonts w:ascii="Arial" w:hAnsi="Arial" w:cs="Arial"/>
              <w:sz w:val="24"/>
              <w:szCs w:val="24"/>
            </w:rPr>
            <w:t>nvestment</w:t>
          </w:r>
          <w:r w:rsidR="00CB32C4" w:rsidRPr="00CB32C4">
            <w:rPr>
              <w:rFonts w:ascii="Arial" w:hAnsi="Arial" w:cs="Arial"/>
              <w:sz w:val="24"/>
              <w:szCs w:val="24"/>
            </w:rPr>
            <w:t>. The operating profit is contrasted with the total assets employed by the company. To ensure that the analysis of asset turns is relevant, the R</w:t>
          </w:r>
          <w:r w:rsidR="00CB32C4">
            <w:rPr>
              <w:rFonts w:ascii="Arial" w:hAnsi="Arial" w:cs="Arial"/>
              <w:sz w:val="24"/>
              <w:szCs w:val="24"/>
            </w:rPr>
            <w:t xml:space="preserve">eturn on </w:t>
          </w:r>
          <w:r w:rsidR="00CB32C4" w:rsidRPr="00CB32C4">
            <w:rPr>
              <w:rFonts w:ascii="Arial" w:hAnsi="Arial" w:cs="Arial"/>
              <w:sz w:val="24"/>
              <w:szCs w:val="24"/>
            </w:rPr>
            <w:t>I</w:t>
          </w:r>
          <w:r w:rsidR="00CB32C4">
            <w:rPr>
              <w:rFonts w:ascii="Arial" w:hAnsi="Arial" w:cs="Arial"/>
              <w:sz w:val="24"/>
              <w:szCs w:val="24"/>
            </w:rPr>
            <w:t>nvestment</w:t>
          </w:r>
          <w:r w:rsidR="00CB32C4" w:rsidRPr="00CB32C4">
            <w:rPr>
              <w:rFonts w:ascii="Arial" w:hAnsi="Arial" w:cs="Arial"/>
              <w:sz w:val="24"/>
              <w:szCs w:val="24"/>
            </w:rPr>
            <w:t xml:space="preserve"> inside the company should be calculated using the most recent land and property valuations</w:t>
          </w:r>
          <w:r w:rsidR="00FB69F3">
            <w:rPr>
              <w:rFonts w:ascii="Arial" w:hAnsi="Arial" w:cs="Arial"/>
              <w:sz w:val="24"/>
              <w:szCs w:val="24"/>
            </w:rPr>
            <w:t xml:space="preserve"> (</w:t>
          </w:r>
          <w:proofErr w:type="spellStart"/>
          <w:r w:rsidR="00FB69F3">
            <w:rPr>
              <w:rFonts w:ascii="Arial" w:hAnsi="Arial" w:cs="Arial"/>
              <w:sz w:val="24"/>
              <w:szCs w:val="24"/>
            </w:rPr>
            <w:t>Guilding</w:t>
          </w:r>
          <w:proofErr w:type="spellEnd"/>
          <w:r w:rsidR="00FB69F3">
            <w:rPr>
              <w:rFonts w:ascii="Arial" w:hAnsi="Arial" w:cs="Arial"/>
              <w:sz w:val="24"/>
              <w:szCs w:val="24"/>
            </w:rPr>
            <w:t>, 2014)</w:t>
          </w:r>
          <w:r w:rsidR="00CB32C4" w:rsidRPr="00CB32C4">
            <w:rPr>
              <w:rFonts w:ascii="Arial" w:hAnsi="Arial" w:cs="Arial"/>
              <w:sz w:val="24"/>
              <w:szCs w:val="24"/>
            </w:rPr>
            <w:t>.</w:t>
          </w:r>
          <w:r w:rsidR="00345262">
            <w:rPr>
              <w:rFonts w:ascii="Arial" w:hAnsi="Arial" w:cs="Arial"/>
              <w:sz w:val="24"/>
              <w:szCs w:val="24"/>
            </w:rPr>
            <w:t xml:space="preserve"> Looking at the two years in Marriott’s financial statement, the average return of investment is 4%. This is considered </w:t>
          </w:r>
          <w:r w:rsidR="00C756B6">
            <w:rPr>
              <w:rFonts w:ascii="Arial" w:hAnsi="Arial" w:cs="Arial"/>
              <w:sz w:val="24"/>
              <w:szCs w:val="24"/>
            </w:rPr>
            <w:t xml:space="preserve">a </w:t>
          </w:r>
          <w:r w:rsidR="00345262">
            <w:rPr>
              <w:rFonts w:ascii="Arial" w:hAnsi="Arial" w:cs="Arial"/>
              <w:sz w:val="24"/>
              <w:szCs w:val="24"/>
            </w:rPr>
            <w:t xml:space="preserve">low </w:t>
          </w:r>
          <w:r w:rsidR="00C756B6">
            <w:rPr>
              <w:rFonts w:ascii="Arial" w:hAnsi="Arial" w:cs="Arial"/>
              <w:sz w:val="24"/>
              <w:szCs w:val="24"/>
            </w:rPr>
            <w:t xml:space="preserve">percentage </w:t>
          </w:r>
          <w:r w:rsidR="00884C63">
            <w:rPr>
              <w:rFonts w:ascii="Arial" w:hAnsi="Arial" w:cs="Arial"/>
              <w:sz w:val="24"/>
              <w:szCs w:val="24"/>
            </w:rPr>
            <w:t>for an investment in stock (</w:t>
          </w:r>
          <w:r w:rsidR="00C756B6">
            <w:rPr>
              <w:rFonts w:ascii="Arial" w:hAnsi="Arial" w:cs="Arial"/>
              <w:sz w:val="24"/>
              <w:szCs w:val="24"/>
            </w:rPr>
            <w:t>Curry, 2022)</w:t>
          </w:r>
          <w:r w:rsidR="00884C63">
            <w:rPr>
              <w:rFonts w:ascii="Arial" w:hAnsi="Arial" w:cs="Arial"/>
              <w:sz w:val="24"/>
              <w:szCs w:val="24"/>
            </w:rPr>
            <w:t xml:space="preserve">. </w:t>
          </w:r>
          <w:r w:rsidR="000E208C" w:rsidRPr="000E208C">
            <w:rPr>
              <w:rFonts w:ascii="Arial" w:hAnsi="Arial" w:cs="Arial"/>
              <w:sz w:val="24"/>
              <w:szCs w:val="24"/>
            </w:rPr>
            <w:t>Return on Equity is a measure of how effectively a firm's management is utilising equity financing to expand its operations.</w:t>
          </w:r>
          <w:r w:rsidR="000E208C">
            <w:rPr>
              <w:rFonts w:ascii="Arial" w:hAnsi="Arial" w:cs="Arial"/>
              <w:sz w:val="24"/>
              <w:szCs w:val="24"/>
            </w:rPr>
            <w:t xml:space="preserve"> </w:t>
          </w:r>
          <w:r w:rsidR="000E208C" w:rsidRPr="000E208C">
            <w:rPr>
              <w:rFonts w:ascii="Arial" w:hAnsi="Arial" w:cs="Arial"/>
              <w:sz w:val="24"/>
              <w:szCs w:val="24"/>
            </w:rPr>
            <w:t xml:space="preserve">A business that can </w:t>
          </w:r>
          <w:r w:rsidR="00DD6B9E">
            <w:rPr>
              <w:rFonts w:ascii="Arial" w:hAnsi="Arial" w:cs="Arial"/>
              <w:sz w:val="24"/>
              <w:szCs w:val="24"/>
            </w:rPr>
            <w:t>retain</w:t>
          </w:r>
          <w:r w:rsidR="000E208C" w:rsidRPr="000E208C">
            <w:rPr>
              <w:rFonts w:ascii="Arial" w:hAnsi="Arial" w:cs="Arial"/>
              <w:sz w:val="24"/>
              <w:szCs w:val="24"/>
            </w:rPr>
            <w:t xml:space="preserve"> and </w:t>
          </w:r>
          <w:r w:rsidR="00DD6B9E">
            <w:rPr>
              <w:rFonts w:ascii="Arial" w:hAnsi="Arial" w:cs="Arial"/>
              <w:sz w:val="24"/>
              <w:szCs w:val="24"/>
            </w:rPr>
            <w:t>increase</w:t>
          </w:r>
          <w:r w:rsidR="000E208C" w:rsidRPr="000E208C">
            <w:rPr>
              <w:rFonts w:ascii="Arial" w:hAnsi="Arial" w:cs="Arial"/>
              <w:sz w:val="24"/>
              <w:szCs w:val="24"/>
            </w:rPr>
            <w:t xml:space="preserve"> its R</w:t>
          </w:r>
          <w:r w:rsidR="000E208C">
            <w:rPr>
              <w:rFonts w:ascii="Arial" w:hAnsi="Arial" w:cs="Arial"/>
              <w:sz w:val="24"/>
              <w:szCs w:val="24"/>
            </w:rPr>
            <w:t>eturn on Equity</w:t>
          </w:r>
          <w:r w:rsidR="000E208C" w:rsidRPr="000E208C">
            <w:rPr>
              <w:rFonts w:ascii="Arial" w:hAnsi="Arial" w:cs="Arial"/>
              <w:sz w:val="24"/>
              <w:szCs w:val="24"/>
            </w:rPr>
            <w:t xml:space="preserve"> over time may be </w:t>
          </w:r>
          <w:r w:rsidR="00DD6B9E">
            <w:rPr>
              <w:rFonts w:ascii="Arial" w:hAnsi="Arial" w:cs="Arial"/>
              <w:sz w:val="24"/>
              <w:szCs w:val="24"/>
            </w:rPr>
            <w:t>capable</w:t>
          </w:r>
          <w:r w:rsidR="000E208C" w:rsidRPr="000E208C">
            <w:rPr>
              <w:rFonts w:ascii="Arial" w:hAnsi="Arial" w:cs="Arial"/>
              <w:sz w:val="24"/>
              <w:szCs w:val="24"/>
            </w:rPr>
            <w:t xml:space="preserve"> at </w:t>
          </w:r>
          <w:r w:rsidR="00DD6B9E">
            <w:rPr>
              <w:rFonts w:ascii="Arial" w:hAnsi="Arial" w:cs="Arial"/>
              <w:sz w:val="24"/>
              <w:szCs w:val="24"/>
            </w:rPr>
            <w:t>generating</w:t>
          </w:r>
          <w:r w:rsidR="000E208C" w:rsidRPr="000E208C">
            <w:rPr>
              <w:rFonts w:ascii="Arial" w:hAnsi="Arial" w:cs="Arial"/>
              <w:sz w:val="24"/>
              <w:szCs w:val="24"/>
            </w:rPr>
            <w:t xml:space="preserve"> </w:t>
          </w:r>
          <w:r w:rsidR="00ED00E9">
            <w:rPr>
              <w:rFonts w:ascii="Arial" w:hAnsi="Arial" w:cs="Arial"/>
              <w:sz w:val="24"/>
              <w:szCs w:val="24"/>
            </w:rPr>
            <w:t>investor</w:t>
          </w:r>
          <w:r w:rsidR="000E208C" w:rsidRPr="000E208C">
            <w:rPr>
              <w:rFonts w:ascii="Arial" w:hAnsi="Arial" w:cs="Arial"/>
              <w:sz w:val="24"/>
              <w:szCs w:val="24"/>
            </w:rPr>
            <w:t xml:space="preserve"> value because it understands how to reinvest its </w:t>
          </w:r>
          <w:r w:rsidR="00ED00E9">
            <w:rPr>
              <w:rFonts w:ascii="Arial" w:hAnsi="Arial" w:cs="Arial"/>
              <w:sz w:val="24"/>
              <w:szCs w:val="24"/>
            </w:rPr>
            <w:t>income</w:t>
          </w:r>
          <w:r w:rsidR="000E208C" w:rsidRPr="000E208C">
            <w:rPr>
              <w:rFonts w:ascii="Arial" w:hAnsi="Arial" w:cs="Arial"/>
              <w:sz w:val="24"/>
              <w:szCs w:val="24"/>
            </w:rPr>
            <w:t xml:space="preserve"> sensibly to boost productivity and profits. A diminishing R</w:t>
          </w:r>
          <w:r w:rsidR="000E208C">
            <w:rPr>
              <w:rFonts w:ascii="Arial" w:hAnsi="Arial" w:cs="Arial"/>
              <w:sz w:val="24"/>
              <w:szCs w:val="24"/>
            </w:rPr>
            <w:t xml:space="preserve">eturn on </w:t>
          </w:r>
          <w:r w:rsidR="000E208C" w:rsidRPr="000E208C">
            <w:rPr>
              <w:rFonts w:ascii="Arial" w:hAnsi="Arial" w:cs="Arial"/>
              <w:sz w:val="24"/>
              <w:szCs w:val="24"/>
            </w:rPr>
            <w:t>E</w:t>
          </w:r>
          <w:r w:rsidR="000E208C">
            <w:rPr>
              <w:rFonts w:ascii="Arial" w:hAnsi="Arial" w:cs="Arial"/>
              <w:sz w:val="24"/>
              <w:szCs w:val="24"/>
            </w:rPr>
            <w:t>quity</w:t>
          </w:r>
          <w:r w:rsidR="000E208C" w:rsidRPr="000E208C">
            <w:rPr>
              <w:rFonts w:ascii="Arial" w:hAnsi="Arial" w:cs="Arial"/>
              <w:sz w:val="24"/>
              <w:szCs w:val="24"/>
            </w:rPr>
            <w:t xml:space="preserve">, on the other hand, may </w:t>
          </w:r>
          <w:r w:rsidR="00ED00E9">
            <w:rPr>
              <w:rFonts w:ascii="Arial" w:hAnsi="Arial" w:cs="Arial"/>
              <w:sz w:val="24"/>
              <w:szCs w:val="24"/>
            </w:rPr>
            <w:t>reveal</w:t>
          </w:r>
          <w:r w:rsidR="000E208C" w:rsidRPr="000E208C">
            <w:rPr>
              <w:rFonts w:ascii="Arial" w:hAnsi="Arial" w:cs="Arial"/>
              <w:sz w:val="24"/>
              <w:szCs w:val="24"/>
            </w:rPr>
            <w:t xml:space="preserve"> that management is </w:t>
          </w:r>
          <w:r w:rsidR="00ED00E9">
            <w:rPr>
              <w:rFonts w:ascii="Arial" w:hAnsi="Arial" w:cs="Arial"/>
              <w:sz w:val="24"/>
              <w:szCs w:val="24"/>
            </w:rPr>
            <w:t>consuming</w:t>
          </w:r>
          <w:r w:rsidR="000E208C" w:rsidRPr="000E208C">
            <w:rPr>
              <w:rFonts w:ascii="Arial" w:hAnsi="Arial" w:cs="Arial"/>
              <w:sz w:val="24"/>
              <w:szCs w:val="24"/>
            </w:rPr>
            <w:t xml:space="preserve"> money in underperforming assets in an </w:t>
          </w:r>
          <w:r w:rsidR="00ED00E9">
            <w:rPr>
              <w:rFonts w:ascii="Arial" w:hAnsi="Arial" w:cs="Arial"/>
              <w:sz w:val="24"/>
              <w:szCs w:val="24"/>
            </w:rPr>
            <w:t>unproductive</w:t>
          </w:r>
          <w:r w:rsidR="000E208C" w:rsidRPr="000E208C">
            <w:rPr>
              <w:rFonts w:ascii="Arial" w:hAnsi="Arial" w:cs="Arial"/>
              <w:sz w:val="24"/>
              <w:szCs w:val="24"/>
            </w:rPr>
            <w:t xml:space="preserve"> manner</w:t>
          </w:r>
          <w:r w:rsidR="00F821E3">
            <w:rPr>
              <w:rFonts w:ascii="Arial" w:hAnsi="Arial" w:cs="Arial"/>
              <w:sz w:val="24"/>
              <w:szCs w:val="24"/>
            </w:rPr>
            <w:t xml:space="preserve"> (CFI Team, 2022</w:t>
          </w:r>
          <w:r w:rsidR="0064258D">
            <w:rPr>
              <w:rFonts w:ascii="Arial" w:hAnsi="Arial" w:cs="Arial"/>
              <w:sz w:val="24"/>
              <w:szCs w:val="24"/>
            </w:rPr>
            <w:t>a</w:t>
          </w:r>
          <w:r w:rsidR="00F821E3">
            <w:rPr>
              <w:rFonts w:ascii="Arial" w:hAnsi="Arial" w:cs="Arial"/>
              <w:sz w:val="24"/>
              <w:szCs w:val="24"/>
            </w:rPr>
            <w:t>)</w:t>
          </w:r>
          <w:r w:rsidR="000E208C" w:rsidRPr="000E208C">
            <w:rPr>
              <w:rFonts w:ascii="Arial" w:hAnsi="Arial" w:cs="Arial"/>
              <w:sz w:val="24"/>
              <w:szCs w:val="24"/>
            </w:rPr>
            <w:t>.</w:t>
          </w:r>
          <w:r w:rsidR="000E208C">
            <w:rPr>
              <w:rFonts w:ascii="Arial" w:hAnsi="Arial" w:cs="Arial"/>
              <w:sz w:val="24"/>
              <w:szCs w:val="24"/>
            </w:rPr>
            <w:t xml:space="preserve"> While Mariott’s Return on Equity shows favourable results by increasing from a negative percentage to a positive one, it is difficult to </w:t>
          </w:r>
          <w:r w:rsidR="002D74AE">
            <w:rPr>
              <w:rFonts w:ascii="Arial" w:hAnsi="Arial" w:cs="Arial"/>
              <w:sz w:val="24"/>
              <w:szCs w:val="24"/>
            </w:rPr>
            <w:t xml:space="preserve">determine its effectiveness from a period of just two years. </w:t>
          </w:r>
        </w:p>
        <w:p w14:paraId="68F28F05" w14:textId="7614DE9A" w:rsidR="00EC60EC" w:rsidRDefault="00EC60EC" w:rsidP="00A807D2">
          <w:pPr>
            <w:spacing w:line="360" w:lineRule="auto"/>
            <w:jc w:val="both"/>
          </w:pPr>
        </w:p>
        <w:p w14:paraId="19ACB91A" w14:textId="3D669565" w:rsidR="00EC60EC" w:rsidRDefault="00EC60EC" w:rsidP="00A807D2">
          <w:pPr>
            <w:spacing w:line="360" w:lineRule="auto"/>
            <w:jc w:val="both"/>
          </w:pPr>
        </w:p>
        <w:p w14:paraId="237E1AC3" w14:textId="64D1DA31" w:rsidR="00EC60EC" w:rsidRDefault="00F13EB2" w:rsidP="00A807D2">
          <w:pPr>
            <w:spacing w:line="360" w:lineRule="auto"/>
            <w:jc w:val="both"/>
            <w:rPr>
              <w:rFonts w:ascii="Arial" w:hAnsi="Arial" w:cs="Arial"/>
              <w:b/>
              <w:bCs/>
              <w:sz w:val="28"/>
              <w:szCs w:val="28"/>
            </w:rPr>
          </w:pPr>
          <w:r w:rsidRPr="00F13EB2">
            <w:rPr>
              <w:rFonts w:ascii="Arial" w:hAnsi="Arial" w:cs="Arial"/>
              <w:b/>
              <w:bCs/>
              <w:sz w:val="28"/>
              <w:szCs w:val="28"/>
            </w:rPr>
            <w:t>Liquidity</w:t>
          </w:r>
        </w:p>
        <w:p w14:paraId="61AC6537" w14:textId="52BB6B9C" w:rsidR="00F13EB2" w:rsidRPr="004A0171" w:rsidRDefault="0089495A" w:rsidP="00A807D2">
          <w:pPr>
            <w:spacing w:line="360" w:lineRule="auto"/>
            <w:jc w:val="both"/>
            <w:rPr>
              <w:rFonts w:ascii="Arial" w:hAnsi="Arial" w:cs="Arial"/>
              <w:sz w:val="24"/>
              <w:szCs w:val="24"/>
            </w:rPr>
          </w:pPr>
          <w:r w:rsidRPr="0089495A">
            <w:rPr>
              <w:rFonts w:ascii="Arial" w:hAnsi="Arial" w:cs="Arial"/>
              <w:sz w:val="24"/>
              <w:szCs w:val="24"/>
            </w:rPr>
            <w:t>A cr</w:t>
          </w:r>
          <w:r w:rsidR="00ED00E9">
            <w:rPr>
              <w:rFonts w:ascii="Arial" w:hAnsi="Arial" w:cs="Arial"/>
              <w:sz w:val="24"/>
              <w:szCs w:val="24"/>
            </w:rPr>
            <w:t>itical</w:t>
          </w:r>
          <w:r w:rsidRPr="0089495A">
            <w:rPr>
              <w:rFonts w:ascii="Arial" w:hAnsi="Arial" w:cs="Arial"/>
              <w:sz w:val="24"/>
              <w:szCs w:val="24"/>
            </w:rPr>
            <w:t xml:space="preserve"> </w:t>
          </w:r>
          <w:r w:rsidR="00ED00E9">
            <w:rPr>
              <w:rFonts w:ascii="Arial" w:hAnsi="Arial" w:cs="Arial"/>
              <w:sz w:val="24"/>
              <w:szCs w:val="24"/>
            </w:rPr>
            <w:t>category</w:t>
          </w:r>
          <w:r w:rsidRPr="0089495A">
            <w:rPr>
              <w:rFonts w:ascii="Arial" w:hAnsi="Arial" w:cs="Arial"/>
              <w:sz w:val="24"/>
              <w:szCs w:val="24"/>
            </w:rPr>
            <w:t xml:space="preserve"> of financial </w:t>
          </w:r>
          <w:r w:rsidR="00ED00E9">
            <w:rPr>
              <w:rFonts w:ascii="Arial" w:hAnsi="Arial" w:cs="Arial"/>
              <w:sz w:val="24"/>
              <w:szCs w:val="24"/>
            </w:rPr>
            <w:t>measure</w:t>
          </w:r>
          <w:r w:rsidRPr="0089495A">
            <w:rPr>
              <w:rFonts w:ascii="Arial" w:hAnsi="Arial" w:cs="Arial"/>
              <w:sz w:val="24"/>
              <w:szCs w:val="24"/>
            </w:rPr>
            <w:t xml:space="preserve"> known as liquidity ratios is </w:t>
          </w:r>
          <w:r w:rsidR="00ED00E9" w:rsidRPr="00ED00E9">
            <w:rPr>
              <w:rFonts w:ascii="Arial" w:hAnsi="Arial" w:cs="Arial"/>
              <w:sz w:val="24"/>
              <w:szCs w:val="24"/>
            </w:rPr>
            <w:t>used to evaluate a borrower's ability to pay off current debt obligations without any need for outside financing.</w:t>
          </w:r>
          <w:r w:rsidR="00ED00E9">
            <w:rPr>
              <w:rFonts w:ascii="Arial" w:hAnsi="Arial" w:cs="Arial"/>
              <w:sz w:val="24"/>
              <w:szCs w:val="24"/>
            </w:rPr>
            <w:t xml:space="preserve"> </w:t>
          </w:r>
          <w:r w:rsidR="008B10B7" w:rsidRPr="008B10B7">
            <w:rPr>
              <w:rFonts w:ascii="Arial" w:hAnsi="Arial" w:cs="Arial"/>
              <w:sz w:val="24"/>
              <w:szCs w:val="24"/>
            </w:rPr>
            <w:t xml:space="preserve">The calculation of liquidity ratios is made possible by the measurement of indicators such as the current ratio, quick ratio, and operating cash flow ratio, which analyses a corporation's ability to satisfy financial commitments as well as its margin of safety </w:t>
          </w:r>
          <w:r w:rsidR="00280838">
            <w:rPr>
              <w:rFonts w:ascii="Arial" w:hAnsi="Arial" w:cs="Arial"/>
              <w:sz w:val="24"/>
              <w:szCs w:val="24"/>
            </w:rPr>
            <w:t>(Hayes, 2022)</w:t>
          </w:r>
          <w:r w:rsidRPr="0089495A">
            <w:rPr>
              <w:rFonts w:ascii="Arial" w:hAnsi="Arial" w:cs="Arial"/>
              <w:sz w:val="24"/>
              <w:szCs w:val="24"/>
            </w:rPr>
            <w:t>.</w:t>
          </w:r>
          <w:r>
            <w:rPr>
              <w:rFonts w:ascii="Arial" w:hAnsi="Arial" w:cs="Arial"/>
              <w:sz w:val="24"/>
              <w:szCs w:val="24"/>
            </w:rPr>
            <w:t xml:space="preserve"> </w:t>
          </w:r>
          <w:r w:rsidR="0035237F" w:rsidRPr="0035237F">
            <w:rPr>
              <w:rFonts w:ascii="Arial" w:hAnsi="Arial" w:cs="Arial"/>
              <w:sz w:val="24"/>
              <w:szCs w:val="24"/>
            </w:rPr>
            <w:t>The easiest liquidity ratio to calculate and understand is the current ratio.</w:t>
          </w:r>
          <w:r w:rsidR="0064258D">
            <w:rPr>
              <w:rFonts w:ascii="Arial" w:hAnsi="Arial" w:cs="Arial"/>
              <w:sz w:val="24"/>
              <w:szCs w:val="24"/>
            </w:rPr>
            <w:t xml:space="preserve"> </w:t>
          </w:r>
          <w:r w:rsidR="0064258D" w:rsidRPr="0064258D">
            <w:rPr>
              <w:rFonts w:ascii="Arial" w:hAnsi="Arial" w:cs="Arial"/>
              <w:sz w:val="24"/>
              <w:szCs w:val="24"/>
            </w:rPr>
            <w:t xml:space="preserve">A business is far more likely to be capable to cover its short-term </w:t>
          </w:r>
          <w:r w:rsidR="008B10B7">
            <w:rPr>
              <w:rFonts w:ascii="Arial" w:hAnsi="Arial" w:cs="Arial"/>
              <w:sz w:val="24"/>
              <w:szCs w:val="24"/>
            </w:rPr>
            <w:t>liabilities</w:t>
          </w:r>
          <w:r w:rsidR="0064258D" w:rsidRPr="0064258D">
            <w:rPr>
              <w:rFonts w:ascii="Arial" w:hAnsi="Arial" w:cs="Arial"/>
              <w:sz w:val="24"/>
              <w:szCs w:val="24"/>
            </w:rPr>
            <w:t xml:space="preserve"> if the ratio is </w:t>
          </w:r>
          <w:r w:rsidR="008B10B7">
            <w:rPr>
              <w:rFonts w:ascii="Arial" w:hAnsi="Arial" w:cs="Arial"/>
              <w:sz w:val="24"/>
              <w:szCs w:val="24"/>
            </w:rPr>
            <w:t>distinguished</w:t>
          </w:r>
          <w:r w:rsidR="0064258D" w:rsidRPr="0064258D">
            <w:rPr>
              <w:rFonts w:ascii="Arial" w:hAnsi="Arial" w:cs="Arial"/>
              <w:sz w:val="24"/>
              <w:szCs w:val="24"/>
            </w:rPr>
            <w:t xml:space="preserve">. If the ratio becomes </w:t>
          </w:r>
          <w:r w:rsidR="008B10B7">
            <w:rPr>
              <w:rFonts w:ascii="Arial" w:hAnsi="Arial" w:cs="Arial"/>
              <w:sz w:val="24"/>
              <w:szCs w:val="24"/>
            </w:rPr>
            <w:t>smaller</w:t>
          </w:r>
          <w:r w:rsidR="0064258D" w:rsidRPr="0064258D">
            <w:rPr>
              <w:rFonts w:ascii="Arial" w:hAnsi="Arial" w:cs="Arial"/>
              <w:sz w:val="24"/>
              <w:szCs w:val="24"/>
            </w:rPr>
            <w:t xml:space="preserve"> than </w:t>
          </w:r>
          <w:r w:rsidR="008B10B7">
            <w:rPr>
              <w:rFonts w:ascii="Arial" w:hAnsi="Arial" w:cs="Arial"/>
              <w:sz w:val="24"/>
              <w:szCs w:val="24"/>
            </w:rPr>
            <w:t>one</w:t>
          </w:r>
          <w:r w:rsidR="0064258D" w:rsidRPr="0064258D">
            <w:rPr>
              <w:rFonts w:ascii="Arial" w:hAnsi="Arial" w:cs="Arial"/>
              <w:sz w:val="24"/>
              <w:szCs w:val="24"/>
            </w:rPr>
            <w:t xml:space="preserve">, the </w:t>
          </w:r>
          <w:r w:rsidR="008B10B7">
            <w:rPr>
              <w:rFonts w:ascii="Arial" w:hAnsi="Arial" w:cs="Arial"/>
              <w:sz w:val="24"/>
              <w:szCs w:val="24"/>
            </w:rPr>
            <w:t>company</w:t>
          </w:r>
          <w:r w:rsidR="0064258D" w:rsidRPr="0064258D">
            <w:rPr>
              <w:rFonts w:ascii="Arial" w:hAnsi="Arial" w:cs="Arial"/>
              <w:sz w:val="24"/>
              <w:szCs w:val="24"/>
            </w:rPr>
            <w:t xml:space="preserve"> may be</w:t>
          </w:r>
          <w:r w:rsidR="0064258D">
            <w:rPr>
              <w:rFonts w:ascii="Arial" w:hAnsi="Arial" w:cs="Arial"/>
              <w:sz w:val="24"/>
              <w:szCs w:val="24"/>
            </w:rPr>
            <w:t xml:space="preserve"> in the middle of</w:t>
          </w:r>
          <w:r w:rsidR="0064258D" w:rsidRPr="0064258D">
            <w:rPr>
              <w:rFonts w:ascii="Arial" w:hAnsi="Arial" w:cs="Arial"/>
              <w:sz w:val="24"/>
              <w:szCs w:val="24"/>
            </w:rPr>
            <w:t xml:space="preserve"> a liquidity crisis and have </w:t>
          </w:r>
          <w:r w:rsidR="008B10B7">
            <w:rPr>
              <w:rFonts w:ascii="Arial" w:hAnsi="Arial" w:cs="Arial"/>
              <w:sz w:val="24"/>
              <w:szCs w:val="24"/>
            </w:rPr>
            <w:t>unfavourable</w:t>
          </w:r>
          <w:r w:rsidR="0064258D" w:rsidRPr="0064258D">
            <w:rPr>
              <w:rFonts w:ascii="Arial" w:hAnsi="Arial" w:cs="Arial"/>
              <w:sz w:val="24"/>
              <w:szCs w:val="24"/>
            </w:rPr>
            <w:t xml:space="preserve"> working capital</w:t>
          </w:r>
          <w:r w:rsidR="0064258D">
            <w:rPr>
              <w:rFonts w:ascii="Arial" w:hAnsi="Arial" w:cs="Arial"/>
              <w:sz w:val="24"/>
              <w:szCs w:val="24"/>
            </w:rPr>
            <w:t xml:space="preserve"> (CFI Team, 2022b)</w:t>
          </w:r>
          <w:r w:rsidR="0064258D" w:rsidRPr="0064258D">
            <w:rPr>
              <w:rFonts w:ascii="Arial" w:hAnsi="Arial" w:cs="Arial"/>
              <w:sz w:val="24"/>
              <w:szCs w:val="24"/>
            </w:rPr>
            <w:t>.</w:t>
          </w:r>
          <w:r w:rsidR="0064258D">
            <w:rPr>
              <w:rFonts w:ascii="Arial" w:hAnsi="Arial" w:cs="Arial"/>
              <w:sz w:val="24"/>
              <w:szCs w:val="24"/>
            </w:rPr>
            <w:t xml:space="preserve"> </w:t>
          </w:r>
          <w:r w:rsidR="00B73E4E">
            <w:rPr>
              <w:rFonts w:ascii="Arial" w:hAnsi="Arial" w:cs="Arial"/>
              <w:sz w:val="24"/>
              <w:szCs w:val="24"/>
            </w:rPr>
            <w:t>Marriott’s current ratio in both years, 2020 and 2021, is under 1 percent which is considered a low number (Zarzycki, 2022).</w:t>
          </w:r>
          <w:r w:rsidR="00467867">
            <w:rPr>
              <w:rFonts w:ascii="Arial" w:hAnsi="Arial" w:cs="Arial"/>
              <w:sz w:val="24"/>
              <w:szCs w:val="24"/>
            </w:rPr>
            <w:t xml:space="preserve"> The Operating cash flow percentage</w:t>
          </w:r>
          <w:r w:rsidR="004A0171">
            <w:rPr>
              <w:rFonts w:ascii="Arial" w:hAnsi="Arial" w:cs="Arial"/>
              <w:sz w:val="24"/>
              <w:szCs w:val="24"/>
            </w:rPr>
            <w:t xml:space="preserve"> in 2020</w:t>
          </w:r>
          <w:r w:rsidR="00467867">
            <w:rPr>
              <w:rFonts w:ascii="Arial" w:hAnsi="Arial" w:cs="Arial"/>
              <w:sz w:val="24"/>
              <w:szCs w:val="24"/>
            </w:rPr>
            <w:t xml:space="preserve"> also shows that </w:t>
          </w:r>
          <w:r w:rsidR="00467867" w:rsidRPr="00467867">
            <w:rPr>
              <w:rFonts w:ascii="Arial" w:hAnsi="Arial" w:cs="Arial"/>
              <w:sz w:val="24"/>
              <w:szCs w:val="24"/>
            </w:rPr>
            <w:t>Marriott's liabilities cannot be covered by the cash it has generated</w:t>
          </w:r>
          <w:r w:rsidR="00467867">
            <w:rPr>
              <w:rFonts w:ascii="Arial" w:hAnsi="Arial" w:cs="Arial"/>
              <w:sz w:val="24"/>
              <w:szCs w:val="24"/>
            </w:rPr>
            <w:t xml:space="preserve"> (Hargrave, 2022)</w:t>
          </w:r>
          <w:r w:rsidR="004A0171">
            <w:rPr>
              <w:rFonts w:ascii="Arial" w:hAnsi="Arial" w:cs="Arial"/>
              <w:sz w:val="24"/>
              <w:szCs w:val="24"/>
            </w:rPr>
            <w:t xml:space="preserve">, </w:t>
          </w:r>
          <w:r w:rsidR="004A0171" w:rsidRPr="004A0171">
            <w:rPr>
              <w:rFonts w:ascii="Arial" w:hAnsi="Arial" w:cs="Arial"/>
              <w:sz w:val="24"/>
              <w:szCs w:val="24"/>
            </w:rPr>
            <w:t xml:space="preserve">and </w:t>
          </w:r>
          <w:r w:rsidR="004A0171" w:rsidRPr="004A0171">
            <w:rPr>
              <w:rFonts w:ascii="Arial" w:hAnsi="Arial" w:cs="Arial"/>
              <w:sz w:val="24"/>
              <w:szCs w:val="24"/>
              <w:shd w:val="clear" w:color="auto" w:fill="FFFFFF"/>
            </w:rPr>
            <w:t>gets progressively worse</w:t>
          </w:r>
          <w:r w:rsidR="004A0171">
            <w:rPr>
              <w:rFonts w:ascii="Arial" w:hAnsi="Arial" w:cs="Arial"/>
              <w:sz w:val="24"/>
              <w:szCs w:val="24"/>
              <w:shd w:val="clear" w:color="auto" w:fill="FFFFFF"/>
            </w:rPr>
            <w:t xml:space="preserve"> in the year 2021.</w:t>
          </w:r>
          <w:r w:rsidR="00311E0B">
            <w:rPr>
              <w:rFonts w:ascii="Arial" w:hAnsi="Arial" w:cs="Arial"/>
              <w:sz w:val="24"/>
              <w:szCs w:val="24"/>
              <w:shd w:val="clear" w:color="auto" w:fill="FFFFFF"/>
            </w:rPr>
            <w:t xml:space="preserve"> The lack of profit in 2020 may ha</w:t>
          </w:r>
          <w:r w:rsidR="00147229">
            <w:rPr>
              <w:rFonts w:ascii="Arial" w:hAnsi="Arial" w:cs="Arial"/>
              <w:sz w:val="24"/>
              <w:szCs w:val="24"/>
              <w:shd w:val="clear" w:color="auto" w:fill="FFFFFF"/>
            </w:rPr>
            <w:t>d a negative impact on cash flow (Satterley, 2020).</w:t>
          </w:r>
          <w:r w:rsidR="00311E0B">
            <w:rPr>
              <w:rFonts w:ascii="Arial" w:hAnsi="Arial" w:cs="Arial"/>
              <w:sz w:val="24"/>
              <w:szCs w:val="24"/>
              <w:shd w:val="clear" w:color="auto" w:fill="FFFFFF"/>
            </w:rPr>
            <w:t xml:space="preserve"> </w:t>
          </w:r>
          <w:r w:rsidR="00F01DF0">
            <w:rPr>
              <w:rFonts w:ascii="Arial" w:hAnsi="Arial" w:cs="Arial"/>
              <w:sz w:val="24"/>
              <w:szCs w:val="24"/>
              <w:shd w:val="clear" w:color="auto" w:fill="FFFFFF"/>
            </w:rPr>
            <w:t xml:space="preserve"> </w:t>
          </w:r>
          <w:r w:rsidR="00F01DF0" w:rsidRPr="00F01DF0">
            <w:rPr>
              <w:rFonts w:ascii="Arial" w:hAnsi="Arial" w:cs="Arial"/>
              <w:sz w:val="24"/>
              <w:szCs w:val="24"/>
              <w:shd w:val="clear" w:color="auto" w:fill="FFFFFF"/>
            </w:rPr>
            <w:t>Marriott requires extra capital if its cash flow ratio is less than one.</w:t>
          </w:r>
        </w:p>
        <w:p w14:paraId="262802C9" w14:textId="67FF94A9" w:rsidR="00F13EB2" w:rsidRDefault="00F13EB2" w:rsidP="00A807D2">
          <w:pPr>
            <w:spacing w:line="360" w:lineRule="auto"/>
            <w:jc w:val="both"/>
            <w:rPr>
              <w:rFonts w:ascii="Arial" w:hAnsi="Arial" w:cs="Arial"/>
              <w:sz w:val="24"/>
              <w:szCs w:val="24"/>
            </w:rPr>
          </w:pPr>
        </w:p>
        <w:p w14:paraId="52F707B6" w14:textId="0A83EFC3" w:rsidR="00F13EB2" w:rsidRDefault="004A0171" w:rsidP="00A807D2">
          <w:pPr>
            <w:spacing w:line="360" w:lineRule="auto"/>
            <w:jc w:val="both"/>
            <w:rPr>
              <w:rFonts w:ascii="Arial" w:hAnsi="Arial" w:cs="Arial"/>
              <w:b/>
              <w:bCs/>
              <w:sz w:val="28"/>
              <w:szCs w:val="28"/>
            </w:rPr>
          </w:pPr>
          <w:r>
            <w:rPr>
              <w:rFonts w:ascii="Arial" w:hAnsi="Arial" w:cs="Arial"/>
              <w:b/>
              <w:bCs/>
              <w:sz w:val="28"/>
              <w:szCs w:val="28"/>
            </w:rPr>
            <w:t>Gearing</w:t>
          </w:r>
        </w:p>
        <w:p w14:paraId="5666EB33" w14:textId="48340884" w:rsidR="004A0171" w:rsidRDefault="005D218C" w:rsidP="00A807D2">
          <w:pPr>
            <w:spacing w:line="360" w:lineRule="auto"/>
            <w:jc w:val="both"/>
            <w:rPr>
              <w:rFonts w:ascii="Arial" w:hAnsi="Arial" w:cs="Arial"/>
              <w:sz w:val="24"/>
              <w:szCs w:val="24"/>
            </w:rPr>
          </w:pPr>
          <w:r w:rsidRPr="005D218C">
            <w:rPr>
              <w:rFonts w:ascii="Arial" w:hAnsi="Arial" w:cs="Arial"/>
              <w:sz w:val="24"/>
              <w:szCs w:val="24"/>
            </w:rPr>
            <w:t xml:space="preserve">Financial analysts can use the gearing ratio to assess the overall performance of the business by dividing total debt by total equity </w:t>
          </w:r>
          <w:r w:rsidR="0081450A">
            <w:rPr>
              <w:rFonts w:ascii="Arial" w:hAnsi="Arial" w:cs="Arial"/>
              <w:sz w:val="24"/>
              <w:szCs w:val="24"/>
            </w:rPr>
            <w:t>(Katara, n.d.)</w:t>
          </w:r>
          <w:r w:rsidR="0081450A" w:rsidRPr="0081450A">
            <w:rPr>
              <w:rFonts w:ascii="Arial" w:hAnsi="Arial" w:cs="Arial"/>
              <w:sz w:val="24"/>
              <w:szCs w:val="24"/>
            </w:rPr>
            <w:t>.</w:t>
          </w:r>
          <w:r w:rsidR="00562918">
            <w:rPr>
              <w:rFonts w:ascii="Arial" w:hAnsi="Arial" w:cs="Arial"/>
              <w:sz w:val="24"/>
              <w:szCs w:val="24"/>
            </w:rPr>
            <w:t xml:space="preserve"> </w:t>
          </w:r>
          <w:r w:rsidR="00A761A1" w:rsidRPr="00562918">
            <w:rPr>
              <w:rFonts w:ascii="Arial" w:hAnsi="Arial" w:cs="Arial"/>
              <w:sz w:val="24"/>
              <w:szCs w:val="24"/>
            </w:rPr>
            <w:t>To</w:t>
          </w:r>
          <w:r w:rsidR="00562918" w:rsidRPr="00562918">
            <w:rPr>
              <w:rFonts w:ascii="Arial" w:hAnsi="Arial" w:cs="Arial"/>
              <w:sz w:val="24"/>
              <w:szCs w:val="24"/>
            </w:rPr>
            <w:t xml:space="preserve"> de</w:t>
          </w:r>
          <w:r w:rsidR="008B10B7">
            <w:rPr>
              <w:rFonts w:ascii="Arial" w:hAnsi="Arial" w:cs="Arial"/>
              <w:sz w:val="24"/>
              <w:szCs w:val="24"/>
            </w:rPr>
            <w:t>duce</w:t>
          </w:r>
          <w:r w:rsidR="00562918" w:rsidRPr="00562918">
            <w:rPr>
              <w:rFonts w:ascii="Arial" w:hAnsi="Arial" w:cs="Arial"/>
              <w:sz w:val="24"/>
              <w:szCs w:val="24"/>
            </w:rPr>
            <w:t xml:space="preserve"> a </w:t>
          </w:r>
          <w:r w:rsidR="008B10B7">
            <w:rPr>
              <w:rFonts w:ascii="Arial" w:hAnsi="Arial" w:cs="Arial"/>
              <w:sz w:val="24"/>
              <w:szCs w:val="24"/>
            </w:rPr>
            <w:t>business’s</w:t>
          </w:r>
          <w:r w:rsidR="00562918" w:rsidRPr="00562918">
            <w:rPr>
              <w:rFonts w:ascii="Arial" w:hAnsi="Arial" w:cs="Arial"/>
              <w:sz w:val="24"/>
              <w:szCs w:val="24"/>
            </w:rPr>
            <w:t xml:space="preserve"> </w:t>
          </w:r>
          <w:r>
            <w:rPr>
              <w:rFonts w:ascii="Arial" w:hAnsi="Arial" w:cs="Arial"/>
              <w:sz w:val="24"/>
              <w:szCs w:val="24"/>
            </w:rPr>
            <w:t>size</w:t>
          </w:r>
          <w:r w:rsidR="00562918" w:rsidRPr="00562918">
            <w:rPr>
              <w:rFonts w:ascii="Arial" w:hAnsi="Arial" w:cs="Arial"/>
              <w:sz w:val="24"/>
              <w:szCs w:val="24"/>
            </w:rPr>
            <w:t xml:space="preserve"> of leverage and financial health, </w:t>
          </w:r>
          <w:r w:rsidRPr="005D218C">
            <w:rPr>
              <w:rFonts w:ascii="Arial" w:hAnsi="Arial" w:cs="Arial"/>
              <w:sz w:val="24"/>
              <w:szCs w:val="24"/>
            </w:rPr>
            <w:t xml:space="preserve">a variety of financial metrics known as gearing ratios tie shareholders' equity to corporate debt in varied methods </w:t>
          </w:r>
          <w:r w:rsidR="00562918">
            <w:rPr>
              <w:rFonts w:ascii="Arial" w:hAnsi="Arial" w:cs="Arial"/>
              <w:sz w:val="24"/>
              <w:szCs w:val="24"/>
            </w:rPr>
            <w:t>(Kenton, 2022)</w:t>
          </w:r>
          <w:r w:rsidR="00562918" w:rsidRPr="00562918">
            <w:rPr>
              <w:rFonts w:ascii="Arial" w:hAnsi="Arial" w:cs="Arial"/>
              <w:sz w:val="24"/>
              <w:szCs w:val="24"/>
            </w:rPr>
            <w:t>.</w:t>
          </w:r>
          <w:r w:rsidR="00A761A1">
            <w:rPr>
              <w:rFonts w:ascii="Arial" w:hAnsi="Arial" w:cs="Arial"/>
              <w:sz w:val="24"/>
              <w:szCs w:val="24"/>
            </w:rPr>
            <w:t xml:space="preserve"> </w:t>
          </w:r>
          <w:r w:rsidR="00E54D7B" w:rsidRPr="00E54D7B">
            <w:rPr>
              <w:rFonts w:ascii="Arial" w:hAnsi="Arial" w:cs="Arial"/>
              <w:sz w:val="24"/>
              <w:szCs w:val="24"/>
            </w:rPr>
            <w:t xml:space="preserve">Gearing, also </w:t>
          </w:r>
          <w:r>
            <w:rPr>
              <w:rFonts w:ascii="Arial" w:hAnsi="Arial" w:cs="Arial"/>
              <w:sz w:val="24"/>
              <w:szCs w:val="24"/>
            </w:rPr>
            <w:t>alluded</w:t>
          </w:r>
          <w:r w:rsidR="00E54D7B" w:rsidRPr="00E54D7B">
            <w:rPr>
              <w:rFonts w:ascii="Arial" w:hAnsi="Arial" w:cs="Arial"/>
              <w:sz w:val="24"/>
              <w:szCs w:val="24"/>
            </w:rPr>
            <w:t xml:space="preserve"> to as leverage</w:t>
          </w:r>
          <w:r w:rsidRPr="005D218C">
            <w:rPr>
              <w:rFonts w:ascii="Arial" w:hAnsi="Arial" w:cs="Arial"/>
              <w:sz w:val="24"/>
              <w:szCs w:val="24"/>
            </w:rPr>
            <w:t>, is a quantification of the proportion of an investment's assets that are backed by long-term borrowings</w:t>
          </w:r>
          <w:r w:rsidR="00E54D7B" w:rsidRPr="00E54D7B">
            <w:rPr>
              <w:rFonts w:ascii="Arial" w:hAnsi="Arial" w:cs="Arial"/>
              <w:sz w:val="24"/>
              <w:szCs w:val="24"/>
            </w:rPr>
            <w:t>.</w:t>
          </w:r>
          <w:r w:rsidR="00E54D7B">
            <w:rPr>
              <w:rFonts w:ascii="Arial" w:hAnsi="Arial" w:cs="Arial"/>
              <w:sz w:val="24"/>
              <w:szCs w:val="24"/>
            </w:rPr>
            <w:t xml:space="preserve"> </w:t>
          </w:r>
          <w:r w:rsidR="00E54D7B" w:rsidRPr="00E54D7B">
            <w:rPr>
              <w:rFonts w:ascii="Arial" w:hAnsi="Arial" w:cs="Arial"/>
              <w:sz w:val="24"/>
              <w:szCs w:val="24"/>
            </w:rPr>
            <w:t xml:space="preserve">Theoretically, the greater the level of gearing, the greater the dangers to a corporation because interest and debt payments are not voluntary like rewards. </w:t>
          </w:r>
          <w:r w:rsidR="00391D1F" w:rsidRPr="00391D1F">
            <w:rPr>
              <w:rFonts w:ascii="Arial" w:hAnsi="Arial" w:cs="Arial"/>
              <w:sz w:val="24"/>
              <w:szCs w:val="24"/>
            </w:rPr>
            <w:t>Nevertheless, if a business has a good, dependable cash flows, gearing may be a financially feasible element of its capital structure.</w:t>
          </w:r>
          <w:r w:rsidR="00AD0E95">
            <w:rPr>
              <w:rFonts w:ascii="Arial" w:hAnsi="Arial" w:cs="Arial"/>
              <w:sz w:val="24"/>
              <w:szCs w:val="24"/>
            </w:rPr>
            <w:t xml:space="preserve"> </w:t>
          </w:r>
          <w:r w:rsidR="00391D1F" w:rsidRPr="00391D1F">
            <w:rPr>
              <w:rFonts w:ascii="Arial" w:hAnsi="Arial" w:cs="Arial"/>
              <w:sz w:val="24"/>
              <w:szCs w:val="24"/>
            </w:rPr>
            <w:t>A high gearing ratio suggests a high debt-to-equity ratio, and a scares gearing ratio indicates the converse</w:t>
          </w:r>
          <w:r w:rsidR="00AD0E95" w:rsidRPr="00AD0E95">
            <w:rPr>
              <w:rFonts w:ascii="Arial" w:hAnsi="Arial" w:cs="Arial"/>
              <w:sz w:val="24"/>
              <w:szCs w:val="24"/>
            </w:rPr>
            <w:t xml:space="preserve">. As </w:t>
          </w:r>
          <w:r w:rsidR="00391D1F">
            <w:rPr>
              <w:rFonts w:ascii="Arial" w:hAnsi="Arial" w:cs="Arial"/>
              <w:sz w:val="24"/>
              <w:szCs w:val="24"/>
            </w:rPr>
            <w:t>lenders</w:t>
          </w:r>
          <w:r w:rsidR="00AD0E95" w:rsidRPr="00AD0E95">
            <w:rPr>
              <w:rFonts w:ascii="Arial" w:hAnsi="Arial" w:cs="Arial"/>
              <w:sz w:val="24"/>
              <w:szCs w:val="24"/>
            </w:rPr>
            <w:t xml:space="preserve"> still need to be </w:t>
          </w:r>
          <w:r w:rsidR="00391D1F">
            <w:rPr>
              <w:rFonts w:ascii="Arial" w:hAnsi="Arial" w:cs="Arial"/>
              <w:sz w:val="24"/>
              <w:szCs w:val="24"/>
            </w:rPr>
            <w:t>reimbursed</w:t>
          </w:r>
          <w:r w:rsidR="00AD0E95" w:rsidRPr="00AD0E95">
            <w:rPr>
              <w:rFonts w:ascii="Arial" w:hAnsi="Arial" w:cs="Arial"/>
              <w:sz w:val="24"/>
              <w:szCs w:val="24"/>
            </w:rPr>
            <w:t xml:space="preserve"> </w:t>
          </w:r>
          <w:r w:rsidR="00391D1F">
            <w:rPr>
              <w:rFonts w:ascii="Arial" w:hAnsi="Arial" w:cs="Arial"/>
              <w:sz w:val="24"/>
              <w:szCs w:val="24"/>
            </w:rPr>
            <w:t>disregarding</w:t>
          </w:r>
          <w:r w:rsidR="00AD0E95" w:rsidRPr="00AD0E95">
            <w:rPr>
              <w:rFonts w:ascii="Arial" w:hAnsi="Arial" w:cs="Arial"/>
              <w:sz w:val="24"/>
              <w:szCs w:val="24"/>
            </w:rPr>
            <w:t xml:space="preserve"> of whether the company is making money, funding from creditors is riskier than investment from the company's owners</w:t>
          </w:r>
          <w:r w:rsidR="00AD0E95">
            <w:rPr>
              <w:rFonts w:ascii="Arial" w:hAnsi="Arial" w:cs="Arial"/>
              <w:sz w:val="24"/>
              <w:szCs w:val="24"/>
            </w:rPr>
            <w:t xml:space="preserve"> (Boyte-White, 2021)</w:t>
          </w:r>
          <w:r w:rsidR="00AD0E95" w:rsidRPr="00AD0E95">
            <w:rPr>
              <w:rFonts w:ascii="Arial" w:hAnsi="Arial" w:cs="Arial"/>
              <w:sz w:val="24"/>
              <w:szCs w:val="24"/>
            </w:rPr>
            <w:t>.</w:t>
          </w:r>
          <w:r w:rsidR="00AD0E95">
            <w:rPr>
              <w:rFonts w:ascii="Arial" w:hAnsi="Arial" w:cs="Arial"/>
              <w:sz w:val="24"/>
              <w:szCs w:val="24"/>
            </w:rPr>
            <w:t xml:space="preserve"> </w:t>
          </w:r>
          <w:r w:rsidR="00B90093" w:rsidRPr="00B90093">
            <w:rPr>
              <w:rFonts w:ascii="Arial" w:hAnsi="Arial" w:cs="Arial"/>
              <w:sz w:val="24"/>
              <w:szCs w:val="24"/>
            </w:rPr>
            <w:t>The debt-to-equity ratio is the most common example of the large range of financial measurements known as gearing ratios</w:t>
          </w:r>
          <w:r w:rsidR="00B90093">
            <w:rPr>
              <w:rFonts w:ascii="Arial" w:hAnsi="Arial" w:cs="Arial"/>
              <w:sz w:val="24"/>
              <w:szCs w:val="24"/>
            </w:rPr>
            <w:t xml:space="preserve"> (The Investopedia Team, 2021)</w:t>
          </w:r>
          <w:r w:rsidR="00B90093" w:rsidRPr="00B90093">
            <w:rPr>
              <w:rFonts w:ascii="Arial" w:hAnsi="Arial" w:cs="Arial"/>
              <w:sz w:val="24"/>
              <w:szCs w:val="24"/>
            </w:rPr>
            <w:t>.</w:t>
          </w:r>
          <w:r w:rsidR="00E40634">
            <w:rPr>
              <w:rFonts w:ascii="Arial" w:hAnsi="Arial" w:cs="Arial"/>
              <w:sz w:val="24"/>
              <w:szCs w:val="24"/>
            </w:rPr>
            <w:t xml:space="preserve"> Marriott’s debt-to-equity has decreased from one year to the other, which could be a sign of less </w:t>
          </w:r>
          <w:r w:rsidR="00C52303">
            <w:rPr>
              <w:rFonts w:ascii="Arial" w:hAnsi="Arial" w:cs="Arial"/>
              <w:sz w:val="24"/>
              <w:szCs w:val="24"/>
            </w:rPr>
            <w:t>capital borrowed and more profit earned.</w:t>
          </w:r>
        </w:p>
        <w:p w14:paraId="66AE03FD" w14:textId="41CCF9B9" w:rsidR="00CB0B0A" w:rsidRDefault="00CB0B0A" w:rsidP="00E54D7B">
          <w:pPr>
            <w:spacing w:line="360" w:lineRule="auto"/>
            <w:jc w:val="both"/>
            <w:rPr>
              <w:rFonts w:ascii="Arial" w:hAnsi="Arial" w:cs="Arial"/>
              <w:sz w:val="24"/>
              <w:szCs w:val="24"/>
            </w:rPr>
          </w:pPr>
        </w:p>
        <w:p w14:paraId="20AAA3CF" w14:textId="4D5AF6B8" w:rsidR="00CB0B0A" w:rsidRPr="00CB0B0A" w:rsidRDefault="00CB0B0A" w:rsidP="00A807D2">
          <w:pPr>
            <w:spacing w:line="360" w:lineRule="auto"/>
            <w:jc w:val="both"/>
            <w:rPr>
              <w:rFonts w:ascii="Arial" w:hAnsi="Arial" w:cs="Arial"/>
              <w:b/>
              <w:bCs/>
              <w:sz w:val="28"/>
              <w:szCs w:val="28"/>
            </w:rPr>
          </w:pPr>
          <w:r>
            <w:rPr>
              <w:rFonts w:ascii="Arial" w:hAnsi="Arial" w:cs="Arial"/>
              <w:b/>
              <w:bCs/>
              <w:sz w:val="28"/>
              <w:szCs w:val="28"/>
            </w:rPr>
            <w:t>Knowledge from Ratio Analysis</w:t>
          </w:r>
        </w:p>
        <w:p w14:paraId="0593B36A" w14:textId="77777777" w:rsidR="00FB456A" w:rsidRDefault="009B4F77" w:rsidP="00A807D2">
          <w:pPr>
            <w:spacing w:line="360" w:lineRule="auto"/>
            <w:jc w:val="both"/>
            <w:rPr>
              <w:rFonts w:ascii="Arial" w:hAnsi="Arial" w:cs="Arial"/>
              <w:sz w:val="24"/>
              <w:szCs w:val="24"/>
            </w:rPr>
          </w:pPr>
          <w:r w:rsidRPr="009B4F77">
            <w:rPr>
              <w:rFonts w:ascii="Arial" w:hAnsi="Arial" w:cs="Arial"/>
              <w:sz w:val="24"/>
              <w:szCs w:val="24"/>
            </w:rPr>
            <w:t xml:space="preserve">Ratio analysis is a popular approach for analysing financial statements. It defines the numerical or quantitative link between two statistics in a financial statement </w:t>
          </w:r>
          <w:r w:rsidR="00251903" w:rsidRPr="009B4F77">
            <w:rPr>
              <w:rFonts w:ascii="Arial" w:hAnsi="Arial" w:cs="Arial"/>
              <w:sz w:val="24"/>
              <w:szCs w:val="24"/>
            </w:rPr>
            <w:t>to</w:t>
          </w:r>
          <w:r w:rsidRPr="009B4F77">
            <w:rPr>
              <w:rFonts w:ascii="Arial" w:hAnsi="Arial" w:cs="Arial"/>
              <w:sz w:val="24"/>
              <w:szCs w:val="24"/>
            </w:rPr>
            <w:t xml:space="preserve"> determine a business's strengths and flaws as well as the company's present financial condition and historical performance. It enables numerous interested parties to assess a specific area of a company's profitability</w:t>
          </w:r>
          <w:r w:rsidR="00907829">
            <w:rPr>
              <w:rFonts w:ascii="Arial" w:hAnsi="Arial" w:cs="Arial"/>
              <w:sz w:val="24"/>
              <w:szCs w:val="24"/>
            </w:rPr>
            <w:t xml:space="preserve"> (Corporate vision, 2022)</w:t>
          </w:r>
          <w:r w:rsidRPr="009B4F77">
            <w:rPr>
              <w:rFonts w:ascii="Arial" w:hAnsi="Arial" w:cs="Arial"/>
              <w:sz w:val="24"/>
              <w:szCs w:val="24"/>
            </w:rPr>
            <w:t>.</w:t>
          </w:r>
          <w:r w:rsidR="00251903">
            <w:rPr>
              <w:rFonts w:ascii="Arial" w:hAnsi="Arial" w:cs="Arial"/>
              <w:sz w:val="24"/>
              <w:szCs w:val="24"/>
            </w:rPr>
            <w:t xml:space="preserve"> </w:t>
          </w:r>
          <w:r w:rsidR="00907829" w:rsidRPr="00907829">
            <w:rPr>
              <w:rFonts w:ascii="Arial" w:hAnsi="Arial" w:cs="Arial"/>
              <w:sz w:val="24"/>
              <w:szCs w:val="24"/>
            </w:rPr>
            <w:t>Ratio analysis is frequently utilized to assess a company's risks, and to do so, both operational and financial leverage must be calculated. Simply said, it assists managers in determining the profitability sensitivity of an organisation while considering outstanding loans and fixed financial expenditures.</w:t>
          </w:r>
          <w:r w:rsidR="00907829">
            <w:rPr>
              <w:rFonts w:ascii="Arial" w:hAnsi="Arial" w:cs="Arial"/>
              <w:sz w:val="24"/>
              <w:szCs w:val="24"/>
            </w:rPr>
            <w:t xml:space="preserve"> </w:t>
          </w:r>
          <w:r w:rsidR="00461C92" w:rsidRPr="00461C92">
            <w:rPr>
              <w:rFonts w:ascii="Arial" w:hAnsi="Arial" w:cs="Arial"/>
              <w:sz w:val="24"/>
              <w:szCs w:val="24"/>
            </w:rPr>
            <w:t>The ratio analysis method is a very helpful technique for assessing a firm ’s financial performance. However, it has substantial restrictions that should not be neglected when undertaking such an investigation</w:t>
          </w:r>
          <w:r w:rsidR="00907829" w:rsidRPr="00907829">
            <w:rPr>
              <w:rFonts w:ascii="Arial" w:hAnsi="Arial" w:cs="Arial"/>
              <w:sz w:val="24"/>
              <w:szCs w:val="24"/>
            </w:rPr>
            <w:t>.</w:t>
          </w:r>
          <w:r w:rsidR="00907829">
            <w:rPr>
              <w:rFonts w:ascii="Arial" w:hAnsi="Arial" w:cs="Arial"/>
              <w:sz w:val="24"/>
              <w:szCs w:val="24"/>
            </w:rPr>
            <w:t xml:space="preserve"> For once, r</w:t>
          </w:r>
          <w:r w:rsidR="00907829" w:rsidRPr="00907829">
            <w:rPr>
              <w:rFonts w:ascii="Arial" w:hAnsi="Arial" w:cs="Arial"/>
              <w:sz w:val="24"/>
              <w:szCs w:val="24"/>
            </w:rPr>
            <w:t xml:space="preserve">atios are established using data obtained from financial statements. However, </w:t>
          </w:r>
          <w:r w:rsidR="00461C92" w:rsidRPr="00461C92">
            <w:rPr>
              <w:rFonts w:ascii="Arial" w:hAnsi="Arial" w:cs="Arial"/>
              <w:sz w:val="24"/>
              <w:szCs w:val="24"/>
            </w:rPr>
            <w:t xml:space="preserve">financial statements have a range of limitations that may compromise the quality of ratio analysis </w:t>
          </w:r>
          <w:r w:rsidR="00907829">
            <w:rPr>
              <w:rFonts w:ascii="Arial" w:hAnsi="Arial" w:cs="Arial"/>
              <w:sz w:val="24"/>
              <w:szCs w:val="24"/>
            </w:rPr>
            <w:t>(Pant, n.d.)</w:t>
          </w:r>
          <w:r w:rsidR="00907829" w:rsidRPr="00907829">
            <w:rPr>
              <w:rFonts w:ascii="Arial" w:hAnsi="Arial" w:cs="Arial"/>
              <w:sz w:val="24"/>
              <w:szCs w:val="24"/>
            </w:rPr>
            <w:t>.</w:t>
          </w:r>
          <w:r w:rsidR="003A3120">
            <w:rPr>
              <w:rFonts w:ascii="Arial" w:hAnsi="Arial" w:cs="Arial"/>
              <w:sz w:val="24"/>
              <w:szCs w:val="24"/>
            </w:rPr>
            <w:t xml:space="preserve"> </w:t>
          </w:r>
          <w:r w:rsidR="00015E18" w:rsidRPr="00015E18">
            <w:rPr>
              <w:rFonts w:ascii="Arial" w:hAnsi="Arial" w:cs="Arial"/>
              <w:sz w:val="24"/>
              <w:szCs w:val="24"/>
            </w:rPr>
            <w:t>A</w:t>
          </w:r>
          <w:r w:rsidR="00461C92">
            <w:rPr>
              <w:rFonts w:ascii="Arial" w:hAnsi="Arial" w:cs="Arial"/>
              <w:sz w:val="24"/>
              <w:szCs w:val="24"/>
            </w:rPr>
            <w:t xml:space="preserve"> further</w:t>
          </w:r>
          <w:r w:rsidR="00015E18" w:rsidRPr="00015E18">
            <w:rPr>
              <w:rFonts w:ascii="Arial" w:hAnsi="Arial" w:cs="Arial"/>
              <w:sz w:val="24"/>
              <w:szCs w:val="24"/>
            </w:rPr>
            <w:t xml:space="preserve"> </w:t>
          </w:r>
          <w:r w:rsidR="00461C92">
            <w:rPr>
              <w:rFonts w:ascii="Arial" w:hAnsi="Arial" w:cs="Arial"/>
              <w:sz w:val="24"/>
              <w:szCs w:val="24"/>
            </w:rPr>
            <w:t>deficiency</w:t>
          </w:r>
          <w:r w:rsidR="00015E18" w:rsidRPr="00015E18">
            <w:rPr>
              <w:rFonts w:ascii="Arial" w:hAnsi="Arial" w:cs="Arial"/>
              <w:sz w:val="24"/>
              <w:szCs w:val="24"/>
            </w:rPr>
            <w:t xml:space="preserve"> of </w:t>
          </w:r>
          <w:r w:rsidR="00461C92">
            <w:rPr>
              <w:rFonts w:ascii="Arial" w:hAnsi="Arial" w:cs="Arial"/>
              <w:sz w:val="24"/>
              <w:szCs w:val="24"/>
            </w:rPr>
            <w:t>r</w:t>
          </w:r>
          <w:r w:rsidR="00015E18" w:rsidRPr="00015E18">
            <w:rPr>
              <w:rFonts w:ascii="Arial" w:hAnsi="Arial" w:cs="Arial"/>
              <w:sz w:val="24"/>
              <w:szCs w:val="24"/>
            </w:rPr>
            <w:t xml:space="preserve">atio </w:t>
          </w:r>
          <w:r w:rsidR="00461C92">
            <w:rPr>
              <w:rFonts w:ascii="Arial" w:hAnsi="Arial" w:cs="Arial"/>
              <w:sz w:val="24"/>
              <w:szCs w:val="24"/>
            </w:rPr>
            <w:t>a</w:t>
          </w:r>
          <w:r w:rsidR="00015E18" w:rsidRPr="00015E18">
            <w:rPr>
              <w:rFonts w:ascii="Arial" w:hAnsi="Arial" w:cs="Arial"/>
              <w:sz w:val="24"/>
              <w:szCs w:val="24"/>
            </w:rPr>
            <w:t>nalysis is that it neglects to consider any p</w:t>
          </w:r>
          <w:r w:rsidR="00461C92">
            <w:rPr>
              <w:rFonts w:ascii="Arial" w:hAnsi="Arial" w:cs="Arial"/>
              <w:sz w:val="24"/>
              <w:szCs w:val="24"/>
            </w:rPr>
            <w:t>rospective</w:t>
          </w:r>
          <w:r w:rsidR="00015E18" w:rsidRPr="00015E18">
            <w:rPr>
              <w:rFonts w:ascii="Arial" w:hAnsi="Arial" w:cs="Arial"/>
              <w:sz w:val="24"/>
              <w:szCs w:val="24"/>
            </w:rPr>
            <w:t xml:space="preserve"> liabilities. A</w:t>
          </w:r>
          <w:r w:rsidR="00461C92">
            <w:rPr>
              <w:rFonts w:ascii="Arial" w:hAnsi="Arial" w:cs="Arial"/>
              <w:sz w:val="24"/>
              <w:szCs w:val="24"/>
            </w:rPr>
            <w:t>n</w:t>
          </w:r>
          <w:r w:rsidR="00015E18" w:rsidRPr="00015E18">
            <w:rPr>
              <w:rFonts w:ascii="Arial" w:hAnsi="Arial" w:cs="Arial"/>
              <w:sz w:val="24"/>
              <w:szCs w:val="24"/>
            </w:rPr>
            <w:t xml:space="preserve"> </w:t>
          </w:r>
          <w:r w:rsidR="00461C92">
            <w:rPr>
              <w:rFonts w:ascii="Arial" w:hAnsi="Arial" w:cs="Arial"/>
              <w:sz w:val="24"/>
              <w:szCs w:val="24"/>
            </w:rPr>
            <w:t>unforeseen</w:t>
          </w:r>
          <w:r w:rsidR="00015E18" w:rsidRPr="00015E18">
            <w:rPr>
              <w:rFonts w:ascii="Arial" w:hAnsi="Arial" w:cs="Arial"/>
              <w:sz w:val="24"/>
              <w:szCs w:val="24"/>
            </w:rPr>
            <w:t xml:space="preserve"> </w:t>
          </w:r>
          <w:r w:rsidR="00461C92">
            <w:rPr>
              <w:rFonts w:ascii="Arial" w:hAnsi="Arial" w:cs="Arial"/>
              <w:sz w:val="24"/>
              <w:szCs w:val="24"/>
            </w:rPr>
            <w:t>responsibility</w:t>
          </w:r>
          <w:r w:rsidR="00015E18" w:rsidRPr="00015E18">
            <w:rPr>
              <w:rFonts w:ascii="Arial" w:hAnsi="Arial" w:cs="Arial"/>
              <w:sz w:val="24"/>
              <w:szCs w:val="24"/>
            </w:rPr>
            <w:t xml:space="preserve"> is </w:t>
          </w:r>
          <w:r w:rsidR="009769AE">
            <w:rPr>
              <w:rFonts w:ascii="Arial" w:hAnsi="Arial" w:cs="Arial"/>
              <w:sz w:val="24"/>
              <w:szCs w:val="24"/>
            </w:rPr>
            <w:t>reliant</w:t>
          </w:r>
          <w:r w:rsidR="00015E18" w:rsidRPr="00015E18">
            <w:rPr>
              <w:rFonts w:ascii="Arial" w:hAnsi="Arial" w:cs="Arial"/>
              <w:sz w:val="24"/>
              <w:szCs w:val="24"/>
            </w:rPr>
            <w:t xml:space="preserve"> on external influences that might or might not </w:t>
          </w:r>
          <w:r w:rsidR="009769AE">
            <w:rPr>
              <w:rFonts w:ascii="Arial" w:hAnsi="Arial" w:cs="Arial"/>
              <w:sz w:val="24"/>
              <w:szCs w:val="24"/>
            </w:rPr>
            <w:t>arise</w:t>
          </w:r>
          <w:r w:rsidR="00015E18" w:rsidRPr="00015E18">
            <w:rPr>
              <w:rFonts w:ascii="Arial" w:hAnsi="Arial" w:cs="Arial"/>
              <w:sz w:val="24"/>
              <w:szCs w:val="24"/>
            </w:rPr>
            <w:t>, such as lawsuit issues.</w:t>
          </w:r>
          <w:r w:rsidR="00015E18">
            <w:rPr>
              <w:rFonts w:ascii="Arial" w:hAnsi="Arial" w:cs="Arial"/>
              <w:sz w:val="24"/>
              <w:szCs w:val="24"/>
            </w:rPr>
            <w:t xml:space="preserve"> </w:t>
          </w:r>
          <w:r w:rsidR="009769AE" w:rsidRPr="009769AE">
            <w:rPr>
              <w:rFonts w:ascii="Arial" w:hAnsi="Arial" w:cs="Arial"/>
              <w:sz w:val="24"/>
              <w:szCs w:val="24"/>
            </w:rPr>
            <w:t>Should they have an unfavourable influence on the business, such events will have considerable economic repercussions</w:t>
          </w:r>
          <w:r w:rsidR="00015E18" w:rsidRPr="00015E18">
            <w:rPr>
              <w:rFonts w:ascii="Arial" w:hAnsi="Arial" w:cs="Arial"/>
              <w:sz w:val="24"/>
              <w:szCs w:val="24"/>
            </w:rPr>
            <w:t xml:space="preserve">. </w:t>
          </w:r>
          <w:r w:rsidR="009769AE">
            <w:rPr>
              <w:rFonts w:ascii="Arial" w:hAnsi="Arial" w:cs="Arial"/>
              <w:sz w:val="24"/>
              <w:szCs w:val="24"/>
            </w:rPr>
            <w:t>Though</w:t>
          </w:r>
          <w:r w:rsidR="00015E18" w:rsidRPr="00015E18">
            <w:rPr>
              <w:rFonts w:ascii="Arial" w:hAnsi="Arial" w:cs="Arial"/>
              <w:sz w:val="24"/>
              <w:szCs w:val="24"/>
            </w:rPr>
            <w:t xml:space="preserve">, Ratio Analysis does not take this into account, even though such </w:t>
          </w:r>
          <w:r w:rsidR="00015E18">
            <w:rPr>
              <w:rFonts w:ascii="Arial" w:hAnsi="Arial" w:cs="Arial"/>
              <w:sz w:val="24"/>
              <w:szCs w:val="24"/>
            </w:rPr>
            <w:t>c</w:t>
          </w:r>
          <w:r w:rsidR="00015E18" w:rsidRPr="00015E18">
            <w:rPr>
              <w:rFonts w:ascii="Arial" w:hAnsi="Arial" w:cs="Arial"/>
              <w:sz w:val="24"/>
              <w:szCs w:val="24"/>
            </w:rPr>
            <w:t xml:space="preserve">ontingent </w:t>
          </w:r>
          <w:r w:rsidR="00015E18">
            <w:rPr>
              <w:rFonts w:ascii="Arial" w:hAnsi="Arial" w:cs="Arial"/>
              <w:sz w:val="24"/>
              <w:szCs w:val="24"/>
            </w:rPr>
            <w:t>l</w:t>
          </w:r>
          <w:r w:rsidR="00015E18" w:rsidRPr="00015E18">
            <w:rPr>
              <w:rFonts w:ascii="Arial" w:hAnsi="Arial" w:cs="Arial"/>
              <w:sz w:val="24"/>
              <w:szCs w:val="24"/>
            </w:rPr>
            <w:t>iabilities may have a considerable influence on the business's Financial Position</w:t>
          </w:r>
          <w:r w:rsidR="00015E18">
            <w:rPr>
              <w:rFonts w:ascii="Arial" w:hAnsi="Arial" w:cs="Arial"/>
              <w:sz w:val="24"/>
              <w:szCs w:val="24"/>
            </w:rPr>
            <w:t xml:space="preserve"> (Vaidya, 2022)</w:t>
          </w:r>
          <w:r w:rsidR="00015E18" w:rsidRPr="00015E18">
            <w:rPr>
              <w:rFonts w:ascii="Arial" w:hAnsi="Arial" w:cs="Arial"/>
              <w:sz w:val="24"/>
              <w:szCs w:val="24"/>
            </w:rPr>
            <w:t>.</w:t>
          </w:r>
          <w:r w:rsidR="00520629">
            <w:rPr>
              <w:rFonts w:ascii="Arial" w:hAnsi="Arial" w:cs="Arial"/>
              <w:sz w:val="24"/>
              <w:szCs w:val="24"/>
            </w:rPr>
            <w:t xml:space="preserve"> </w:t>
          </w:r>
          <w:r w:rsidR="000C3A0B" w:rsidRPr="000C3A0B">
            <w:rPr>
              <w:rFonts w:ascii="Arial" w:hAnsi="Arial" w:cs="Arial"/>
              <w:sz w:val="24"/>
              <w:szCs w:val="24"/>
            </w:rPr>
            <w:t xml:space="preserve">Further disadvantage is that everything is influenced by past data supplied by the </w:t>
          </w:r>
          <w:r w:rsidR="009769AE">
            <w:rPr>
              <w:rFonts w:ascii="Arial" w:hAnsi="Arial" w:cs="Arial"/>
              <w:sz w:val="24"/>
              <w:szCs w:val="24"/>
            </w:rPr>
            <w:t>organisation</w:t>
          </w:r>
          <w:r w:rsidR="000C3A0B" w:rsidRPr="000C3A0B">
            <w:rPr>
              <w:rFonts w:ascii="Arial" w:hAnsi="Arial" w:cs="Arial"/>
              <w:sz w:val="24"/>
              <w:szCs w:val="24"/>
            </w:rPr>
            <w:t xml:space="preserve"> and so </w:t>
          </w:r>
          <w:r w:rsidR="009769AE">
            <w:rPr>
              <w:rFonts w:ascii="Arial" w:hAnsi="Arial" w:cs="Arial"/>
              <w:sz w:val="24"/>
              <w:szCs w:val="24"/>
            </w:rPr>
            <w:t>speculate</w:t>
          </w:r>
          <w:r w:rsidR="000C3A0B" w:rsidRPr="000C3A0B">
            <w:rPr>
              <w:rFonts w:ascii="Arial" w:hAnsi="Arial" w:cs="Arial"/>
              <w:sz w:val="24"/>
              <w:szCs w:val="24"/>
            </w:rPr>
            <w:t xml:space="preserve"> that history tends to repeat itself, which may or may not always be case. Furthermore, such data are </w:t>
          </w:r>
          <w:r w:rsidR="009769AE">
            <w:rPr>
              <w:rFonts w:ascii="Arial" w:hAnsi="Arial" w:cs="Arial"/>
              <w:sz w:val="24"/>
              <w:szCs w:val="24"/>
            </w:rPr>
            <w:t>insignificant</w:t>
          </w:r>
          <w:r w:rsidR="000C3A0B" w:rsidRPr="000C3A0B">
            <w:rPr>
              <w:rFonts w:ascii="Arial" w:hAnsi="Arial" w:cs="Arial"/>
              <w:sz w:val="24"/>
              <w:szCs w:val="24"/>
            </w:rPr>
            <w:t xml:space="preserve"> when a </w:t>
          </w:r>
          <w:r w:rsidR="009769AE">
            <w:rPr>
              <w:rFonts w:ascii="Arial" w:hAnsi="Arial" w:cs="Arial"/>
              <w:sz w:val="24"/>
              <w:szCs w:val="24"/>
            </w:rPr>
            <w:t>business</w:t>
          </w:r>
          <w:r w:rsidR="000C3A0B" w:rsidRPr="000C3A0B">
            <w:rPr>
              <w:rFonts w:ascii="Arial" w:hAnsi="Arial" w:cs="Arial"/>
              <w:sz w:val="24"/>
              <w:szCs w:val="24"/>
            </w:rPr>
            <w:t xml:space="preserve"> changes its strategic </w:t>
          </w:r>
          <w:r w:rsidR="009769AE">
            <w:rPr>
              <w:rFonts w:ascii="Arial" w:hAnsi="Arial" w:cs="Arial"/>
              <w:sz w:val="24"/>
              <w:szCs w:val="24"/>
            </w:rPr>
            <w:t>objective</w:t>
          </w:r>
          <w:r w:rsidR="000C3A0B" w:rsidRPr="000C3A0B">
            <w:rPr>
              <w:rFonts w:ascii="Arial" w:hAnsi="Arial" w:cs="Arial"/>
              <w:sz w:val="24"/>
              <w:szCs w:val="24"/>
            </w:rPr>
            <w:t xml:space="preserve"> or </w:t>
          </w:r>
          <w:r w:rsidR="00FB456A">
            <w:rPr>
              <w:rFonts w:ascii="Arial" w:hAnsi="Arial" w:cs="Arial"/>
              <w:sz w:val="24"/>
              <w:szCs w:val="24"/>
            </w:rPr>
            <w:t>undertakes</w:t>
          </w:r>
          <w:r w:rsidR="000C3A0B" w:rsidRPr="000C3A0B">
            <w:rPr>
              <w:rFonts w:ascii="Arial" w:hAnsi="Arial" w:cs="Arial"/>
              <w:sz w:val="24"/>
              <w:szCs w:val="24"/>
            </w:rPr>
            <w:t xml:space="preserve"> a new area of business.</w:t>
          </w:r>
          <w:r w:rsidR="000C3A0B">
            <w:rPr>
              <w:rFonts w:ascii="Arial" w:hAnsi="Arial" w:cs="Arial"/>
              <w:sz w:val="24"/>
              <w:szCs w:val="24"/>
            </w:rPr>
            <w:t xml:space="preserve"> Also, </w:t>
          </w:r>
          <w:r w:rsidR="000C3A0B" w:rsidRPr="000C3A0B">
            <w:rPr>
              <w:rFonts w:ascii="Arial" w:hAnsi="Arial" w:cs="Arial"/>
              <w:sz w:val="24"/>
              <w:szCs w:val="24"/>
            </w:rPr>
            <w:t xml:space="preserve">Ratio </w:t>
          </w:r>
          <w:r w:rsidR="009769AE">
            <w:rPr>
              <w:rFonts w:ascii="Arial" w:hAnsi="Arial" w:cs="Arial"/>
              <w:sz w:val="24"/>
              <w:szCs w:val="24"/>
            </w:rPr>
            <w:t>a</w:t>
          </w:r>
          <w:r w:rsidR="000C3A0B" w:rsidRPr="000C3A0B">
            <w:rPr>
              <w:rFonts w:ascii="Arial" w:hAnsi="Arial" w:cs="Arial"/>
              <w:sz w:val="24"/>
              <w:szCs w:val="24"/>
            </w:rPr>
            <w:t xml:space="preserve">nalysis does not account for the influence of </w:t>
          </w:r>
          <w:r w:rsidR="00FB456A">
            <w:rPr>
              <w:rFonts w:ascii="Arial" w:hAnsi="Arial" w:cs="Arial"/>
              <w:sz w:val="24"/>
              <w:szCs w:val="24"/>
            </w:rPr>
            <w:t>cost rise</w:t>
          </w:r>
          <w:r w:rsidR="000C3A0B" w:rsidRPr="000C3A0B">
            <w:rPr>
              <w:rFonts w:ascii="Arial" w:hAnsi="Arial" w:cs="Arial"/>
              <w:sz w:val="24"/>
              <w:szCs w:val="24"/>
            </w:rPr>
            <w:t>, sometimes known as inflation. If a</w:t>
          </w:r>
          <w:r w:rsidR="00FB456A">
            <w:rPr>
              <w:rFonts w:ascii="Arial" w:hAnsi="Arial" w:cs="Arial"/>
              <w:sz w:val="24"/>
              <w:szCs w:val="24"/>
            </w:rPr>
            <w:t>n</w:t>
          </w:r>
          <w:r w:rsidR="000C3A0B" w:rsidRPr="000C3A0B">
            <w:rPr>
              <w:rFonts w:ascii="Arial" w:hAnsi="Arial" w:cs="Arial"/>
              <w:sz w:val="24"/>
              <w:szCs w:val="24"/>
            </w:rPr>
            <w:t xml:space="preserve"> </w:t>
          </w:r>
          <w:r w:rsidR="00FB456A">
            <w:rPr>
              <w:rFonts w:ascii="Arial" w:hAnsi="Arial" w:cs="Arial"/>
              <w:sz w:val="24"/>
              <w:szCs w:val="24"/>
            </w:rPr>
            <w:t>increase</w:t>
          </w:r>
          <w:r w:rsidR="000C3A0B" w:rsidRPr="000C3A0B">
            <w:rPr>
              <w:rFonts w:ascii="Arial" w:hAnsi="Arial" w:cs="Arial"/>
              <w:sz w:val="24"/>
              <w:szCs w:val="24"/>
            </w:rPr>
            <w:t xml:space="preserve"> in sales is </w:t>
          </w:r>
          <w:r w:rsidR="00FB456A">
            <w:rPr>
              <w:rFonts w:ascii="Arial" w:hAnsi="Arial" w:cs="Arial"/>
              <w:sz w:val="24"/>
              <w:szCs w:val="24"/>
            </w:rPr>
            <w:t>exclusively</w:t>
          </w:r>
          <w:r w:rsidR="000C3A0B" w:rsidRPr="000C3A0B">
            <w:rPr>
              <w:rFonts w:ascii="Arial" w:hAnsi="Arial" w:cs="Arial"/>
              <w:sz w:val="24"/>
              <w:szCs w:val="24"/>
            </w:rPr>
            <w:t xml:space="preserve"> due to inflation, the company's </w:t>
          </w:r>
          <w:r w:rsidR="009769AE">
            <w:rPr>
              <w:rFonts w:ascii="Arial" w:hAnsi="Arial" w:cs="Arial"/>
              <w:sz w:val="24"/>
              <w:szCs w:val="24"/>
            </w:rPr>
            <w:t>e</w:t>
          </w:r>
          <w:r w:rsidR="000C3A0B" w:rsidRPr="000C3A0B">
            <w:rPr>
              <w:rFonts w:ascii="Arial" w:hAnsi="Arial" w:cs="Arial"/>
              <w:sz w:val="24"/>
              <w:szCs w:val="24"/>
            </w:rPr>
            <w:t xml:space="preserve">arnings will appear to have gone up over the preceding year while </w:t>
          </w:r>
          <w:bookmarkStart w:id="1" w:name="_Toc463944606"/>
          <w:r w:rsidR="00FB456A" w:rsidRPr="00FB456A">
            <w:rPr>
              <w:rFonts w:ascii="Arial" w:hAnsi="Arial" w:cs="Arial"/>
              <w:sz w:val="24"/>
              <w:szCs w:val="24"/>
            </w:rPr>
            <w:t>incomes will have stayed constant in actual terms.</w:t>
          </w:r>
        </w:p>
        <w:p w14:paraId="2BE84030" w14:textId="77777777" w:rsidR="00FB456A" w:rsidRDefault="00FB456A" w:rsidP="00A807D2">
          <w:pPr>
            <w:spacing w:line="360" w:lineRule="auto"/>
            <w:jc w:val="both"/>
            <w:rPr>
              <w:rFonts w:ascii="Arial" w:hAnsi="Arial" w:cs="Arial"/>
              <w:sz w:val="24"/>
              <w:szCs w:val="24"/>
            </w:rPr>
          </w:pPr>
        </w:p>
        <w:p w14:paraId="4F7657FB" w14:textId="0E569D96" w:rsidR="000C3A0B" w:rsidRDefault="000C3A0B" w:rsidP="00A807D2">
          <w:pPr>
            <w:spacing w:line="360" w:lineRule="auto"/>
            <w:jc w:val="both"/>
            <w:rPr>
              <w:rFonts w:ascii="Arial" w:hAnsi="Arial" w:cs="Arial"/>
              <w:b/>
              <w:bCs/>
              <w:sz w:val="28"/>
              <w:szCs w:val="28"/>
            </w:rPr>
          </w:pPr>
          <w:r>
            <w:rPr>
              <w:rFonts w:ascii="Arial" w:hAnsi="Arial" w:cs="Arial"/>
              <w:b/>
              <w:bCs/>
              <w:sz w:val="28"/>
              <w:szCs w:val="28"/>
            </w:rPr>
            <w:t>Benefits and Limitations of Ratio Analysis</w:t>
          </w:r>
        </w:p>
        <w:p w14:paraId="1807C767" w14:textId="0218533E" w:rsidR="000C3A0B" w:rsidRPr="000C3A0B" w:rsidRDefault="00FB456A" w:rsidP="00A807D2">
          <w:pPr>
            <w:spacing w:line="360" w:lineRule="auto"/>
            <w:jc w:val="both"/>
            <w:rPr>
              <w:rFonts w:ascii="Arial" w:hAnsi="Arial" w:cs="Arial"/>
              <w:sz w:val="24"/>
              <w:szCs w:val="24"/>
            </w:rPr>
          </w:pPr>
          <w:r w:rsidRPr="00FB456A">
            <w:rPr>
              <w:rFonts w:ascii="Arial" w:hAnsi="Arial" w:cs="Arial"/>
              <w:sz w:val="24"/>
              <w:szCs w:val="24"/>
            </w:rPr>
            <w:t>The ability to create more precise projections is one of the most significant benefits of data analysis for managers and analysts</w:t>
          </w:r>
          <w:r w:rsidR="000C3A0B" w:rsidRPr="000C3A0B">
            <w:rPr>
              <w:rFonts w:ascii="Arial" w:hAnsi="Arial" w:cs="Arial"/>
              <w:sz w:val="24"/>
              <w:szCs w:val="24"/>
            </w:rPr>
            <w:t xml:space="preserve">. </w:t>
          </w:r>
          <w:r w:rsidRPr="00FB456A">
            <w:rPr>
              <w:rFonts w:ascii="Arial" w:hAnsi="Arial" w:cs="Arial"/>
              <w:sz w:val="24"/>
              <w:szCs w:val="24"/>
            </w:rPr>
            <w:t>Meanwhile, it fosters enhanced key decision making between investors as well as other external funders</w:t>
          </w:r>
          <w:r w:rsidR="000C3A0B" w:rsidRPr="000C3A0B">
            <w:rPr>
              <w:rFonts w:ascii="Arial" w:hAnsi="Arial" w:cs="Arial"/>
              <w:sz w:val="24"/>
              <w:szCs w:val="24"/>
            </w:rPr>
            <w:t xml:space="preserve">. To create accurate forecasts and better judgments, businesses must </w:t>
          </w:r>
          <w:r w:rsidR="000D233C">
            <w:rPr>
              <w:rFonts w:ascii="Arial" w:hAnsi="Arial" w:cs="Arial"/>
              <w:sz w:val="24"/>
              <w:szCs w:val="24"/>
            </w:rPr>
            <w:t>acknowledge</w:t>
          </w:r>
          <w:r w:rsidR="000C3A0B" w:rsidRPr="000C3A0B">
            <w:rPr>
              <w:rFonts w:ascii="Arial" w:hAnsi="Arial" w:cs="Arial"/>
              <w:sz w:val="24"/>
              <w:szCs w:val="24"/>
            </w:rPr>
            <w:t xml:space="preserve"> its efficiency ratios, asset management, profitability, and liquidity. While at the same time, managers can </w:t>
          </w:r>
          <w:r w:rsidR="000D233C">
            <w:rPr>
              <w:rFonts w:ascii="Arial" w:hAnsi="Arial" w:cs="Arial"/>
              <w:sz w:val="24"/>
              <w:szCs w:val="24"/>
            </w:rPr>
            <w:t>evaluate</w:t>
          </w:r>
          <w:r w:rsidR="000C3A0B" w:rsidRPr="000C3A0B">
            <w:rPr>
              <w:rFonts w:ascii="Arial" w:hAnsi="Arial" w:cs="Arial"/>
              <w:sz w:val="24"/>
              <w:szCs w:val="24"/>
            </w:rPr>
            <w:t xml:space="preserve"> their position in relation to their competitors and decide if pursuing specific goals is feasible. </w:t>
          </w:r>
          <w:r w:rsidR="00D5659D" w:rsidRPr="00D5659D">
            <w:rPr>
              <w:rFonts w:ascii="Arial" w:hAnsi="Arial" w:cs="Arial"/>
              <w:sz w:val="24"/>
              <w:szCs w:val="24"/>
            </w:rPr>
            <w:t xml:space="preserve">To test one's productivity against that of competing companies, discover gaps, and evaluate strategic benefits, advantages, flaws, opportunities, and risks, ratio analysis is essential. </w:t>
          </w:r>
          <w:r w:rsidR="000D233C" w:rsidRPr="000D233C">
            <w:rPr>
              <w:rFonts w:ascii="Arial" w:hAnsi="Arial" w:cs="Arial"/>
              <w:sz w:val="24"/>
              <w:szCs w:val="24"/>
            </w:rPr>
            <w:t>This information can be used by decision-makers to improve the corporation's standing in the industry.</w:t>
          </w:r>
          <w:r w:rsidR="000D233C">
            <w:rPr>
              <w:rFonts w:ascii="Arial" w:hAnsi="Arial" w:cs="Arial"/>
              <w:sz w:val="24"/>
              <w:szCs w:val="24"/>
            </w:rPr>
            <w:t xml:space="preserve"> Solvency r</w:t>
          </w:r>
          <w:r w:rsidR="00D5659D" w:rsidRPr="00D5659D">
            <w:rPr>
              <w:rFonts w:ascii="Arial" w:hAnsi="Arial" w:cs="Arial"/>
              <w:sz w:val="24"/>
              <w:szCs w:val="24"/>
            </w:rPr>
            <w:t xml:space="preserve">atio can also be </w:t>
          </w:r>
          <w:r w:rsidR="000D233C" w:rsidRPr="00D5659D">
            <w:rPr>
              <w:rFonts w:ascii="Arial" w:hAnsi="Arial" w:cs="Arial"/>
              <w:sz w:val="24"/>
              <w:szCs w:val="24"/>
            </w:rPr>
            <w:t>u</w:t>
          </w:r>
          <w:r w:rsidR="000D233C">
            <w:rPr>
              <w:rFonts w:ascii="Arial" w:hAnsi="Arial" w:cs="Arial"/>
              <w:sz w:val="24"/>
              <w:szCs w:val="24"/>
            </w:rPr>
            <w:t>tilised</w:t>
          </w:r>
          <w:r w:rsidR="00D5659D" w:rsidRPr="00D5659D">
            <w:rPr>
              <w:rFonts w:ascii="Arial" w:hAnsi="Arial" w:cs="Arial"/>
              <w:sz w:val="24"/>
              <w:szCs w:val="24"/>
            </w:rPr>
            <w:t xml:space="preserve"> to de</w:t>
          </w:r>
          <w:r w:rsidR="000D233C">
            <w:rPr>
              <w:rFonts w:ascii="Arial" w:hAnsi="Arial" w:cs="Arial"/>
              <w:sz w:val="24"/>
              <w:szCs w:val="24"/>
            </w:rPr>
            <w:t>duce</w:t>
          </w:r>
          <w:r w:rsidR="00D5659D" w:rsidRPr="00D5659D">
            <w:rPr>
              <w:rFonts w:ascii="Arial" w:hAnsi="Arial" w:cs="Arial"/>
              <w:sz w:val="24"/>
              <w:szCs w:val="24"/>
            </w:rPr>
            <w:t xml:space="preserve"> whether revenues are being used too much or too little, as well as how well a business is utilising its assets and liabilities</w:t>
          </w:r>
          <w:r w:rsidR="00B97810">
            <w:rPr>
              <w:rFonts w:ascii="Arial" w:hAnsi="Arial" w:cs="Arial"/>
              <w:sz w:val="24"/>
              <w:szCs w:val="24"/>
            </w:rPr>
            <w:t xml:space="preserve"> (Kote, 2020)</w:t>
          </w:r>
          <w:r w:rsidR="00D5659D" w:rsidRPr="00D5659D">
            <w:rPr>
              <w:rFonts w:ascii="Arial" w:hAnsi="Arial" w:cs="Arial"/>
              <w:sz w:val="24"/>
              <w:szCs w:val="24"/>
            </w:rPr>
            <w:t>. The categories of ratios mentioned above are utilised to aid managers in their decision-making.</w:t>
          </w:r>
        </w:p>
        <w:p w14:paraId="540F5F8E" w14:textId="5EFFA05A" w:rsidR="000C3A0B" w:rsidRPr="000C3A0B" w:rsidRDefault="000C3A0B" w:rsidP="00A807D2">
          <w:pPr>
            <w:spacing w:line="360" w:lineRule="auto"/>
            <w:jc w:val="both"/>
            <w:rPr>
              <w:rFonts w:ascii="Arial" w:hAnsi="Arial" w:cs="Arial"/>
              <w:sz w:val="24"/>
              <w:szCs w:val="24"/>
            </w:rPr>
          </w:pPr>
        </w:p>
        <w:bookmarkEnd w:id="1"/>
        <w:p w14:paraId="090F9B68" w14:textId="0C5477DD" w:rsidR="00D5659D" w:rsidRPr="00D5659D" w:rsidRDefault="00D5659D" w:rsidP="00A807D2">
          <w:pPr>
            <w:spacing w:line="360" w:lineRule="auto"/>
            <w:jc w:val="both"/>
            <w:rPr>
              <w:rFonts w:ascii="Arial" w:hAnsi="Arial" w:cs="Arial"/>
              <w:sz w:val="24"/>
              <w:szCs w:val="24"/>
            </w:rPr>
          </w:pPr>
        </w:p>
        <w:p w14:paraId="1763236B" w14:textId="408E61C2" w:rsidR="00AA2A91" w:rsidRDefault="00745ABC" w:rsidP="00A807D2">
          <w:pPr>
            <w:spacing w:line="360" w:lineRule="auto"/>
            <w:jc w:val="both"/>
            <w:rPr>
              <w:rFonts w:ascii="Arial" w:eastAsiaTheme="majorEastAsia" w:hAnsi="Arial" w:cs="Arial"/>
              <w:b/>
              <w:bCs/>
              <w:sz w:val="28"/>
              <w:szCs w:val="28"/>
            </w:rPr>
          </w:pPr>
          <w:r>
            <w:rPr>
              <w:rFonts w:ascii="Arial" w:eastAsiaTheme="majorEastAsia" w:hAnsi="Arial" w:cs="Arial"/>
              <w:b/>
              <w:bCs/>
              <w:sz w:val="28"/>
              <w:szCs w:val="28"/>
            </w:rPr>
            <w:t>Conclusion</w:t>
          </w:r>
        </w:p>
        <w:p w14:paraId="314924E5" w14:textId="3703D47F" w:rsidR="00745ABC" w:rsidRPr="00745ABC" w:rsidRDefault="00745ABC" w:rsidP="00A807D2">
          <w:pPr>
            <w:spacing w:line="360" w:lineRule="auto"/>
            <w:jc w:val="both"/>
            <w:rPr>
              <w:rFonts w:ascii="Arial" w:hAnsi="Arial" w:cs="Arial"/>
              <w:sz w:val="24"/>
              <w:szCs w:val="24"/>
            </w:rPr>
          </w:pPr>
          <w:r>
            <w:rPr>
              <w:rFonts w:ascii="Arial" w:eastAsiaTheme="majorEastAsia" w:hAnsi="Arial" w:cs="Arial"/>
              <w:sz w:val="24"/>
              <w:szCs w:val="24"/>
            </w:rPr>
            <w:t>To conclude, the above</w:t>
          </w:r>
          <w:r w:rsidR="00F6532B">
            <w:rPr>
              <w:rFonts w:ascii="Arial" w:eastAsiaTheme="majorEastAsia" w:hAnsi="Arial" w:cs="Arial"/>
              <w:sz w:val="24"/>
              <w:szCs w:val="24"/>
            </w:rPr>
            <w:t xml:space="preserve"> information of Marriott’s financials on the period of two years gives </w:t>
          </w:r>
          <w:r>
            <w:rPr>
              <w:rFonts w:ascii="Arial" w:eastAsiaTheme="majorEastAsia" w:hAnsi="Arial" w:cs="Arial"/>
              <w:sz w:val="24"/>
              <w:szCs w:val="24"/>
            </w:rPr>
            <w:t>data</w:t>
          </w:r>
          <w:r w:rsidR="00F6532B">
            <w:rPr>
              <w:rFonts w:ascii="Arial" w:eastAsiaTheme="majorEastAsia" w:hAnsi="Arial" w:cs="Arial"/>
              <w:sz w:val="24"/>
              <w:szCs w:val="24"/>
            </w:rPr>
            <w:t>,</w:t>
          </w:r>
          <w:r>
            <w:rPr>
              <w:rFonts w:ascii="Arial" w:eastAsiaTheme="majorEastAsia" w:hAnsi="Arial" w:cs="Arial"/>
              <w:sz w:val="24"/>
              <w:szCs w:val="24"/>
            </w:rPr>
            <w:t xml:space="preserve"> such as net margin and return ratio</w:t>
          </w:r>
          <w:r w:rsidR="00F6532B">
            <w:rPr>
              <w:rFonts w:ascii="Arial" w:eastAsiaTheme="majorEastAsia" w:hAnsi="Arial" w:cs="Arial"/>
              <w:sz w:val="24"/>
              <w:szCs w:val="24"/>
            </w:rPr>
            <w:t>s, that</w:t>
          </w:r>
          <w:r>
            <w:rPr>
              <w:rFonts w:ascii="Arial" w:eastAsiaTheme="majorEastAsia" w:hAnsi="Arial" w:cs="Arial"/>
              <w:sz w:val="24"/>
              <w:szCs w:val="24"/>
            </w:rPr>
            <w:t xml:space="preserve"> shows the difficulty Marriott went through in the year of lockdown</w:t>
          </w:r>
          <w:r w:rsidR="00F6532B">
            <w:rPr>
              <w:rFonts w:ascii="Arial" w:eastAsiaTheme="majorEastAsia" w:hAnsi="Arial" w:cs="Arial"/>
              <w:sz w:val="24"/>
              <w:szCs w:val="24"/>
            </w:rPr>
            <w:t xml:space="preserve"> when</w:t>
          </w:r>
          <w:r>
            <w:rPr>
              <w:rFonts w:ascii="Arial" w:eastAsiaTheme="majorEastAsia" w:hAnsi="Arial" w:cs="Arial"/>
              <w:sz w:val="24"/>
              <w:szCs w:val="24"/>
            </w:rPr>
            <w:t xml:space="preserve"> revenue decreased with the travel restrictions</w:t>
          </w:r>
          <w:r w:rsidR="00F6532B">
            <w:rPr>
              <w:rFonts w:ascii="Arial" w:eastAsiaTheme="majorEastAsia" w:hAnsi="Arial" w:cs="Arial"/>
              <w:sz w:val="24"/>
              <w:szCs w:val="24"/>
            </w:rPr>
            <w:t>.</w:t>
          </w:r>
          <w:r>
            <w:rPr>
              <w:rFonts w:ascii="Arial" w:eastAsiaTheme="majorEastAsia" w:hAnsi="Arial" w:cs="Arial"/>
              <w:sz w:val="24"/>
              <w:szCs w:val="24"/>
            </w:rPr>
            <w:t xml:space="preserve"> </w:t>
          </w:r>
          <w:r w:rsidR="00F6532B">
            <w:rPr>
              <w:rFonts w:ascii="Arial" w:eastAsiaTheme="majorEastAsia" w:hAnsi="Arial" w:cs="Arial"/>
              <w:sz w:val="24"/>
              <w:szCs w:val="24"/>
            </w:rPr>
            <w:t>Despite that, the financial commitments</w:t>
          </w:r>
          <w:r>
            <w:rPr>
              <w:rFonts w:ascii="Arial" w:eastAsiaTheme="majorEastAsia" w:hAnsi="Arial" w:cs="Arial"/>
              <w:sz w:val="24"/>
              <w:szCs w:val="24"/>
            </w:rPr>
            <w:t xml:space="preserve"> still had to be paid. The analysis also indicates that the company went through a slight improvement in the year</w:t>
          </w:r>
          <w:r w:rsidR="00F6532B">
            <w:rPr>
              <w:rFonts w:ascii="Arial" w:eastAsiaTheme="majorEastAsia" w:hAnsi="Arial" w:cs="Arial"/>
              <w:sz w:val="24"/>
              <w:szCs w:val="24"/>
            </w:rPr>
            <w:t xml:space="preserve"> of</w:t>
          </w:r>
          <w:r>
            <w:rPr>
              <w:rFonts w:ascii="Arial" w:eastAsiaTheme="majorEastAsia" w:hAnsi="Arial" w:cs="Arial"/>
              <w:sz w:val="24"/>
              <w:szCs w:val="24"/>
            </w:rPr>
            <w:t xml:space="preserve"> 2021</w:t>
          </w:r>
          <w:r w:rsidR="00F6532B">
            <w:rPr>
              <w:rFonts w:ascii="Arial" w:eastAsiaTheme="majorEastAsia" w:hAnsi="Arial" w:cs="Arial"/>
              <w:sz w:val="24"/>
              <w:szCs w:val="24"/>
            </w:rPr>
            <w:t xml:space="preserve">, however the growth of revenue was petit. It has also been made clear that because of the short period of the data provided it is difficult for managers to conclude and forecast how the company will stand financially in the forthcoming years. In </w:t>
          </w:r>
          <w:r w:rsidR="00D72A5B">
            <w:rPr>
              <w:rFonts w:ascii="Arial" w:eastAsiaTheme="majorEastAsia" w:hAnsi="Arial" w:cs="Arial"/>
              <w:sz w:val="24"/>
              <w:szCs w:val="24"/>
            </w:rPr>
            <w:t>addition,</w:t>
          </w:r>
          <w:r w:rsidR="00F6532B">
            <w:rPr>
              <w:rFonts w:ascii="Arial" w:eastAsiaTheme="majorEastAsia" w:hAnsi="Arial" w:cs="Arial"/>
              <w:sz w:val="24"/>
              <w:szCs w:val="24"/>
            </w:rPr>
            <w:t xml:space="preserve"> the analysis </w:t>
          </w:r>
          <w:r w:rsidR="00D72A5B">
            <w:rPr>
              <w:rFonts w:ascii="Arial" w:eastAsiaTheme="majorEastAsia" w:hAnsi="Arial" w:cs="Arial"/>
              <w:sz w:val="24"/>
              <w:szCs w:val="24"/>
            </w:rPr>
            <w:t>data</w:t>
          </w:r>
          <w:r w:rsidR="00F6532B">
            <w:rPr>
              <w:rFonts w:ascii="Arial" w:eastAsiaTheme="majorEastAsia" w:hAnsi="Arial" w:cs="Arial"/>
              <w:sz w:val="24"/>
              <w:szCs w:val="24"/>
            </w:rPr>
            <w:t xml:space="preserve"> is </w:t>
          </w:r>
          <w:r w:rsidR="00D72A5B">
            <w:rPr>
              <w:rFonts w:ascii="Arial" w:eastAsiaTheme="majorEastAsia" w:hAnsi="Arial" w:cs="Arial"/>
              <w:sz w:val="24"/>
              <w:szCs w:val="24"/>
            </w:rPr>
            <w:t xml:space="preserve">from the past years and does not include external factors that may have impacted the hotel business. Therefore, the information may not be accurate. </w:t>
          </w:r>
          <w:r w:rsidR="00D72A5B" w:rsidRPr="00D72A5B">
            <w:rPr>
              <w:rFonts w:ascii="Arial" w:eastAsiaTheme="majorEastAsia" w:hAnsi="Arial" w:cs="Arial"/>
              <w:sz w:val="24"/>
              <w:szCs w:val="24"/>
            </w:rPr>
            <w:t xml:space="preserve">Poor data results in poor decisions. A decision can only be as good as the information it is founded on, and making important decisions based on flawed evidence could result in extremely negative outcomes. </w:t>
          </w:r>
          <w:r w:rsidR="00D72A5B">
            <w:rPr>
              <w:rFonts w:ascii="Arial" w:eastAsiaTheme="majorEastAsia" w:hAnsi="Arial" w:cs="Arial"/>
              <w:sz w:val="24"/>
              <w:szCs w:val="24"/>
            </w:rPr>
            <w:t>Therefore,</w:t>
          </w:r>
          <w:r w:rsidR="00D72A5B" w:rsidRPr="00D72A5B">
            <w:rPr>
              <w:rFonts w:ascii="Arial" w:eastAsiaTheme="majorEastAsia" w:hAnsi="Arial" w:cs="Arial"/>
              <w:sz w:val="24"/>
              <w:szCs w:val="24"/>
            </w:rPr>
            <w:t xml:space="preserve"> checking that </w:t>
          </w:r>
          <w:r w:rsidR="00D72A5B">
            <w:rPr>
              <w:rFonts w:ascii="Arial" w:eastAsiaTheme="majorEastAsia" w:hAnsi="Arial" w:cs="Arial"/>
              <w:sz w:val="24"/>
              <w:szCs w:val="24"/>
            </w:rPr>
            <w:t>the</w:t>
          </w:r>
          <w:r w:rsidR="00D72A5B" w:rsidRPr="00D72A5B">
            <w:rPr>
              <w:rFonts w:ascii="Arial" w:eastAsiaTheme="majorEastAsia" w:hAnsi="Arial" w:cs="Arial"/>
              <w:sz w:val="24"/>
              <w:szCs w:val="24"/>
            </w:rPr>
            <w:t xml:space="preserve"> data accurately reflects reality</w:t>
          </w:r>
          <w:r w:rsidR="00D72A5B">
            <w:rPr>
              <w:rFonts w:ascii="Arial" w:eastAsiaTheme="majorEastAsia" w:hAnsi="Arial" w:cs="Arial"/>
              <w:sz w:val="24"/>
              <w:szCs w:val="24"/>
            </w:rPr>
            <w:t xml:space="preserve"> is essential in decision-making. </w:t>
          </w:r>
        </w:p>
        <w:p w14:paraId="515275D2" w14:textId="73EF8D04" w:rsidR="00AA2A91" w:rsidRDefault="00AA2A91" w:rsidP="00745ABC">
          <w:pPr>
            <w:spacing w:line="360" w:lineRule="auto"/>
          </w:pPr>
        </w:p>
        <w:p w14:paraId="4801CD7C" w14:textId="0834F1C8" w:rsidR="00A807D2" w:rsidRDefault="00A807D2" w:rsidP="00745ABC">
          <w:pPr>
            <w:spacing w:line="360" w:lineRule="auto"/>
          </w:pPr>
        </w:p>
        <w:p w14:paraId="722C3010" w14:textId="243CCEAD" w:rsidR="00A807D2" w:rsidRDefault="00A807D2" w:rsidP="00745ABC">
          <w:pPr>
            <w:spacing w:line="360" w:lineRule="auto"/>
          </w:pPr>
        </w:p>
        <w:p w14:paraId="4BD175E0" w14:textId="77777777" w:rsidR="00A807D2" w:rsidRDefault="00A807D2" w:rsidP="00745ABC">
          <w:pPr>
            <w:spacing w:line="360" w:lineRule="auto"/>
          </w:pPr>
        </w:p>
        <w:p w14:paraId="12347926" w14:textId="44CC25DA" w:rsidR="00AA2A91" w:rsidRDefault="00AA2A91" w:rsidP="00AA2A91"/>
        <w:p w14:paraId="13AB4A35" w14:textId="63F224A7" w:rsidR="00884C63" w:rsidRDefault="00884C63" w:rsidP="007D1947"/>
        <w:p w14:paraId="04B40B59" w14:textId="13203C49" w:rsidR="00CA09F3" w:rsidRDefault="00000000"/>
      </w:sdtContent>
    </w:sdt>
    <w:p w14:paraId="56B5846A" w14:textId="5E64B7EE" w:rsidR="00894B27" w:rsidRDefault="00894B27">
      <w:pPr>
        <w:rPr>
          <w:rFonts w:ascii="Arial" w:hAnsi="Arial" w:cs="Arial"/>
          <w:b/>
          <w:bCs/>
          <w:sz w:val="28"/>
          <w:szCs w:val="28"/>
        </w:rPr>
      </w:pPr>
      <w:r>
        <w:rPr>
          <w:rFonts w:ascii="Arial" w:hAnsi="Arial" w:cs="Arial"/>
          <w:b/>
          <w:bCs/>
          <w:sz w:val="28"/>
          <w:szCs w:val="28"/>
        </w:rPr>
        <w:t>Reference</w:t>
      </w:r>
    </w:p>
    <w:p w14:paraId="42BD1353" w14:textId="2ACD143C" w:rsidR="00AD0E95" w:rsidRPr="00AD0E95" w:rsidRDefault="00AD0E95">
      <w:pPr>
        <w:rPr>
          <w:rFonts w:ascii="Arial" w:hAnsi="Arial" w:cs="Arial"/>
          <w:sz w:val="24"/>
          <w:szCs w:val="24"/>
        </w:rPr>
      </w:pPr>
      <w:r>
        <w:rPr>
          <w:rFonts w:ascii="Arial" w:hAnsi="Arial" w:cs="Arial"/>
          <w:sz w:val="24"/>
          <w:szCs w:val="24"/>
        </w:rPr>
        <w:t xml:space="preserve">Boyte-White, C. (2021) </w:t>
      </w:r>
      <w:r>
        <w:rPr>
          <w:rFonts w:ascii="Arial" w:hAnsi="Arial" w:cs="Arial"/>
          <w:i/>
          <w:iCs/>
          <w:sz w:val="24"/>
          <w:szCs w:val="24"/>
        </w:rPr>
        <w:t xml:space="preserve">Gearing Ratio: What is a Good Ratio, and How To Calculate It. </w:t>
      </w:r>
      <w:r>
        <w:rPr>
          <w:rFonts w:ascii="Arial" w:hAnsi="Arial" w:cs="Arial"/>
          <w:sz w:val="24"/>
          <w:szCs w:val="24"/>
        </w:rPr>
        <w:t xml:space="preserve">Available at: </w:t>
      </w:r>
      <w:hyperlink r:id="rId14" w:history="1">
        <w:r w:rsidRPr="00486036">
          <w:rPr>
            <w:rStyle w:val="Hyperlink"/>
            <w:rFonts w:ascii="Arial" w:hAnsi="Arial" w:cs="Arial"/>
            <w:sz w:val="24"/>
            <w:szCs w:val="24"/>
          </w:rPr>
          <w:t>https://www.investopedia.com/ask/answers/121814/what-good-gearing-ratio.asp</w:t>
        </w:r>
      </w:hyperlink>
      <w:r>
        <w:rPr>
          <w:rFonts w:ascii="Arial" w:hAnsi="Arial" w:cs="Arial"/>
          <w:sz w:val="24"/>
          <w:szCs w:val="24"/>
        </w:rPr>
        <w:t xml:space="preserve"> (Accessed: 03 December 2022).</w:t>
      </w:r>
    </w:p>
    <w:p w14:paraId="11BA8A83" w14:textId="3F65E2DD" w:rsidR="00F821E3" w:rsidRDefault="00F821E3">
      <w:pPr>
        <w:rPr>
          <w:rFonts w:ascii="Arial" w:hAnsi="Arial" w:cs="Arial"/>
          <w:sz w:val="24"/>
          <w:szCs w:val="24"/>
        </w:rPr>
      </w:pPr>
      <w:r>
        <w:rPr>
          <w:rFonts w:ascii="Arial" w:hAnsi="Arial" w:cs="Arial"/>
          <w:sz w:val="24"/>
          <w:szCs w:val="24"/>
        </w:rPr>
        <w:t xml:space="preserve">CFI Team (2022) </w:t>
      </w:r>
      <w:r>
        <w:rPr>
          <w:rFonts w:ascii="Arial" w:hAnsi="Arial" w:cs="Arial"/>
          <w:i/>
          <w:iCs/>
          <w:sz w:val="24"/>
          <w:szCs w:val="24"/>
        </w:rPr>
        <w:t xml:space="preserve">Return on Equity (ROE). </w:t>
      </w:r>
      <w:r>
        <w:rPr>
          <w:rFonts w:ascii="Arial" w:hAnsi="Arial" w:cs="Arial"/>
          <w:sz w:val="24"/>
          <w:szCs w:val="24"/>
        </w:rPr>
        <w:t>Available at:</w:t>
      </w:r>
      <w:r w:rsidR="00E941BB" w:rsidRPr="00E941BB">
        <w:t xml:space="preserve"> </w:t>
      </w:r>
      <w:hyperlink r:id="rId15" w:history="1">
        <w:r w:rsidR="00E941BB" w:rsidRPr="00322F56">
          <w:rPr>
            <w:rStyle w:val="Hyperlink"/>
            <w:rFonts w:ascii="Arial" w:hAnsi="Arial" w:cs="Arial"/>
            <w:sz w:val="24"/>
            <w:szCs w:val="24"/>
          </w:rPr>
          <w:t>https://corporatefinanceinstitute.com/resources/accounting/what-is-return-on-equity-roe/</w:t>
        </w:r>
      </w:hyperlink>
      <w:r w:rsidR="00E941BB">
        <w:rPr>
          <w:rFonts w:ascii="Arial" w:hAnsi="Arial" w:cs="Arial"/>
          <w:sz w:val="24"/>
          <w:szCs w:val="24"/>
        </w:rPr>
        <w:t xml:space="preserve"> (Accessed: 02 December 2022).</w:t>
      </w:r>
    </w:p>
    <w:p w14:paraId="19E98447" w14:textId="34454F2D" w:rsidR="0064258D" w:rsidRDefault="0064258D">
      <w:pPr>
        <w:rPr>
          <w:rFonts w:ascii="Arial" w:hAnsi="Arial" w:cs="Arial"/>
          <w:sz w:val="24"/>
          <w:szCs w:val="24"/>
        </w:rPr>
      </w:pPr>
      <w:r>
        <w:rPr>
          <w:rFonts w:ascii="Arial" w:hAnsi="Arial" w:cs="Arial"/>
          <w:sz w:val="24"/>
          <w:szCs w:val="24"/>
        </w:rPr>
        <w:t xml:space="preserve">CFI Team (2022b) </w:t>
      </w:r>
      <w:r>
        <w:rPr>
          <w:rFonts w:ascii="Arial" w:hAnsi="Arial" w:cs="Arial"/>
          <w:i/>
          <w:iCs/>
          <w:sz w:val="24"/>
          <w:szCs w:val="24"/>
        </w:rPr>
        <w:t xml:space="preserve">Liquidity Ratio. </w:t>
      </w:r>
      <w:r>
        <w:rPr>
          <w:rFonts w:ascii="Arial" w:hAnsi="Arial" w:cs="Arial"/>
          <w:sz w:val="24"/>
          <w:szCs w:val="24"/>
        </w:rPr>
        <w:t xml:space="preserve">Available at: </w:t>
      </w:r>
      <w:hyperlink r:id="rId16" w:history="1">
        <w:r w:rsidRPr="00322F56">
          <w:rPr>
            <w:rStyle w:val="Hyperlink"/>
            <w:rFonts w:ascii="Arial" w:hAnsi="Arial" w:cs="Arial"/>
            <w:sz w:val="24"/>
            <w:szCs w:val="24"/>
          </w:rPr>
          <w:t>https://corporatefinanceinstitute.com/resources/accounting/liquidity-ratio/</w:t>
        </w:r>
      </w:hyperlink>
      <w:r>
        <w:rPr>
          <w:rFonts w:ascii="Arial" w:hAnsi="Arial" w:cs="Arial"/>
          <w:sz w:val="24"/>
          <w:szCs w:val="24"/>
        </w:rPr>
        <w:t xml:space="preserve"> (Accessed: 30 November 2022).</w:t>
      </w:r>
    </w:p>
    <w:p w14:paraId="61FB3694" w14:textId="2744151A" w:rsidR="00907829" w:rsidRPr="00907829" w:rsidRDefault="00907829">
      <w:pPr>
        <w:rPr>
          <w:rFonts w:ascii="Arial" w:hAnsi="Arial" w:cs="Arial"/>
          <w:i/>
          <w:iCs/>
          <w:sz w:val="24"/>
          <w:szCs w:val="24"/>
        </w:rPr>
      </w:pPr>
      <w:r>
        <w:rPr>
          <w:rFonts w:ascii="Arial" w:hAnsi="Arial" w:cs="Arial"/>
          <w:sz w:val="24"/>
          <w:szCs w:val="24"/>
        </w:rPr>
        <w:t xml:space="preserve">Corporate vision (2022) </w:t>
      </w:r>
      <w:r w:rsidRPr="00907829">
        <w:rPr>
          <w:rFonts w:ascii="Arial" w:hAnsi="Arial" w:cs="Arial"/>
          <w:i/>
          <w:iCs/>
          <w:sz w:val="24"/>
          <w:szCs w:val="24"/>
        </w:rPr>
        <w:t xml:space="preserve">Why is Ratio Analysis so </w:t>
      </w:r>
      <w:proofErr w:type="gramStart"/>
      <w:r w:rsidRPr="00907829">
        <w:rPr>
          <w:rFonts w:ascii="Arial" w:hAnsi="Arial" w:cs="Arial"/>
          <w:i/>
          <w:iCs/>
          <w:sz w:val="24"/>
          <w:szCs w:val="24"/>
        </w:rPr>
        <w:t>Important?.</w:t>
      </w:r>
      <w:proofErr w:type="gramEnd"/>
      <w:r w:rsidRPr="00907829">
        <w:rPr>
          <w:rFonts w:ascii="Arial" w:hAnsi="Arial" w:cs="Arial"/>
          <w:i/>
          <w:iCs/>
          <w:sz w:val="24"/>
          <w:szCs w:val="24"/>
        </w:rPr>
        <w:t xml:space="preserve"> </w:t>
      </w:r>
      <w:r>
        <w:rPr>
          <w:rFonts w:ascii="Arial" w:hAnsi="Arial" w:cs="Arial"/>
          <w:sz w:val="24"/>
          <w:szCs w:val="24"/>
        </w:rPr>
        <w:t xml:space="preserve">Available at: </w:t>
      </w:r>
      <w:hyperlink r:id="rId17" w:history="1">
        <w:r w:rsidRPr="00486036">
          <w:rPr>
            <w:rStyle w:val="Hyperlink"/>
            <w:rFonts w:ascii="Arial" w:hAnsi="Arial" w:cs="Arial"/>
            <w:sz w:val="24"/>
            <w:szCs w:val="24"/>
          </w:rPr>
          <w:t>https://www.corporatevision-news.com/why-is-ratio-analysis-so-important/</w:t>
        </w:r>
      </w:hyperlink>
      <w:r>
        <w:rPr>
          <w:rFonts w:ascii="Arial" w:hAnsi="Arial" w:cs="Arial"/>
          <w:sz w:val="24"/>
          <w:szCs w:val="24"/>
        </w:rPr>
        <w:t xml:space="preserve"> (Accessed: 03 December 2022).</w:t>
      </w:r>
    </w:p>
    <w:p w14:paraId="379171D8" w14:textId="76B4D0C8" w:rsidR="00884C63" w:rsidRPr="00884C63" w:rsidRDefault="00884C63">
      <w:pPr>
        <w:rPr>
          <w:rFonts w:ascii="Arial" w:hAnsi="Arial" w:cs="Arial"/>
          <w:i/>
          <w:iCs/>
          <w:sz w:val="24"/>
          <w:szCs w:val="24"/>
        </w:rPr>
      </w:pPr>
      <w:r>
        <w:rPr>
          <w:rFonts w:ascii="Arial" w:hAnsi="Arial" w:cs="Arial"/>
          <w:sz w:val="24"/>
          <w:szCs w:val="24"/>
        </w:rPr>
        <w:t xml:space="preserve">Curry, B. (2022) </w:t>
      </w:r>
      <w:r>
        <w:rPr>
          <w:rFonts w:ascii="Arial" w:hAnsi="Arial" w:cs="Arial"/>
          <w:i/>
          <w:iCs/>
          <w:sz w:val="24"/>
          <w:szCs w:val="24"/>
        </w:rPr>
        <w:t xml:space="preserve">Return On Investment (ROI). Available at: </w:t>
      </w:r>
      <w:hyperlink r:id="rId18" w:history="1">
        <w:r w:rsidRPr="00322F56">
          <w:rPr>
            <w:rStyle w:val="Hyperlink"/>
            <w:rFonts w:ascii="Arial" w:hAnsi="Arial" w:cs="Arial"/>
            <w:i/>
            <w:iCs/>
            <w:sz w:val="24"/>
            <w:szCs w:val="24"/>
          </w:rPr>
          <w:t>https://www.forbes.com/advisor/investing/roi-return-on-investment/</w:t>
        </w:r>
      </w:hyperlink>
      <w:r>
        <w:rPr>
          <w:rFonts w:ascii="Arial" w:hAnsi="Arial" w:cs="Arial"/>
          <w:i/>
          <w:iCs/>
          <w:sz w:val="24"/>
          <w:szCs w:val="24"/>
        </w:rPr>
        <w:t xml:space="preserve"> (Accessed: 04 December 2022).</w:t>
      </w:r>
    </w:p>
    <w:p w14:paraId="43CF30C1" w14:textId="2DD09FDB" w:rsidR="00A92717" w:rsidRPr="00A92717" w:rsidRDefault="00A92717">
      <w:pPr>
        <w:rPr>
          <w:rFonts w:ascii="Arial" w:hAnsi="Arial" w:cs="Arial"/>
          <w:sz w:val="24"/>
          <w:szCs w:val="24"/>
        </w:rPr>
      </w:pPr>
      <w:r>
        <w:rPr>
          <w:rFonts w:ascii="Arial" w:hAnsi="Arial" w:cs="Arial"/>
          <w:sz w:val="24"/>
          <w:szCs w:val="24"/>
        </w:rPr>
        <w:t xml:space="preserve">Fitzgerald, R. (2022) </w:t>
      </w:r>
      <w:r>
        <w:rPr>
          <w:rFonts w:ascii="Arial" w:hAnsi="Arial" w:cs="Arial"/>
          <w:i/>
          <w:iCs/>
          <w:sz w:val="24"/>
          <w:szCs w:val="24"/>
        </w:rPr>
        <w:t xml:space="preserve">Business finance for managers: an essential guide to planning, control &amp; decision making. </w:t>
      </w:r>
      <w:r>
        <w:rPr>
          <w:rFonts w:ascii="Arial" w:hAnsi="Arial" w:cs="Arial"/>
          <w:sz w:val="24"/>
          <w:szCs w:val="24"/>
        </w:rPr>
        <w:t>3</w:t>
      </w:r>
      <w:r w:rsidRPr="00A92717">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Kogan Page.</w:t>
      </w:r>
    </w:p>
    <w:p w14:paraId="3C9FABE7" w14:textId="42E2C055" w:rsidR="002D10EB" w:rsidRDefault="002D10EB">
      <w:pPr>
        <w:rPr>
          <w:rFonts w:ascii="Arial" w:hAnsi="Arial" w:cs="Arial"/>
          <w:sz w:val="24"/>
          <w:szCs w:val="24"/>
        </w:rPr>
      </w:pPr>
      <w:proofErr w:type="spellStart"/>
      <w:proofErr w:type="gramStart"/>
      <w:r>
        <w:rPr>
          <w:rFonts w:ascii="Arial" w:hAnsi="Arial" w:cs="Arial"/>
          <w:sz w:val="24"/>
          <w:szCs w:val="24"/>
        </w:rPr>
        <w:t>Gordon,J</w:t>
      </w:r>
      <w:proofErr w:type="spellEnd"/>
      <w:r>
        <w:rPr>
          <w:rFonts w:ascii="Arial" w:hAnsi="Arial" w:cs="Arial"/>
          <w:sz w:val="24"/>
          <w:szCs w:val="24"/>
        </w:rPr>
        <w:t>.</w:t>
      </w:r>
      <w:proofErr w:type="gramEnd"/>
      <w:r>
        <w:rPr>
          <w:rFonts w:ascii="Arial" w:hAnsi="Arial" w:cs="Arial"/>
          <w:sz w:val="24"/>
          <w:szCs w:val="24"/>
        </w:rPr>
        <w:t xml:space="preserve"> (2022) </w:t>
      </w:r>
      <w:r>
        <w:rPr>
          <w:rFonts w:ascii="Arial" w:hAnsi="Arial" w:cs="Arial"/>
          <w:i/>
          <w:iCs/>
          <w:sz w:val="24"/>
          <w:szCs w:val="24"/>
        </w:rPr>
        <w:t xml:space="preserve">Trend Analysis – Explained. </w:t>
      </w:r>
      <w:r>
        <w:rPr>
          <w:rFonts w:ascii="Arial" w:hAnsi="Arial" w:cs="Arial"/>
          <w:sz w:val="24"/>
          <w:szCs w:val="24"/>
        </w:rPr>
        <w:t xml:space="preserve">Available at: </w:t>
      </w:r>
      <w:hyperlink r:id="rId19" w:history="1">
        <w:r w:rsidRPr="00626AED">
          <w:rPr>
            <w:rStyle w:val="Hyperlink"/>
            <w:rFonts w:ascii="Arial" w:hAnsi="Arial" w:cs="Arial"/>
            <w:sz w:val="24"/>
            <w:szCs w:val="24"/>
          </w:rPr>
          <w:t>https://thebusinessprofessor.com/en_US/research-analysis-decision-science/trend-analysis-definition</w:t>
        </w:r>
      </w:hyperlink>
      <w:r>
        <w:rPr>
          <w:rFonts w:ascii="Arial" w:hAnsi="Arial" w:cs="Arial"/>
          <w:sz w:val="24"/>
          <w:szCs w:val="24"/>
        </w:rPr>
        <w:t xml:space="preserve"> (Accessed: 01 December 2022).</w:t>
      </w:r>
    </w:p>
    <w:p w14:paraId="0FF9572C" w14:textId="2303BCC9" w:rsidR="00A30245" w:rsidRDefault="00A30245">
      <w:pPr>
        <w:rPr>
          <w:rFonts w:ascii="Arial" w:hAnsi="Arial" w:cs="Arial"/>
          <w:sz w:val="24"/>
          <w:szCs w:val="24"/>
        </w:rPr>
      </w:pPr>
      <w:proofErr w:type="spellStart"/>
      <w:r>
        <w:rPr>
          <w:rFonts w:ascii="Arial" w:hAnsi="Arial" w:cs="Arial"/>
          <w:sz w:val="24"/>
          <w:szCs w:val="24"/>
        </w:rPr>
        <w:t>Guilding</w:t>
      </w:r>
      <w:proofErr w:type="spellEnd"/>
      <w:r>
        <w:rPr>
          <w:rFonts w:ascii="Arial" w:hAnsi="Arial" w:cs="Arial"/>
          <w:sz w:val="24"/>
          <w:szCs w:val="24"/>
        </w:rPr>
        <w:t xml:space="preserve">, C. (2014) </w:t>
      </w:r>
      <w:r>
        <w:rPr>
          <w:rFonts w:ascii="Arial" w:hAnsi="Arial" w:cs="Arial"/>
          <w:i/>
          <w:iCs/>
          <w:sz w:val="24"/>
          <w:szCs w:val="24"/>
        </w:rPr>
        <w:t xml:space="preserve">Accounting essentials for hospitality managers. </w:t>
      </w:r>
      <w:r>
        <w:rPr>
          <w:rFonts w:ascii="Arial" w:hAnsi="Arial" w:cs="Arial"/>
          <w:sz w:val="24"/>
          <w:szCs w:val="24"/>
        </w:rPr>
        <w:t>3</w:t>
      </w:r>
      <w:r w:rsidRPr="00A30245">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Abingdon: Routledge.</w:t>
      </w:r>
    </w:p>
    <w:p w14:paraId="616E3A84" w14:textId="60F4827D" w:rsidR="00467867" w:rsidRPr="00467867" w:rsidRDefault="00467867">
      <w:pPr>
        <w:rPr>
          <w:rFonts w:ascii="Arial" w:hAnsi="Arial" w:cs="Arial"/>
          <w:sz w:val="24"/>
          <w:szCs w:val="24"/>
        </w:rPr>
      </w:pPr>
      <w:r>
        <w:rPr>
          <w:rFonts w:ascii="Arial" w:hAnsi="Arial" w:cs="Arial"/>
          <w:sz w:val="24"/>
          <w:szCs w:val="24"/>
        </w:rPr>
        <w:t xml:space="preserve">Hargrave, M. (2022) </w:t>
      </w:r>
      <w:r>
        <w:rPr>
          <w:rFonts w:ascii="Arial" w:hAnsi="Arial" w:cs="Arial"/>
          <w:i/>
          <w:iCs/>
          <w:sz w:val="24"/>
          <w:szCs w:val="24"/>
        </w:rPr>
        <w:t xml:space="preserve">Operating Cash Flow (OCF): Definition, Types and Formula. </w:t>
      </w:r>
      <w:r>
        <w:rPr>
          <w:rFonts w:ascii="Arial" w:hAnsi="Arial" w:cs="Arial"/>
          <w:sz w:val="24"/>
          <w:szCs w:val="24"/>
        </w:rPr>
        <w:t xml:space="preserve">Available at: </w:t>
      </w:r>
      <w:hyperlink r:id="rId20" w:anchor=":~:text=Understanding%20the%20Operating%20Cash%20Flow%20Ratio&amp;text=An%20operating%20cash%20flow%20ratio,the%20firm%20needs%20more%20capital" w:history="1">
        <w:r w:rsidRPr="00322F56">
          <w:rPr>
            <w:rStyle w:val="Hyperlink"/>
            <w:rFonts w:ascii="Arial" w:hAnsi="Arial" w:cs="Arial"/>
            <w:sz w:val="24"/>
            <w:szCs w:val="24"/>
          </w:rPr>
          <w:t>https://www.investopedia.com/terms/o/ocfratio.asp#:~:text=Understanding%20the%20Operating%20Cash%20Flow%20Ratio&amp;text=An%20operating%20cash%20flow%20ratio,the%20firm%20needs%20more%20capital</w:t>
        </w:r>
      </w:hyperlink>
      <w:r w:rsidRPr="00467867">
        <w:rPr>
          <w:rFonts w:ascii="Arial" w:hAnsi="Arial" w:cs="Arial"/>
          <w:sz w:val="24"/>
          <w:szCs w:val="24"/>
        </w:rPr>
        <w:t>.</w:t>
      </w:r>
      <w:r>
        <w:rPr>
          <w:rFonts w:ascii="Arial" w:hAnsi="Arial" w:cs="Arial"/>
          <w:sz w:val="24"/>
          <w:szCs w:val="24"/>
        </w:rPr>
        <w:t xml:space="preserve"> (Accessed: 30 November 2022).</w:t>
      </w:r>
    </w:p>
    <w:p w14:paraId="725991C8" w14:textId="551F626F" w:rsidR="00FB69F3" w:rsidRDefault="00FB69F3">
      <w:pPr>
        <w:rPr>
          <w:rFonts w:ascii="Arial" w:hAnsi="Arial" w:cs="Arial"/>
          <w:sz w:val="24"/>
          <w:szCs w:val="24"/>
        </w:rPr>
      </w:pPr>
      <w:r>
        <w:rPr>
          <w:rFonts w:ascii="Arial" w:hAnsi="Arial" w:cs="Arial"/>
          <w:sz w:val="24"/>
          <w:szCs w:val="24"/>
        </w:rPr>
        <w:t>Hayes, A. (2022</w:t>
      </w:r>
      <w:r w:rsidR="00280838">
        <w:rPr>
          <w:rFonts w:ascii="Arial" w:hAnsi="Arial" w:cs="Arial"/>
          <w:sz w:val="24"/>
          <w:szCs w:val="24"/>
        </w:rPr>
        <w:t>a</w:t>
      </w:r>
      <w:r>
        <w:rPr>
          <w:rFonts w:ascii="Arial" w:hAnsi="Arial" w:cs="Arial"/>
          <w:sz w:val="24"/>
          <w:szCs w:val="24"/>
        </w:rPr>
        <w:t xml:space="preserve">) </w:t>
      </w:r>
      <w:r>
        <w:rPr>
          <w:rFonts w:ascii="Arial" w:hAnsi="Arial" w:cs="Arial"/>
          <w:i/>
          <w:iCs/>
          <w:sz w:val="24"/>
          <w:szCs w:val="24"/>
        </w:rPr>
        <w:t xml:space="preserve">Profitability Ratios: What They Are, Common Types, and How Businesses Use Them. </w:t>
      </w:r>
      <w:r>
        <w:rPr>
          <w:rFonts w:ascii="Arial" w:hAnsi="Arial" w:cs="Arial"/>
          <w:sz w:val="24"/>
          <w:szCs w:val="24"/>
        </w:rPr>
        <w:t xml:space="preserve">Available at: </w:t>
      </w:r>
      <w:hyperlink r:id="rId21" w:history="1">
        <w:r w:rsidRPr="00FD512D">
          <w:rPr>
            <w:rStyle w:val="Hyperlink"/>
            <w:rFonts w:ascii="Arial" w:hAnsi="Arial" w:cs="Arial"/>
            <w:sz w:val="24"/>
            <w:szCs w:val="24"/>
          </w:rPr>
          <w:t>https://www.investopedia.com/terms/p/profitabilityratios.asp</w:t>
        </w:r>
      </w:hyperlink>
      <w:r>
        <w:rPr>
          <w:rFonts w:ascii="Arial" w:hAnsi="Arial" w:cs="Arial"/>
          <w:sz w:val="24"/>
          <w:szCs w:val="24"/>
        </w:rPr>
        <w:t xml:space="preserve"> (Accessed: 03 December 2022).</w:t>
      </w:r>
    </w:p>
    <w:p w14:paraId="3010302A" w14:textId="5ACB959B" w:rsidR="00280838" w:rsidRPr="00280838" w:rsidRDefault="00280838">
      <w:pPr>
        <w:rPr>
          <w:rFonts w:ascii="Arial" w:hAnsi="Arial" w:cs="Arial"/>
          <w:sz w:val="24"/>
          <w:szCs w:val="24"/>
        </w:rPr>
      </w:pPr>
      <w:r>
        <w:rPr>
          <w:rFonts w:ascii="Arial" w:hAnsi="Arial" w:cs="Arial"/>
          <w:sz w:val="24"/>
          <w:szCs w:val="24"/>
        </w:rPr>
        <w:t xml:space="preserve">Hayes, A. (2022b) </w:t>
      </w:r>
      <w:r>
        <w:rPr>
          <w:rFonts w:ascii="Arial" w:hAnsi="Arial" w:cs="Arial"/>
          <w:i/>
          <w:iCs/>
          <w:sz w:val="24"/>
          <w:szCs w:val="24"/>
        </w:rPr>
        <w:t xml:space="preserve">Understanding Liquidity Ratios: Types and Their Importance. </w:t>
      </w:r>
      <w:r>
        <w:rPr>
          <w:rFonts w:ascii="Arial" w:hAnsi="Arial" w:cs="Arial"/>
          <w:sz w:val="24"/>
          <w:szCs w:val="24"/>
        </w:rPr>
        <w:t xml:space="preserve">Available at: </w:t>
      </w:r>
      <w:hyperlink r:id="rId22" w:history="1">
        <w:r w:rsidRPr="00322F56">
          <w:rPr>
            <w:rStyle w:val="Hyperlink"/>
            <w:rFonts w:ascii="Arial" w:hAnsi="Arial" w:cs="Arial"/>
            <w:sz w:val="24"/>
            <w:szCs w:val="24"/>
          </w:rPr>
          <w:t>https://www.investopedia.com/terms/l/liquidityratios.asp</w:t>
        </w:r>
      </w:hyperlink>
      <w:r>
        <w:rPr>
          <w:rFonts w:ascii="Arial" w:hAnsi="Arial" w:cs="Arial"/>
          <w:sz w:val="24"/>
          <w:szCs w:val="24"/>
        </w:rPr>
        <w:t xml:space="preserve"> (Accessed: 02 December 2022).</w:t>
      </w:r>
    </w:p>
    <w:p w14:paraId="1EDEE1D9" w14:textId="7FC844A1" w:rsidR="00F53D8F" w:rsidRDefault="00F53D8F">
      <w:pPr>
        <w:rPr>
          <w:rFonts w:ascii="Arial" w:hAnsi="Arial" w:cs="Arial"/>
          <w:sz w:val="24"/>
          <w:szCs w:val="24"/>
        </w:rPr>
      </w:pPr>
      <w:r>
        <w:rPr>
          <w:rFonts w:ascii="Arial" w:hAnsi="Arial" w:cs="Arial"/>
          <w:sz w:val="24"/>
          <w:szCs w:val="24"/>
        </w:rPr>
        <w:t xml:space="preserve">Horton, M. (2021) </w:t>
      </w:r>
      <w:r>
        <w:rPr>
          <w:rFonts w:ascii="Arial" w:hAnsi="Arial" w:cs="Arial"/>
          <w:i/>
          <w:iCs/>
          <w:sz w:val="24"/>
          <w:szCs w:val="24"/>
        </w:rPr>
        <w:t xml:space="preserve">The Difference Between Profitability and Profit. </w:t>
      </w:r>
      <w:r>
        <w:rPr>
          <w:rFonts w:ascii="Arial" w:hAnsi="Arial" w:cs="Arial"/>
          <w:sz w:val="24"/>
          <w:szCs w:val="24"/>
        </w:rPr>
        <w:t xml:space="preserve">Available at: </w:t>
      </w:r>
      <w:hyperlink r:id="rId23" w:history="1">
        <w:r w:rsidRPr="00322F56">
          <w:rPr>
            <w:rStyle w:val="Hyperlink"/>
            <w:rFonts w:ascii="Arial" w:hAnsi="Arial" w:cs="Arial"/>
            <w:sz w:val="24"/>
            <w:szCs w:val="24"/>
          </w:rPr>
          <w:t>https://www.investopedia.com/ask/answers/012715/what-difference-between-profitability-and-profit.asp</w:t>
        </w:r>
      </w:hyperlink>
      <w:r>
        <w:rPr>
          <w:rFonts w:ascii="Arial" w:hAnsi="Arial" w:cs="Arial"/>
          <w:sz w:val="24"/>
          <w:szCs w:val="24"/>
        </w:rPr>
        <w:t xml:space="preserve"> (Accessed: 03 December 2022). </w:t>
      </w:r>
    </w:p>
    <w:p w14:paraId="153864A4" w14:textId="77777777" w:rsidR="00562918" w:rsidRDefault="0081450A">
      <w:pPr>
        <w:rPr>
          <w:rFonts w:ascii="Arial" w:hAnsi="Arial" w:cs="Arial"/>
          <w:sz w:val="24"/>
          <w:szCs w:val="24"/>
        </w:rPr>
      </w:pPr>
      <w:r>
        <w:rPr>
          <w:rFonts w:ascii="Arial" w:hAnsi="Arial" w:cs="Arial"/>
          <w:sz w:val="24"/>
          <w:szCs w:val="24"/>
        </w:rPr>
        <w:t xml:space="preserve">Katara, H. (n.d.) </w:t>
      </w:r>
      <w:r>
        <w:rPr>
          <w:rFonts w:ascii="Arial" w:hAnsi="Arial" w:cs="Arial"/>
          <w:i/>
          <w:iCs/>
          <w:sz w:val="24"/>
          <w:szCs w:val="24"/>
        </w:rPr>
        <w:t xml:space="preserve">What is Gearing </w:t>
      </w:r>
      <w:proofErr w:type="gramStart"/>
      <w:r>
        <w:rPr>
          <w:rFonts w:ascii="Arial" w:hAnsi="Arial" w:cs="Arial"/>
          <w:i/>
          <w:iCs/>
          <w:sz w:val="24"/>
          <w:szCs w:val="24"/>
        </w:rPr>
        <w:t>Ratio?.</w:t>
      </w:r>
      <w:proofErr w:type="gramEnd"/>
      <w:r>
        <w:rPr>
          <w:rFonts w:ascii="Arial" w:hAnsi="Arial" w:cs="Arial"/>
          <w:i/>
          <w:iCs/>
          <w:sz w:val="24"/>
          <w:szCs w:val="24"/>
        </w:rPr>
        <w:t xml:space="preserve"> </w:t>
      </w:r>
      <w:r>
        <w:rPr>
          <w:rFonts w:ascii="Arial" w:hAnsi="Arial" w:cs="Arial"/>
          <w:sz w:val="24"/>
          <w:szCs w:val="24"/>
        </w:rPr>
        <w:t xml:space="preserve">Available at: </w:t>
      </w:r>
      <w:hyperlink r:id="rId24" w:history="1">
        <w:r w:rsidRPr="00486036">
          <w:rPr>
            <w:rStyle w:val="Hyperlink"/>
            <w:rFonts w:ascii="Arial" w:hAnsi="Arial" w:cs="Arial"/>
            <w:sz w:val="24"/>
            <w:szCs w:val="24"/>
          </w:rPr>
          <w:t>https://www.wallstreetmojo.com/gearing-ratio-formula/</w:t>
        </w:r>
      </w:hyperlink>
      <w:r>
        <w:rPr>
          <w:rFonts w:ascii="Arial" w:hAnsi="Arial" w:cs="Arial"/>
          <w:sz w:val="24"/>
          <w:szCs w:val="24"/>
        </w:rPr>
        <w:t xml:space="preserve"> (Accessed: 02 December 2022).</w:t>
      </w:r>
      <w:r w:rsidR="00562918">
        <w:rPr>
          <w:rFonts w:ascii="Arial" w:hAnsi="Arial" w:cs="Arial"/>
          <w:sz w:val="24"/>
          <w:szCs w:val="24"/>
        </w:rPr>
        <w:t xml:space="preserve"> </w:t>
      </w:r>
    </w:p>
    <w:p w14:paraId="40FDD032" w14:textId="7C7216C8" w:rsidR="0081450A" w:rsidRDefault="00562918">
      <w:pPr>
        <w:rPr>
          <w:rFonts w:ascii="Arial" w:hAnsi="Arial" w:cs="Arial"/>
          <w:sz w:val="24"/>
          <w:szCs w:val="24"/>
        </w:rPr>
      </w:pPr>
      <w:r>
        <w:rPr>
          <w:rFonts w:ascii="Arial" w:hAnsi="Arial" w:cs="Arial"/>
          <w:sz w:val="24"/>
          <w:szCs w:val="24"/>
        </w:rPr>
        <w:t xml:space="preserve">Kento, W. (2022) </w:t>
      </w:r>
      <w:r>
        <w:rPr>
          <w:rFonts w:ascii="Arial" w:hAnsi="Arial" w:cs="Arial"/>
          <w:i/>
          <w:iCs/>
          <w:sz w:val="24"/>
          <w:szCs w:val="24"/>
        </w:rPr>
        <w:t xml:space="preserve">Gearing Ratios: Definition, Types of Ratio, and How To Calculate. </w:t>
      </w:r>
      <w:r>
        <w:rPr>
          <w:rFonts w:ascii="Arial" w:hAnsi="Arial" w:cs="Arial"/>
          <w:sz w:val="24"/>
          <w:szCs w:val="24"/>
        </w:rPr>
        <w:t xml:space="preserve">Available at: </w:t>
      </w:r>
      <w:hyperlink r:id="rId25" w:history="1">
        <w:r w:rsidRPr="00486036">
          <w:rPr>
            <w:rStyle w:val="Hyperlink"/>
            <w:rFonts w:ascii="Arial" w:hAnsi="Arial" w:cs="Arial"/>
            <w:sz w:val="24"/>
            <w:szCs w:val="24"/>
          </w:rPr>
          <w:t>https://www.investopedia.com/terms/g/gearingratio.asp</w:t>
        </w:r>
      </w:hyperlink>
      <w:r>
        <w:rPr>
          <w:rFonts w:ascii="Arial" w:hAnsi="Arial" w:cs="Arial"/>
          <w:sz w:val="24"/>
          <w:szCs w:val="24"/>
        </w:rPr>
        <w:t xml:space="preserve"> (Accessed: 30 November 2022).</w:t>
      </w:r>
    </w:p>
    <w:p w14:paraId="3FE0E28E" w14:textId="31BD0A16" w:rsidR="00B97810" w:rsidRPr="00B97810" w:rsidRDefault="00B97810">
      <w:pPr>
        <w:rPr>
          <w:rFonts w:ascii="Arial" w:hAnsi="Arial" w:cs="Arial"/>
          <w:sz w:val="24"/>
          <w:szCs w:val="24"/>
        </w:rPr>
      </w:pPr>
      <w:r>
        <w:rPr>
          <w:rFonts w:ascii="Arial" w:hAnsi="Arial" w:cs="Arial"/>
          <w:sz w:val="24"/>
          <w:szCs w:val="24"/>
        </w:rPr>
        <w:t xml:space="preserve">Kota, B. H. (2020) </w:t>
      </w:r>
      <w:r>
        <w:rPr>
          <w:rFonts w:ascii="Arial" w:hAnsi="Arial" w:cs="Arial"/>
          <w:i/>
          <w:iCs/>
          <w:sz w:val="24"/>
          <w:szCs w:val="24"/>
        </w:rPr>
        <w:t xml:space="preserve">A vital analytical tool for business decision-making. </w:t>
      </w:r>
      <w:r>
        <w:rPr>
          <w:rFonts w:ascii="Arial" w:hAnsi="Arial" w:cs="Arial"/>
          <w:sz w:val="24"/>
          <w:szCs w:val="24"/>
        </w:rPr>
        <w:t xml:space="preserve">Available at: </w:t>
      </w:r>
      <w:hyperlink r:id="rId26" w:anchor=":~:text=Ratio%20analysis%20is%20also%20crucial,organisation's%20position%20in%20the%20industry" w:history="1">
        <w:r w:rsidRPr="00AA786C">
          <w:rPr>
            <w:rStyle w:val="Hyperlink"/>
            <w:rFonts w:ascii="Arial" w:hAnsi="Arial" w:cs="Arial"/>
            <w:sz w:val="24"/>
            <w:szCs w:val="24"/>
          </w:rPr>
          <w:t>https://www.dailypioneer.com/2020/columnists/a-vital-analytical-tool-for-business-decision-making.html#:~:text=Ratio%20analysis%20is%20also%20crucial,organisation's%20position%20in%20the%20industry</w:t>
        </w:r>
      </w:hyperlink>
      <w:r w:rsidRPr="00B97810">
        <w:rPr>
          <w:rFonts w:ascii="Arial" w:hAnsi="Arial" w:cs="Arial"/>
          <w:sz w:val="24"/>
          <w:szCs w:val="24"/>
        </w:rPr>
        <w:t>.</w:t>
      </w:r>
      <w:r>
        <w:rPr>
          <w:rFonts w:ascii="Arial" w:hAnsi="Arial" w:cs="Arial"/>
          <w:sz w:val="24"/>
          <w:szCs w:val="24"/>
        </w:rPr>
        <w:t xml:space="preserve"> (Accessed: 04 December 2022).</w:t>
      </w:r>
    </w:p>
    <w:p w14:paraId="1B1A114C" w14:textId="266B11B1" w:rsidR="00870FF5" w:rsidRPr="00870FF5" w:rsidRDefault="00870FF5">
      <w:pPr>
        <w:rPr>
          <w:rFonts w:ascii="Arial" w:hAnsi="Arial" w:cs="Arial"/>
          <w:sz w:val="24"/>
          <w:szCs w:val="24"/>
        </w:rPr>
      </w:pPr>
      <w:r>
        <w:rPr>
          <w:rFonts w:ascii="Arial" w:hAnsi="Arial" w:cs="Arial"/>
          <w:sz w:val="24"/>
          <w:szCs w:val="24"/>
        </w:rPr>
        <w:t xml:space="preserve">Lacalle, E. (2021) </w:t>
      </w:r>
      <w:r>
        <w:rPr>
          <w:rFonts w:ascii="Arial" w:hAnsi="Arial" w:cs="Arial"/>
          <w:i/>
          <w:iCs/>
          <w:sz w:val="24"/>
          <w:szCs w:val="24"/>
        </w:rPr>
        <w:t xml:space="preserve">What is a good margin when managing a </w:t>
      </w:r>
      <w:proofErr w:type="gramStart"/>
      <w:r>
        <w:rPr>
          <w:rFonts w:ascii="Arial" w:hAnsi="Arial" w:cs="Arial"/>
          <w:i/>
          <w:iCs/>
          <w:sz w:val="24"/>
          <w:szCs w:val="24"/>
        </w:rPr>
        <w:t>hotel?.</w:t>
      </w:r>
      <w:proofErr w:type="gramEnd"/>
      <w:r>
        <w:rPr>
          <w:rFonts w:ascii="Arial" w:hAnsi="Arial" w:cs="Arial"/>
          <w:i/>
          <w:iCs/>
          <w:sz w:val="24"/>
          <w:szCs w:val="24"/>
        </w:rPr>
        <w:t xml:space="preserve"> </w:t>
      </w:r>
      <w:r>
        <w:rPr>
          <w:rFonts w:ascii="Arial" w:hAnsi="Arial" w:cs="Arial"/>
          <w:sz w:val="24"/>
          <w:szCs w:val="24"/>
        </w:rPr>
        <w:t xml:space="preserve">Available at: </w:t>
      </w:r>
      <w:hyperlink r:id="rId27" w:history="1">
        <w:r w:rsidRPr="00FD512D">
          <w:rPr>
            <w:rStyle w:val="Hyperlink"/>
            <w:rFonts w:ascii="Arial" w:hAnsi="Arial" w:cs="Arial"/>
            <w:sz w:val="24"/>
            <w:szCs w:val="24"/>
          </w:rPr>
          <w:t>https://www.mews.com/en/blog/hotel-profit-margin</w:t>
        </w:r>
      </w:hyperlink>
      <w:r>
        <w:rPr>
          <w:rFonts w:ascii="Arial" w:hAnsi="Arial" w:cs="Arial"/>
          <w:sz w:val="24"/>
          <w:szCs w:val="24"/>
        </w:rPr>
        <w:t xml:space="preserve"> (Accessed: 01 December 2022).</w:t>
      </w:r>
    </w:p>
    <w:p w14:paraId="4D207E66" w14:textId="3EED9CA8" w:rsidR="00894B27" w:rsidRPr="00894B27" w:rsidRDefault="00894B27">
      <w:pPr>
        <w:rPr>
          <w:rFonts w:ascii="Arial" w:hAnsi="Arial" w:cs="Arial"/>
          <w:sz w:val="24"/>
          <w:szCs w:val="24"/>
        </w:rPr>
      </w:pPr>
      <w:r>
        <w:rPr>
          <w:rFonts w:ascii="Arial" w:hAnsi="Arial" w:cs="Arial"/>
          <w:sz w:val="24"/>
          <w:szCs w:val="24"/>
        </w:rPr>
        <w:t xml:space="preserve">Marriott International (2022a) </w:t>
      </w:r>
      <w:r>
        <w:rPr>
          <w:rFonts w:ascii="Arial" w:hAnsi="Arial" w:cs="Arial"/>
          <w:i/>
          <w:iCs/>
          <w:sz w:val="24"/>
          <w:szCs w:val="24"/>
        </w:rPr>
        <w:t xml:space="preserve">Our story. </w:t>
      </w:r>
      <w:r>
        <w:rPr>
          <w:rFonts w:ascii="Arial" w:hAnsi="Arial" w:cs="Arial"/>
          <w:sz w:val="24"/>
          <w:szCs w:val="24"/>
        </w:rPr>
        <w:t xml:space="preserve">Available at: </w:t>
      </w:r>
      <w:hyperlink r:id="rId28" w:history="1">
        <w:r w:rsidRPr="00EB4E16">
          <w:rPr>
            <w:rStyle w:val="Hyperlink"/>
            <w:rFonts w:ascii="Arial" w:hAnsi="Arial" w:cs="Arial"/>
            <w:sz w:val="24"/>
            <w:szCs w:val="24"/>
          </w:rPr>
          <w:t>https://www.hotel-development.marriott.com/power-of-marriott/our-story</w:t>
        </w:r>
      </w:hyperlink>
      <w:r>
        <w:rPr>
          <w:rFonts w:ascii="Arial" w:hAnsi="Arial" w:cs="Arial"/>
          <w:sz w:val="24"/>
          <w:szCs w:val="24"/>
        </w:rPr>
        <w:t xml:space="preserve"> (Accessed: 26 November 2022).</w:t>
      </w:r>
    </w:p>
    <w:p w14:paraId="58F108D1" w14:textId="501E7208" w:rsidR="00894B27" w:rsidRDefault="00894B27">
      <w:pPr>
        <w:rPr>
          <w:rFonts w:ascii="Arial" w:hAnsi="Arial" w:cs="Arial"/>
          <w:sz w:val="24"/>
          <w:szCs w:val="24"/>
        </w:rPr>
      </w:pPr>
      <w:r>
        <w:rPr>
          <w:rFonts w:ascii="Arial" w:hAnsi="Arial" w:cs="Arial"/>
          <w:sz w:val="24"/>
          <w:szCs w:val="24"/>
        </w:rPr>
        <w:t xml:space="preserve">Marriott International (2022b) </w:t>
      </w:r>
      <w:r>
        <w:rPr>
          <w:rFonts w:ascii="Arial" w:hAnsi="Arial" w:cs="Arial"/>
          <w:i/>
          <w:iCs/>
          <w:sz w:val="24"/>
          <w:szCs w:val="24"/>
        </w:rPr>
        <w:t xml:space="preserve">We Are Marriott International. </w:t>
      </w:r>
      <w:r>
        <w:rPr>
          <w:rFonts w:ascii="Arial" w:hAnsi="Arial" w:cs="Arial"/>
          <w:sz w:val="24"/>
          <w:szCs w:val="24"/>
        </w:rPr>
        <w:t xml:space="preserve">Available at: </w:t>
      </w:r>
      <w:hyperlink r:id="rId29" w:history="1">
        <w:r w:rsidRPr="00EB4E16">
          <w:rPr>
            <w:rStyle w:val="Hyperlink"/>
            <w:rFonts w:ascii="Arial" w:hAnsi="Arial" w:cs="Arial"/>
            <w:sz w:val="24"/>
            <w:szCs w:val="24"/>
          </w:rPr>
          <w:t>https://www.marriott.com/marriott/aboutmarriott.mi</w:t>
        </w:r>
      </w:hyperlink>
      <w:r>
        <w:rPr>
          <w:rFonts w:ascii="Arial" w:hAnsi="Arial" w:cs="Arial"/>
          <w:sz w:val="24"/>
          <w:szCs w:val="24"/>
        </w:rPr>
        <w:t xml:space="preserve"> (Accessed: 26 November 2022).</w:t>
      </w:r>
    </w:p>
    <w:p w14:paraId="146152AF" w14:textId="4AD839FA" w:rsidR="00894B27" w:rsidRDefault="009E10EB">
      <w:pPr>
        <w:rPr>
          <w:rFonts w:ascii="Arial" w:hAnsi="Arial" w:cs="Arial"/>
          <w:sz w:val="24"/>
          <w:szCs w:val="24"/>
        </w:rPr>
      </w:pPr>
      <w:r>
        <w:rPr>
          <w:rFonts w:ascii="Arial" w:hAnsi="Arial" w:cs="Arial"/>
          <w:sz w:val="24"/>
          <w:szCs w:val="24"/>
        </w:rPr>
        <w:t xml:space="preserve">Murphy, B.C. (2022) </w:t>
      </w:r>
      <w:r>
        <w:rPr>
          <w:rFonts w:ascii="Arial" w:hAnsi="Arial" w:cs="Arial"/>
          <w:i/>
          <w:iCs/>
          <w:sz w:val="24"/>
          <w:szCs w:val="24"/>
        </w:rPr>
        <w:t xml:space="preserve">What is Net Profit Margin? Formulas for Calculation and Examples. </w:t>
      </w:r>
      <w:r>
        <w:rPr>
          <w:rFonts w:ascii="Arial" w:hAnsi="Arial" w:cs="Arial"/>
          <w:sz w:val="24"/>
          <w:szCs w:val="24"/>
        </w:rPr>
        <w:t xml:space="preserve">Available at: </w:t>
      </w:r>
      <w:hyperlink r:id="rId30" w:history="1">
        <w:r w:rsidRPr="00FD512D">
          <w:rPr>
            <w:rStyle w:val="Hyperlink"/>
            <w:rFonts w:ascii="Arial" w:hAnsi="Arial" w:cs="Arial"/>
            <w:sz w:val="24"/>
            <w:szCs w:val="24"/>
          </w:rPr>
          <w:t>https://www.investopedia.com/terms/n/net_margin.asp</w:t>
        </w:r>
      </w:hyperlink>
      <w:r>
        <w:rPr>
          <w:rFonts w:ascii="Arial" w:hAnsi="Arial" w:cs="Arial"/>
          <w:sz w:val="24"/>
          <w:szCs w:val="24"/>
        </w:rPr>
        <w:t xml:space="preserve"> (Accessed: 03 December 2022).</w:t>
      </w:r>
    </w:p>
    <w:p w14:paraId="643512FF" w14:textId="5F8383A5" w:rsidR="00907829" w:rsidRPr="003A3120" w:rsidRDefault="00907829">
      <w:pPr>
        <w:rPr>
          <w:rFonts w:ascii="Arial" w:hAnsi="Arial" w:cs="Arial"/>
          <w:sz w:val="24"/>
          <w:szCs w:val="24"/>
        </w:rPr>
      </w:pPr>
      <w:r>
        <w:rPr>
          <w:rFonts w:ascii="Arial" w:hAnsi="Arial" w:cs="Arial"/>
          <w:sz w:val="24"/>
          <w:szCs w:val="24"/>
        </w:rPr>
        <w:t xml:space="preserve">Pant (n.d.) </w:t>
      </w:r>
      <w:r w:rsidR="003A3120">
        <w:rPr>
          <w:rFonts w:ascii="Arial" w:hAnsi="Arial" w:cs="Arial"/>
          <w:i/>
          <w:iCs/>
          <w:sz w:val="24"/>
          <w:szCs w:val="24"/>
        </w:rPr>
        <w:t xml:space="preserve">Ratio Analysis, Meaning, Advantages and Limitations, Accounting. </w:t>
      </w:r>
      <w:r w:rsidR="003A3120">
        <w:rPr>
          <w:rFonts w:ascii="Arial" w:hAnsi="Arial" w:cs="Arial"/>
          <w:sz w:val="24"/>
          <w:szCs w:val="24"/>
        </w:rPr>
        <w:t xml:space="preserve">Available at: </w:t>
      </w:r>
      <w:hyperlink r:id="rId31" w:history="1">
        <w:r w:rsidR="003A3120" w:rsidRPr="00486036">
          <w:rPr>
            <w:rStyle w:val="Hyperlink"/>
            <w:rFonts w:ascii="Arial" w:hAnsi="Arial" w:cs="Arial"/>
            <w:sz w:val="24"/>
            <w:szCs w:val="24"/>
          </w:rPr>
          <w:t>https://www.yourarticlelibrary.com/accounting/ratio-analysis/ratio-analysis-meaning-advantages-and-limitations-accounting/65204</w:t>
        </w:r>
      </w:hyperlink>
      <w:r w:rsidR="003A3120">
        <w:rPr>
          <w:rFonts w:ascii="Arial" w:hAnsi="Arial" w:cs="Arial"/>
          <w:sz w:val="24"/>
          <w:szCs w:val="24"/>
        </w:rPr>
        <w:t xml:space="preserve"> (Accessed: 03 December 2022).</w:t>
      </w:r>
    </w:p>
    <w:p w14:paraId="4BDF3BF8" w14:textId="3C6FC408" w:rsidR="00147229" w:rsidRDefault="00147229">
      <w:pPr>
        <w:rPr>
          <w:rFonts w:ascii="Arial" w:hAnsi="Arial" w:cs="Arial"/>
          <w:sz w:val="24"/>
          <w:szCs w:val="24"/>
        </w:rPr>
      </w:pPr>
      <w:r>
        <w:rPr>
          <w:rFonts w:ascii="Arial" w:hAnsi="Arial" w:cs="Arial"/>
          <w:sz w:val="24"/>
          <w:szCs w:val="24"/>
        </w:rPr>
        <w:t xml:space="preserve">Satterley, H. D. (2020) </w:t>
      </w:r>
      <w:r w:rsidRPr="00147229">
        <w:rPr>
          <w:rFonts w:ascii="Arial" w:hAnsi="Arial" w:cs="Arial"/>
          <w:i/>
          <w:iCs/>
          <w:sz w:val="24"/>
          <w:szCs w:val="24"/>
        </w:rPr>
        <w:t xml:space="preserve">Cash Flow vs. Profit: Everything You Need to Know. </w:t>
      </w:r>
      <w:r>
        <w:rPr>
          <w:rFonts w:ascii="Arial" w:hAnsi="Arial" w:cs="Arial"/>
          <w:sz w:val="24"/>
          <w:szCs w:val="24"/>
        </w:rPr>
        <w:t xml:space="preserve">Available at: </w:t>
      </w:r>
      <w:hyperlink r:id="rId32" w:history="1">
        <w:r w:rsidRPr="00486036">
          <w:rPr>
            <w:rStyle w:val="Hyperlink"/>
            <w:rFonts w:ascii="Arial" w:hAnsi="Arial" w:cs="Arial"/>
            <w:sz w:val="24"/>
            <w:szCs w:val="24"/>
          </w:rPr>
          <w:t>https://www.fundera.com/blog/cash-flow-vs-profit</w:t>
        </w:r>
      </w:hyperlink>
      <w:r>
        <w:rPr>
          <w:rFonts w:ascii="Arial" w:hAnsi="Arial" w:cs="Arial"/>
          <w:sz w:val="24"/>
          <w:szCs w:val="24"/>
        </w:rPr>
        <w:t xml:space="preserve"> (Accessed: 02 December 2022).</w:t>
      </w:r>
    </w:p>
    <w:p w14:paraId="26C02FAA" w14:textId="276400AC" w:rsidR="00B90093" w:rsidRDefault="00B90093">
      <w:pPr>
        <w:rPr>
          <w:rFonts w:ascii="Arial" w:hAnsi="Arial" w:cs="Arial"/>
          <w:sz w:val="24"/>
          <w:szCs w:val="24"/>
        </w:rPr>
      </w:pPr>
      <w:r>
        <w:rPr>
          <w:rFonts w:ascii="Arial" w:hAnsi="Arial" w:cs="Arial"/>
          <w:sz w:val="24"/>
          <w:szCs w:val="24"/>
        </w:rPr>
        <w:t xml:space="preserve">The Investopedia Team (2021) </w:t>
      </w:r>
      <w:r>
        <w:rPr>
          <w:rFonts w:ascii="Arial" w:hAnsi="Arial" w:cs="Arial"/>
          <w:i/>
          <w:iCs/>
          <w:sz w:val="24"/>
          <w:szCs w:val="24"/>
        </w:rPr>
        <w:t xml:space="preserve">Gearing Ratio vs. Debt-to-Equity Ratio: What’s the Difference? </w:t>
      </w:r>
      <w:r>
        <w:rPr>
          <w:rFonts w:ascii="Arial" w:hAnsi="Arial" w:cs="Arial"/>
          <w:sz w:val="24"/>
          <w:szCs w:val="24"/>
        </w:rPr>
        <w:t xml:space="preserve">Available at: </w:t>
      </w:r>
      <w:hyperlink r:id="rId33" w:history="1">
        <w:r w:rsidRPr="00486036">
          <w:rPr>
            <w:rStyle w:val="Hyperlink"/>
            <w:rFonts w:ascii="Arial" w:hAnsi="Arial" w:cs="Arial"/>
            <w:sz w:val="24"/>
            <w:szCs w:val="24"/>
          </w:rPr>
          <w:t>https://www.investopedia.com/ask/answers/121614/what-difference-between-gearing-ratio-and-debttoequity-ratio.asp</w:t>
        </w:r>
      </w:hyperlink>
      <w:r>
        <w:rPr>
          <w:rFonts w:ascii="Arial" w:hAnsi="Arial" w:cs="Arial"/>
          <w:sz w:val="24"/>
          <w:szCs w:val="24"/>
        </w:rPr>
        <w:t xml:space="preserve"> (Accessed: 03 December 2022).</w:t>
      </w:r>
    </w:p>
    <w:p w14:paraId="427A98FB" w14:textId="71601763" w:rsidR="00015E18" w:rsidRPr="00015E18" w:rsidRDefault="00015E18">
      <w:pPr>
        <w:rPr>
          <w:rFonts w:ascii="Arial" w:hAnsi="Arial" w:cs="Arial"/>
          <w:sz w:val="24"/>
          <w:szCs w:val="24"/>
        </w:rPr>
      </w:pPr>
      <w:r>
        <w:rPr>
          <w:rFonts w:ascii="Arial" w:hAnsi="Arial" w:cs="Arial"/>
          <w:sz w:val="24"/>
          <w:szCs w:val="24"/>
        </w:rPr>
        <w:t xml:space="preserve">Vaidya (2022) </w:t>
      </w:r>
      <w:r>
        <w:rPr>
          <w:rFonts w:ascii="Arial" w:hAnsi="Arial" w:cs="Arial"/>
          <w:i/>
          <w:iCs/>
          <w:sz w:val="24"/>
          <w:szCs w:val="24"/>
        </w:rPr>
        <w:t xml:space="preserve">Ratio Analysis Limitation. </w:t>
      </w:r>
      <w:r>
        <w:rPr>
          <w:rFonts w:ascii="Arial" w:hAnsi="Arial" w:cs="Arial"/>
          <w:sz w:val="24"/>
          <w:szCs w:val="24"/>
        </w:rPr>
        <w:t xml:space="preserve">Available at: </w:t>
      </w:r>
      <w:hyperlink r:id="rId34" w:history="1">
        <w:r w:rsidRPr="00486036">
          <w:rPr>
            <w:rStyle w:val="Hyperlink"/>
            <w:rFonts w:ascii="Arial" w:hAnsi="Arial" w:cs="Arial"/>
            <w:sz w:val="24"/>
            <w:szCs w:val="24"/>
          </w:rPr>
          <w:t>https://www.wallstreetmojo.com/ratio-analysis-limitations/</w:t>
        </w:r>
      </w:hyperlink>
      <w:r>
        <w:rPr>
          <w:rFonts w:ascii="Arial" w:hAnsi="Arial" w:cs="Arial"/>
          <w:sz w:val="24"/>
          <w:szCs w:val="24"/>
        </w:rPr>
        <w:t xml:space="preserve"> (Accessed: 04 December 2022).</w:t>
      </w:r>
    </w:p>
    <w:p w14:paraId="720BB497" w14:textId="0346B7A2" w:rsidR="00B73E4E" w:rsidRPr="00B73E4E" w:rsidRDefault="00B73E4E">
      <w:pPr>
        <w:rPr>
          <w:rFonts w:ascii="Arial" w:hAnsi="Arial" w:cs="Arial"/>
          <w:sz w:val="24"/>
          <w:szCs w:val="24"/>
        </w:rPr>
      </w:pPr>
      <w:r>
        <w:rPr>
          <w:rFonts w:ascii="Arial" w:hAnsi="Arial" w:cs="Arial"/>
          <w:sz w:val="24"/>
          <w:szCs w:val="24"/>
        </w:rPr>
        <w:t xml:space="preserve">Zarzycki, N. (2022) </w:t>
      </w:r>
      <w:r>
        <w:rPr>
          <w:rFonts w:ascii="Arial" w:hAnsi="Arial" w:cs="Arial"/>
          <w:i/>
          <w:iCs/>
          <w:sz w:val="24"/>
          <w:szCs w:val="24"/>
        </w:rPr>
        <w:t xml:space="preserve">How to Calculate (And Interpret) The Current Ratio. </w:t>
      </w:r>
      <w:r>
        <w:rPr>
          <w:rFonts w:ascii="Arial" w:hAnsi="Arial" w:cs="Arial"/>
          <w:sz w:val="24"/>
          <w:szCs w:val="24"/>
        </w:rPr>
        <w:t xml:space="preserve">Available at: </w:t>
      </w:r>
      <w:hyperlink r:id="rId35" w:history="1">
        <w:r w:rsidRPr="00322F56">
          <w:rPr>
            <w:rStyle w:val="Hyperlink"/>
            <w:rFonts w:ascii="Arial" w:hAnsi="Arial" w:cs="Arial"/>
            <w:sz w:val="24"/>
            <w:szCs w:val="24"/>
          </w:rPr>
          <w:t>https://bench.co/blog/accounting/current-ratio/</w:t>
        </w:r>
      </w:hyperlink>
      <w:r>
        <w:rPr>
          <w:rFonts w:ascii="Arial" w:hAnsi="Arial" w:cs="Arial"/>
          <w:sz w:val="24"/>
          <w:szCs w:val="24"/>
        </w:rPr>
        <w:t xml:space="preserve"> (Accessed: 30 November 2022).</w:t>
      </w:r>
    </w:p>
    <w:p w14:paraId="288F7821" w14:textId="230043AF" w:rsidR="002F7C76" w:rsidRDefault="002F7C76">
      <w:pPr>
        <w:rPr>
          <w:rFonts w:ascii="Arial" w:hAnsi="Arial" w:cs="Arial"/>
          <w:sz w:val="24"/>
          <w:szCs w:val="24"/>
        </w:rPr>
      </w:pPr>
    </w:p>
    <w:p w14:paraId="68C4D147" w14:textId="3D016594" w:rsidR="002F7C76" w:rsidRPr="00894B27" w:rsidRDefault="002F7C76">
      <w:pPr>
        <w:rPr>
          <w:rFonts w:ascii="Arial" w:hAnsi="Arial" w:cs="Arial"/>
          <w:sz w:val="24"/>
          <w:szCs w:val="24"/>
        </w:rPr>
      </w:pPr>
    </w:p>
    <w:sectPr w:rsidR="002F7C76" w:rsidRPr="00894B27" w:rsidSect="007D1947">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58284" w14:textId="77777777" w:rsidR="00D5555C" w:rsidRDefault="00D5555C" w:rsidP="006B1943">
      <w:pPr>
        <w:spacing w:after="0" w:line="240" w:lineRule="auto"/>
      </w:pPr>
      <w:r>
        <w:separator/>
      </w:r>
    </w:p>
  </w:endnote>
  <w:endnote w:type="continuationSeparator" w:id="0">
    <w:p w14:paraId="1800E994" w14:textId="77777777" w:rsidR="00D5555C" w:rsidRDefault="00D5555C" w:rsidP="006B1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165969"/>
      <w:docPartObj>
        <w:docPartGallery w:val="Page Numbers (Bottom of Page)"/>
        <w:docPartUnique/>
      </w:docPartObj>
    </w:sdtPr>
    <w:sdtEndPr>
      <w:rPr>
        <w:noProof/>
      </w:rPr>
    </w:sdtEndPr>
    <w:sdtContent>
      <w:p w14:paraId="27BBCBFB" w14:textId="42EEBD6D" w:rsidR="006B1943" w:rsidRDefault="006B194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8DAE4F0" w14:textId="77777777" w:rsidR="006B1943" w:rsidRDefault="006B1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8FD00" w14:textId="77777777" w:rsidR="00D5555C" w:rsidRDefault="00D5555C" w:rsidP="006B1943">
      <w:pPr>
        <w:spacing w:after="0" w:line="240" w:lineRule="auto"/>
      </w:pPr>
      <w:r>
        <w:separator/>
      </w:r>
    </w:p>
  </w:footnote>
  <w:footnote w:type="continuationSeparator" w:id="0">
    <w:p w14:paraId="0EE19659" w14:textId="77777777" w:rsidR="00D5555C" w:rsidRDefault="00D5555C" w:rsidP="006B19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5E18"/>
    <w:rsid w:val="00092597"/>
    <w:rsid w:val="000C3A0B"/>
    <w:rsid w:val="000D233C"/>
    <w:rsid w:val="000E208C"/>
    <w:rsid w:val="000E5A59"/>
    <w:rsid w:val="00111DD4"/>
    <w:rsid w:val="00115B96"/>
    <w:rsid w:val="00116355"/>
    <w:rsid w:val="00147229"/>
    <w:rsid w:val="00153A27"/>
    <w:rsid w:val="0021314D"/>
    <w:rsid w:val="00245903"/>
    <w:rsid w:val="002516F8"/>
    <w:rsid w:val="00251903"/>
    <w:rsid w:val="00280838"/>
    <w:rsid w:val="00284F1F"/>
    <w:rsid w:val="002D10EB"/>
    <w:rsid w:val="002D74AE"/>
    <w:rsid w:val="002F109F"/>
    <w:rsid w:val="002F7C76"/>
    <w:rsid w:val="00311E0B"/>
    <w:rsid w:val="00324CCD"/>
    <w:rsid w:val="00345262"/>
    <w:rsid w:val="0035237F"/>
    <w:rsid w:val="00391D1F"/>
    <w:rsid w:val="003A3120"/>
    <w:rsid w:val="003C0392"/>
    <w:rsid w:val="003C6907"/>
    <w:rsid w:val="00461C92"/>
    <w:rsid w:val="00463EFF"/>
    <w:rsid w:val="004650C7"/>
    <w:rsid w:val="00467867"/>
    <w:rsid w:val="004A0171"/>
    <w:rsid w:val="004A11F6"/>
    <w:rsid w:val="004B318F"/>
    <w:rsid w:val="004D519C"/>
    <w:rsid w:val="00520629"/>
    <w:rsid w:val="00562918"/>
    <w:rsid w:val="005C6CB1"/>
    <w:rsid w:val="005D218C"/>
    <w:rsid w:val="005E4896"/>
    <w:rsid w:val="0064258D"/>
    <w:rsid w:val="006B1943"/>
    <w:rsid w:val="007333EF"/>
    <w:rsid w:val="00745ABC"/>
    <w:rsid w:val="00750BAE"/>
    <w:rsid w:val="007D1947"/>
    <w:rsid w:val="007F63D7"/>
    <w:rsid w:val="00801318"/>
    <w:rsid w:val="0081450A"/>
    <w:rsid w:val="00870FF5"/>
    <w:rsid w:val="00884C63"/>
    <w:rsid w:val="0089495A"/>
    <w:rsid w:val="00894B27"/>
    <w:rsid w:val="008A751A"/>
    <w:rsid w:val="008B10B7"/>
    <w:rsid w:val="008B2B61"/>
    <w:rsid w:val="008C7EF6"/>
    <w:rsid w:val="008E7B24"/>
    <w:rsid w:val="00901A03"/>
    <w:rsid w:val="00907829"/>
    <w:rsid w:val="00975E2A"/>
    <w:rsid w:val="009769AE"/>
    <w:rsid w:val="00997BA2"/>
    <w:rsid w:val="009B4F77"/>
    <w:rsid w:val="009D6498"/>
    <w:rsid w:val="009E10EB"/>
    <w:rsid w:val="00A065F0"/>
    <w:rsid w:val="00A30245"/>
    <w:rsid w:val="00A45BAA"/>
    <w:rsid w:val="00A4661E"/>
    <w:rsid w:val="00A633A2"/>
    <w:rsid w:val="00A761A1"/>
    <w:rsid w:val="00A807D2"/>
    <w:rsid w:val="00A925CB"/>
    <w:rsid w:val="00A92717"/>
    <w:rsid w:val="00AA2A91"/>
    <w:rsid w:val="00AD0E95"/>
    <w:rsid w:val="00B73E4E"/>
    <w:rsid w:val="00B90093"/>
    <w:rsid w:val="00B97810"/>
    <w:rsid w:val="00C52303"/>
    <w:rsid w:val="00C71FB5"/>
    <w:rsid w:val="00C756B6"/>
    <w:rsid w:val="00CA09F3"/>
    <w:rsid w:val="00CB0B0A"/>
    <w:rsid w:val="00CB32C4"/>
    <w:rsid w:val="00D24234"/>
    <w:rsid w:val="00D5555C"/>
    <w:rsid w:val="00D5659D"/>
    <w:rsid w:val="00D64AC7"/>
    <w:rsid w:val="00D7193B"/>
    <w:rsid w:val="00D72A5B"/>
    <w:rsid w:val="00D854A5"/>
    <w:rsid w:val="00DA69D0"/>
    <w:rsid w:val="00DB1D38"/>
    <w:rsid w:val="00DD6B9E"/>
    <w:rsid w:val="00DE6B68"/>
    <w:rsid w:val="00E40634"/>
    <w:rsid w:val="00E54D7B"/>
    <w:rsid w:val="00E941BB"/>
    <w:rsid w:val="00EB4B06"/>
    <w:rsid w:val="00EC60EC"/>
    <w:rsid w:val="00ED00E9"/>
    <w:rsid w:val="00F01DF0"/>
    <w:rsid w:val="00F026A4"/>
    <w:rsid w:val="00F13EB2"/>
    <w:rsid w:val="00F53D8F"/>
    <w:rsid w:val="00F6532B"/>
    <w:rsid w:val="00F821E3"/>
    <w:rsid w:val="00FB456A"/>
    <w:rsid w:val="00FB6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3F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894B27"/>
    <w:rPr>
      <w:color w:val="605E5C"/>
      <w:shd w:val="clear" w:color="auto" w:fill="E1DFDD"/>
    </w:rPr>
  </w:style>
  <w:style w:type="table" w:styleId="TableGrid">
    <w:name w:val="Table Grid"/>
    <w:basedOn w:val="TableNormal"/>
    <w:uiPriority w:val="39"/>
    <w:rsid w:val="00901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19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943"/>
  </w:style>
  <w:style w:type="paragraph" w:styleId="Footer">
    <w:name w:val="footer"/>
    <w:basedOn w:val="Normal"/>
    <w:link w:val="FooterChar"/>
    <w:uiPriority w:val="99"/>
    <w:unhideWhenUsed/>
    <w:rsid w:val="006B19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s://www.forbes.com/advisor/investing/roi-return-on-investment/" TargetMode="External"/><Relationship Id="rId26" Type="http://schemas.openxmlformats.org/officeDocument/2006/relationships/hyperlink" Target="https://www.dailypioneer.com/2020/columnists/a-vital-analytical-tool-for-business-decision-making.html" TargetMode="External"/><Relationship Id="rId39" Type="http://schemas.openxmlformats.org/officeDocument/2006/relationships/theme" Target="theme/theme1.xml"/><Relationship Id="rId21" Type="http://schemas.openxmlformats.org/officeDocument/2006/relationships/hyperlink" Target="https://www.investopedia.com/terms/p/profitabilityratios.asp" TargetMode="External"/><Relationship Id="rId34" Type="http://schemas.openxmlformats.org/officeDocument/2006/relationships/hyperlink" Target="https://www.wallstreetmojo.com/ratio-analysis-limitation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orporatevision-news.com/why-is-ratio-analysis-so-important/" TargetMode="External"/><Relationship Id="rId25" Type="http://schemas.openxmlformats.org/officeDocument/2006/relationships/hyperlink" Target="https://www.investopedia.com/terms/g/gearingratio.asp" TargetMode="External"/><Relationship Id="rId33" Type="http://schemas.openxmlformats.org/officeDocument/2006/relationships/hyperlink" Target="https://www.investopedia.com/ask/answers/121614/what-difference-between-gearing-ratio-and-debttoequity-ratio.asp"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corporatefinanceinstitute.com/resources/accounting/liquidity-ratio/" TargetMode="External"/><Relationship Id="rId20" Type="http://schemas.openxmlformats.org/officeDocument/2006/relationships/hyperlink" Target="https://www.investopedia.com/terms/o/ocfratio.asp" TargetMode="External"/><Relationship Id="rId29" Type="http://schemas.openxmlformats.org/officeDocument/2006/relationships/hyperlink" Target="https://www.marriott.com/marriott/aboutmarriott.m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allstreetmojo.com/gearing-ratio-formula/" TargetMode="External"/><Relationship Id="rId32" Type="http://schemas.openxmlformats.org/officeDocument/2006/relationships/hyperlink" Target="https://www.fundera.com/blog/cash-flow-vs-profit"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corporatefinanceinstitute.com/resources/accounting/what-is-return-on-equity-roe/" TargetMode="External"/><Relationship Id="rId23" Type="http://schemas.openxmlformats.org/officeDocument/2006/relationships/hyperlink" Target="https://www.investopedia.com/ask/answers/012715/what-difference-between-profitability-and-profit.asp" TargetMode="External"/><Relationship Id="rId28" Type="http://schemas.openxmlformats.org/officeDocument/2006/relationships/hyperlink" Target="https://www.hotel-development.marriott.com/power-of-marriott/our-story"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thebusinessprofessor.com/en_US/research-analysis-decision-science/trend-analysis-definition" TargetMode="External"/><Relationship Id="rId31" Type="http://schemas.openxmlformats.org/officeDocument/2006/relationships/hyperlink" Target="https://www.yourarticlelibrary.com/accounting/ratio-analysis/ratio-analysis-meaning-advantages-and-limitations-accounting/6520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vestopedia.com/ask/answers/121814/what-good-gearing-ratio.asp" TargetMode="External"/><Relationship Id="rId22" Type="http://schemas.openxmlformats.org/officeDocument/2006/relationships/hyperlink" Target="https://www.investopedia.com/terms/l/liquidityratios.asp" TargetMode="External"/><Relationship Id="rId27" Type="http://schemas.openxmlformats.org/officeDocument/2006/relationships/hyperlink" Target="https://www.mews.com/en/blog/hotel-profit-margin" TargetMode="External"/><Relationship Id="rId30" Type="http://schemas.openxmlformats.org/officeDocument/2006/relationships/hyperlink" Target="https://www.investopedia.com/terms/n/net_margin.asp" TargetMode="External"/><Relationship Id="rId35" Type="http://schemas.openxmlformats.org/officeDocument/2006/relationships/hyperlink" Target="https://bench.co/blog/accounting/current-ratio/"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2020</c:v>
                </c:pt>
              </c:strCache>
            </c:strRef>
          </c:tx>
          <c:spPr>
            <a:solidFill>
              <a:schemeClr val="accent1"/>
            </a:solidFill>
            <a:ln>
              <a:noFill/>
            </a:ln>
            <a:effectLst/>
          </c:spPr>
          <c:invertIfNegative val="0"/>
          <c:cat>
            <c:strRef>
              <c:f>Sheet1!$A$2:$A$9</c:f>
              <c:strCache>
                <c:ptCount val="8"/>
                <c:pt idx="0">
                  <c:v>Gross Margin</c:v>
                </c:pt>
                <c:pt idx="1">
                  <c:v>Net Margin</c:v>
                </c:pt>
                <c:pt idx="2">
                  <c:v>Operating Margin</c:v>
                </c:pt>
                <c:pt idx="3">
                  <c:v>ROA</c:v>
                </c:pt>
                <c:pt idx="4">
                  <c:v>ROE</c:v>
                </c:pt>
                <c:pt idx="5">
                  <c:v>Debts Ratio</c:v>
                </c:pt>
                <c:pt idx="6">
                  <c:v>ROCE</c:v>
                </c:pt>
                <c:pt idx="7">
                  <c:v>Current Ratio</c:v>
                </c:pt>
              </c:strCache>
            </c:strRef>
          </c:cat>
          <c:val>
            <c:numRef>
              <c:f>Sheet1!$B$2:$B$9</c:f>
              <c:numCache>
                <c:formatCode>General</c:formatCode>
                <c:ptCount val="8"/>
                <c:pt idx="0">
                  <c:v>13.8</c:v>
                </c:pt>
                <c:pt idx="1">
                  <c:v>-2.5299999999999998</c:v>
                </c:pt>
                <c:pt idx="2">
                  <c:v>0.79</c:v>
                </c:pt>
                <c:pt idx="3">
                  <c:v>-1.08</c:v>
                </c:pt>
                <c:pt idx="4">
                  <c:v>-62.09</c:v>
                </c:pt>
                <c:pt idx="5">
                  <c:v>24.13</c:v>
                </c:pt>
                <c:pt idx="6">
                  <c:v>0.01</c:v>
                </c:pt>
                <c:pt idx="7">
                  <c:v>0.49</c:v>
                </c:pt>
              </c:numCache>
            </c:numRef>
          </c:val>
          <c:extLst>
            <c:ext xmlns:c16="http://schemas.microsoft.com/office/drawing/2014/chart" uri="{C3380CC4-5D6E-409C-BE32-E72D297353CC}">
              <c16:uniqueId val="{00000001-61DE-4E21-B0BA-E843D1FA8C4F}"/>
            </c:ext>
          </c:extLst>
        </c:ser>
        <c:ser>
          <c:idx val="1"/>
          <c:order val="1"/>
          <c:tx>
            <c:strRef>
              <c:f>Sheet1!$C$1</c:f>
              <c:strCache>
                <c:ptCount val="1"/>
                <c:pt idx="0">
                  <c:v>2021</c:v>
                </c:pt>
              </c:strCache>
            </c:strRef>
          </c:tx>
          <c:spPr>
            <a:solidFill>
              <a:schemeClr val="accent3"/>
            </a:solidFill>
            <a:ln>
              <a:noFill/>
            </a:ln>
            <a:effectLst/>
          </c:spPr>
          <c:invertIfNegative val="0"/>
          <c:cat>
            <c:strRef>
              <c:f>Sheet1!$A$2:$A$9</c:f>
              <c:strCache>
                <c:ptCount val="8"/>
                <c:pt idx="0">
                  <c:v>Gross Margin</c:v>
                </c:pt>
                <c:pt idx="1">
                  <c:v>Net Margin</c:v>
                </c:pt>
                <c:pt idx="2">
                  <c:v>Operating Margin</c:v>
                </c:pt>
                <c:pt idx="3">
                  <c:v>ROA</c:v>
                </c:pt>
                <c:pt idx="4">
                  <c:v>ROE</c:v>
                </c:pt>
                <c:pt idx="5">
                  <c:v>Debts Ratio</c:v>
                </c:pt>
                <c:pt idx="6">
                  <c:v>ROCE</c:v>
                </c:pt>
                <c:pt idx="7">
                  <c:v>Current Ratio</c:v>
                </c:pt>
              </c:strCache>
            </c:strRef>
          </c:cat>
          <c:val>
            <c:numRef>
              <c:f>Sheet1!$C$2:$C$9</c:f>
              <c:numCache>
                <c:formatCode>General</c:formatCode>
                <c:ptCount val="8"/>
                <c:pt idx="0">
                  <c:v>20.21</c:v>
                </c:pt>
                <c:pt idx="1">
                  <c:v>7.93</c:v>
                </c:pt>
                <c:pt idx="2">
                  <c:v>12.63</c:v>
                </c:pt>
                <c:pt idx="3">
                  <c:v>4.3</c:v>
                </c:pt>
                <c:pt idx="4">
                  <c:v>77.72</c:v>
                </c:pt>
                <c:pt idx="5">
                  <c:v>7.17</c:v>
                </c:pt>
                <c:pt idx="6">
                  <c:v>9.14</c:v>
                </c:pt>
                <c:pt idx="7">
                  <c:v>0.56999999999999995</c:v>
                </c:pt>
              </c:numCache>
            </c:numRef>
          </c:val>
          <c:extLst>
            <c:ext xmlns:c16="http://schemas.microsoft.com/office/drawing/2014/chart" uri="{C3380CC4-5D6E-409C-BE32-E72D297353CC}">
              <c16:uniqueId val="{00000004-61DE-4E21-B0BA-E843D1FA8C4F}"/>
            </c:ext>
          </c:extLst>
        </c:ser>
        <c:dLbls>
          <c:showLegendKey val="0"/>
          <c:showVal val="0"/>
          <c:showCatName val="0"/>
          <c:showSerName val="0"/>
          <c:showPercent val="0"/>
          <c:showBubbleSize val="0"/>
        </c:dLbls>
        <c:gapWidth val="219"/>
        <c:overlap val="-27"/>
        <c:axId val="663698680"/>
        <c:axId val="663695072"/>
      </c:barChart>
      <c:catAx>
        <c:axId val="663698680"/>
        <c:scaling>
          <c:orientation val="minMax"/>
        </c:scaling>
        <c:delete val="0"/>
        <c:axPos val="b"/>
        <c:numFmt formatCode="00.00%"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3695072"/>
        <c:crossesAt val="0"/>
        <c:auto val="1"/>
        <c:lblAlgn val="ctr"/>
        <c:lblOffset val="100"/>
        <c:noMultiLvlLbl val="0"/>
      </c:catAx>
      <c:valAx>
        <c:axId val="663695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3698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641FE"/>
    <w:rsid w:val="002D13F5"/>
    <w:rsid w:val="00723D75"/>
    <w:rsid w:val="00727FC5"/>
    <w:rsid w:val="0083132B"/>
    <w:rsid w:val="009C768A"/>
    <w:rsid w:val="00A34C42"/>
    <w:rsid w:val="00A47DE7"/>
    <w:rsid w:val="00BC1251"/>
    <w:rsid w:val="00C67429"/>
    <w:rsid w:val="00D87E30"/>
    <w:rsid w:val="00E74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89997B-1BA3-4552-BD01-A020246ED28E}">
  <ds:schemaRefs>
    <ds:schemaRef ds:uri="http://schemas.openxmlformats.org/officeDocument/2006/bibliography"/>
  </ds:schemaRefs>
</ds:datastoreItem>
</file>

<file path=customXml/itemProps3.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5.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1</Pages>
  <Words>2957</Words>
  <Characters>16857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Marriott International</vt:lpstr>
    </vt:vector>
  </TitlesOfParts>
  <Company>University Of Wales Trinity Saint David</Company>
  <LinksUpToDate>false</LinksUpToDate>
  <CharactersWithSpaces>19775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International</dc:title>
  <dc:subject>Analysis of the Financial Statement</dc:subject>
  <dc:creator>Marie Pitson</dc:creator>
  <cp:keywords/>
  <dc:description/>
  <cp:lastModifiedBy>Nicolae Puiu</cp:lastModifiedBy>
  <cp:revision>50</cp:revision>
  <dcterms:created xsi:type="dcterms:W3CDTF">2022-12-06T23:28:00Z</dcterms:created>
  <dcterms:modified xsi:type="dcterms:W3CDTF">2022-12-09T03:49:00Z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