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254364415"/>
        <w:docPartObj>
          <w:docPartGallery w:val="Cover Pages"/>
          <w:docPartUnique/>
        </w:docPartObj>
      </w:sdtPr>
      <w:sdtEndPr>
        <w:rPr>
          <w:rFonts w:eastAsiaTheme="minorHAnsi"/>
          <w:color w:val="auto"/>
          <w:kern w:val="2"/>
          <w:sz w:val="24"/>
          <w:szCs w:val="24"/>
          <w:lang w:eastAsia="en-US"/>
          <w14:ligatures w14:val="standardContextual"/>
        </w:rPr>
      </w:sdtEndPr>
      <w:sdtContent>
        <w:p w14:paraId="44501E66" w14:textId="3118F686" w:rsidR="002456B6" w:rsidRDefault="002456B6">
          <w:pPr>
            <w:pStyle w:val="NoSpacing"/>
            <w:spacing w:before="1540" w:after="240"/>
            <w:jc w:val="center"/>
            <w:rPr>
              <w:color w:val="156082" w:themeColor="accent1"/>
            </w:rPr>
          </w:pPr>
          <w:r>
            <w:rPr>
              <w:noProof/>
              <w:color w:val="156082" w:themeColor="accent1"/>
              <w14:ligatures w14:val="standardContextual"/>
            </w:rPr>
            <w:drawing>
              <wp:inline distT="0" distB="0" distL="0" distR="0" wp14:anchorId="25B64F4B" wp14:editId="1596DE6A">
                <wp:extent cx="1790065" cy="1587293"/>
                <wp:effectExtent l="0" t="0" r="635" b="0"/>
                <wp:docPr id="863213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213639" name="Picture 863213639"/>
                        <pic:cNvPicPr/>
                      </pic:nvPicPr>
                      <pic:blipFill>
                        <a:blip r:embed="rId4">
                          <a:extLst>
                            <a:ext uri="{28A0092B-C50C-407E-A947-70E740481C1C}">
                              <a14:useLocalDpi xmlns:a14="http://schemas.microsoft.com/office/drawing/2010/main" val="0"/>
                            </a:ext>
                          </a:extLst>
                        </a:blip>
                        <a:stretch>
                          <a:fillRect/>
                        </a:stretch>
                      </pic:blipFill>
                      <pic:spPr>
                        <a:xfrm>
                          <a:off x="0" y="0"/>
                          <a:ext cx="1829484" cy="1622246"/>
                        </a:xfrm>
                        <a:prstGeom prst="rect">
                          <a:avLst/>
                        </a:prstGeom>
                      </pic:spPr>
                    </pic:pic>
                  </a:graphicData>
                </a:graphic>
              </wp:inline>
            </w:drawing>
          </w:r>
        </w:p>
        <w:sdt>
          <w:sdtPr>
            <w:rPr>
              <w:rFonts w:ascii="Times New Roman" w:eastAsiaTheme="majorEastAsia" w:hAnsi="Times New Roman" w:cs="Times New Roman"/>
              <w:b/>
              <w:bCs/>
              <w:caps/>
              <w:color w:val="156082" w:themeColor="accent1"/>
              <w:sz w:val="24"/>
              <w:szCs w:val="24"/>
            </w:rPr>
            <w:alias w:val="Title"/>
            <w:tag w:val=""/>
            <w:id w:val="1735040861"/>
            <w:placeholder>
              <w:docPart w:val="EB1D69C4F86D48258039C3D9F5C83A26"/>
            </w:placeholder>
            <w:dataBinding w:prefixMappings="xmlns:ns0='http://purl.org/dc/elements/1.1/' xmlns:ns1='http://schemas.openxmlformats.org/package/2006/metadata/core-properties' " w:xpath="/ns1:coreProperties[1]/ns0:title[1]" w:storeItemID="{6C3C8BC8-F283-45AE-878A-BAB7291924A1}"/>
            <w:text/>
          </w:sdtPr>
          <w:sdtContent>
            <w:p w14:paraId="50AB163B" w14:textId="652F9221" w:rsidR="002456B6" w:rsidRPr="00195732" w:rsidRDefault="002456B6">
              <w:pPr>
                <w:pStyle w:val="NoSpacing"/>
                <w:pBdr>
                  <w:top w:val="single" w:sz="6" w:space="6" w:color="156082" w:themeColor="accent1"/>
                  <w:bottom w:val="single" w:sz="6" w:space="6" w:color="156082" w:themeColor="accent1"/>
                </w:pBdr>
                <w:spacing w:after="240"/>
                <w:jc w:val="center"/>
                <w:rPr>
                  <w:rFonts w:ascii="Times New Roman" w:eastAsiaTheme="majorEastAsia" w:hAnsi="Times New Roman" w:cs="Times New Roman"/>
                  <w:caps/>
                  <w:color w:val="156082" w:themeColor="accent1"/>
                  <w:sz w:val="24"/>
                  <w:szCs w:val="24"/>
                </w:rPr>
              </w:pPr>
              <w:r w:rsidRPr="00195732">
                <w:rPr>
                  <w:rFonts w:ascii="Times New Roman" w:eastAsiaTheme="majorEastAsia" w:hAnsi="Times New Roman" w:cs="Times New Roman"/>
                  <w:b/>
                  <w:bCs/>
                  <w:caps/>
                  <w:color w:val="156082" w:themeColor="accent1"/>
                  <w:sz w:val="24"/>
                  <w:szCs w:val="24"/>
                </w:rPr>
                <w:t xml:space="preserve">LEADERSHIP AND MANAGEMENT SKILLS FOR THE </w:t>
              </w:r>
              <w:r w:rsidR="00195732">
                <w:rPr>
                  <w:rFonts w:ascii="Times New Roman" w:eastAsiaTheme="majorEastAsia" w:hAnsi="Times New Roman" w:cs="Times New Roman"/>
                  <w:b/>
                  <w:bCs/>
                  <w:caps/>
                  <w:color w:val="156082" w:themeColor="accent1"/>
                  <w:sz w:val="24"/>
                  <w:szCs w:val="24"/>
                </w:rPr>
                <w:t>WORKPLACE</w:t>
              </w:r>
            </w:p>
          </w:sdtContent>
        </w:sdt>
        <w:p w14:paraId="3A803A37" w14:textId="57311935" w:rsidR="002456B6" w:rsidRPr="00195732" w:rsidRDefault="002456B6" w:rsidP="00195732">
          <w:pPr>
            <w:pStyle w:val="NoSpacing"/>
            <w:jc w:val="center"/>
            <w:rPr>
              <w:rFonts w:ascii="Times New Roman" w:hAnsi="Times New Roman" w:cs="Times New Roman"/>
              <w:color w:val="156082" w:themeColor="accent1"/>
              <w:sz w:val="32"/>
              <w:szCs w:val="32"/>
            </w:rPr>
          </w:pPr>
          <w:sdt>
            <w:sdtPr>
              <w:rPr>
                <w:rFonts w:ascii="Times New Roman" w:hAnsi="Times New Roman" w:cs="Times New Roman"/>
                <w:color w:val="156082" w:themeColor="accent1"/>
                <w:sz w:val="32"/>
                <w:szCs w:val="32"/>
              </w:rPr>
              <w:alias w:val="Subtitle"/>
              <w:tag w:val=""/>
              <w:id w:val="328029620"/>
              <w:placeholder>
                <w:docPart w:val="A924CDBF906D40BFB3DE7B47BBB45710"/>
              </w:placeholder>
              <w:dataBinding w:prefixMappings="xmlns:ns0='http://purl.org/dc/elements/1.1/' xmlns:ns1='http://schemas.openxmlformats.org/package/2006/metadata/core-properties' " w:xpath="/ns1:coreProperties[1]/ns0:subject[1]" w:storeItemID="{6C3C8BC8-F283-45AE-878A-BAB7291924A1}"/>
              <w:text/>
            </w:sdtPr>
            <w:sdtContent>
              <w:r w:rsidRPr="002456B6">
                <w:rPr>
                  <w:rFonts w:ascii="Times New Roman" w:hAnsi="Times New Roman" w:cs="Times New Roman"/>
                  <w:color w:val="156082" w:themeColor="accent1"/>
                  <w:sz w:val="32"/>
                  <w:szCs w:val="32"/>
                </w:rPr>
                <w:t>Leading and Implementing Change</w:t>
              </w:r>
            </w:sdtContent>
          </w:sdt>
        </w:p>
        <w:p w14:paraId="6B3DC684" w14:textId="5345D93A" w:rsidR="002456B6" w:rsidRDefault="00195732">
          <w:pPr>
            <w:pStyle w:val="NoSpacing"/>
            <w:spacing w:before="480"/>
            <w:jc w:val="center"/>
            <w:rPr>
              <w:color w:val="156082" w:themeColor="accent1"/>
            </w:rPr>
          </w:pPr>
          <w:r>
            <w:rPr>
              <w:noProof/>
              <w:color w:val="156082" w:themeColor="accent1"/>
              <w14:ligatures w14:val="standardContextual"/>
            </w:rPr>
            <mc:AlternateContent>
              <mc:Choice Requires="wps">
                <w:drawing>
                  <wp:anchor distT="0" distB="0" distL="114300" distR="114300" simplePos="0" relativeHeight="251660288" behindDoc="0" locked="0" layoutInCell="1" allowOverlap="1" wp14:anchorId="6A564B61" wp14:editId="19023733">
                    <wp:simplePos x="0" y="0"/>
                    <wp:positionH relativeFrom="margin">
                      <wp:posOffset>1073150</wp:posOffset>
                    </wp:positionH>
                    <wp:positionV relativeFrom="paragraph">
                      <wp:posOffset>99695</wp:posOffset>
                    </wp:positionV>
                    <wp:extent cx="4178300" cy="450850"/>
                    <wp:effectExtent l="0" t="0" r="12700" b="25400"/>
                    <wp:wrapNone/>
                    <wp:docPr id="1316647987" name="Text Box 2"/>
                    <wp:cNvGraphicFramePr/>
                    <a:graphic xmlns:a="http://schemas.openxmlformats.org/drawingml/2006/main">
                      <a:graphicData uri="http://schemas.microsoft.com/office/word/2010/wordprocessingShape">
                        <wps:wsp>
                          <wps:cNvSpPr txBox="1"/>
                          <wps:spPr>
                            <a:xfrm>
                              <a:off x="0" y="0"/>
                              <a:ext cx="4178300" cy="450850"/>
                            </a:xfrm>
                            <a:prstGeom prst="rect">
                              <a:avLst/>
                            </a:prstGeom>
                            <a:solidFill>
                              <a:schemeClr val="lt1"/>
                            </a:solidFill>
                            <a:ln w="6350">
                              <a:solidFill>
                                <a:prstClr val="black"/>
                              </a:solidFill>
                            </a:ln>
                          </wps:spPr>
                          <wps:txbx>
                            <w:txbxContent>
                              <w:p w14:paraId="7B633EC4" w14:textId="619A54D8" w:rsidR="00195732" w:rsidRPr="00195732" w:rsidRDefault="00195732" w:rsidP="00195732">
                                <w:pPr>
                                  <w:ind w:left="0"/>
                                  <w:jc w:val="center"/>
                                  <w:rPr>
                                    <w:rFonts w:ascii="Times New Roman" w:hAnsi="Times New Roman" w:cs="Times New Roman"/>
                                    <w:b/>
                                    <w:bCs/>
                                    <w:color w:val="A02B93" w:themeColor="accent5"/>
                                    <w:sz w:val="32"/>
                                    <w:szCs w:val="32"/>
                                  </w:rPr>
                                </w:pPr>
                                <w:r w:rsidRPr="00195732">
                                  <w:rPr>
                                    <w:rFonts w:ascii="Times New Roman" w:hAnsi="Times New Roman" w:cs="Times New Roman"/>
                                    <w:b/>
                                    <w:bCs/>
                                    <w:color w:val="A02B93" w:themeColor="accent5"/>
                                    <w:sz w:val="32"/>
                                    <w:szCs w:val="32"/>
                                  </w:rPr>
                                  <w:t>A Strategic Plan at Jaguar-Land Rover</w:t>
                                </w:r>
                              </w:p>
                              <w:p w14:paraId="7641A413" w14:textId="77777777" w:rsidR="00195732" w:rsidRDefault="00195732" w:rsidP="00195732">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564B61" id="_x0000_t202" coordsize="21600,21600" o:spt="202" path="m,l,21600r21600,l21600,xe">
                    <v:stroke joinstyle="miter"/>
                    <v:path gradientshapeok="t" o:connecttype="rect"/>
                  </v:shapetype>
                  <v:shape id="Text Box 2" o:spid="_x0000_s1026" type="#_x0000_t202" style="position:absolute;left:0;text-align:left;margin-left:84.5pt;margin-top:7.85pt;width:329pt;height:35.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" fillcolor="white [3201]" strokeweight=".5pt">
                    <v:textbox>
                      <w:txbxContent>
                        <w:p w14:paraId="7B633EC4" w14:textId="619A54D8" w:rsidR="00195732" w:rsidRPr="00195732" w:rsidRDefault="00195732" w:rsidP="00195732">
                          <w:pPr>
                            <w:ind w:left="0"/>
                            <w:jc w:val="center"/>
                            <w:rPr>
                              <w:rFonts w:ascii="Times New Roman" w:hAnsi="Times New Roman" w:cs="Times New Roman"/>
                              <w:b/>
                              <w:bCs/>
                              <w:color w:val="A02B93" w:themeColor="accent5"/>
                              <w:sz w:val="32"/>
                              <w:szCs w:val="32"/>
                            </w:rPr>
                          </w:pPr>
                          <w:r w:rsidRPr="00195732">
                            <w:rPr>
                              <w:rFonts w:ascii="Times New Roman" w:hAnsi="Times New Roman" w:cs="Times New Roman"/>
                              <w:b/>
                              <w:bCs/>
                              <w:color w:val="A02B93" w:themeColor="accent5"/>
                              <w:sz w:val="32"/>
                              <w:szCs w:val="32"/>
                            </w:rPr>
                            <w:t>A Strategic Plan at Jaguar-Land Rover</w:t>
                          </w:r>
                        </w:p>
                        <w:p w14:paraId="7641A413" w14:textId="77777777" w:rsidR="00195732" w:rsidRDefault="00195732" w:rsidP="00195732">
                          <w:pPr>
                            <w:jc w:val="center"/>
                          </w:pPr>
                        </w:p>
                      </w:txbxContent>
                    </v:textbox>
                    <w10:wrap anchorx="margin"/>
                  </v:shape>
                </w:pict>
              </mc:Fallback>
            </mc:AlternateContent>
          </w:r>
        </w:p>
        <w:p w14:paraId="40E56543" w14:textId="4369C5A6" w:rsidR="001E5856" w:rsidRDefault="001E5856" w:rsidP="001E5856">
          <w:pPr>
            <w:pStyle w:val="NoSpacing"/>
            <w:spacing w:before="480"/>
            <w:rPr>
              <w:color w:val="156082" w:themeColor="accent1"/>
            </w:rPr>
          </w:pPr>
          <w:r>
            <w:rPr>
              <w:noProof/>
              <w:color w:val="156082" w:themeColor="accent1"/>
              <w14:ligatures w14:val="standardContextual"/>
            </w:rPr>
            <mc:AlternateContent>
              <mc:Choice Requires="wps">
                <w:drawing>
                  <wp:anchor distT="0" distB="0" distL="114300" distR="114300" simplePos="0" relativeHeight="251661312" behindDoc="0" locked="0" layoutInCell="1" allowOverlap="1" wp14:anchorId="1E8BCA59" wp14:editId="0B702D41">
                    <wp:simplePos x="0" y="0"/>
                    <wp:positionH relativeFrom="column">
                      <wp:posOffset>3282950</wp:posOffset>
                    </wp:positionH>
                    <wp:positionV relativeFrom="paragraph">
                      <wp:posOffset>310515</wp:posOffset>
                    </wp:positionV>
                    <wp:extent cx="2193290" cy="1403350"/>
                    <wp:effectExtent l="0" t="0" r="16510" b="25400"/>
                    <wp:wrapNone/>
                    <wp:docPr id="60423894" name="Text Box 5"/>
                    <wp:cNvGraphicFramePr/>
                    <a:graphic xmlns:a="http://schemas.openxmlformats.org/drawingml/2006/main">
                      <a:graphicData uri="http://schemas.microsoft.com/office/word/2010/wordprocessingShape">
                        <wps:wsp>
                          <wps:cNvSpPr txBox="1"/>
                          <wps:spPr>
                            <a:xfrm>
                              <a:off x="0" y="0"/>
                              <a:ext cx="2193290" cy="1403350"/>
                            </a:xfrm>
                            <a:prstGeom prst="rect">
                              <a:avLst/>
                            </a:prstGeom>
                            <a:solidFill>
                              <a:schemeClr val="lt1"/>
                            </a:solidFill>
                            <a:ln w="6350">
                              <a:solidFill>
                                <a:prstClr val="black"/>
                              </a:solidFill>
                            </a:ln>
                          </wps:spPr>
                          <wps:txbx>
                            <w:txbxContent>
                              <w:p w14:paraId="36425CBA" w14:textId="4B1074DB" w:rsidR="001E5856" w:rsidRDefault="001E5856">
                                <w:pPr>
                                  <w:ind w:left="0"/>
                                </w:pPr>
                                <w:r>
                                  <w:rPr>
                                    <w:noProof/>
                                  </w:rPr>
                                  <w:drawing>
                                    <wp:inline distT="0" distB="0" distL="0" distR="0" wp14:anchorId="03700526" wp14:editId="25CFD178">
                                      <wp:extent cx="2082800" cy="1217930"/>
                                      <wp:effectExtent l="0" t="0" r="0" b="1270"/>
                                      <wp:docPr id="12583504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35048" name="Picture 125835048"/>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2154522" cy="1259870"/>
                                              </a:xfrm>
                                              <a:prstGeom prst="rect">
                                                <a:avLst/>
                                              </a:prstGeom>
                                            </pic:spPr>
                                          </pic:pic>
                                        </a:graphicData>
                                      </a:graphic>
                                    </wp:inline>
                                  </w:drawing>
                                </w:r>
                                <w:r>
                                  <w:rPr>
                                    <w:noProof/>
                                  </w:rPr>
                                  <w:drawing>
                                    <wp:inline distT="0" distB="0" distL="0" distR="0" wp14:anchorId="515FE055" wp14:editId="2E271394">
                                      <wp:extent cx="1958340" cy="1305560"/>
                                      <wp:effectExtent l="0" t="0" r="3810" b="8890"/>
                                      <wp:docPr id="130691072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910729" name="Picture 1306910729"/>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1958340" cy="130556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8BCA59" id="Text Box 5" o:spid="_x0000_s1027" type="#_x0000_t202" style="position:absolute;margin-left:258.5pt;margin-top:24.45pt;width:172.7pt;height:11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" fillcolor="white [3201]" strokeweight=".5pt">
                    <v:textbox>
                      <w:txbxContent>
                        <w:p w14:paraId="36425CBA" w14:textId="4B1074DB" w:rsidR="001E5856" w:rsidRDefault="001E5856">
                          <w:pPr>
                            <w:ind w:left="0"/>
                          </w:pPr>
                          <w:r>
                            <w:rPr>
                              <w:noProof/>
                            </w:rPr>
                            <w:drawing>
                              <wp:inline distT="0" distB="0" distL="0" distR="0" wp14:anchorId="03700526" wp14:editId="25CFD178">
                                <wp:extent cx="2082800" cy="1217930"/>
                                <wp:effectExtent l="0" t="0" r="0" b="1270"/>
                                <wp:docPr id="12583504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35048" name="Picture 125835048"/>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2154522" cy="1259870"/>
                                        </a:xfrm>
                                        <a:prstGeom prst="rect">
                                          <a:avLst/>
                                        </a:prstGeom>
                                      </pic:spPr>
                                    </pic:pic>
                                  </a:graphicData>
                                </a:graphic>
                              </wp:inline>
                            </w:drawing>
                          </w:r>
                          <w:r>
                            <w:rPr>
                              <w:noProof/>
                            </w:rPr>
                            <w:drawing>
                              <wp:inline distT="0" distB="0" distL="0" distR="0" wp14:anchorId="515FE055" wp14:editId="2E271394">
                                <wp:extent cx="1958340" cy="1305560"/>
                                <wp:effectExtent l="0" t="0" r="3810" b="8890"/>
                                <wp:docPr id="130691072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910729" name="Picture 1306910729"/>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1958340" cy="1305560"/>
                                        </a:xfrm>
                                        <a:prstGeom prst="rect">
                                          <a:avLst/>
                                        </a:prstGeom>
                                      </pic:spPr>
                                    </pic:pic>
                                  </a:graphicData>
                                </a:graphic>
                              </wp:inline>
                            </w:drawing>
                          </w:r>
                        </w:p>
                      </w:txbxContent>
                    </v:textbox>
                  </v:shape>
                </w:pict>
              </mc:Fallback>
            </mc:AlternateContent>
          </w:r>
          <w:r>
            <w:rPr>
              <w:color w:val="156082" w:themeColor="accent1"/>
            </w:rPr>
            <w:t xml:space="preserve"> </w:t>
          </w:r>
          <w:r w:rsidR="00195732">
            <w:rPr>
              <w:noProof/>
            </w:rPr>
            <w:drawing>
              <wp:inline distT="0" distB="0" distL="0" distR="0" wp14:anchorId="7F56B21A" wp14:editId="39801FC6">
                <wp:extent cx="2641600" cy="1338573"/>
                <wp:effectExtent l="0" t="0" r="6350" b="0"/>
                <wp:docPr id="20193155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315558" name="Picture 2019315558"/>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747503" cy="1392237"/>
                        </a:xfrm>
                        <a:prstGeom prst="rect">
                          <a:avLst/>
                        </a:prstGeom>
                      </pic:spPr>
                    </pic:pic>
                  </a:graphicData>
                </a:graphic>
              </wp:inline>
            </w:drawing>
          </w:r>
        </w:p>
        <w:p w14:paraId="00FE4D80" w14:textId="11A0F933" w:rsidR="001E5856" w:rsidRPr="001E5856" w:rsidRDefault="001E5856" w:rsidP="001E5856">
          <w:pPr>
            <w:pStyle w:val="NoSpacing"/>
            <w:spacing w:before="480"/>
            <w:rPr>
              <w:rFonts w:ascii="Times New Roman" w:hAnsi="Times New Roman" w:cs="Times New Roman"/>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2DFBE25B" wp14:editId="6784D611">
                    <wp:simplePos x="0" y="0"/>
                    <wp:positionH relativeFrom="margin">
                      <wp:align>right</wp:align>
                    </wp:positionH>
                    <wp:positionV relativeFrom="page">
                      <wp:posOffset>9010651</wp:posOffset>
                    </wp:positionV>
                    <wp:extent cx="6553200" cy="76200"/>
                    <wp:effectExtent l="0" t="0" r="2540" b="0"/>
                    <wp:wrapNone/>
                    <wp:docPr id="142" name="Text Box 146"/>
                    <wp:cNvGraphicFramePr/>
                    <a:graphic xmlns:a="http://schemas.openxmlformats.org/drawingml/2006/main">
                      <a:graphicData uri="http://schemas.microsoft.com/office/word/2010/wordprocessingShape">
                        <wps:wsp>
                          <wps:cNvSpPr txBox="1"/>
                          <wps:spPr>
                            <a:xfrm flipV="1">
                              <a:off x="0" y="0"/>
                              <a:ext cx="6553200" cy="76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7C90CBBB" w14:textId="77777777" w:rsidR="002456B6" w:rsidRDefault="002456B6">
                                    <w:pPr>
                                      <w:pStyle w:val="NoSpacing"/>
                                      <w:spacing w:after="40"/>
                                      <w:jc w:val="center"/>
                                      <w:rPr>
                                        <w:caps/>
                                        <w:color w:val="156082" w:themeColor="accent1"/>
                                        <w:sz w:val="28"/>
                                        <w:szCs w:val="28"/>
                                      </w:rPr>
                                    </w:pPr>
                                    <w:r>
                                      <w:rPr>
                                        <w:caps/>
                                        <w:color w:val="156082" w:themeColor="accent1"/>
                                        <w:sz w:val="28"/>
                                        <w:szCs w:val="28"/>
                                      </w:rPr>
                                      <w:t>[Date]</w:t>
                                    </w:r>
                                  </w:p>
                                </w:sdtContent>
                              </w:sdt>
                              <w:p w14:paraId="59E4B028" w14:textId="77777777" w:rsidR="002456B6" w:rsidRDefault="002456B6">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156082" w:themeColor="accent1"/>
                                      </w:rPr>
                                      <w:t>[Company name]</w:t>
                                    </w:r>
                                  </w:sdtContent>
                                </w:sdt>
                              </w:p>
                              <w:p w14:paraId="3546C5AD" w14:textId="77777777" w:rsidR="002456B6" w:rsidRDefault="002456B6">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 w14:anchorId="2DFBE25B" id="Text Box 146" o:spid="_x0000_s1028" type="#_x0000_t202" style="position:absolute;margin-left:464.8pt;margin-top:709.5pt;width:516pt;height:6pt;flip:y;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" filled="f" stroked="f" strokeweight=".5pt">
                    <v:textbox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7C90CBBB" w14:textId="77777777" w:rsidR="002456B6" w:rsidRDefault="002456B6">
                              <w:pPr>
                                <w:pStyle w:val="NoSpacing"/>
                                <w:spacing w:after="40"/>
                                <w:jc w:val="center"/>
                                <w:rPr>
                                  <w:caps/>
                                  <w:color w:val="156082" w:themeColor="accent1"/>
                                  <w:sz w:val="28"/>
                                  <w:szCs w:val="28"/>
                                </w:rPr>
                              </w:pPr>
                              <w:r>
                                <w:rPr>
                                  <w:caps/>
                                  <w:color w:val="156082" w:themeColor="accent1"/>
                                  <w:sz w:val="28"/>
                                  <w:szCs w:val="28"/>
                                </w:rPr>
                                <w:t>[Date]</w:t>
                              </w:r>
                            </w:p>
                          </w:sdtContent>
                        </w:sdt>
                        <w:p w14:paraId="59E4B028" w14:textId="77777777" w:rsidR="002456B6" w:rsidRDefault="002456B6">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156082" w:themeColor="accent1"/>
                                </w:rPr>
                                <w:t>[Company name]</w:t>
                              </w:r>
                            </w:sdtContent>
                          </w:sdt>
                        </w:p>
                        <w:p w14:paraId="3546C5AD" w14:textId="77777777" w:rsidR="002456B6" w:rsidRDefault="002456B6">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[Company address]</w:t>
                              </w:r>
                            </w:sdtContent>
                          </w:sdt>
                        </w:p>
                      </w:txbxContent>
                    </v:textbox>
                    <w10:wrap anchorx="margin" anchory="page"/>
                  </v:shape>
                </w:pict>
              </mc:Fallback>
            </mc:AlternateContent>
          </w:r>
          <w:r>
            <w:rPr>
              <w:rFonts w:ascii="Times New Roman" w:hAnsi="Times New Roman" w:cs="Times New Roman"/>
              <w:noProof/>
              <w:color w:val="156082" w:themeColor="accent1"/>
              <w14:ligatures w14:val="standardContextual"/>
            </w:rPr>
            <w:drawing>
              <wp:inline distT="0" distB="0" distL="0" distR="0" wp14:anchorId="23ADCA9F" wp14:editId="1A4DE613">
                <wp:extent cx="5594350" cy="2694940"/>
                <wp:effectExtent l="0" t="0" r="6350" b="0"/>
                <wp:docPr id="111209189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091895" name="Picture 1112091895"/>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795307" cy="2791746"/>
                        </a:xfrm>
                        <a:prstGeom prst="rect">
                          <a:avLst/>
                        </a:prstGeom>
                      </pic:spPr>
                    </pic:pic>
                  </a:graphicData>
                </a:graphic>
              </wp:inline>
            </w:drawing>
          </w:r>
        </w:p>
        <w:p w14:paraId="4D5B4A6B" w14:textId="52C58F38" w:rsidR="002456B6" w:rsidRDefault="002456B6" w:rsidP="001E5856">
          <w:pPr>
            <w:ind w:left="0"/>
          </w:pPr>
          <w:r>
            <w:br w:type="page"/>
          </w:r>
        </w:p>
      </w:sdtContent>
    </w:sdt>
    <w:p w14:paraId="56B8D780" w14:textId="77777777" w:rsidR="001E5856" w:rsidRDefault="001E5856" w:rsidP="001E5856">
      <w:pPr>
        <w:spacing w:after="200"/>
      </w:pPr>
      <w:r>
        <w:rPr>
          <w:b/>
          <w:color w:val="1F3864"/>
          <w:sz w:val="40"/>
        </w:rPr>
        <w:lastRenderedPageBreak/>
        <w:t>Table of Contents</w:t>
      </w:r>
    </w:p>
    <w:p w14:paraId="0C303A1F" w14:textId="77777777" w:rsidR="001E5856" w:rsidRDefault="001E5856" w:rsidP="001E5856">
      <w:pPr>
        <w:tabs>
          <w:tab w:val="right" w:leader="dot" w:pos="9144"/>
        </w:tabs>
        <w:spacing w:before="160" w:after="160"/>
      </w:pPr>
      <w:r>
        <w:rPr>
          <w:b/>
          <w:color w:val="1F3864"/>
        </w:rPr>
        <w:t>Executive Summary</w:t>
      </w:r>
      <w:r>
        <w:rPr>
          <w:b/>
          <w:color w:val="1F3864"/>
        </w:rPr>
        <w:tab/>
        <w:t>3</w:t>
      </w:r>
    </w:p>
    <w:p w14:paraId="31326AF7" w14:textId="77777777" w:rsidR="001E5856" w:rsidRDefault="001E5856" w:rsidP="001E5856">
      <w:pPr>
        <w:tabs>
          <w:tab w:val="right" w:leader="dot" w:pos="9144"/>
        </w:tabs>
        <w:spacing w:before="160" w:after="160"/>
      </w:pPr>
      <w:r>
        <w:rPr>
          <w:b/>
          <w:color w:val="1F3864"/>
        </w:rPr>
        <w:t>1. Introduction to Jaguar Land Rover</w:t>
      </w:r>
      <w:r>
        <w:rPr>
          <w:b/>
          <w:color w:val="1F3864"/>
        </w:rPr>
        <w:tab/>
        <w:t>4</w:t>
      </w:r>
    </w:p>
    <w:p w14:paraId="763E45F1" w14:textId="77777777" w:rsidR="001E5856" w:rsidRDefault="001E5856" w:rsidP="001E5856">
      <w:pPr>
        <w:tabs>
          <w:tab w:val="right" w:leader="dot" w:pos="9144"/>
        </w:tabs>
        <w:spacing w:before="160" w:after="160"/>
      </w:pPr>
      <w:r>
        <w:rPr>
          <w:b/>
          <w:color w:val="1F3864"/>
        </w:rPr>
        <w:t>2. Environmental Analysis: Impact of Internal and External Change Factors</w:t>
      </w:r>
      <w:r>
        <w:rPr>
          <w:b/>
          <w:color w:val="1F3864"/>
        </w:rPr>
        <w:tab/>
        <w:t>6</w:t>
      </w:r>
    </w:p>
    <w:p w14:paraId="4E0E21F1" w14:textId="77777777" w:rsidR="001E5856" w:rsidRDefault="001E5856" w:rsidP="001E5856">
      <w:pPr>
        <w:tabs>
          <w:tab w:val="right" w:leader="dot" w:pos="9144"/>
        </w:tabs>
        <w:spacing w:before="80" w:after="80"/>
        <w:ind w:left="504"/>
      </w:pPr>
      <w:r>
        <w:rPr>
          <w:color w:val="000000"/>
          <w:sz w:val="21"/>
        </w:rPr>
        <w:t>2.1 PESTLE Analysis: External Environmental Forces</w:t>
      </w:r>
      <w:r>
        <w:rPr>
          <w:color w:val="000000"/>
          <w:sz w:val="21"/>
        </w:rPr>
        <w:tab/>
        <w:t>6</w:t>
      </w:r>
    </w:p>
    <w:p w14:paraId="0F38E9E7" w14:textId="77777777" w:rsidR="001E5856" w:rsidRDefault="001E5856" w:rsidP="001E5856">
      <w:pPr>
        <w:tabs>
          <w:tab w:val="right" w:leader="dot" w:pos="9144"/>
        </w:tabs>
        <w:spacing w:before="80" w:after="80"/>
        <w:ind w:left="504"/>
      </w:pPr>
      <w:r>
        <w:rPr>
          <w:color w:val="000000"/>
          <w:sz w:val="21"/>
        </w:rPr>
        <w:t>2.2 Porter’s Five Forces Analysis of the Global Automotive Industry</w:t>
      </w:r>
      <w:r>
        <w:rPr>
          <w:color w:val="000000"/>
          <w:sz w:val="21"/>
        </w:rPr>
        <w:tab/>
        <w:t>8</w:t>
      </w:r>
    </w:p>
    <w:p w14:paraId="1572041C" w14:textId="77777777" w:rsidR="001E5856" w:rsidRDefault="001E5856" w:rsidP="001E5856">
      <w:pPr>
        <w:tabs>
          <w:tab w:val="right" w:leader="dot" w:pos="9144"/>
        </w:tabs>
        <w:spacing w:before="80" w:after="80"/>
        <w:ind w:left="504"/>
      </w:pPr>
      <w:r>
        <w:rPr>
          <w:color w:val="000000"/>
          <w:sz w:val="21"/>
        </w:rPr>
        <w:t>2.3 Internal Environmental Factors</w:t>
      </w:r>
      <w:r>
        <w:rPr>
          <w:color w:val="000000"/>
          <w:sz w:val="21"/>
        </w:rPr>
        <w:tab/>
        <w:t>8</w:t>
      </w:r>
    </w:p>
    <w:p w14:paraId="52145AB2" w14:textId="77777777" w:rsidR="001E5856" w:rsidRDefault="001E5856" w:rsidP="001E5856">
      <w:pPr>
        <w:tabs>
          <w:tab w:val="right" w:leader="dot" w:pos="9144"/>
        </w:tabs>
        <w:spacing w:before="80" w:after="80"/>
        <w:ind w:left="504"/>
      </w:pPr>
      <w:r>
        <w:rPr>
          <w:color w:val="000000"/>
          <w:sz w:val="21"/>
        </w:rPr>
        <w:t>2.4 Stakeholder Analysis</w:t>
      </w:r>
      <w:r>
        <w:rPr>
          <w:color w:val="000000"/>
          <w:sz w:val="21"/>
        </w:rPr>
        <w:tab/>
        <w:t>9</w:t>
      </w:r>
    </w:p>
    <w:p w14:paraId="71E8452A" w14:textId="77777777" w:rsidR="001E5856" w:rsidRDefault="001E5856" w:rsidP="001E5856">
      <w:pPr>
        <w:tabs>
          <w:tab w:val="right" w:leader="dot" w:pos="9144"/>
        </w:tabs>
        <w:spacing w:before="160" w:after="160"/>
      </w:pPr>
      <w:r>
        <w:rPr>
          <w:b/>
          <w:color w:val="1F3864"/>
        </w:rPr>
        <w:t>3. Evaluation of Change Management Models</w:t>
      </w:r>
      <w:r>
        <w:rPr>
          <w:b/>
          <w:color w:val="1F3864"/>
        </w:rPr>
        <w:tab/>
        <w:t>10</w:t>
      </w:r>
    </w:p>
    <w:p w14:paraId="76B248AD" w14:textId="77777777" w:rsidR="001E5856" w:rsidRDefault="001E5856" w:rsidP="001E5856">
      <w:pPr>
        <w:tabs>
          <w:tab w:val="right" w:leader="dot" w:pos="9144"/>
        </w:tabs>
        <w:spacing w:before="80" w:after="80"/>
        <w:ind w:left="504"/>
      </w:pPr>
      <w:r>
        <w:rPr>
          <w:color w:val="000000"/>
          <w:sz w:val="21"/>
        </w:rPr>
        <w:t>3.1 Lewin’s Unfreeze-Change-Refreeze Model</w:t>
      </w:r>
      <w:r>
        <w:rPr>
          <w:color w:val="000000"/>
          <w:sz w:val="21"/>
        </w:rPr>
        <w:tab/>
        <w:t>10</w:t>
      </w:r>
    </w:p>
    <w:p w14:paraId="309B0EC2" w14:textId="77777777" w:rsidR="001E5856" w:rsidRDefault="001E5856" w:rsidP="001E5856">
      <w:pPr>
        <w:tabs>
          <w:tab w:val="right" w:leader="dot" w:pos="9144"/>
        </w:tabs>
        <w:spacing w:before="80" w:after="80"/>
        <w:ind w:left="504"/>
      </w:pPr>
      <w:r>
        <w:rPr>
          <w:color w:val="000000"/>
          <w:sz w:val="21"/>
        </w:rPr>
        <w:t>3.2 Kotter’s Eight-Step Change Model</w:t>
      </w:r>
      <w:r>
        <w:rPr>
          <w:color w:val="000000"/>
          <w:sz w:val="21"/>
        </w:rPr>
        <w:tab/>
        <w:t>11</w:t>
      </w:r>
    </w:p>
    <w:p w14:paraId="4791F055" w14:textId="77777777" w:rsidR="001E5856" w:rsidRDefault="001E5856" w:rsidP="001E5856">
      <w:pPr>
        <w:tabs>
          <w:tab w:val="right" w:leader="dot" w:pos="9144"/>
        </w:tabs>
        <w:spacing w:before="80" w:after="80"/>
        <w:ind w:left="504"/>
      </w:pPr>
      <w:r>
        <w:rPr>
          <w:color w:val="000000"/>
          <w:sz w:val="21"/>
        </w:rPr>
        <w:t>3.3 The McKinsey 7-S Framework</w:t>
      </w:r>
      <w:r>
        <w:rPr>
          <w:color w:val="000000"/>
          <w:sz w:val="21"/>
        </w:rPr>
        <w:tab/>
        <w:t>11</w:t>
      </w:r>
    </w:p>
    <w:p w14:paraId="44BDCE23" w14:textId="77777777" w:rsidR="001E5856" w:rsidRDefault="001E5856" w:rsidP="001E5856">
      <w:pPr>
        <w:tabs>
          <w:tab w:val="right" w:leader="dot" w:pos="9144"/>
        </w:tabs>
        <w:spacing w:before="160" w:after="160"/>
      </w:pPr>
      <w:r>
        <w:rPr>
          <w:b/>
          <w:color w:val="1F3864"/>
        </w:rPr>
        <w:t>4. Leadership, Organisational Culture, and Change Management</w:t>
      </w:r>
      <w:r>
        <w:rPr>
          <w:b/>
          <w:color w:val="1F3864"/>
        </w:rPr>
        <w:tab/>
        <w:t>13</w:t>
      </w:r>
    </w:p>
    <w:p w14:paraId="4099E5B6" w14:textId="77777777" w:rsidR="001E5856" w:rsidRDefault="001E5856" w:rsidP="001E5856">
      <w:pPr>
        <w:tabs>
          <w:tab w:val="right" w:leader="dot" w:pos="9144"/>
        </w:tabs>
        <w:spacing w:before="80" w:after="80"/>
        <w:ind w:left="504"/>
      </w:pPr>
      <w:r>
        <w:rPr>
          <w:color w:val="000000"/>
          <w:sz w:val="21"/>
        </w:rPr>
        <w:t>4.1 Leadership Style and Its Role in JLR’s Transformation</w:t>
      </w:r>
      <w:r>
        <w:rPr>
          <w:color w:val="000000"/>
          <w:sz w:val="21"/>
        </w:rPr>
        <w:tab/>
        <w:t>13</w:t>
      </w:r>
    </w:p>
    <w:p w14:paraId="6B0E5E84" w14:textId="77777777" w:rsidR="001E5856" w:rsidRDefault="001E5856" w:rsidP="001E5856">
      <w:pPr>
        <w:tabs>
          <w:tab w:val="right" w:leader="dot" w:pos="9144"/>
        </w:tabs>
        <w:spacing w:before="80" w:after="80"/>
        <w:ind w:left="504"/>
      </w:pPr>
      <w:r>
        <w:rPr>
          <w:color w:val="000000"/>
          <w:sz w:val="21"/>
        </w:rPr>
        <w:t>4.2 Organisational Culture and Its Impact on the Change Programme</w:t>
      </w:r>
      <w:r>
        <w:rPr>
          <w:color w:val="000000"/>
          <w:sz w:val="21"/>
        </w:rPr>
        <w:tab/>
        <w:t>13</w:t>
      </w:r>
    </w:p>
    <w:p w14:paraId="214CE145" w14:textId="77777777" w:rsidR="001E5856" w:rsidRDefault="001E5856" w:rsidP="001E5856">
      <w:pPr>
        <w:tabs>
          <w:tab w:val="right" w:leader="dot" w:pos="9144"/>
        </w:tabs>
        <w:spacing w:before="160" w:after="160"/>
      </w:pPr>
      <w:r>
        <w:rPr>
          <w:b/>
          <w:color w:val="1F3864"/>
        </w:rPr>
        <w:t>5. Strategic Change Management Plan</w:t>
      </w:r>
      <w:r>
        <w:rPr>
          <w:b/>
          <w:color w:val="1F3864"/>
        </w:rPr>
        <w:tab/>
        <w:t>15</w:t>
      </w:r>
    </w:p>
    <w:p w14:paraId="1D6ADC86" w14:textId="77777777" w:rsidR="001E5856" w:rsidRDefault="001E5856" w:rsidP="001E5856">
      <w:pPr>
        <w:tabs>
          <w:tab w:val="right" w:leader="dot" w:pos="9144"/>
        </w:tabs>
        <w:spacing w:before="80" w:after="80"/>
        <w:ind w:left="504"/>
      </w:pPr>
      <w:r>
        <w:rPr>
          <w:color w:val="000000"/>
          <w:sz w:val="21"/>
        </w:rPr>
        <w:t>5.1 Proposed Change and Strategic Objectives</w:t>
      </w:r>
      <w:r>
        <w:rPr>
          <w:color w:val="000000"/>
          <w:sz w:val="21"/>
        </w:rPr>
        <w:tab/>
        <w:t>15</w:t>
      </w:r>
    </w:p>
    <w:p w14:paraId="279ACCF5" w14:textId="77777777" w:rsidR="001E5856" w:rsidRDefault="001E5856" w:rsidP="001E5856">
      <w:pPr>
        <w:tabs>
          <w:tab w:val="right" w:leader="dot" w:pos="9144"/>
        </w:tabs>
        <w:spacing w:before="80" w:after="80"/>
        <w:ind w:left="504"/>
      </w:pPr>
      <w:r>
        <w:rPr>
          <w:color w:val="000000"/>
          <w:sz w:val="21"/>
        </w:rPr>
        <w:t>5.2 Financial Plan</w:t>
      </w:r>
      <w:r>
        <w:rPr>
          <w:color w:val="000000"/>
          <w:sz w:val="21"/>
        </w:rPr>
        <w:tab/>
        <w:t>15</w:t>
      </w:r>
    </w:p>
    <w:p w14:paraId="78B5A965" w14:textId="77777777" w:rsidR="001E5856" w:rsidRDefault="001E5856" w:rsidP="001E5856">
      <w:pPr>
        <w:tabs>
          <w:tab w:val="right" w:leader="dot" w:pos="9144"/>
        </w:tabs>
        <w:spacing w:before="80" w:after="80"/>
        <w:ind w:left="504"/>
      </w:pPr>
      <w:r>
        <w:rPr>
          <w:color w:val="000000"/>
          <w:sz w:val="21"/>
        </w:rPr>
        <w:t>5.3 Communication Plan</w:t>
      </w:r>
      <w:r>
        <w:rPr>
          <w:color w:val="000000"/>
          <w:sz w:val="21"/>
        </w:rPr>
        <w:tab/>
        <w:t>16</w:t>
      </w:r>
    </w:p>
    <w:p w14:paraId="6C307216" w14:textId="77777777" w:rsidR="001E5856" w:rsidRDefault="001E5856" w:rsidP="001E5856">
      <w:pPr>
        <w:tabs>
          <w:tab w:val="right" w:leader="dot" w:pos="9144"/>
        </w:tabs>
        <w:spacing w:before="80" w:after="80"/>
        <w:ind w:left="504"/>
      </w:pPr>
      <w:r>
        <w:rPr>
          <w:color w:val="000000"/>
          <w:sz w:val="21"/>
        </w:rPr>
        <w:t>5.4 Evaluation Plan</w:t>
      </w:r>
      <w:r>
        <w:rPr>
          <w:color w:val="000000"/>
          <w:sz w:val="21"/>
        </w:rPr>
        <w:tab/>
        <w:t>17</w:t>
      </w:r>
    </w:p>
    <w:p w14:paraId="1995B380" w14:textId="77777777" w:rsidR="001E5856" w:rsidRDefault="001E5856" w:rsidP="001E5856">
      <w:pPr>
        <w:tabs>
          <w:tab w:val="right" w:leader="dot" w:pos="9144"/>
        </w:tabs>
        <w:spacing w:before="160" w:after="160"/>
      </w:pPr>
      <w:r>
        <w:rPr>
          <w:b/>
          <w:color w:val="1F3864"/>
        </w:rPr>
        <w:t>6. Conclusion</w:t>
      </w:r>
      <w:r>
        <w:rPr>
          <w:b/>
          <w:color w:val="1F3864"/>
        </w:rPr>
        <w:tab/>
        <w:t>19</w:t>
      </w:r>
    </w:p>
    <w:p w14:paraId="1F13F292" w14:textId="77777777" w:rsidR="001E5856" w:rsidRDefault="001E5856" w:rsidP="001E5856">
      <w:pPr>
        <w:tabs>
          <w:tab w:val="right" w:leader="dot" w:pos="9144"/>
        </w:tabs>
        <w:spacing w:before="160" w:after="160"/>
      </w:pPr>
      <w:r>
        <w:rPr>
          <w:b/>
          <w:color w:val="1F3864"/>
        </w:rPr>
        <w:t>References</w:t>
      </w:r>
      <w:r>
        <w:rPr>
          <w:b/>
          <w:color w:val="1F3864"/>
        </w:rPr>
        <w:tab/>
        <w:t>20</w:t>
      </w:r>
    </w:p>
    <w:p w14:paraId="4731FD2B" w14:textId="20F52610" w:rsidR="001E5856" w:rsidRDefault="001E5856" w:rsidP="007F7D9D">
      <w:pPr>
        <w:sectPr w:rsidR="001E5856" w:rsidSect="001E5856">
          <w:pgSz w:w="11906" w:h="16838"/>
          <w:pgMar w:top="1440" w:right="1440" w:bottom="1440" w:left="1440" w:header="708" w:footer="708" w:gutter="0"/>
          <w:cols w:space="720"/>
          <w:docGrid w:linePitch="360"/>
        </w:sectPr>
      </w:pPr>
    </w:p>
    <w:p w14:paraId="76356B36" w14:textId="77777777" w:rsidR="007F7D9D" w:rsidRPr="00DD61E8" w:rsidRDefault="007F7D9D" w:rsidP="00DD61E8">
      <w:pPr>
        <w:spacing w:line="360" w:lineRule="auto"/>
        <w:jc w:val="both"/>
        <w:rPr>
          <w:rFonts w:ascii="Times New Roman" w:hAnsi="Times New Roman" w:cs="Times New Roman"/>
          <w:b/>
          <w:bCs/>
        </w:rPr>
      </w:pPr>
      <w:r w:rsidRPr="00DD61E8">
        <w:rPr>
          <w:rFonts w:ascii="Times New Roman" w:hAnsi="Times New Roman" w:cs="Times New Roman"/>
          <w:b/>
          <w:bCs/>
        </w:rPr>
        <w:lastRenderedPageBreak/>
        <w:t>EXECUTIVE SUMMARY</w:t>
      </w:r>
    </w:p>
    <w:p w14:paraId="7A5EE283"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rPr>
        <w:t>This report sets out a strategic change plan for Jaguar Land Rover (JLR), the UK's largest car maker, based in Coventry, England. JLR faces many pressures from its environment. These include the move towards electric cars, stricter laws, trade problems after Brexit, digital disruption, and the growing power of artificial intelligence (AI). To respond to these pressures, the company has started a big strategic shift called the 'Reimagine' strategy.</w:t>
      </w:r>
    </w:p>
    <w:p w14:paraId="2524AB03"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rPr>
        <w:t>The report uses well-known theories to study how JLR is managing this change. These include Kotter's (1996) Eight-Step Change Model, Lewin's (1951) Unfreeze-Change-Refreeze model, and the McKinsey 7-S Framework (Waterman, Peters, and Phillips, 1980). It looks closely at JLR's approach to change. It also looks at how strong leadership and company culture shape the change programme, using ideas from Bass and Avolio (1994) and Schein (2010).</w:t>
      </w:r>
    </w:p>
    <w:p w14:paraId="0AC14977"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rPr>
        <w:t>The report ends with a full change management plan. This includes clear SMART goals, a five-year money investment plan, a clear way to talk to stakeholders, and a plan to check progress at every level. The main message is that JLR must keep pushing forward with digital change using AI, electric vehicles, and flexible ways of working to stay ahead in a fast-changing and competitive car market worldwide.</w:t>
      </w:r>
    </w:p>
    <w:p w14:paraId="342C16A0" w14:textId="77777777" w:rsidR="007F7D9D" w:rsidRPr="00DD61E8" w:rsidRDefault="007F7D9D" w:rsidP="00DD61E8">
      <w:pPr>
        <w:spacing w:line="360" w:lineRule="auto"/>
        <w:jc w:val="both"/>
        <w:rPr>
          <w:rFonts w:ascii="Times New Roman" w:hAnsi="Times New Roman" w:cs="Times New Roman"/>
        </w:rPr>
      </w:pPr>
    </w:p>
    <w:p w14:paraId="1A6CBB0A" w14:textId="77777777" w:rsidR="007F7D9D" w:rsidRPr="00DD61E8" w:rsidRDefault="007F7D9D" w:rsidP="00DD61E8">
      <w:pPr>
        <w:spacing w:line="360" w:lineRule="auto"/>
        <w:jc w:val="both"/>
        <w:rPr>
          <w:rFonts w:ascii="Times New Roman" w:hAnsi="Times New Roman" w:cs="Times New Roman"/>
        </w:rPr>
      </w:pPr>
    </w:p>
    <w:p w14:paraId="585029FA" w14:textId="77777777" w:rsidR="007F7D9D" w:rsidRPr="00DD61E8" w:rsidRDefault="007F7D9D" w:rsidP="00DD61E8">
      <w:pPr>
        <w:jc w:val="both"/>
        <w:rPr>
          <w:rFonts w:ascii="Times New Roman" w:hAnsi="Times New Roman" w:cs="Times New Roman"/>
        </w:rPr>
      </w:pPr>
      <w:r w:rsidRPr="00DD61E8">
        <w:rPr>
          <w:rFonts w:ascii="Times New Roman" w:hAnsi="Times New Roman" w:cs="Times New Roman"/>
        </w:rPr>
        <w:br w:type="page"/>
      </w:r>
    </w:p>
    <w:p w14:paraId="16673044"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b/>
          <w:bCs/>
        </w:rPr>
        <w:lastRenderedPageBreak/>
        <w:t>1. Introduction to Jaguar Land Rover</w:t>
      </w:r>
    </w:p>
    <w:p w14:paraId="0FB36F62"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rPr>
        <w:t>Jaguar Land Rover (JLR) is the UK's biggest car maker by revenue. It is owned by Tata Motors, a large Indian company. JLR became the company it is today in 2008, when Tata Motors bought both the Jaguar and Land Rover brands from Ford Motor Company for £1.15 billion. This deal changed both brands and British car making for good (Jaguar Land Rover, 2024). JLR's head office is in Coventry, in the West Midlands. It has factories in Solihull, Halewood, and Castle Bromwich in the UK, as well as factories in Slovakia, China, India, and Brazil.</w:t>
      </w:r>
    </w:p>
    <w:p w14:paraId="71C4AB6F"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rPr>
        <w:t>JLR owns two well-known luxury car brands. Land Rover is famous for going anywhere and for its history of making premium SUVs. It makes most of the group's sales, and its Range Rover, Defender, and Discovery models are some of the most profitable cars in the world. Jaguar, on the other hand, is a luxury sports brand that makes saloon cars, SUVs, and sports cars. But Jaguar has usually found it harder to sell as many cars as rivals like BMW, Audi, and Mercedes-Benz.</w:t>
      </w:r>
    </w:p>
    <w:p w14:paraId="20F1C14E"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rPr>
        <w:t>Between 2012 and 2018, JLR grew fast and made good profits, including record revenue of £26.3 billion, and expanded quickly into China. But from 2019, JLR ran into serious money problems. Weaker demand in China, falling diesel sales after the emissions scandal, COVID-19, global chip shortages, and the rising cost of going electric all added up to losses of about £4.5 billion between 2019 and 2022 (Jaguar Land Rover, 2024). This made big changes not just a good idea, but a matter of survival.</w:t>
      </w:r>
    </w:p>
    <w:p w14:paraId="75918A1A"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rPr>
        <w:t xml:space="preserve">In 2021, JLR launched its 'Reimagine' strategy. This plan commits JLR to make its whole range electric, relaunch Jaguar as an all-electric ultra-luxury brand, reach net-zero carbon by 2039, and spend £15 billion over five years on electric cars, software, and digital technology (Jaguar Land Rover, 2024). By 2023-24, JLR was recovering, with revenue of £29.0 billion and profit before tax of £2.3 billion. This report looks at the outside forces driving JLR's change, checks which change models fit best, and sets out a clear change plan. As Johnson, Whittington and Scholes (2017, p. 3) say, strategy is 'the </w:t>
      </w:r>
      <w:r w:rsidRPr="00DD61E8">
        <w:rPr>
          <w:rFonts w:ascii="Times New Roman" w:hAnsi="Times New Roman" w:cs="Times New Roman"/>
        </w:rPr>
        <w:lastRenderedPageBreak/>
        <w:t>long-term direction of an organisation'; for JLR, this direction has been reshaped by forces from both outside and inside the company.</w:t>
      </w:r>
    </w:p>
    <w:p w14:paraId="6B6BED32"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rPr>
        <w:t>This report is written from the point of view of the author acting as Senior Strategic Manager, asked by the Board to build a strong, evidence-based change plan. Jaguar Land Rover was chosen as the case study because its transformation is large, complex, and urgent.</w:t>
      </w:r>
    </w:p>
    <w:p w14:paraId="67AAB5B4" w14:textId="77777777" w:rsidR="00DD61E8" w:rsidRDefault="00DD61E8" w:rsidP="00DD61E8">
      <w:pPr>
        <w:ind w:left="0"/>
        <w:jc w:val="both"/>
        <w:rPr>
          <w:rFonts w:ascii="Times New Roman" w:hAnsi="Times New Roman" w:cs="Times New Roman"/>
        </w:rPr>
      </w:pPr>
    </w:p>
    <w:p w14:paraId="5ECF7052" w14:textId="77777777" w:rsidR="00DD61E8" w:rsidRDefault="00DD61E8" w:rsidP="00DD61E8">
      <w:pPr>
        <w:ind w:left="0"/>
        <w:jc w:val="both"/>
        <w:rPr>
          <w:rFonts w:ascii="Times New Roman" w:hAnsi="Times New Roman" w:cs="Times New Roman"/>
        </w:rPr>
      </w:pPr>
    </w:p>
    <w:p w14:paraId="57E7780D" w14:textId="77777777" w:rsidR="00DD61E8" w:rsidRDefault="00DD61E8" w:rsidP="00DD61E8">
      <w:pPr>
        <w:ind w:left="0"/>
        <w:jc w:val="both"/>
        <w:rPr>
          <w:rFonts w:ascii="Times New Roman" w:hAnsi="Times New Roman" w:cs="Times New Roman"/>
        </w:rPr>
      </w:pPr>
    </w:p>
    <w:p w14:paraId="14EE59A8" w14:textId="77777777" w:rsidR="00DD61E8" w:rsidRDefault="00DD61E8" w:rsidP="00DD61E8">
      <w:pPr>
        <w:ind w:left="0"/>
        <w:jc w:val="both"/>
        <w:rPr>
          <w:rFonts w:ascii="Times New Roman" w:hAnsi="Times New Roman" w:cs="Times New Roman"/>
        </w:rPr>
      </w:pPr>
    </w:p>
    <w:p w14:paraId="65BF051A" w14:textId="77777777" w:rsidR="00DD61E8" w:rsidRDefault="00DD61E8" w:rsidP="00DD61E8">
      <w:pPr>
        <w:ind w:left="0"/>
        <w:jc w:val="both"/>
        <w:rPr>
          <w:rFonts w:ascii="Times New Roman" w:hAnsi="Times New Roman" w:cs="Times New Roman"/>
        </w:rPr>
      </w:pPr>
    </w:p>
    <w:p w14:paraId="152124EE" w14:textId="77777777" w:rsidR="00DD61E8" w:rsidRDefault="00DD61E8" w:rsidP="00DD61E8">
      <w:pPr>
        <w:ind w:left="0"/>
        <w:jc w:val="both"/>
        <w:rPr>
          <w:rFonts w:ascii="Times New Roman" w:hAnsi="Times New Roman" w:cs="Times New Roman"/>
        </w:rPr>
      </w:pPr>
    </w:p>
    <w:p w14:paraId="26778AC8" w14:textId="6C33AA82" w:rsidR="007F7D9D" w:rsidRPr="00DD61E8" w:rsidRDefault="007F7D9D" w:rsidP="00DD61E8">
      <w:pPr>
        <w:ind w:left="0"/>
        <w:jc w:val="both"/>
        <w:rPr>
          <w:rFonts w:ascii="Times New Roman" w:hAnsi="Times New Roman" w:cs="Times New Roman"/>
        </w:rPr>
      </w:pPr>
      <w:r w:rsidRPr="00DD61E8">
        <w:rPr>
          <w:rFonts w:ascii="Times New Roman" w:hAnsi="Times New Roman" w:cs="Times New Roman"/>
        </w:rPr>
        <w:br w:type="page"/>
      </w:r>
    </w:p>
    <w:p w14:paraId="5313D89F"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b/>
          <w:bCs/>
        </w:rPr>
        <w:lastRenderedPageBreak/>
        <w:t>2. Environmental Analysis: Impact of Internal and External Change Factors</w:t>
      </w:r>
    </w:p>
    <w:p w14:paraId="3B6A2DEB"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b/>
          <w:bCs/>
        </w:rPr>
        <w:t>2.1 PESTLE Analysis: External Environmental Forces</w:t>
      </w:r>
    </w:p>
    <w:p w14:paraId="73706842"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rPr>
        <w:t>The car industry works in a fast-changing environment, and JLR has faced many outside forces that have disrupted it over the last ten years. A PESTLE analysis is a well-known tool used to study Political, Economic, Social, Technological, Legal, and Environmental factors. It gives a clear way to study these pressures (Johnson, Whittington and Scholes, 2017). Worthington and Britton (2015) also say that regularly checking the business environment helps companies spot problems before they become threats to their competitiveness. Grant (2021) places PESTLE analysis within the wider field of industry and competitor analysis that supports strategy-making.</w:t>
      </w:r>
    </w:p>
    <w:p w14:paraId="3A5CAEA7"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b/>
          <w:bCs/>
        </w:rPr>
        <w:t>Political and Legislative Factors</w:t>
      </w:r>
    </w:p>
    <w:p w14:paraId="10A50E1E"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rPr>
        <w:t>The UK government's plan to stop selling new petrol and diesel-only cars and vans by 2035 is one of the most important laws shaping JLR's direction (SMMT, 2024). This Zero Emission Vehicle (ZEV) rule, along with stricter EU carbon emission rules for manufacturers selling in Europe, has made going electric a legal requirement rather than just a business choice. On top of this, the post-Brexit trading rules have added more complexity. The Trade and Cooperation Agreement between the UK and the EU set rules of origin, meaning a certain amount of a car's value must come from the UK or EU for it to get lower tariffs. Since JLR's battery supply chains have mostly been based in Asia, meeting these rules has needed big investment in sourcing battery cells closer to home, including a major deal with Tata Group to build a £4 billion battery factory in Somerset (SMMT, 2024). Burnes (2017) points out that changes in the law are often a strong outside trigger for organisational change, creating urgency that internal pressures alone might not be able to create.</w:t>
      </w:r>
    </w:p>
    <w:p w14:paraId="271B5962"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b/>
          <w:bCs/>
        </w:rPr>
        <w:t>Economic Factors</w:t>
      </w:r>
    </w:p>
    <w:p w14:paraId="5F40DF30"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rPr>
        <w:t xml:space="preserve">From 2019 to 2023, JLR faced several serious economic problems at the same time. The COVID-19 pandemic caused a huge global shortage of computer chips, as demand for home electronics shot up while car makers </w:t>
      </w:r>
      <w:r w:rsidRPr="00DD61E8">
        <w:rPr>
          <w:rFonts w:ascii="Times New Roman" w:hAnsi="Times New Roman" w:cs="Times New Roman"/>
        </w:rPr>
        <w:lastRenderedPageBreak/>
        <w:t>cancelled their chip orders, leaving manufacturers without the parts they needed to build cars. For JLR, this meant an estimated £1.5 billion in lost revenue, as cars were built without certain electronic features and kept in storage while waiting for chips (Jaguar Land Rover, 2024). After this, rising prices, higher energy costs, and higher interest rates left customers in JLR's main markets, Western Europe and North America, with less money to spend. Teece (2018, p. 43) argues that companies facing high economic uncertainty must build 'dynamic capabilities', the ability to notice changes, act on them, and reorganise resources in response. JLR's better financial results in 2023-24 show some of this capability being built.</w:t>
      </w:r>
    </w:p>
    <w:p w14:paraId="56BF256E" w14:textId="77777777" w:rsidR="007F7D9D" w:rsidRPr="00DD61E8" w:rsidRDefault="007F7D9D" w:rsidP="00DD61E8">
      <w:pPr>
        <w:spacing w:line="360" w:lineRule="auto"/>
        <w:jc w:val="both"/>
        <w:rPr>
          <w:rFonts w:ascii="Times New Roman" w:hAnsi="Times New Roman" w:cs="Times New Roman"/>
        </w:rPr>
      </w:pPr>
    </w:p>
    <w:p w14:paraId="7E0BC380" w14:textId="77777777" w:rsidR="007F7D9D" w:rsidRPr="00DD61E8" w:rsidRDefault="007F7D9D" w:rsidP="00DD61E8">
      <w:pPr>
        <w:spacing w:line="360" w:lineRule="auto"/>
        <w:jc w:val="both"/>
        <w:rPr>
          <w:rFonts w:ascii="Times New Roman" w:hAnsi="Times New Roman" w:cs="Times New Roman"/>
        </w:rPr>
      </w:pPr>
    </w:p>
    <w:p w14:paraId="2457FDD6" w14:textId="77777777" w:rsidR="007F7D9D" w:rsidRPr="00DD61E8" w:rsidRDefault="007F7D9D" w:rsidP="00DD61E8">
      <w:pPr>
        <w:spacing w:line="360" w:lineRule="auto"/>
        <w:jc w:val="both"/>
        <w:rPr>
          <w:rFonts w:ascii="Times New Roman" w:hAnsi="Times New Roman" w:cs="Times New Roman"/>
        </w:rPr>
      </w:pPr>
    </w:p>
    <w:p w14:paraId="5EB1C9CA" w14:textId="77777777" w:rsidR="007F7D9D" w:rsidRPr="00DD61E8" w:rsidRDefault="007F7D9D" w:rsidP="00DD61E8">
      <w:pPr>
        <w:spacing w:line="360" w:lineRule="auto"/>
        <w:jc w:val="both"/>
        <w:rPr>
          <w:rFonts w:ascii="Times New Roman" w:hAnsi="Times New Roman" w:cs="Times New Roman"/>
        </w:rPr>
      </w:pPr>
    </w:p>
    <w:p w14:paraId="65973C6C"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noProof/>
        </w:rPr>
        <w:drawing>
          <wp:inline distT="0" distB="0" distL="0" distR="0" wp14:anchorId="6E23EF9E" wp14:editId="73AC8398">
            <wp:extent cx="4937760" cy="273475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k_cpi_chart.png"/>
                    <pic:cNvPicPr/>
                  </pic:nvPicPr>
                  <pic:blipFill>
                    <a:blip r:embed="rId13"/>
                    <a:stretch>
                      <a:fillRect/>
                    </a:stretch>
                  </pic:blipFill>
                  <pic:spPr>
                    <a:xfrm>
                      <a:off x="0" y="0"/>
                      <a:ext cx="4937760" cy="2734759"/>
                    </a:xfrm>
                    <a:prstGeom prst="rect">
                      <a:avLst/>
                    </a:prstGeom>
                  </pic:spPr>
                </pic:pic>
              </a:graphicData>
            </a:graphic>
          </wp:inline>
        </w:drawing>
      </w:r>
    </w:p>
    <w:p w14:paraId="75F5E69B" w14:textId="77777777" w:rsidR="007F7D9D" w:rsidRPr="00DD61E8" w:rsidRDefault="007F7D9D" w:rsidP="00DD61E8">
      <w:pPr>
        <w:spacing w:line="360" w:lineRule="auto"/>
        <w:jc w:val="both"/>
        <w:rPr>
          <w:rFonts w:ascii="Times New Roman" w:hAnsi="Times New Roman" w:cs="Times New Roman"/>
        </w:rPr>
      </w:pPr>
    </w:p>
    <w:p w14:paraId="759CAD4F" w14:textId="77777777" w:rsidR="007F7D9D" w:rsidRPr="00DD61E8" w:rsidRDefault="007F7D9D" w:rsidP="00DD61E8">
      <w:pPr>
        <w:pStyle w:val="Heading3"/>
        <w:spacing w:line="360" w:lineRule="auto"/>
        <w:jc w:val="both"/>
        <w:rPr>
          <w:rFonts w:ascii="Times New Roman" w:hAnsi="Times New Roman" w:cs="Times New Roman"/>
          <w:sz w:val="24"/>
          <w:szCs w:val="24"/>
        </w:rPr>
      </w:pPr>
      <w:r w:rsidRPr="00DD61E8">
        <w:rPr>
          <w:rFonts w:ascii="Times New Roman" w:hAnsi="Times New Roman" w:cs="Times New Roman"/>
          <w:color w:val="404040"/>
          <w:sz w:val="24"/>
          <w:szCs w:val="24"/>
        </w:rPr>
        <w:t>Figure 1: UK Consumer Price Index (CPI) annual inflation rate, 2019–2023, showing the post-pandemic surge to a 2022 peak of 9.1% before easing in 2023. Source: Office for National Statistics (2026).</w:t>
      </w:r>
    </w:p>
    <w:p w14:paraId="5C15BD97" w14:textId="77777777" w:rsidR="007F7D9D" w:rsidRPr="00DD61E8" w:rsidRDefault="007F7D9D" w:rsidP="00DD61E8">
      <w:pPr>
        <w:spacing w:line="360" w:lineRule="auto"/>
        <w:ind w:left="0"/>
        <w:jc w:val="both"/>
        <w:rPr>
          <w:rFonts w:ascii="Times New Roman" w:hAnsi="Times New Roman" w:cs="Times New Roman"/>
        </w:rPr>
      </w:pPr>
    </w:p>
    <w:p w14:paraId="49173B72" w14:textId="77777777" w:rsidR="007F7D9D" w:rsidRPr="00DD61E8" w:rsidRDefault="007F7D9D" w:rsidP="00DD61E8">
      <w:pPr>
        <w:jc w:val="both"/>
        <w:rPr>
          <w:rFonts w:ascii="Times New Roman" w:hAnsi="Times New Roman" w:cs="Times New Roman"/>
        </w:rPr>
      </w:pPr>
      <w:r w:rsidRPr="00DD61E8">
        <w:rPr>
          <w:rFonts w:ascii="Times New Roman" w:hAnsi="Times New Roman" w:cs="Times New Roman"/>
        </w:rPr>
        <w:br w:type="page"/>
      </w:r>
    </w:p>
    <w:p w14:paraId="1B506C58"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b/>
          <w:bCs/>
        </w:rPr>
        <w:lastRenderedPageBreak/>
        <w:t>Social, Technological, and Environmental Factors</w:t>
      </w:r>
    </w:p>
    <w:p w14:paraId="77591CF8"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rPr>
        <w:t>What customers want in the premium car market has changed a lot. They now care more about sustainability, personalisation, and digital connectivity. Tesla's success in attracting rich, environmentally aware customers shows that luxury and zero-emissions can go together, not against each other (McKinsey &amp; Company, 2023). At the same time, the fast growth of artificial intelligence from self-driving and semi-self-driving systems to AI-based personalisation inside the car, predictive maintenance, and software updates sent over the air has completely changed how car companies compete. McKinsey &amp; Company (2023) estimates that software and digital services could make up as much as 45% of the car industry's profits by 2030. This shows how quickly value is moving away from the traditional car hardware.</w:t>
      </w:r>
    </w:p>
    <w:p w14:paraId="30B94E5B"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b/>
          <w:bCs/>
        </w:rPr>
        <w:t>2.2 Porter's Five Forces Analysis of the Global Automotive Industry</w:t>
      </w:r>
    </w:p>
    <w:p w14:paraId="4FFFC110"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rPr>
        <w:t>Michael Porter's (1980) Five Forces model works alongside PESTLE analysis by looking at how competitive the car industry is. The threat of new competitors is growing, as Chinese makers like BYD and tech companies like Tesla use electric cars to get around the money and engineering barriers that used to protect existing car makers. Suppliers have a lot of power, especially those making battery cells and computer chips, as the 2021–22 chip shortage showed. JLR's Somerset battery factory deal with Tata Group is a direct answer to this risk. Buyer power in the ultra-luxury market is fairly low because customers stay loyal to brands and are not very sensitive to price. But this is changing, as customers who research online now compare specs and total running costs across brands. The threat from substitutes is growing too, through car-sharing services, premium car subscriptions, and small vehicles like e-scooters in busy cities. Competition between established premium makers BMW, Mercedes-Benz, and Audi and new electric-only companies remains fierce. This adds to the pressure, noted in Section 2.1, for JLR to speed up its move to electric and digital technology (Porter, 1980).</w:t>
      </w:r>
    </w:p>
    <w:p w14:paraId="219E7202"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b/>
          <w:bCs/>
        </w:rPr>
        <w:t>2.3 Internal Environmental Factors</w:t>
      </w:r>
    </w:p>
    <w:p w14:paraId="56887F7B"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rPr>
        <w:t xml:space="preserve">Inside the company, JLR has faced structural, cultural, and skills-related challenges that have limited how quickly it can respond to change. JLR's </w:t>
      </w:r>
      <w:r w:rsidRPr="00DD61E8">
        <w:rPr>
          <w:rFonts w:ascii="Times New Roman" w:hAnsi="Times New Roman" w:cs="Times New Roman"/>
        </w:rPr>
        <w:lastRenderedPageBreak/>
        <w:t>history as an engineering-led company has been a real strength in vehicle design and off-road ability, but it also created a closed-off, cautious culture that slowed its first response to digital disruption (Burnes, 2017). Relying too heavily on diesel engines, a product strategy based on combustion engines staying dominant, and not investing enough in software and connectivity left JLR behind both German premium rivals and new electric car challengers.</w:t>
      </w:r>
    </w:p>
    <w:p w14:paraId="4D8F79D5"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rPr>
        <w:t>JLR has also had to deal with the challenge of managing a workforce and supply chain spread across many countries and cultures. Tidd and Bessant (2021) point out that managing innovation in large, multi-site organisations needs careful organisational design, clear communication of priorities, and ways to share knowledge and skills across teams and countries, all areas where JLR has invested heavily through its 'Reimagine' programme. Bringing in AI-powered quality checks, digital twins for developing new vehicles, and advanced data analysis for the supply chain are important steps towards building the internal tech skills JLR needs to compete in the digital car industry.</w:t>
      </w:r>
    </w:p>
    <w:p w14:paraId="1441CCA7" w14:textId="77777777" w:rsidR="007F7D9D" w:rsidRPr="00DD61E8" w:rsidRDefault="007F7D9D" w:rsidP="00DD61E8">
      <w:pPr>
        <w:spacing w:line="360" w:lineRule="auto"/>
        <w:jc w:val="both"/>
        <w:rPr>
          <w:rFonts w:ascii="Times New Roman" w:hAnsi="Times New Roman" w:cs="Times New Roman"/>
        </w:rPr>
      </w:pPr>
    </w:p>
    <w:p w14:paraId="3B54E834" w14:textId="77777777" w:rsidR="007F7D9D" w:rsidRPr="00DD61E8" w:rsidRDefault="007F7D9D" w:rsidP="00DD61E8">
      <w:pPr>
        <w:spacing w:line="360" w:lineRule="auto"/>
        <w:jc w:val="both"/>
        <w:rPr>
          <w:rFonts w:ascii="Times New Roman" w:hAnsi="Times New Roman" w:cs="Times New Roman"/>
        </w:rPr>
      </w:pPr>
    </w:p>
    <w:p w14:paraId="435CDBF2"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b/>
          <w:bCs/>
        </w:rPr>
        <w:t>2.4 Stakeholder Analysis</w:t>
      </w:r>
    </w:p>
    <w:p w14:paraId="5C6EB093"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rPr>
        <w:t>JLR's transformation cannot be understood only through environmental and competitive analysis; it must also be judged against the expectations of many different, sometimes competing, stakeholders. Milton Friedman (1912–2006) put forward an influential but narrow view of business purpose, arguing that 'the social responsibility of business is to increase its profits' and that managers' main duty is to shareholders (Friedman, 1970). Applied to JLR, this shareholder-first view would judge the 'Reimagine' strategy mainly on whether it restores profits and returns for parent company Tata Motors.</w:t>
      </w:r>
    </w:p>
    <w:p w14:paraId="1D78D331"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rPr>
        <w:t xml:space="preserve">R. Edward Freeman's (1984) stakeholder theory offers a much wider view. It defines a stakeholder as 'any group or individual who can affect or is affected by the achievement of the organisation's objectives' (Freeman, 1984, p. 46), arguing that good strategy must balance the interests of shareholders, employees, customers, suppliers, government, and communities. This fits </w:t>
      </w:r>
      <w:r w:rsidRPr="00DD61E8">
        <w:rPr>
          <w:rFonts w:ascii="Times New Roman" w:hAnsi="Times New Roman" w:cs="Times New Roman"/>
        </w:rPr>
        <w:lastRenderedPageBreak/>
        <w:t>JLR's stakeholder map well: Tata Motors and investors (high power, high interest in returns), the UK workforce and unions (high interest in job security and reskilling), government and regulators (high power over emissions and trade rules), dealers and customers (high interest in quality and brand value), and communities near its Midlands factories (high interest, less formal power). The 'Reimagine' strategy, with its commitments to shareholder returns, workforce reskilling, and 2039 net-zero targets, tries to balance Friedman's (1970) shareholder view with Freeman's (1984) stakeholder view, matching Kotter's (1996) idea of building a wide coalition for change.</w:t>
      </w:r>
    </w:p>
    <w:p w14:paraId="3F4AC5D5" w14:textId="77777777" w:rsidR="007F7D9D" w:rsidRPr="00DD61E8" w:rsidRDefault="007F7D9D" w:rsidP="00DD61E8">
      <w:pPr>
        <w:spacing w:line="360" w:lineRule="auto"/>
        <w:jc w:val="both"/>
        <w:rPr>
          <w:rFonts w:ascii="Times New Roman" w:hAnsi="Times New Roman" w:cs="Times New Roman"/>
        </w:rPr>
      </w:pPr>
    </w:p>
    <w:p w14:paraId="32945DB6" w14:textId="77777777" w:rsidR="007F7D9D" w:rsidRPr="00DD61E8" w:rsidRDefault="007F7D9D" w:rsidP="00DD61E8">
      <w:pPr>
        <w:jc w:val="both"/>
        <w:rPr>
          <w:rFonts w:ascii="Times New Roman" w:hAnsi="Times New Roman" w:cs="Times New Roman"/>
        </w:rPr>
      </w:pPr>
      <w:r w:rsidRPr="00DD61E8">
        <w:rPr>
          <w:rFonts w:ascii="Times New Roman" w:hAnsi="Times New Roman" w:cs="Times New Roman"/>
        </w:rPr>
        <w:br w:type="page"/>
      </w:r>
    </w:p>
    <w:p w14:paraId="00DBE716"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b/>
          <w:bCs/>
        </w:rPr>
        <w:lastRenderedPageBreak/>
        <w:t>3. Evaluation of Change Management Models</w:t>
      </w:r>
    </w:p>
    <w:p w14:paraId="0F3CF3EA"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rPr>
        <w:t>JLR's transformation is big and complex, so it needs strong theories to help us understand, guide, and judge the change process. This section looks closely at three well-known models and how well they apply to JLR's situation.</w:t>
      </w:r>
    </w:p>
    <w:p w14:paraId="3065FEF9"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b/>
          <w:bCs/>
        </w:rPr>
        <w:t>3.1 Lewin's Unfreeze-Change-Refreeze Model</w:t>
      </w:r>
    </w:p>
    <w:p w14:paraId="53F366D1"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rPr>
        <w:t>Kurt Lewin's (1951) three-stage model of planned change is still one of the most important and most-quoted frameworks in change management writing (Cameron and Green, 2019). The model sees change as happening in three steps, one after another. First, the 'unfreezing' step means breaking up the current balance of attitudes, behaviours, and routines to create the mental and structural conditions needed for change. Second, the 'change' or 'movement' step means putting new practices, structures, and behaviours into place. Third, the 'refreezing' step locks in the new state, building the changed behaviours into the organisation's culture and routines so people don't slip back to old ways.</w:t>
      </w:r>
    </w:p>
    <w:p w14:paraId="3BBC45A4"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rPr>
        <w:t>Applied to JLR, the 'unfreezing' step is clear to see in the period from 2019 to 2021. During this time, ongoing money losses, a widely reported strategic review, and changes in senior leadership created the urgency and disruption needed to break through the organisation's resistance to change. Openly admitting JLR's weak points relying too much on diesel, weak software skills, and exposure to supply chain problems sent a strong signal to staff, investors, and customers that the old strategy could no longer work. The 'change' step can be seen in the 'Reimagine' strategy itself, with its investment in electric vehicles, AI, and digital manufacturing. The 'refreezing' challenge permanently building new digital-first, sustainability-focused behaviours into the organisation's culture is the hardest and longest-lasting part of the transformation.</w:t>
      </w:r>
    </w:p>
    <w:p w14:paraId="40C88157" w14:textId="77777777" w:rsidR="007F7D9D" w:rsidRPr="00DD61E8" w:rsidRDefault="007F7D9D" w:rsidP="00DD61E8">
      <w:pPr>
        <w:spacing w:line="360" w:lineRule="auto"/>
        <w:jc w:val="both"/>
        <w:rPr>
          <w:rFonts w:ascii="Times New Roman" w:hAnsi="Times New Roman" w:cs="Times New Roman"/>
        </w:rPr>
      </w:pPr>
      <w:r w:rsidRPr="00DD61E8">
        <w:rPr>
          <w:rFonts w:ascii="Times New Roman" w:hAnsi="Times New Roman" w:cs="Times New Roman"/>
        </w:rPr>
        <w:t xml:space="preserve">Lewin's model has, however, faced strong criticism. Burnes (2017, p. 267) argues that its straight-line, mechanical style 'understates the messy, back-and-forth, and politically charged nature of organisational change in volatile environments.' 'Refreezing' is especially difficult for JLR, where constant </w:t>
      </w:r>
      <w:r w:rsidRPr="00DD61E8">
        <w:rPr>
          <w:rFonts w:ascii="Times New Roman" w:hAnsi="Times New Roman" w:cs="Times New Roman"/>
        </w:rPr>
        <w:lastRenderedPageBreak/>
        <w:t>technological disruption makes a stable end-point unrealistic. Cameron and Green (2019) suggest the model is best seen as a general guide to change readiness, not a strict step-by-step plan.</w:t>
      </w:r>
    </w:p>
    <w:p w14:paraId="6716BB7F" w14:textId="77777777" w:rsidR="007F7D9D" w:rsidRPr="00DD61E8" w:rsidRDefault="007F7D9D" w:rsidP="00DD61E8">
      <w:pPr>
        <w:spacing w:line="360" w:lineRule="auto"/>
        <w:jc w:val="both"/>
        <w:rPr>
          <w:rFonts w:ascii="Times New Roman" w:hAnsi="Times New Roman" w:cs="Times New Roman"/>
        </w:rPr>
      </w:pPr>
    </w:p>
    <w:p w14:paraId="77F103EB" w14:textId="77777777" w:rsidR="00087F7A" w:rsidRDefault="00087F7A" w:rsidP="001E5856">
      <w:pPr>
        <w:ind w:left="0"/>
      </w:pPr>
    </w:p>
    <w:sectPr w:rsidR="00087F7A" w:rsidSect="007F7D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6B6"/>
    <w:rsid w:val="00087F7A"/>
    <w:rsid w:val="00195732"/>
    <w:rsid w:val="001E5856"/>
    <w:rsid w:val="002456B6"/>
    <w:rsid w:val="007F7D9D"/>
    <w:rsid w:val="00A26BD3"/>
    <w:rsid w:val="00DD61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FE539"/>
  <w15:chartTrackingRefBased/>
  <w15:docId w15:val="{6F30066D-773C-4E3A-9468-51A454EF6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before="120" w:after="120"/>
        <w:ind w:left="851" w:right="85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56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56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56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56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56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56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56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56B6"/>
    <w:pPr>
      <w:keepNext/>
      <w:keepLines/>
      <w:spacing w:before="0"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56B6"/>
    <w:pPr>
      <w:keepNext/>
      <w:keepLines/>
      <w:spacing w:before="0"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56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56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56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56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56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56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56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56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56B6"/>
    <w:rPr>
      <w:rFonts w:eastAsiaTheme="majorEastAsia" w:cstheme="majorBidi"/>
      <w:color w:val="272727" w:themeColor="text1" w:themeTint="D8"/>
    </w:rPr>
  </w:style>
  <w:style w:type="paragraph" w:styleId="Title">
    <w:name w:val="Title"/>
    <w:basedOn w:val="Normal"/>
    <w:next w:val="Normal"/>
    <w:link w:val="TitleChar"/>
    <w:uiPriority w:val="10"/>
    <w:qFormat/>
    <w:rsid w:val="002456B6"/>
    <w:pPr>
      <w:spacing w:before="0"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56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56B6"/>
    <w:pPr>
      <w:numPr>
        <w:ilvl w:val="1"/>
      </w:numPr>
      <w:spacing w:after="160"/>
      <w:ind w:left="851"/>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56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56B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456B6"/>
    <w:rPr>
      <w:i/>
      <w:iCs/>
      <w:color w:val="404040" w:themeColor="text1" w:themeTint="BF"/>
    </w:rPr>
  </w:style>
  <w:style w:type="paragraph" w:styleId="ListParagraph">
    <w:name w:val="List Paragraph"/>
    <w:basedOn w:val="Normal"/>
    <w:uiPriority w:val="34"/>
    <w:qFormat/>
    <w:rsid w:val="002456B6"/>
    <w:pPr>
      <w:ind w:left="720"/>
      <w:contextualSpacing/>
    </w:pPr>
  </w:style>
  <w:style w:type="character" w:styleId="IntenseEmphasis">
    <w:name w:val="Intense Emphasis"/>
    <w:basedOn w:val="DefaultParagraphFont"/>
    <w:uiPriority w:val="21"/>
    <w:qFormat/>
    <w:rsid w:val="002456B6"/>
    <w:rPr>
      <w:i/>
      <w:iCs/>
      <w:color w:val="0F4761" w:themeColor="accent1" w:themeShade="BF"/>
    </w:rPr>
  </w:style>
  <w:style w:type="paragraph" w:styleId="IntenseQuote">
    <w:name w:val="Intense Quote"/>
    <w:basedOn w:val="Normal"/>
    <w:next w:val="Normal"/>
    <w:link w:val="IntenseQuoteChar"/>
    <w:uiPriority w:val="30"/>
    <w:qFormat/>
    <w:rsid w:val="002456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56B6"/>
    <w:rPr>
      <w:i/>
      <w:iCs/>
      <w:color w:val="0F4761" w:themeColor="accent1" w:themeShade="BF"/>
    </w:rPr>
  </w:style>
  <w:style w:type="character" w:styleId="IntenseReference">
    <w:name w:val="Intense Reference"/>
    <w:basedOn w:val="DefaultParagraphFont"/>
    <w:uiPriority w:val="32"/>
    <w:qFormat/>
    <w:rsid w:val="002456B6"/>
    <w:rPr>
      <w:b/>
      <w:bCs/>
      <w:smallCaps/>
      <w:color w:val="0F4761" w:themeColor="accent1" w:themeShade="BF"/>
      <w:spacing w:val="5"/>
    </w:rPr>
  </w:style>
  <w:style w:type="paragraph" w:styleId="NoSpacing">
    <w:name w:val="No Spacing"/>
    <w:link w:val="NoSpacingChar"/>
    <w:uiPriority w:val="1"/>
    <w:qFormat/>
    <w:rsid w:val="002456B6"/>
    <w:pPr>
      <w:spacing w:before="0" w:after="0"/>
      <w:ind w:left="0" w:right="0"/>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456B6"/>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dekho.com/hi/cars/Land_Rover" TargetMode="External"/><Relationship Id="rId13" Type="http://schemas.openxmlformats.org/officeDocument/2006/relationships/image" Target="media/image6.png"/><Relationship Id="rId3" Type="http://schemas.openxmlformats.org/officeDocument/2006/relationships/webSettings" Target="webSettings.xml"/><Relationship Id="rId7" Type="http://schemas.openxmlformats.org/officeDocument/2006/relationships/image" Target="media/image3.jpg"/><Relationship Id="rId12" Type="http://schemas.openxmlformats.org/officeDocument/2006/relationships/hyperlink" Target="https://alarmcalendar.com/read/2025-3-row-suv-land-rover-defender/"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argurus.com/Cars/l-Used-Land-Rover-Range-Rover-Baltimore-d156_L14959" TargetMode="External"/><Relationship Id="rId11" Type="http://schemas.openxmlformats.org/officeDocument/2006/relationships/image" Target="media/image5.png"/><Relationship Id="rId5" Type="http://schemas.openxmlformats.org/officeDocument/2006/relationships/image" Target="media/image2.jpeg"/><Relationship Id="rId15" Type="http://schemas.openxmlformats.org/officeDocument/2006/relationships/glossaryDocument" Target="glossary/document.xml"/><Relationship Id="rId10" Type="http://schemas.openxmlformats.org/officeDocument/2006/relationships/hyperlink" Target="https://japaneseautosolutions.co.uk/finally-first-pictures-of-2026-electric-jaguar-super-gt-revealed/" TargetMode="External"/><Relationship Id="rId4" Type="http://schemas.openxmlformats.org/officeDocument/2006/relationships/image" Target="media/image1.png"/><Relationship Id="rId9" Type="http://schemas.openxmlformats.org/officeDocument/2006/relationships/image" Target="media/image4.jpe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B1D69C4F86D48258039C3D9F5C83A26"/>
        <w:category>
          <w:name w:val="General"/>
          <w:gallery w:val="placeholder"/>
        </w:category>
        <w:types>
          <w:type w:val="bbPlcHdr"/>
        </w:types>
        <w:behaviors>
          <w:behavior w:val="content"/>
        </w:behaviors>
        <w:guid w:val="{607B4C20-333C-42B3-9DD3-57971EDCFEAB}"/>
      </w:docPartPr>
      <w:docPartBody>
        <w:p w:rsidR="00000000" w:rsidRDefault="00571A17" w:rsidP="00571A17">
          <w:pPr>
            <w:pStyle w:val="EB1D69C4F86D48258039C3D9F5C83A26"/>
          </w:pPr>
          <w:r>
            <w:rPr>
              <w:rFonts w:asciiTheme="majorHAnsi" w:eastAsiaTheme="majorEastAsia" w:hAnsiTheme="majorHAnsi" w:cstheme="majorBidi"/>
              <w:caps/>
              <w:color w:val="156082" w:themeColor="accent1"/>
              <w:sz w:val="80"/>
              <w:szCs w:val="80"/>
            </w:rPr>
            <w:t>[Document title]</w:t>
          </w:r>
        </w:p>
      </w:docPartBody>
    </w:docPart>
    <w:docPart>
      <w:docPartPr>
        <w:name w:val="A924CDBF906D40BFB3DE7B47BBB45710"/>
        <w:category>
          <w:name w:val="General"/>
          <w:gallery w:val="placeholder"/>
        </w:category>
        <w:types>
          <w:type w:val="bbPlcHdr"/>
        </w:types>
        <w:behaviors>
          <w:behavior w:val="content"/>
        </w:behaviors>
        <w:guid w:val="{0F5CC071-5DFB-4B7B-B485-E65C62D8A88C}"/>
      </w:docPartPr>
      <w:docPartBody>
        <w:p w:rsidR="00000000" w:rsidRDefault="00571A17" w:rsidP="00571A17">
          <w:pPr>
            <w:pStyle w:val="A924CDBF906D40BFB3DE7B47BBB4571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A17"/>
    <w:rsid w:val="00571A17"/>
    <w:rsid w:val="007551D3"/>
    <w:rsid w:val="00A26B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B1D69C4F86D48258039C3D9F5C83A26">
    <w:name w:val="EB1D69C4F86D48258039C3D9F5C83A26"/>
    <w:rsid w:val="00571A17"/>
  </w:style>
  <w:style w:type="paragraph" w:customStyle="1" w:styleId="A924CDBF906D40BFB3DE7B47BBB45710">
    <w:name w:val="A924CDBF906D40BFB3DE7B47BBB45710"/>
    <w:rsid w:val="00571A1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TotalTime>
  <Pages>12</Pages>
  <Words>2297</Words>
  <Characters>13096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MANAGEMENT SKILLS FOR THE WORK PLACE</dc:title>
  <dc:subject>Leading and Implementing Change</dc:subject>
  <dc:creator>ange daniel komenan</dc:creator>
  <cp:keywords/>
  <dc:description/>
  <cp:lastModifiedBy>ange daniel komenan</cp:lastModifiedBy>
  <cp:revision>1</cp:revision>
  <dcterms:created xsi:type="dcterms:W3CDTF">2026-07-14T23:50:00Z</dcterms:created>
  <dcterms:modified xsi:type="dcterms:W3CDTF">2026-07-15T00:36:00Z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46cc09e2-1b6d-4d5e-942c-05c763ccbf28</vt:lpwstr>
  </property>
</Properties>
</file>