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776E8" w14:textId="77777777" w:rsidR="00A81818" w:rsidRDefault="00A81818" w:rsidP="00807693">
      <w:pPr>
        <w:pStyle w:val="Title"/>
        <w:spacing w:after="0" w:line="360" w:lineRule="auto"/>
        <w:rPr>
          <w:rFonts w:ascii="Arial" w:eastAsia="Arial" w:hAnsi="Arial" w:cs="Arial"/>
          <w:color w:val="000000" w:themeColor="text1"/>
          <w:highlight w:val="white"/>
        </w:rPr>
      </w:pPr>
      <w:r>
        <w:rPr>
          <w:rFonts w:ascii="Arial" w:eastAsia="Arial" w:hAnsi="Arial" w:cs="Arial"/>
          <w:noProof/>
          <w:color w:val="000000" w:themeColor="text1"/>
        </w:rPr>
        <w:drawing>
          <wp:inline distT="0" distB="0" distL="0" distR="0" wp14:anchorId="06F67372" wp14:editId="081C34E8">
            <wp:extent cx="3415045" cy="147256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478952" cy="1500122"/>
                    </a:xfrm>
                    <a:prstGeom prst="rect">
                      <a:avLst/>
                    </a:prstGeom>
                  </pic:spPr>
                </pic:pic>
              </a:graphicData>
            </a:graphic>
          </wp:inline>
        </w:drawing>
      </w:r>
    </w:p>
    <w:p w14:paraId="088E3CAA" w14:textId="2E0DFB89" w:rsidR="00807693" w:rsidRPr="00A81818" w:rsidRDefault="00807693" w:rsidP="00807693">
      <w:pPr>
        <w:pStyle w:val="Title"/>
        <w:spacing w:after="0" w:line="360" w:lineRule="auto"/>
        <w:rPr>
          <w:rFonts w:ascii="Arial" w:eastAsia="Arial" w:hAnsi="Arial" w:cs="Arial"/>
          <w:color w:val="000000" w:themeColor="text1"/>
          <w:highlight w:val="white"/>
        </w:rPr>
      </w:pPr>
      <w:r w:rsidRPr="00A81818">
        <w:rPr>
          <w:rFonts w:ascii="Arial" w:eastAsia="Arial" w:hAnsi="Arial" w:cs="Arial"/>
          <w:color w:val="000000" w:themeColor="text1"/>
          <w:highlight w:val="white"/>
        </w:rPr>
        <w:t xml:space="preserve">Children, Young People and Families </w:t>
      </w:r>
    </w:p>
    <w:p w14:paraId="53BA0BF7"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2369E424"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3061F1A6"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38804C77"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2D023EEF" w14:textId="1A5484D5" w:rsidR="00807693" w:rsidRPr="00A81818" w:rsidRDefault="00807693" w:rsidP="00807693">
      <w:pPr>
        <w:spacing w:after="0"/>
        <w:jc w:val="center"/>
        <w:rPr>
          <w:rFonts w:ascii="Arial" w:eastAsia="Arial" w:hAnsi="Arial" w:cs="Arial"/>
          <w:b/>
          <w:color w:val="000000" w:themeColor="text1"/>
          <w:sz w:val="28"/>
          <w:szCs w:val="28"/>
          <w:highlight w:val="white"/>
        </w:rPr>
      </w:pPr>
      <w:r w:rsidRPr="00A81818">
        <w:rPr>
          <w:rFonts w:ascii="Arial" w:eastAsia="Arial" w:hAnsi="Arial" w:cs="Arial"/>
          <w:b/>
          <w:color w:val="000000" w:themeColor="text1"/>
          <w:sz w:val="28"/>
          <w:szCs w:val="28"/>
          <w:highlight w:val="white"/>
        </w:rPr>
        <w:t>Student name-</w:t>
      </w:r>
      <w:r w:rsidR="00A81818" w:rsidRPr="00A81818">
        <w:rPr>
          <w:rFonts w:ascii="Arial" w:eastAsia="Arial" w:hAnsi="Arial" w:cs="Arial"/>
          <w:b/>
          <w:color w:val="000000" w:themeColor="text1"/>
          <w:sz w:val="28"/>
          <w:szCs w:val="28"/>
          <w:highlight w:val="white"/>
        </w:rPr>
        <w:t>Ana Maria Caprioara</w:t>
      </w:r>
    </w:p>
    <w:p w14:paraId="4A351829"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71ECC5B7" w14:textId="7EE018A3" w:rsidR="00807693" w:rsidRPr="00A81818" w:rsidRDefault="00807693" w:rsidP="00807693">
      <w:pPr>
        <w:spacing w:after="0"/>
        <w:jc w:val="center"/>
        <w:rPr>
          <w:rFonts w:ascii="Arial" w:eastAsia="Arial" w:hAnsi="Arial" w:cs="Arial"/>
          <w:b/>
          <w:color w:val="000000" w:themeColor="text1"/>
          <w:sz w:val="28"/>
          <w:szCs w:val="28"/>
          <w:highlight w:val="white"/>
        </w:rPr>
      </w:pPr>
      <w:r w:rsidRPr="00A81818">
        <w:rPr>
          <w:rFonts w:ascii="Arial" w:eastAsia="Arial" w:hAnsi="Arial" w:cs="Arial"/>
          <w:b/>
          <w:color w:val="000000" w:themeColor="text1"/>
          <w:sz w:val="28"/>
          <w:szCs w:val="28"/>
          <w:highlight w:val="white"/>
        </w:rPr>
        <w:t>Student number-</w:t>
      </w:r>
      <w:r w:rsidR="00A81818" w:rsidRPr="00A81818">
        <w:rPr>
          <w:rFonts w:ascii="Arial" w:eastAsia="Arial" w:hAnsi="Arial" w:cs="Arial"/>
          <w:b/>
          <w:color w:val="000000" w:themeColor="text1"/>
          <w:sz w:val="28"/>
          <w:szCs w:val="28"/>
          <w:highlight w:val="white"/>
        </w:rPr>
        <w:t>2019932</w:t>
      </w:r>
    </w:p>
    <w:p w14:paraId="236A021B"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34DF8CC4" w14:textId="6B04207A" w:rsidR="00807693" w:rsidRPr="00A81818" w:rsidRDefault="00807693" w:rsidP="00807693">
      <w:pPr>
        <w:pBdr>
          <w:top w:val="nil"/>
          <w:left w:val="nil"/>
          <w:bottom w:val="nil"/>
          <w:right w:val="nil"/>
          <w:between w:val="nil"/>
        </w:pBdr>
        <w:spacing w:after="0"/>
        <w:jc w:val="center"/>
        <w:rPr>
          <w:rFonts w:ascii="Arial" w:eastAsia="Arial" w:hAnsi="Arial" w:cs="Arial"/>
          <w:color w:val="000000" w:themeColor="text1"/>
          <w:sz w:val="28"/>
          <w:szCs w:val="28"/>
          <w:highlight w:val="white"/>
        </w:rPr>
      </w:pPr>
      <w:r w:rsidRPr="00A81818">
        <w:rPr>
          <w:rFonts w:ascii="Arial" w:eastAsia="Arial" w:hAnsi="Arial" w:cs="Arial"/>
          <w:b/>
          <w:color w:val="000000" w:themeColor="text1"/>
          <w:sz w:val="28"/>
          <w:szCs w:val="28"/>
          <w:highlight w:val="white"/>
        </w:rPr>
        <w:t>Lecturer name-</w:t>
      </w:r>
      <w:r w:rsidRPr="00A81818">
        <w:rPr>
          <w:rFonts w:ascii="Arial" w:eastAsia="Arial" w:hAnsi="Arial" w:cs="Arial"/>
          <w:color w:val="000000" w:themeColor="text1"/>
          <w:sz w:val="28"/>
          <w:szCs w:val="28"/>
          <w:highlight w:val="white"/>
        </w:rPr>
        <w:t xml:space="preserve"> </w:t>
      </w:r>
      <w:r w:rsidR="00A81818" w:rsidRPr="00A81818">
        <w:rPr>
          <w:rFonts w:ascii="Arial" w:eastAsia="Arial" w:hAnsi="Arial" w:cs="Arial"/>
          <w:color w:val="000000" w:themeColor="text1"/>
          <w:sz w:val="28"/>
          <w:szCs w:val="28"/>
          <w:highlight w:val="white"/>
        </w:rPr>
        <w:t>Bianca Sanfilippo</w:t>
      </w:r>
    </w:p>
    <w:p w14:paraId="7F281590" w14:textId="77777777" w:rsidR="00807693" w:rsidRPr="00A81818" w:rsidRDefault="00807693" w:rsidP="00807693">
      <w:pPr>
        <w:pBdr>
          <w:top w:val="nil"/>
          <w:left w:val="nil"/>
          <w:bottom w:val="nil"/>
          <w:right w:val="nil"/>
          <w:between w:val="nil"/>
        </w:pBdr>
        <w:spacing w:after="0"/>
        <w:jc w:val="center"/>
        <w:rPr>
          <w:rFonts w:ascii="Arial" w:eastAsia="Arial" w:hAnsi="Arial" w:cs="Arial"/>
          <w:color w:val="000000" w:themeColor="text1"/>
        </w:rPr>
      </w:pPr>
    </w:p>
    <w:p w14:paraId="3FD037C3" w14:textId="77777777" w:rsidR="00807693" w:rsidRPr="00A81818" w:rsidRDefault="00807693" w:rsidP="00807693">
      <w:pPr>
        <w:spacing w:after="0"/>
        <w:jc w:val="center"/>
        <w:rPr>
          <w:rFonts w:ascii="Arial" w:eastAsia="Arial" w:hAnsi="Arial" w:cs="Arial"/>
          <w:color w:val="000000" w:themeColor="text1"/>
          <w:sz w:val="28"/>
          <w:szCs w:val="28"/>
          <w:highlight w:val="white"/>
        </w:rPr>
      </w:pPr>
      <w:r w:rsidRPr="00A81818">
        <w:rPr>
          <w:rFonts w:ascii="Arial" w:eastAsia="Arial" w:hAnsi="Arial" w:cs="Arial"/>
          <w:b/>
          <w:color w:val="000000" w:themeColor="text1"/>
          <w:sz w:val="28"/>
          <w:szCs w:val="28"/>
          <w:highlight w:val="white"/>
        </w:rPr>
        <w:t>Module code-</w:t>
      </w:r>
      <w:r w:rsidRPr="00A81818">
        <w:rPr>
          <w:rFonts w:ascii="Arial" w:eastAsia="Arial" w:hAnsi="Arial" w:cs="Arial"/>
          <w:color w:val="000000" w:themeColor="text1"/>
          <w:sz w:val="28"/>
          <w:szCs w:val="28"/>
          <w:highlight w:val="white"/>
        </w:rPr>
        <w:t xml:space="preserve"> BMHP5004</w:t>
      </w:r>
    </w:p>
    <w:p w14:paraId="31F816D2"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15904E1C" w14:textId="77777777" w:rsidR="00807693" w:rsidRPr="00A81818" w:rsidRDefault="00807693" w:rsidP="00807693">
      <w:pPr>
        <w:pBdr>
          <w:top w:val="nil"/>
          <w:left w:val="nil"/>
          <w:bottom w:val="nil"/>
          <w:right w:val="nil"/>
          <w:between w:val="nil"/>
        </w:pBdr>
        <w:spacing w:after="0"/>
        <w:jc w:val="center"/>
        <w:rPr>
          <w:rFonts w:ascii="Arial" w:eastAsia="Arial" w:hAnsi="Arial" w:cs="Arial"/>
          <w:color w:val="000000" w:themeColor="text1"/>
        </w:rPr>
      </w:pPr>
      <w:r w:rsidRPr="00A81818">
        <w:rPr>
          <w:rFonts w:ascii="Arial" w:eastAsia="Arial" w:hAnsi="Arial" w:cs="Arial"/>
          <w:b/>
          <w:color w:val="000000" w:themeColor="text1"/>
          <w:sz w:val="28"/>
          <w:szCs w:val="28"/>
          <w:highlight w:val="white"/>
        </w:rPr>
        <w:t>Title-</w:t>
      </w:r>
      <w:r w:rsidRPr="00A81818">
        <w:rPr>
          <w:rFonts w:ascii="Arial" w:eastAsia="Arial" w:hAnsi="Arial" w:cs="Arial"/>
          <w:color w:val="000000" w:themeColor="text1"/>
          <w:sz w:val="28"/>
          <w:szCs w:val="28"/>
          <w:highlight w:val="white"/>
        </w:rPr>
        <w:t xml:space="preserve"> Children, Young People and Families”</w:t>
      </w:r>
    </w:p>
    <w:p w14:paraId="5C113727" w14:textId="77777777" w:rsidR="00807693" w:rsidRPr="00A81818" w:rsidRDefault="00807693" w:rsidP="00807693">
      <w:pPr>
        <w:spacing w:after="0"/>
        <w:jc w:val="center"/>
        <w:rPr>
          <w:rFonts w:ascii="Arial" w:eastAsia="Arial" w:hAnsi="Arial" w:cs="Arial"/>
          <w:color w:val="000000" w:themeColor="text1"/>
          <w:sz w:val="28"/>
          <w:szCs w:val="28"/>
          <w:highlight w:val="white"/>
        </w:rPr>
      </w:pPr>
    </w:p>
    <w:p w14:paraId="1B7DA8BD" w14:textId="77777777" w:rsidR="00807693" w:rsidRPr="00A81818" w:rsidRDefault="00807693" w:rsidP="00807693">
      <w:pPr>
        <w:spacing w:after="0"/>
        <w:rPr>
          <w:rFonts w:ascii="Arial" w:eastAsia="Arial" w:hAnsi="Arial" w:cs="Arial"/>
          <w:color w:val="000000" w:themeColor="text1"/>
          <w:sz w:val="22"/>
          <w:szCs w:val="22"/>
          <w:highlight w:val="white"/>
        </w:rPr>
      </w:pPr>
    </w:p>
    <w:p w14:paraId="3EBF1EC5" w14:textId="77777777" w:rsidR="00807693" w:rsidRPr="00A81818" w:rsidRDefault="00807693" w:rsidP="00807693">
      <w:pPr>
        <w:spacing w:after="0"/>
        <w:rPr>
          <w:rFonts w:ascii="Arial" w:eastAsia="Arial" w:hAnsi="Arial" w:cs="Arial"/>
          <w:color w:val="000000" w:themeColor="text1"/>
          <w:sz w:val="22"/>
          <w:szCs w:val="22"/>
          <w:highlight w:val="white"/>
        </w:rPr>
      </w:pPr>
    </w:p>
    <w:p w14:paraId="450C49AD" w14:textId="77777777" w:rsidR="00807693" w:rsidRPr="00A81818" w:rsidRDefault="00807693" w:rsidP="00807693">
      <w:pPr>
        <w:spacing w:after="0"/>
        <w:jc w:val="left"/>
        <w:rPr>
          <w:rFonts w:ascii="Arial" w:eastAsia="Arial" w:hAnsi="Arial" w:cs="Arial"/>
          <w:b/>
          <w:color w:val="000000" w:themeColor="text1"/>
          <w:sz w:val="22"/>
          <w:szCs w:val="22"/>
        </w:rPr>
      </w:pPr>
      <w:r w:rsidRPr="00A81818">
        <w:rPr>
          <w:color w:val="000000" w:themeColor="text1"/>
        </w:rPr>
        <w:br w:type="page"/>
      </w:r>
    </w:p>
    <w:p w14:paraId="03735116" w14:textId="77777777" w:rsidR="00807693" w:rsidRPr="00A81818" w:rsidRDefault="00807693" w:rsidP="00807693">
      <w:pPr>
        <w:keepNext/>
        <w:keepLines/>
        <w:pBdr>
          <w:top w:val="nil"/>
          <w:left w:val="nil"/>
          <w:bottom w:val="nil"/>
          <w:right w:val="nil"/>
          <w:between w:val="nil"/>
        </w:pBdr>
        <w:spacing w:after="0"/>
        <w:jc w:val="center"/>
        <w:rPr>
          <w:rFonts w:ascii="Arial" w:eastAsia="Arial" w:hAnsi="Arial" w:cs="Arial"/>
          <w:b/>
          <w:color w:val="000000" w:themeColor="text1"/>
          <w:sz w:val="22"/>
          <w:szCs w:val="22"/>
        </w:rPr>
      </w:pPr>
      <w:r w:rsidRPr="00A81818">
        <w:rPr>
          <w:rFonts w:ascii="Arial" w:eastAsia="Arial" w:hAnsi="Arial" w:cs="Arial"/>
          <w:b/>
          <w:color w:val="000000" w:themeColor="text1"/>
          <w:sz w:val="22"/>
          <w:szCs w:val="22"/>
        </w:rPr>
        <w:lastRenderedPageBreak/>
        <w:t>Table of Contents</w:t>
      </w:r>
    </w:p>
    <w:sdt>
      <w:sdtPr>
        <w:rPr>
          <w:color w:val="000000" w:themeColor="text1"/>
        </w:rPr>
        <w:id w:val="256825"/>
        <w:docPartObj>
          <w:docPartGallery w:val="Table of Contents"/>
          <w:docPartUnique/>
        </w:docPartObj>
      </w:sdtPr>
      <w:sdtContent>
        <w:p w14:paraId="79FA674B" w14:textId="77777777" w:rsidR="00807693" w:rsidRPr="00A81818" w:rsidRDefault="00807693" w:rsidP="00807693">
          <w:pPr>
            <w:pBdr>
              <w:top w:val="nil"/>
              <w:left w:val="nil"/>
              <w:bottom w:val="nil"/>
              <w:right w:val="nil"/>
              <w:between w:val="nil"/>
            </w:pBdr>
            <w:tabs>
              <w:tab w:val="right" w:pos="9350"/>
            </w:tabs>
            <w:spacing w:after="0"/>
            <w:rPr>
              <w:rFonts w:ascii="Arial" w:eastAsia="Arial" w:hAnsi="Arial" w:cs="Arial"/>
              <w:color w:val="000000" w:themeColor="text1"/>
              <w:sz w:val="22"/>
              <w:szCs w:val="22"/>
            </w:rPr>
          </w:pPr>
          <w:r w:rsidRPr="00A81818">
            <w:rPr>
              <w:color w:val="000000" w:themeColor="text1"/>
            </w:rPr>
            <w:fldChar w:fldCharType="begin"/>
          </w:r>
          <w:r w:rsidRPr="00A81818">
            <w:rPr>
              <w:color w:val="000000" w:themeColor="text1"/>
            </w:rPr>
            <w:instrText xml:space="preserve"> TOC \h \u \z </w:instrText>
          </w:r>
          <w:r w:rsidRPr="00A81818">
            <w:rPr>
              <w:color w:val="000000" w:themeColor="text1"/>
            </w:rPr>
            <w:fldChar w:fldCharType="separate"/>
          </w:r>
          <w:hyperlink w:anchor="_heading=h.gjdgxs">
            <w:r w:rsidRPr="00A81818">
              <w:rPr>
                <w:rFonts w:ascii="Arial" w:eastAsia="Arial" w:hAnsi="Arial" w:cs="Arial"/>
                <w:color w:val="000000" w:themeColor="text1"/>
                <w:sz w:val="22"/>
                <w:szCs w:val="22"/>
              </w:rPr>
              <w:t>Introduction</w:t>
            </w:r>
            <w:r w:rsidRPr="00A81818">
              <w:rPr>
                <w:rFonts w:ascii="Arial" w:eastAsia="Arial" w:hAnsi="Arial" w:cs="Arial"/>
                <w:color w:val="000000" w:themeColor="text1"/>
                <w:sz w:val="22"/>
                <w:szCs w:val="22"/>
              </w:rPr>
              <w:tab/>
              <w:t>3</w:t>
            </w:r>
          </w:hyperlink>
        </w:p>
        <w:p w14:paraId="1659B231" w14:textId="77777777" w:rsidR="00807693" w:rsidRPr="00A81818" w:rsidRDefault="00000000" w:rsidP="00807693">
          <w:pPr>
            <w:pBdr>
              <w:top w:val="nil"/>
              <w:left w:val="nil"/>
              <w:bottom w:val="nil"/>
              <w:right w:val="nil"/>
              <w:between w:val="nil"/>
            </w:pBdr>
            <w:tabs>
              <w:tab w:val="right" w:pos="9350"/>
            </w:tabs>
            <w:spacing w:after="0"/>
            <w:rPr>
              <w:rFonts w:ascii="Arial" w:eastAsia="Arial" w:hAnsi="Arial" w:cs="Arial"/>
              <w:color w:val="000000" w:themeColor="text1"/>
              <w:sz w:val="22"/>
              <w:szCs w:val="22"/>
            </w:rPr>
          </w:pPr>
          <w:hyperlink w:anchor="_heading=h.30j0zll">
            <w:r w:rsidR="00807693" w:rsidRPr="00A81818">
              <w:rPr>
                <w:rFonts w:ascii="Arial" w:eastAsia="Arial" w:hAnsi="Arial" w:cs="Arial"/>
                <w:color w:val="000000" w:themeColor="text1"/>
                <w:sz w:val="22"/>
                <w:szCs w:val="22"/>
              </w:rPr>
              <w:t>Discussion</w:t>
            </w:r>
            <w:r w:rsidR="00807693" w:rsidRPr="00A81818">
              <w:rPr>
                <w:rFonts w:ascii="Arial" w:eastAsia="Arial" w:hAnsi="Arial" w:cs="Arial"/>
                <w:color w:val="000000" w:themeColor="text1"/>
                <w:sz w:val="22"/>
                <w:szCs w:val="22"/>
              </w:rPr>
              <w:tab/>
              <w:t>4</w:t>
            </w:r>
          </w:hyperlink>
        </w:p>
        <w:p w14:paraId="0A15C4B7" w14:textId="77777777" w:rsidR="00807693" w:rsidRPr="00A81818" w:rsidRDefault="00000000" w:rsidP="00807693">
          <w:pPr>
            <w:pBdr>
              <w:top w:val="nil"/>
              <w:left w:val="nil"/>
              <w:bottom w:val="nil"/>
              <w:right w:val="nil"/>
              <w:between w:val="nil"/>
            </w:pBdr>
            <w:tabs>
              <w:tab w:val="right" w:pos="9350"/>
            </w:tabs>
            <w:spacing w:after="0"/>
            <w:rPr>
              <w:rFonts w:ascii="Arial" w:eastAsia="Arial" w:hAnsi="Arial" w:cs="Arial"/>
              <w:color w:val="000000" w:themeColor="text1"/>
              <w:sz w:val="22"/>
              <w:szCs w:val="22"/>
            </w:rPr>
          </w:pPr>
          <w:hyperlink w:anchor="_heading=h.1fob9te">
            <w:r w:rsidR="00807693" w:rsidRPr="00A81818">
              <w:rPr>
                <w:rFonts w:ascii="Arial" w:eastAsia="Arial" w:hAnsi="Arial" w:cs="Arial"/>
                <w:color w:val="000000" w:themeColor="text1"/>
                <w:sz w:val="22"/>
                <w:szCs w:val="22"/>
              </w:rPr>
              <w:t>Conclusion</w:t>
            </w:r>
            <w:r w:rsidR="00807693" w:rsidRPr="00A81818">
              <w:rPr>
                <w:rFonts w:ascii="Arial" w:eastAsia="Arial" w:hAnsi="Arial" w:cs="Arial"/>
                <w:color w:val="000000" w:themeColor="text1"/>
                <w:sz w:val="22"/>
                <w:szCs w:val="22"/>
              </w:rPr>
              <w:tab/>
              <w:t>9</w:t>
            </w:r>
          </w:hyperlink>
        </w:p>
        <w:p w14:paraId="00285BD4" w14:textId="77777777" w:rsidR="00807693" w:rsidRPr="00A81818" w:rsidRDefault="00000000" w:rsidP="00807693">
          <w:pPr>
            <w:pBdr>
              <w:top w:val="nil"/>
              <w:left w:val="nil"/>
              <w:bottom w:val="nil"/>
              <w:right w:val="nil"/>
              <w:between w:val="nil"/>
            </w:pBdr>
            <w:tabs>
              <w:tab w:val="right" w:pos="9350"/>
            </w:tabs>
            <w:spacing w:after="0"/>
            <w:rPr>
              <w:rFonts w:ascii="Arial" w:eastAsia="Arial" w:hAnsi="Arial" w:cs="Arial"/>
              <w:color w:val="000000" w:themeColor="text1"/>
              <w:sz w:val="22"/>
              <w:szCs w:val="22"/>
            </w:rPr>
          </w:pPr>
          <w:hyperlink w:anchor="_heading=h.3znysh7">
            <w:r w:rsidR="00807693" w:rsidRPr="00A81818">
              <w:rPr>
                <w:rFonts w:ascii="Arial" w:eastAsia="Arial" w:hAnsi="Arial" w:cs="Arial"/>
                <w:color w:val="000000" w:themeColor="text1"/>
                <w:sz w:val="22"/>
                <w:szCs w:val="22"/>
              </w:rPr>
              <w:t>References</w:t>
            </w:r>
            <w:r w:rsidR="00807693" w:rsidRPr="00A81818">
              <w:rPr>
                <w:rFonts w:ascii="Arial" w:eastAsia="Arial" w:hAnsi="Arial" w:cs="Arial"/>
                <w:color w:val="000000" w:themeColor="text1"/>
                <w:sz w:val="22"/>
                <w:szCs w:val="22"/>
              </w:rPr>
              <w:tab/>
              <w:t>10</w:t>
            </w:r>
          </w:hyperlink>
        </w:p>
        <w:p w14:paraId="27578219" w14:textId="77777777" w:rsidR="00807693" w:rsidRPr="00A81818" w:rsidRDefault="00807693" w:rsidP="00807693">
          <w:pPr>
            <w:spacing w:after="0"/>
            <w:rPr>
              <w:rFonts w:ascii="Arial" w:eastAsia="Arial" w:hAnsi="Arial" w:cs="Arial"/>
              <w:color w:val="000000" w:themeColor="text1"/>
            </w:rPr>
          </w:pPr>
          <w:r w:rsidRPr="00A81818">
            <w:rPr>
              <w:color w:val="000000" w:themeColor="text1"/>
            </w:rPr>
            <w:fldChar w:fldCharType="end"/>
          </w:r>
        </w:p>
      </w:sdtContent>
    </w:sdt>
    <w:p w14:paraId="6326C7C2" w14:textId="77777777" w:rsidR="00807693" w:rsidRPr="00A81818" w:rsidRDefault="00807693" w:rsidP="00807693">
      <w:pPr>
        <w:spacing w:after="0"/>
        <w:jc w:val="left"/>
        <w:rPr>
          <w:rFonts w:ascii="Arial" w:eastAsia="Arial" w:hAnsi="Arial" w:cs="Arial"/>
          <w:b/>
          <w:color w:val="000000" w:themeColor="text1"/>
          <w:sz w:val="22"/>
          <w:szCs w:val="22"/>
        </w:rPr>
      </w:pPr>
      <w:r w:rsidRPr="00A81818">
        <w:rPr>
          <w:color w:val="000000" w:themeColor="text1"/>
        </w:rPr>
        <w:br w:type="page"/>
      </w:r>
    </w:p>
    <w:p w14:paraId="61CA3B0F" w14:textId="77777777" w:rsidR="00807693" w:rsidRPr="00A81818" w:rsidRDefault="00807693" w:rsidP="00807693">
      <w:pPr>
        <w:pStyle w:val="Heading1"/>
        <w:spacing w:before="0"/>
        <w:rPr>
          <w:color w:val="000000" w:themeColor="text1"/>
        </w:rPr>
      </w:pPr>
      <w:bookmarkStart w:id="0" w:name="_heading=h.gjdgxs" w:colFirst="0" w:colLast="0"/>
      <w:bookmarkEnd w:id="0"/>
      <w:r w:rsidRPr="00A81818">
        <w:rPr>
          <w:color w:val="000000" w:themeColor="text1"/>
        </w:rPr>
        <w:lastRenderedPageBreak/>
        <w:t>Introduction </w:t>
      </w:r>
    </w:p>
    <w:p w14:paraId="2648A9A2" w14:textId="77777777"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This essay is about “children, young people and families” and will highlight the points related to it. This essay will first show an understanding of childhood and has underlined the elements of childhood and family life. The essay will also show how the social construction of childhood was developed in historical times and in present times. It will also show the changes in the lives of children and families from historical times to the present. It will also show the factors including legislation and policy which have influenced the changes in families and childhood’s social construction. It will also show the impact of those factors in reducing inequalities in health and social care service provision. It will also show interventions and approaches which support vulnerable families, children and young people and their effectiveness. It will also provide a recommendation to reduce the inequalities faced by those individuals. </w:t>
      </w:r>
    </w:p>
    <w:p w14:paraId="4CA07701" w14:textId="77777777" w:rsidR="00807693" w:rsidRPr="00A81818" w:rsidRDefault="00807693" w:rsidP="00807693">
      <w:pPr>
        <w:spacing w:after="0"/>
        <w:jc w:val="left"/>
        <w:rPr>
          <w:rFonts w:ascii="Arial" w:eastAsia="Arial" w:hAnsi="Arial" w:cs="Arial"/>
          <w:b/>
          <w:color w:val="000000" w:themeColor="text1"/>
          <w:sz w:val="22"/>
          <w:szCs w:val="22"/>
        </w:rPr>
      </w:pPr>
      <w:r w:rsidRPr="00A81818">
        <w:rPr>
          <w:color w:val="000000" w:themeColor="text1"/>
        </w:rPr>
        <w:br w:type="page"/>
      </w:r>
    </w:p>
    <w:bookmarkStart w:id="1" w:name="_heading=h.30j0zll" w:colFirst="0" w:colLast="0"/>
    <w:bookmarkEnd w:id="1"/>
    <w:p w14:paraId="43024252" w14:textId="77777777" w:rsidR="00807693" w:rsidRPr="00A81818" w:rsidRDefault="00000000" w:rsidP="00807693">
      <w:pPr>
        <w:pStyle w:val="Heading1"/>
        <w:spacing w:before="0"/>
        <w:rPr>
          <w:color w:val="000000" w:themeColor="text1"/>
        </w:rPr>
      </w:pPr>
      <w:sdt>
        <w:sdtPr>
          <w:rPr>
            <w:color w:val="000000" w:themeColor="text1"/>
          </w:rPr>
          <w:tag w:val="goog_rdk_0"/>
          <w:id w:val="256826"/>
        </w:sdtPr>
        <w:sdtContent/>
      </w:sdt>
      <w:sdt>
        <w:sdtPr>
          <w:rPr>
            <w:color w:val="000000" w:themeColor="text1"/>
          </w:rPr>
          <w:tag w:val="goog_rdk_1"/>
          <w:id w:val="256827"/>
        </w:sdtPr>
        <w:sdtContent/>
      </w:sdt>
      <w:r w:rsidR="00807693" w:rsidRPr="00A81818">
        <w:rPr>
          <w:color w:val="000000" w:themeColor="text1"/>
        </w:rPr>
        <w:t>Discussion</w:t>
      </w:r>
    </w:p>
    <w:p w14:paraId="48B71F47" w14:textId="294D8146"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A child can be defined as the young person who is between puberty and infancy and is not yet at the age of majority. </w:t>
      </w:r>
      <w:sdt>
        <w:sdtPr>
          <w:rPr>
            <w:color w:val="000000" w:themeColor="text1"/>
          </w:rPr>
          <w:tag w:val="goog_rdk_2"/>
          <w:id w:val="256828"/>
        </w:sdtPr>
        <w:sdtContent/>
      </w:sdt>
      <w:r w:rsidRPr="00A81818">
        <w:rPr>
          <w:rFonts w:ascii="Arial" w:eastAsia="Arial" w:hAnsi="Arial" w:cs="Arial"/>
          <w:color w:val="000000" w:themeColor="text1"/>
          <w:sz w:val="22"/>
          <w:szCs w:val="22"/>
        </w:rPr>
        <w:t xml:space="preserve">According to the United Nations Convention on the right of the child explains that “a human being under the age of 18 years and unless the law </w:t>
      </w:r>
      <w:r w:rsidR="00066AB9" w:rsidRPr="00A81818">
        <w:rPr>
          <w:rFonts w:ascii="Arial" w:eastAsia="Arial" w:hAnsi="Arial" w:cs="Arial"/>
          <w:color w:val="000000" w:themeColor="text1"/>
          <w:sz w:val="22"/>
          <w:szCs w:val="22"/>
        </w:rPr>
        <w:t>is</w:t>
      </w:r>
      <w:r w:rsidRPr="00A81818">
        <w:rPr>
          <w:rFonts w:ascii="Arial" w:eastAsia="Arial" w:hAnsi="Arial" w:cs="Arial"/>
          <w:color w:val="000000" w:themeColor="text1"/>
          <w:sz w:val="22"/>
          <w:szCs w:val="22"/>
        </w:rPr>
        <w:t xml:space="preserve"> applicable can be defined as the child”. The biological definition of child can </w:t>
      </w:r>
      <w:proofErr w:type="gramStart"/>
      <w:r w:rsidRPr="00A81818">
        <w:rPr>
          <w:rFonts w:ascii="Arial" w:eastAsia="Arial" w:hAnsi="Arial" w:cs="Arial"/>
          <w:color w:val="000000" w:themeColor="text1"/>
          <w:sz w:val="22"/>
          <w:szCs w:val="22"/>
        </w:rPr>
        <w:t>be defined</w:t>
      </w:r>
      <w:proofErr w:type="gramEnd"/>
      <w:r w:rsidRPr="00A81818">
        <w:rPr>
          <w:rFonts w:ascii="Arial" w:eastAsia="Arial" w:hAnsi="Arial" w:cs="Arial"/>
          <w:color w:val="000000" w:themeColor="text1"/>
          <w:sz w:val="22"/>
          <w:szCs w:val="22"/>
        </w:rPr>
        <w:t xml:space="preserve"> as “a person between development period of infancy and puberty or a person between birth and puberty</w:t>
      </w:r>
      <w:r w:rsidR="00066AB9" w:rsidRPr="00A81818">
        <w:rPr>
          <w:rFonts w:ascii="Arial" w:eastAsia="Arial" w:hAnsi="Arial" w:cs="Arial"/>
          <w:color w:val="000000" w:themeColor="text1"/>
          <w:sz w:val="22"/>
          <w:szCs w:val="22"/>
        </w:rPr>
        <w:t>.”</w:t>
      </w:r>
      <w:r w:rsidRPr="00A81818">
        <w:rPr>
          <w:rFonts w:ascii="Arial" w:eastAsia="Arial" w:hAnsi="Arial" w:cs="Arial"/>
          <w:color w:val="000000" w:themeColor="text1"/>
          <w:sz w:val="22"/>
          <w:szCs w:val="22"/>
        </w:rPr>
        <w:t xml:space="preserve"> According to social definition, the child can be suggested as a social grouping of humans from “birth to age twenty” (Winters </w:t>
      </w:r>
      <w:r w:rsidRPr="00A81818">
        <w:rPr>
          <w:rFonts w:ascii="Arial" w:eastAsia="Arial" w:hAnsi="Arial" w:cs="Arial"/>
          <w:i/>
          <w:iCs/>
          <w:color w:val="000000" w:themeColor="text1"/>
          <w:sz w:val="22"/>
          <w:szCs w:val="22"/>
        </w:rPr>
        <w:t xml:space="preserve">et al., </w:t>
      </w:r>
      <w:r w:rsidRPr="00A81818">
        <w:rPr>
          <w:rFonts w:ascii="Arial" w:eastAsia="Arial" w:hAnsi="Arial" w:cs="Arial"/>
          <w:color w:val="000000" w:themeColor="text1"/>
          <w:sz w:val="22"/>
          <w:szCs w:val="22"/>
        </w:rPr>
        <w:t>2021). Childhood can be defined as the stage in children in which the memory consciousness of the young gets developed. The children from age 6 to 12 are considered as the childhood age in which the children are more curious to know new things (</w:t>
      </w:r>
      <w:r w:rsidRPr="00A81818">
        <w:rPr>
          <w:rFonts w:ascii="Arial" w:eastAsia="Arial" w:hAnsi="Arial" w:cs="Arial"/>
          <w:color w:val="000000" w:themeColor="text1"/>
          <w:sz w:val="22"/>
          <w:szCs w:val="22"/>
          <w:highlight w:val="white"/>
        </w:rPr>
        <w:t>Weihrauch-Blüher and Wiegand, 2018</w:t>
      </w:r>
      <w:r w:rsidRPr="00A81818">
        <w:rPr>
          <w:rFonts w:ascii="Arial" w:eastAsia="Arial" w:hAnsi="Arial" w:cs="Arial"/>
          <w:color w:val="000000" w:themeColor="text1"/>
          <w:sz w:val="22"/>
          <w:szCs w:val="22"/>
        </w:rPr>
        <w:t xml:space="preserve">). In this stage, the character and personality of the child develop at a rapid pace and increase the responsibility of the parents. It is because, at this stage, the spoilage of the children </w:t>
      </w:r>
      <w:r w:rsidR="00066AB9" w:rsidRPr="00A81818">
        <w:rPr>
          <w:rFonts w:ascii="Arial" w:eastAsia="Arial" w:hAnsi="Arial" w:cs="Arial"/>
          <w:color w:val="000000" w:themeColor="text1"/>
          <w:sz w:val="22"/>
          <w:szCs w:val="22"/>
        </w:rPr>
        <w:t>increases to a great extent, becomes high,</w:t>
      </w:r>
      <w:r w:rsidRPr="00A81818">
        <w:rPr>
          <w:rFonts w:ascii="Arial" w:eastAsia="Arial" w:hAnsi="Arial" w:cs="Arial"/>
          <w:color w:val="000000" w:themeColor="text1"/>
          <w:sz w:val="22"/>
          <w:szCs w:val="22"/>
        </w:rPr>
        <w:t xml:space="preserve"> and requires a great need for a guide from their parents. The different psychologists also consider the child stage to be a formative stage for the children as it is the stage of character and personality formation (</w:t>
      </w:r>
      <w:r w:rsidRPr="00A81818">
        <w:rPr>
          <w:rFonts w:ascii="Arial" w:eastAsia="Arial" w:hAnsi="Arial" w:cs="Arial"/>
          <w:color w:val="000000" w:themeColor="text1"/>
          <w:sz w:val="22"/>
          <w:szCs w:val="22"/>
          <w:highlight w:val="white"/>
        </w:rPr>
        <w:t>Weihrauch-Blüher and Wiegand, 2018</w:t>
      </w:r>
      <w:r w:rsidRPr="00A81818">
        <w:rPr>
          <w:rFonts w:ascii="Arial" w:eastAsia="Arial" w:hAnsi="Arial" w:cs="Arial"/>
          <w:color w:val="000000" w:themeColor="text1"/>
          <w:sz w:val="22"/>
          <w:szCs w:val="22"/>
        </w:rPr>
        <w:t xml:space="preserve">). A strong and solid family relationship issue is also important during the stage of personality and character development to support the children in their childhood stage. Thus, one of the key elements of childhood and family life is to develop </w:t>
      </w:r>
      <w:r w:rsidR="00066AB9" w:rsidRPr="00A81818">
        <w:rPr>
          <w:rFonts w:ascii="Arial" w:eastAsia="Arial" w:hAnsi="Arial" w:cs="Arial"/>
          <w:color w:val="000000" w:themeColor="text1"/>
          <w:sz w:val="22"/>
          <w:szCs w:val="22"/>
        </w:rPr>
        <w:t>mutual respect</w:t>
      </w:r>
      <w:r w:rsidRPr="00A81818">
        <w:rPr>
          <w:rFonts w:ascii="Arial" w:eastAsia="Arial" w:hAnsi="Arial" w:cs="Arial"/>
          <w:color w:val="000000" w:themeColor="text1"/>
          <w:sz w:val="22"/>
          <w:szCs w:val="22"/>
        </w:rPr>
        <w:t>. The adults of the family members need to remind themselves that respect needs to be earned. </w:t>
      </w:r>
    </w:p>
    <w:p w14:paraId="3437B851" w14:textId="59EE4806"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Theme="minorBidi" w:hAnsiTheme="minorBidi" w:cstheme="minorBidi"/>
          <w:color w:val="000000" w:themeColor="text1"/>
          <w:sz w:val="22"/>
          <w:szCs w:val="22"/>
        </w:rPr>
        <w:t>The</w:t>
      </w:r>
      <w:r w:rsidRPr="00A81818">
        <w:rPr>
          <w:rFonts w:ascii="Arial" w:eastAsia="Arial" w:hAnsi="Arial" w:cs="Arial"/>
          <w:color w:val="000000" w:themeColor="text1"/>
          <w:sz w:val="22"/>
          <w:szCs w:val="22"/>
        </w:rPr>
        <w:t xml:space="preserve"> family needs to respect the children in their growth which allows building a healthy environment in the house and helping the children develop in </w:t>
      </w:r>
      <w:r w:rsidR="00066AB9" w:rsidRPr="00A81818">
        <w:rPr>
          <w:rFonts w:ascii="Arial" w:eastAsia="Arial" w:hAnsi="Arial" w:cs="Arial"/>
          <w:color w:val="000000" w:themeColor="text1"/>
          <w:sz w:val="22"/>
          <w:szCs w:val="22"/>
        </w:rPr>
        <w:t>a satisfactory manner</w:t>
      </w:r>
      <w:r w:rsidRPr="00A81818">
        <w:rPr>
          <w:rFonts w:ascii="Arial" w:eastAsia="Arial" w:hAnsi="Arial" w:cs="Arial"/>
          <w:color w:val="000000" w:themeColor="text1"/>
          <w:sz w:val="22"/>
          <w:szCs w:val="22"/>
        </w:rPr>
        <w:t>. Another element of family life is to provide constant encouragement to the children to give a recipe for success. The family should also minimise negative talk and encourage instead to help the children develop. The children also need to communicate with love during their childhood to increase their sense of security and strengthen their development (</w:t>
      </w:r>
      <w:r w:rsidRPr="00A81818">
        <w:rPr>
          <w:rFonts w:ascii="Arial" w:eastAsia="Arial" w:hAnsi="Arial" w:cs="Arial"/>
          <w:color w:val="000000" w:themeColor="text1"/>
          <w:sz w:val="22"/>
          <w:szCs w:val="22"/>
          <w:highlight w:val="white"/>
        </w:rPr>
        <w:t xml:space="preserve">Grabowski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2021</w:t>
      </w:r>
      <w:r w:rsidRPr="00A81818">
        <w:rPr>
          <w:rFonts w:ascii="Arial" w:eastAsia="Arial" w:hAnsi="Arial" w:cs="Arial"/>
          <w:color w:val="000000" w:themeColor="text1"/>
          <w:sz w:val="22"/>
          <w:szCs w:val="22"/>
        </w:rPr>
        <w:t xml:space="preserve">). This will allow the children to develop independence and responsibility to develop the deepest expression of love. </w:t>
      </w:r>
      <w:r w:rsidR="00066AB9" w:rsidRPr="00A81818">
        <w:rPr>
          <w:rFonts w:ascii="Arial" w:eastAsia="Arial" w:hAnsi="Arial" w:cs="Arial"/>
          <w:color w:val="000000" w:themeColor="text1"/>
          <w:sz w:val="22"/>
          <w:szCs w:val="22"/>
        </w:rPr>
        <w:t>Thus,</w:t>
      </w:r>
      <w:r w:rsidRPr="00A81818">
        <w:rPr>
          <w:rFonts w:ascii="Arial" w:eastAsia="Arial" w:hAnsi="Arial" w:cs="Arial"/>
          <w:color w:val="000000" w:themeColor="text1"/>
          <w:sz w:val="22"/>
          <w:szCs w:val="22"/>
        </w:rPr>
        <w:t xml:space="preserve"> the family, as well as children, feel a sense of security,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and gratitude which creates a healthy family life and helps in developing children in the childhood stage</w:t>
      </w:r>
      <w:r w:rsidR="00066AB9" w:rsidRPr="00A81818">
        <w:rPr>
          <w:rFonts w:ascii="Arial" w:eastAsia="Arial" w:hAnsi="Arial" w:cs="Arial"/>
          <w:color w:val="000000" w:themeColor="text1"/>
          <w:sz w:val="22"/>
          <w:szCs w:val="22"/>
        </w:rPr>
        <w:t xml:space="preserve">. </w:t>
      </w:r>
    </w:p>
    <w:p w14:paraId="58A6C6E1" w14:textId="3804826A"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Over the recent years, the children leaving school rate has risen, but before and after the immediate industrial revolution, child labour was the norm, particularly for working class children. In mediaeval Britain, the families had to endure several stillborns and had high infant mortality rates. As a result, the children got less care from their parents as parents could not remember how many children they had. The child was also given the same name which was given to the elder siblings who had died. There was no emotional attachment with the children as compared </w:t>
      </w:r>
      <w:r w:rsidRPr="00A81818">
        <w:rPr>
          <w:rFonts w:ascii="Arial" w:eastAsia="Arial" w:hAnsi="Arial" w:cs="Arial"/>
          <w:color w:val="000000" w:themeColor="text1"/>
          <w:sz w:val="22"/>
          <w:szCs w:val="22"/>
        </w:rPr>
        <w:lastRenderedPageBreak/>
        <w:t>to the current times as the children were often neglected (</w:t>
      </w:r>
      <w:r w:rsidRPr="00A81818">
        <w:rPr>
          <w:rFonts w:ascii="Arial" w:eastAsia="Arial" w:hAnsi="Arial" w:cs="Arial"/>
          <w:color w:val="000000" w:themeColor="text1"/>
          <w:sz w:val="22"/>
          <w:szCs w:val="22"/>
          <w:highlight w:val="white"/>
        </w:rPr>
        <w:t xml:space="preserve">Grabowski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2021</w:t>
      </w:r>
      <w:r w:rsidRPr="00A81818">
        <w:rPr>
          <w:rFonts w:ascii="Arial" w:eastAsia="Arial" w:hAnsi="Arial" w:cs="Arial"/>
          <w:color w:val="000000" w:themeColor="text1"/>
          <w:sz w:val="22"/>
          <w:szCs w:val="22"/>
        </w:rPr>
        <w:t xml:space="preserve">). The children were also considered an adult as soon as they could live without the continuous attention of their parents. However, </w:t>
      </w:r>
      <w:proofErr w:type="gramStart"/>
      <w:r w:rsidRPr="00A81818">
        <w:rPr>
          <w:rFonts w:ascii="Arial" w:eastAsia="Arial" w:hAnsi="Arial" w:cs="Arial"/>
          <w:color w:val="000000" w:themeColor="text1"/>
          <w:sz w:val="22"/>
          <w:szCs w:val="22"/>
        </w:rPr>
        <w:t>many</w:t>
      </w:r>
      <w:proofErr w:type="gramEnd"/>
      <w:r w:rsidRPr="00A81818">
        <w:rPr>
          <w:rFonts w:ascii="Arial" w:eastAsia="Arial" w:hAnsi="Arial" w:cs="Arial"/>
          <w:color w:val="000000" w:themeColor="text1"/>
          <w:sz w:val="22"/>
          <w:szCs w:val="22"/>
        </w:rPr>
        <w:t xml:space="preserve"> movements started about the position of the children in 1979 which is called a “break with tradition” which changed </w:t>
      </w:r>
      <w:r w:rsidR="00066AB9" w:rsidRPr="00A81818">
        <w:rPr>
          <w:rFonts w:ascii="Arial" w:eastAsia="Arial" w:hAnsi="Arial" w:cs="Arial"/>
          <w:color w:val="000000" w:themeColor="text1"/>
          <w:sz w:val="22"/>
          <w:szCs w:val="22"/>
        </w:rPr>
        <w:t>the paradigm</w:t>
      </w:r>
      <w:r w:rsidRPr="00A81818">
        <w:rPr>
          <w:rFonts w:ascii="Arial" w:eastAsia="Arial" w:hAnsi="Arial" w:cs="Arial"/>
          <w:color w:val="000000" w:themeColor="text1"/>
          <w:sz w:val="22"/>
          <w:szCs w:val="22"/>
        </w:rPr>
        <w:t xml:space="preserve"> and perception of the children. This movement brought the emergence of the “world’s children, child abuse, happy, safe, protected and innocent child.” The construction of childhood and their thinking and social relationship is now dependent on social and cultural context. </w:t>
      </w:r>
    </w:p>
    <w:p w14:paraId="11287C35" w14:textId="77777777" w:rsidR="00807693" w:rsidRPr="00A81818" w:rsidRDefault="00807693" w:rsidP="00807693">
      <w:pPr>
        <w:pBdr>
          <w:top w:val="nil"/>
          <w:left w:val="nil"/>
          <w:bottom w:val="nil"/>
          <w:right w:val="nil"/>
          <w:between w:val="nil"/>
        </w:pBdr>
        <w:spacing w:after="0"/>
        <w:rPr>
          <w:rFonts w:ascii="Arial" w:eastAsia="Arial" w:hAnsi="Arial" w:cs="Arial"/>
          <w:color w:val="000000" w:themeColor="text1"/>
          <w:sz w:val="22"/>
          <w:szCs w:val="22"/>
        </w:rPr>
      </w:pPr>
      <w:r w:rsidRPr="00A81818">
        <w:rPr>
          <w:rFonts w:ascii="Arial" w:eastAsia="Arial" w:hAnsi="Arial" w:cs="Arial"/>
          <w:color w:val="000000" w:themeColor="text1"/>
          <w:sz w:val="22"/>
          <w:szCs w:val="22"/>
        </w:rPr>
        <w:t xml:space="preserve">In current times, “there are specific places where only children and trusted adults are supposed to go” which shatters childhood from adulthood. The children are now also protected by several laws which prevent “children from doing things which only adults are allowed to do.” However, in some places, children are still considered an economic asset and are engaged in paid work. The lives of the children and their families have changed significantly from the early 19th century as children are now seen as the future of the country. The notion of childhood has now radically changed over the years for the better. The children are not forced to work as there are several policies like the </w:t>
      </w:r>
      <w:r w:rsidRPr="00A81818">
        <w:rPr>
          <w:rFonts w:ascii="Arial" w:eastAsia="Arial" w:hAnsi="Arial" w:cs="Arial"/>
          <w:b/>
          <w:i/>
          <w:color w:val="000000" w:themeColor="text1"/>
          <w:sz w:val="22"/>
          <w:szCs w:val="22"/>
        </w:rPr>
        <w:t xml:space="preserve">“Children Act of 1989” </w:t>
      </w:r>
      <w:r w:rsidRPr="00A81818">
        <w:rPr>
          <w:rFonts w:ascii="Arial" w:eastAsia="Arial" w:hAnsi="Arial" w:cs="Arial"/>
          <w:color w:val="000000" w:themeColor="text1"/>
          <w:sz w:val="22"/>
          <w:szCs w:val="22"/>
        </w:rPr>
        <w:t>which restricts and regulates child labour and the exclusion of children in paid work. Compared to historical times, the children were forced to work and were often neglected by their parents. The children were also considered an adult when the children could live without the continuous attention of their parents (</w:t>
      </w:r>
      <w:r w:rsidRPr="00A81818">
        <w:rPr>
          <w:rFonts w:ascii="Arial" w:eastAsia="Arial" w:hAnsi="Arial" w:cs="Arial"/>
          <w:color w:val="000000" w:themeColor="text1"/>
          <w:sz w:val="22"/>
          <w:szCs w:val="22"/>
          <w:highlight w:val="white"/>
        </w:rPr>
        <w:t>Chambers and Gracia, 2021</w:t>
      </w:r>
      <w:r w:rsidRPr="00A81818">
        <w:rPr>
          <w:rFonts w:ascii="Arial" w:eastAsia="Arial" w:hAnsi="Arial" w:cs="Arial"/>
          <w:color w:val="000000" w:themeColor="text1"/>
          <w:sz w:val="22"/>
          <w:szCs w:val="22"/>
        </w:rPr>
        <w:t>). But in the present years, there has been an introduction of compulsory education which the parents must provide to their children.</w:t>
      </w:r>
    </w:p>
    <w:p w14:paraId="5931C842" w14:textId="1F0EB152"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The parents used to neglect their children in historical times and </w:t>
      </w:r>
      <w:proofErr w:type="gramStart"/>
      <w:r w:rsidRPr="00A81818">
        <w:rPr>
          <w:rFonts w:ascii="Arial" w:eastAsia="Arial" w:hAnsi="Arial" w:cs="Arial"/>
          <w:color w:val="000000" w:themeColor="text1"/>
          <w:sz w:val="22"/>
          <w:szCs w:val="22"/>
        </w:rPr>
        <w:t>were often given</w:t>
      </w:r>
      <w:proofErr w:type="gramEnd"/>
      <w:r w:rsidRPr="00A81818">
        <w:rPr>
          <w:rFonts w:ascii="Arial" w:eastAsia="Arial" w:hAnsi="Arial" w:cs="Arial"/>
          <w:color w:val="000000" w:themeColor="text1"/>
          <w:sz w:val="22"/>
          <w:szCs w:val="22"/>
        </w:rPr>
        <w:t xml:space="preserve"> the same </w:t>
      </w:r>
      <w:r w:rsidR="00066AB9" w:rsidRPr="00A81818">
        <w:rPr>
          <w:rFonts w:ascii="Arial" w:eastAsia="Arial" w:hAnsi="Arial" w:cs="Arial"/>
          <w:color w:val="000000" w:themeColor="text1"/>
          <w:sz w:val="22"/>
          <w:szCs w:val="22"/>
        </w:rPr>
        <w:t>name,</w:t>
      </w:r>
      <w:r w:rsidRPr="00A81818">
        <w:rPr>
          <w:rFonts w:ascii="Arial" w:eastAsia="Arial" w:hAnsi="Arial" w:cs="Arial"/>
          <w:color w:val="000000" w:themeColor="text1"/>
          <w:sz w:val="22"/>
          <w:szCs w:val="22"/>
        </w:rPr>
        <w:t xml:space="preserve"> which was given to their dead siblings, but in present times, the parents spend more time with the children than ever to help the children develop and enjoy their childhood. There has also been the introduction of welfare legislation and child protection to provide safety to the children (</w:t>
      </w:r>
      <w:r w:rsidRPr="00A81818">
        <w:rPr>
          <w:rFonts w:ascii="Arial" w:eastAsia="Arial" w:hAnsi="Arial" w:cs="Arial"/>
          <w:color w:val="000000" w:themeColor="text1"/>
          <w:sz w:val="22"/>
          <w:szCs w:val="22"/>
          <w:highlight w:val="white"/>
        </w:rPr>
        <w:t xml:space="preserve">Grabowski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2021</w:t>
      </w:r>
      <w:r w:rsidRPr="00A81818">
        <w:rPr>
          <w:rFonts w:ascii="Arial" w:eastAsia="Arial" w:hAnsi="Arial" w:cs="Arial"/>
          <w:color w:val="000000" w:themeColor="text1"/>
          <w:sz w:val="22"/>
          <w:szCs w:val="22"/>
        </w:rPr>
        <w:t>). Thus, the growth of “rights of the child” has now given more voice to the children in society as compared to historical times.</w:t>
      </w:r>
    </w:p>
    <w:p w14:paraId="65DC5EFF" w14:textId="76F40D14"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There are several factors which are influencing the changes in the social construction of childhood and families from historical times to the present time. One of the factors is gender as children now are given more freedom as compared to historical times. However, the parents are likely to be more strict with their daughter whereas the boys are likely to be given more freedom. Although the children were set free in historical times but were not protected and supervised in their development in the childhood stage. In present times, children are set to undertake risky activities but are under the continuous supervision of their parents to protect them from any harm (</w:t>
      </w:r>
      <w:r w:rsidRPr="00A81818">
        <w:rPr>
          <w:rFonts w:ascii="Arial" w:eastAsia="Arial" w:hAnsi="Arial" w:cs="Arial"/>
          <w:color w:val="000000" w:themeColor="text1"/>
          <w:sz w:val="22"/>
          <w:szCs w:val="22"/>
          <w:highlight w:val="white"/>
        </w:rPr>
        <w:t xml:space="preserve">Koegst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2022</w:t>
      </w:r>
      <w:r w:rsidRPr="00A81818">
        <w:rPr>
          <w:rFonts w:ascii="Arial" w:eastAsia="Arial" w:hAnsi="Arial" w:cs="Arial"/>
          <w:color w:val="000000" w:themeColor="text1"/>
          <w:sz w:val="22"/>
          <w:szCs w:val="22"/>
        </w:rPr>
        <w:t xml:space="preserve">). Social class is also another factor which influences the social construction of </w:t>
      </w:r>
      <w:r w:rsidRPr="00A81818">
        <w:rPr>
          <w:rFonts w:ascii="Arial" w:eastAsia="Arial" w:hAnsi="Arial" w:cs="Arial"/>
          <w:color w:val="000000" w:themeColor="text1"/>
          <w:sz w:val="22"/>
          <w:szCs w:val="22"/>
        </w:rPr>
        <w:lastRenderedPageBreak/>
        <w:t xml:space="preserve">childhood and families. </w:t>
      </w:r>
      <w:sdt>
        <w:sdtPr>
          <w:rPr>
            <w:color w:val="000000" w:themeColor="text1"/>
          </w:rPr>
          <w:tag w:val="goog_rdk_7"/>
          <w:id w:val="256832"/>
        </w:sdtPr>
        <w:sdtContent/>
      </w:sdt>
      <w:r w:rsidRPr="00A81818">
        <w:rPr>
          <w:rFonts w:ascii="Arial" w:eastAsia="Arial" w:hAnsi="Arial" w:cs="Arial"/>
          <w:color w:val="000000" w:themeColor="text1"/>
          <w:sz w:val="22"/>
          <w:szCs w:val="22"/>
        </w:rPr>
        <w:t>According to the study of Howard, children from poor families were likely to die young and were also likely to be shorted as compared to children from wealthier families (</w:t>
      </w:r>
      <w:r w:rsidRPr="00A81818">
        <w:rPr>
          <w:rFonts w:ascii="Arial" w:eastAsia="Arial" w:hAnsi="Arial" w:cs="Arial"/>
          <w:color w:val="000000" w:themeColor="text1"/>
          <w:sz w:val="22"/>
          <w:szCs w:val="22"/>
          <w:highlight w:val="white"/>
        </w:rPr>
        <w:t>Sedelmeier and Baum, 2022</w:t>
      </w:r>
      <w:r w:rsidRPr="00A81818">
        <w:rPr>
          <w:rFonts w:ascii="Arial" w:eastAsia="Arial" w:hAnsi="Arial" w:cs="Arial"/>
          <w:color w:val="000000" w:themeColor="text1"/>
          <w:sz w:val="22"/>
          <w:szCs w:val="22"/>
        </w:rPr>
        <w:t xml:space="preserve">). However, society has now become child centred to provide for the needs of the children </w:t>
      </w:r>
      <w:r w:rsidR="00066AB9" w:rsidRPr="00A81818">
        <w:rPr>
          <w:rFonts w:ascii="Arial" w:eastAsia="Arial" w:hAnsi="Arial" w:cs="Arial"/>
          <w:color w:val="000000" w:themeColor="text1"/>
          <w:sz w:val="22"/>
          <w:szCs w:val="22"/>
        </w:rPr>
        <w:t>and</w:t>
      </w:r>
      <w:r w:rsidRPr="00A81818">
        <w:rPr>
          <w:rFonts w:ascii="Arial" w:eastAsia="Arial" w:hAnsi="Arial" w:cs="Arial"/>
          <w:color w:val="000000" w:themeColor="text1"/>
          <w:sz w:val="22"/>
          <w:szCs w:val="22"/>
        </w:rPr>
        <w:t xml:space="preserve"> protect and supervise the child in the childhood stage. </w:t>
      </w:r>
    </w:p>
    <w:p w14:paraId="5235405E" w14:textId="5887EE27" w:rsidR="00807693" w:rsidRPr="00A81818" w:rsidRDefault="00807693" w:rsidP="00807693">
      <w:pPr>
        <w:pBdr>
          <w:top w:val="nil"/>
          <w:left w:val="nil"/>
          <w:bottom w:val="nil"/>
          <w:right w:val="nil"/>
          <w:between w:val="nil"/>
        </w:pBdr>
        <w:spacing w:after="0"/>
        <w:rPr>
          <w:rFonts w:ascii="Arial" w:eastAsia="Arial" w:hAnsi="Arial" w:cs="Arial"/>
          <w:color w:val="000000" w:themeColor="text1"/>
          <w:sz w:val="22"/>
          <w:szCs w:val="22"/>
        </w:rPr>
      </w:pPr>
      <w:r w:rsidRPr="00A81818">
        <w:rPr>
          <w:rFonts w:ascii="Arial" w:eastAsia="Arial" w:hAnsi="Arial" w:cs="Arial"/>
          <w:color w:val="000000" w:themeColor="text1"/>
          <w:sz w:val="22"/>
          <w:szCs w:val="22"/>
        </w:rPr>
        <w:t xml:space="preserve">This resulted in various developments in the UK in the late </w:t>
      </w:r>
      <w:proofErr w:type="gramStart"/>
      <w:r w:rsidRPr="00A81818">
        <w:rPr>
          <w:rFonts w:ascii="Arial" w:eastAsia="Arial" w:hAnsi="Arial" w:cs="Arial"/>
          <w:color w:val="000000" w:themeColor="text1"/>
          <w:sz w:val="22"/>
          <w:szCs w:val="22"/>
        </w:rPr>
        <w:t>19s</w:t>
      </w:r>
      <w:proofErr w:type="gramEnd"/>
      <w:r w:rsidRPr="00A81818">
        <w:rPr>
          <w:rFonts w:ascii="Arial" w:eastAsia="Arial" w:hAnsi="Arial" w:cs="Arial"/>
          <w:color w:val="000000" w:themeColor="text1"/>
          <w:sz w:val="22"/>
          <w:szCs w:val="22"/>
        </w:rPr>
        <w:t xml:space="preserve"> as the parents improved their standards of living including higher wages, </w:t>
      </w:r>
      <w:r w:rsidR="00066AB9" w:rsidRPr="00A81818">
        <w:rPr>
          <w:rFonts w:ascii="Arial" w:eastAsia="Arial" w:hAnsi="Arial" w:cs="Arial"/>
          <w:color w:val="000000" w:themeColor="text1"/>
          <w:sz w:val="22"/>
          <w:szCs w:val="22"/>
        </w:rPr>
        <w:t>hygiene,</w:t>
      </w:r>
      <w:r w:rsidRPr="00A81818">
        <w:rPr>
          <w:rFonts w:ascii="Arial" w:eastAsia="Arial" w:hAnsi="Arial" w:cs="Arial"/>
          <w:color w:val="000000" w:themeColor="text1"/>
          <w:sz w:val="22"/>
          <w:szCs w:val="22"/>
        </w:rPr>
        <w:t xml:space="preserve"> and habitation. The children </w:t>
      </w:r>
      <w:proofErr w:type="gramStart"/>
      <w:r w:rsidRPr="00A81818">
        <w:rPr>
          <w:rFonts w:ascii="Arial" w:eastAsia="Arial" w:hAnsi="Arial" w:cs="Arial"/>
          <w:color w:val="000000" w:themeColor="text1"/>
          <w:sz w:val="22"/>
          <w:szCs w:val="22"/>
        </w:rPr>
        <w:t>are now no longer regarded</w:t>
      </w:r>
      <w:proofErr w:type="gramEnd"/>
      <w:r w:rsidRPr="00A81818">
        <w:rPr>
          <w:rFonts w:ascii="Arial" w:eastAsia="Arial" w:hAnsi="Arial" w:cs="Arial"/>
          <w:color w:val="000000" w:themeColor="text1"/>
          <w:sz w:val="22"/>
          <w:szCs w:val="22"/>
        </w:rPr>
        <w:t xml:space="preserve"> as economic assets as raising one has become </w:t>
      </w:r>
      <w:r w:rsidR="00066AB9" w:rsidRPr="00A81818">
        <w:rPr>
          <w:rFonts w:ascii="Arial" w:eastAsia="Arial" w:hAnsi="Arial" w:cs="Arial"/>
          <w:color w:val="000000" w:themeColor="text1"/>
          <w:sz w:val="22"/>
          <w:szCs w:val="22"/>
        </w:rPr>
        <w:t>expensive</w:t>
      </w:r>
      <w:r w:rsidRPr="00A81818">
        <w:rPr>
          <w:rFonts w:ascii="Arial" w:eastAsia="Arial" w:hAnsi="Arial" w:cs="Arial"/>
          <w:color w:val="000000" w:themeColor="text1"/>
          <w:sz w:val="22"/>
          <w:szCs w:val="22"/>
        </w:rPr>
        <w:t>. There was also different policy and legislation like the “</w:t>
      </w:r>
      <w:r w:rsidRPr="00A81818">
        <w:rPr>
          <w:rFonts w:ascii="Arial" w:eastAsia="Arial" w:hAnsi="Arial" w:cs="Arial"/>
          <w:b/>
          <w:i/>
          <w:color w:val="000000" w:themeColor="text1"/>
          <w:sz w:val="22"/>
          <w:szCs w:val="22"/>
        </w:rPr>
        <w:t>Education Act 1880</w:t>
      </w:r>
      <w:r w:rsidRPr="00A81818">
        <w:rPr>
          <w:rFonts w:ascii="Arial" w:eastAsia="Arial" w:hAnsi="Arial" w:cs="Arial"/>
          <w:color w:val="000000" w:themeColor="text1"/>
          <w:sz w:val="22"/>
          <w:szCs w:val="22"/>
        </w:rPr>
        <w:t>” which made it compulsory for all children from age five to ten to attend school (</w:t>
      </w:r>
      <w:r w:rsidRPr="00A81818">
        <w:rPr>
          <w:rFonts w:ascii="Arial" w:eastAsia="Arial" w:hAnsi="Arial" w:cs="Arial"/>
          <w:color w:val="000000" w:themeColor="text1"/>
          <w:sz w:val="22"/>
          <w:szCs w:val="22"/>
          <w:highlight w:val="white"/>
        </w:rPr>
        <w:t xml:space="preserve">Settersten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2020</w:t>
      </w:r>
      <w:r w:rsidRPr="00A81818">
        <w:rPr>
          <w:rFonts w:ascii="Arial" w:eastAsia="Arial" w:hAnsi="Arial" w:cs="Arial"/>
          <w:color w:val="000000" w:themeColor="text1"/>
          <w:sz w:val="22"/>
          <w:szCs w:val="22"/>
        </w:rPr>
        <w:t>). There was also an improvement of “</w:t>
      </w:r>
      <w:r w:rsidRPr="00A81818">
        <w:rPr>
          <w:rFonts w:ascii="Arial" w:eastAsia="Arial" w:hAnsi="Arial" w:cs="Arial"/>
          <w:b/>
          <w:i/>
          <w:color w:val="000000" w:themeColor="text1"/>
          <w:sz w:val="22"/>
          <w:szCs w:val="22"/>
        </w:rPr>
        <w:t>The Children Act of 2004</w:t>
      </w:r>
      <w:r w:rsidRPr="00A81818">
        <w:rPr>
          <w:rFonts w:ascii="Arial" w:eastAsia="Arial" w:hAnsi="Arial" w:cs="Arial"/>
          <w:color w:val="000000" w:themeColor="text1"/>
          <w:sz w:val="22"/>
          <w:szCs w:val="22"/>
        </w:rPr>
        <w:t xml:space="preserve">” which initiated the policy of “every child </w:t>
      </w:r>
      <w:r w:rsidR="00066AB9" w:rsidRPr="00A81818">
        <w:rPr>
          <w:rFonts w:ascii="Arial" w:eastAsia="Arial" w:hAnsi="Arial" w:cs="Arial"/>
          <w:color w:val="000000" w:themeColor="text1"/>
          <w:sz w:val="22"/>
          <w:szCs w:val="22"/>
        </w:rPr>
        <w:t>matter</w:t>
      </w:r>
      <w:r w:rsidRPr="00A81818">
        <w:rPr>
          <w:rFonts w:ascii="Arial" w:eastAsia="Arial" w:hAnsi="Arial" w:cs="Arial"/>
          <w:color w:val="000000" w:themeColor="text1"/>
          <w:sz w:val="22"/>
          <w:szCs w:val="22"/>
        </w:rPr>
        <w:t xml:space="preserve">” and focused on the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of the children. Thus, it created a better outcome for the children in their childhood as compared to historical times as the families provided healthy economically and safe life to their children. This reinforced people to take responsibility to help safeguard the children and promote their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w:t>
      </w:r>
      <w:r w:rsidRPr="00A81818">
        <w:rPr>
          <w:rFonts w:ascii="Arial" w:eastAsia="Arial" w:hAnsi="Arial" w:cs="Arial"/>
          <w:color w:val="000000" w:themeColor="text1"/>
          <w:sz w:val="22"/>
          <w:szCs w:val="22"/>
          <w:highlight w:val="white"/>
        </w:rPr>
        <w:t xml:space="preserve">Felson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2019</w:t>
      </w:r>
      <w:r w:rsidRPr="00A81818">
        <w:rPr>
          <w:rFonts w:ascii="Arial" w:eastAsia="Arial" w:hAnsi="Arial" w:cs="Arial"/>
          <w:color w:val="000000" w:themeColor="text1"/>
          <w:sz w:val="22"/>
          <w:szCs w:val="22"/>
        </w:rPr>
        <w:t>). Thus, the policy of the Children Act has brought a huge change in the social construction of childhood and families as it aims to make the UK a safer place for children. The parents are now also looking for their children to be healthy and help them to be happy and enjoy their childhood (</w:t>
      </w:r>
      <w:r w:rsidRPr="00A81818">
        <w:rPr>
          <w:rFonts w:ascii="Arial" w:eastAsia="Arial" w:hAnsi="Arial" w:cs="Arial"/>
          <w:color w:val="000000" w:themeColor="text1"/>
          <w:sz w:val="22"/>
          <w:szCs w:val="22"/>
          <w:highlight w:val="white"/>
        </w:rPr>
        <w:t>Hareven, 2019</w:t>
      </w:r>
      <w:r w:rsidRPr="00A81818">
        <w:rPr>
          <w:rFonts w:ascii="Arial" w:eastAsia="Arial" w:hAnsi="Arial" w:cs="Arial"/>
          <w:color w:val="000000" w:themeColor="text1"/>
          <w:sz w:val="22"/>
          <w:szCs w:val="22"/>
        </w:rPr>
        <w:t>). </w:t>
      </w:r>
    </w:p>
    <w:p w14:paraId="5FF326EB" w14:textId="13BA108A"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Before the industrial revolution in 1700s, children often helped in the production of the goods and worked in a factory. However, those children </w:t>
      </w:r>
      <w:proofErr w:type="gramStart"/>
      <w:r w:rsidRPr="00A81818">
        <w:rPr>
          <w:rFonts w:ascii="Arial" w:eastAsia="Arial" w:hAnsi="Arial" w:cs="Arial"/>
          <w:color w:val="000000" w:themeColor="text1"/>
          <w:sz w:val="22"/>
          <w:szCs w:val="22"/>
        </w:rPr>
        <w:t>were not forced</w:t>
      </w:r>
      <w:proofErr w:type="gramEnd"/>
      <w:r w:rsidRPr="00A81818">
        <w:rPr>
          <w:rFonts w:ascii="Arial" w:eastAsia="Arial" w:hAnsi="Arial" w:cs="Arial"/>
          <w:color w:val="000000" w:themeColor="text1"/>
          <w:sz w:val="22"/>
          <w:szCs w:val="22"/>
        </w:rPr>
        <w:t xml:space="preserve"> to work at an early age but worked willingly to survive </w:t>
      </w:r>
      <w:r w:rsidR="00066AB9" w:rsidRPr="00A81818">
        <w:rPr>
          <w:rFonts w:ascii="Arial" w:eastAsia="Arial" w:hAnsi="Arial" w:cs="Arial"/>
          <w:color w:val="000000" w:themeColor="text1"/>
          <w:sz w:val="22"/>
          <w:szCs w:val="22"/>
        </w:rPr>
        <w:t>fiscal crisis</w:t>
      </w:r>
      <w:r w:rsidRPr="00A81818">
        <w:rPr>
          <w:rFonts w:ascii="Arial" w:eastAsia="Arial" w:hAnsi="Arial" w:cs="Arial"/>
          <w:color w:val="000000" w:themeColor="text1"/>
          <w:sz w:val="22"/>
          <w:szCs w:val="22"/>
        </w:rPr>
        <w:t xml:space="preserve"> within the family. The children were sent to work in factories and farms by their parents to help feed the family and support the family. However, in India, children were </w:t>
      </w:r>
      <w:r w:rsidR="00066AB9" w:rsidRPr="00A81818">
        <w:rPr>
          <w:rFonts w:ascii="Arial" w:eastAsia="Arial" w:hAnsi="Arial" w:cs="Arial"/>
          <w:color w:val="000000" w:themeColor="text1"/>
          <w:sz w:val="22"/>
          <w:szCs w:val="22"/>
        </w:rPr>
        <w:t>an</w:t>
      </w:r>
      <w:r w:rsidRPr="00A81818">
        <w:rPr>
          <w:rFonts w:ascii="Arial" w:eastAsia="Arial" w:hAnsi="Arial" w:cs="Arial"/>
          <w:color w:val="000000" w:themeColor="text1"/>
          <w:sz w:val="22"/>
          <w:szCs w:val="22"/>
        </w:rPr>
        <w:t xml:space="preserve"> integral part of the household economy because of India being a </w:t>
      </w:r>
      <w:proofErr w:type="gramStart"/>
      <w:r w:rsidRPr="00A81818">
        <w:rPr>
          <w:rFonts w:ascii="Arial" w:eastAsia="Arial" w:hAnsi="Arial" w:cs="Arial"/>
          <w:color w:val="000000" w:themeColor="text1"/>
          <w:sz w:val="22"/>
          <w:szCs w:val="22"/>
        </w:rPr>
        <w:t>predominantly rural</w:t>
      </w:r>
      <w:proofErr w:type="gramEnd"/>
      <w:r w:rsidRPr="00A81818">
        <w:rPr>
          <w:rFonts w:ascii="Arial" w:eastAsia="Arial" w:hAnsi="Arial" w:cs="Arial"/>
          <w:color w:val="000000" w:themeColor="text1"/>
          <w:sz w:val="22"/>
          <w:szCs w:val="22"/>
        </w:rPr>
        <w:t xml:space="preserve"> and marginal economic society. The children were trained at </w:t>
      </w:r>
      <w:r w:rsidR="00066AB9" w:rsidRPr="00A81818">
        <w:rPr>
          <w:rFonts w:ascii="Arial" w:eastAsia="Arial" w:hAnsi="Arial" w:cs="Arial"/>
          <w:color w:val="000000" w:themeColor="text1"/>
          <w:sz w:val="22"/>
          <w:szCs w:val="22"/>
        </w:rPr>
        <w:t xml:space="preserve">an incredibly </w:t>
      </w:r>
      <w:proofErr w:type="gramStart"/>
      <w:r w:rsidR="00066AB9" w:rsidRPr="00A81818">
        <w:rPr>
          <w:rFonts w:ascii="Arial" w:eastAsia="Arial" w:hAnsi="Arial" w:cs="Arial"/>
          <w:color w:val="000000" w:themeColor="text1"/>
          <w:sz w:val="22"/>
          <w:szCs w:val="22"/>
        </w:rPr>
        <w:t>young</w:t>
      </w:r>
      <w:r w:rsidRPr="00A81818">
        <w:rPr>
          <w:rFonts w:ascii="Arial" w:eastAsia="Arial" w:hAnsi="Arial" w:cs="Arial"/>
          <w:color w:val="000000" w:themeColor="text1"/>
          <w:sz w:val="22"/>
          <w:szCs w:val="22"/>
        </w:rPr>
        <w:t xml:space="preserve"> age</w:t>
      </w:r>
      <w:proofErr w:type="gramEnd"/>
      <w:r w:rsidRPr="00A81818">
        <w:rPr>
          <w:rFonts w:ascii="Arial" w:eastAsia="Arial" w:hAnsi="Arial" w:cs="Arial"/>
          <w:color w:val="000000" w:themeColor="text1"/>
          <w:sz w:val="22"/>
          <w:szCs w:val="22"/>
        </w:rPr>
        <w:t xml:space="preserve"> to contribute to the family’s income and earn for themselves. The children of India are subjected to forced employment and bonded labour. In UK, the children working because of the lack of formal education became a widespread but the parents changed their opinion to whether send their children to work or not (</w:t>
      </w:r>
      <w:r w:rsidRPr="00A81818">
        <w:rPr>
          <w:rFonts w:ascii="Arial" w:eastAsia="Arial" w:hAnsi="Arial" w:cs="Arial"/>
          <w:color w:val="000000" w:themeColor="text1"/>
          <w:sz w:val="22"/>
          <w:szCs w:val="22"/>
          <w:highlight w:val="white"/>
        </w:rPr>
        <w:t>Pentaris and Oresanya, 2021</w:t>
      </w:r>
      <w:r w:rsidRPr="00A81818">
        <w:rPr>
          <w:rFonts w:ascii="Arial" w:eastAsia="Arial" w:hAnsi="Arial" w:cs="Arial"/>
          <w:color w:val="000000" w:themeColor="text1"/>
          <w:sz w:val="22"/>
          <w:szCs w:val="22"/>
        </w:rPr>
        <w:t xml:space="preserve">). </w:t>
      </w:r>
      <w:r w:rsidR="00066AB9" w:rsidRPr="00A81818">
        <w:rPr>
          <w:rFonts w:ascii="Arial" w:eastAsia="Arial" w:hAnsi="Arial" w:cs="Arial"/>
          <w:color w:val="000000" w:themeColor="text1"/>
          <w:sz w:val="22"/>
          <w:szCs w:val="22"/>
        </w:rPr>
        <w:t>However,</w:t>
      </w:r>
      <w:r w:rsidRPr="00A81818">
        <w:rPr>
          <w:rFonts w:ascii="Arial" w:eastAsia="Arial" w:hAnsi="Arial" w:cs="Arial"/>
          <w:color w:val="000000" w:themeColor="text1"/>
          <w:sz w:val="22"/>
          <w:szCs w:val="22"/>
        </w:rPr>
        <w:t xml:space="preserve"> in India, the children </w:t>
      </w:r>
      <w:proofErr w:type="gramStart"/>
      <w:r w:rsidRPr="00A81818">
        <w:rPr>
          <w:rFonts w:ascii="Arial" w:eastAsia="Arial" w:hAnsi="Arial" w:cs="Arial"/>
          <w:color w:val="000000" w:themeColor="text1"/>
          <w:sz w:val="22"/>
          <w:szCs w:val="22"/>
        </w:rPr>
        <w:t>were forced</w:t>
      </w:r>
      <w:proofErr w:type="gramEnd"/>
      <w:r w:rsidRPr="00A81818">
        <w:rPr>
          <w:rFonts w:ascii="Arial" w:eastAsia="Arial" w:hAnsi="Arial" w:cs="Arial"/>
          <w:color w:val="000000" w:themeColor="text1"/>
          <w:sz w:val="22"/>
          <w:szCs w:val="22"/>
        </w:rPr>
        <w:t xml:space="preserve"> to work which resulted in children going through mental strain such as anxieties. Child marriage is also common in India as the people believed that it compromises the development of girls. As compared to the UK, child marriage </w:t>
      </w:r>
      <w:proofErr w:type="gramStart"/>
      <w:r w:rsidRPr="00A81818">
        <w:rPr>
          <w:rFonts w:ascii="Arial" w:eastAsia="Arial" w:hAnsi="Arial" w:cs="Arial"/>
          <w:color w:val="000000" w:themeColor="text1"/>
          <w:sz w:val="22"/>
          <w:szCs w:val="22"/>
        </w:rPr>
        <w:t>is considered</w:t>
      </w:r>
      <w:proofErr w:type="gramEnd"/>
      <w:r w:rsidRPr="00A81818">
        <w:rPr>
          <w:rFonts w:ascii="Arial" w:eastAsia="Arial" w:hAnsi="Arial" w:cs="Arial"/>
          <w:color w:val="000000" w:themeColor="text1"/>
          <w:sz w:val="22"/>
          <w:szCs w:val="22"/>
        </w:rPr>
        <w:t xml:space="preserve"> as a violation of human rights as they consider that it can cause social </w:t>
      </w:r>
      <w:r w:rsidR="00066AB9" w:rsidRPr="00A81818">
        <w:rPr>
          <w:rFonts w:ascii="Arial" w:eastAsia="Arial" w:hAnsi="Arial" w:cs="Arial"/>
          <w:color w:val="000000" w:themeColor="text1"/>
          <w:sz w:val="22"/>
          <w:szCs w:val="22"/>
        </w:rPr>
        <w:t>norms and</w:t>
      </w:r>
      <w:r w:rsidRPr="00A81818">
        <w:rPr>
          <w:rFonts w:ascii="Arial" w:eastAsia="Arial" w:hAnsi="Arial" w:cs="Arial"/>
          <w:color w:val="000000" w:themeColor="text1"/>
          <w:sz w:val="22"/>
          <w:szCs w:val="22"/>
        </w:rPr>
        <w:t xml:space="preserve"> interrupt their schooling. India has now developed different acts such as “The Juvenile Justice (Care and Protection) of children Act of 200 and The Right of Children to free and Compulsory Education Act of 2009” to protect the children from child labour. The UK has also now developed several acts such as “The Children and Young Person Act of </w:t>
      </w:r>
      <w:r w:rsidRPr="00A81818">
        <w:rPr>
          <w:rFonts w:ascii="Arial" w:eastAsia="Arial" w:hAnsi="Arial" w:cs="Arial"/>
          <w:color w:val="000000" w:themeColor="text1"/>
          <w:sz w:val="22"/>
          <w:szCs w:val="22"/>
        </w:rPr>
        <w:lastRenderedPageBreak/>
        <w:t>1933 and Employment of Women, Children and Young Person Act of 1920” to protect the children and support their development (</w:t>
      </w:r>
      <w:r w:rsidRPr="00A81818">
        <w:rPr>
          <w:rFonts w:ascii="Arial" w:eastAsia="Arial" w:hAnsi="Arial" w:cs="Arial"/>
          <w:color w:val="000000" w:themeColor="text1"/>
          <w:sz w:val="22"/>
          <w:szCs w:val="22"/>
          <w:highlight w:val="white"/>
        </w:rPr>
        <w:t>Burt, 2020</w:t>
      </w:r>
      <w:r w:rsidRPr="00A81818">
        <w:rPr>
          <w:rFonts w:ascii="Arial" w:eastAsia="Arial" w:hAnsi="Arial" w:cs="Arial"/>
          <w:color w:val="000000" w:themeColor="text1"/>
          <w:sz w:val="22"/>
          <w:szCs w:val="22"/>
        </w:rPr>
        <w:t xml:space="preserve">). However, India still faces the problem of child labour and lack of education while the UK is focusing on developing the children by providing proper education and reducing the child labour. </w:t>
      </w:r>
    </w:p>
    <w:p w14:paraId="0E28FE3C" w14:textId="0B4093BA"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The lives of “children, young people and families” are significantly improving because of certain factors which are also reducing the inequalities in health and social care services. Most people know that children,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families need food, </w:t>
      </w:r>
      <w:proofErr w:type="gramStart"/>
      <w:r w:rsidRPr="00A81818">
        <w:rPr>
          <w:rFonts w:ascii="Arial" w:eastAsia="Arial" w:hAnsi="Arial" w:cs="Arial"/>
          <w:color w:val="000000" w:themeColor="text1"/>
          <w:sz w:val="22"/>
          <w:szCs w:val="22"/>
        </w:rPr>
        <w:t>love</w:t>
      </w:r>
      <w:proofErr w:type="gramEnd"/>
      <w:r w:rsidRPr="00A81818">
        <w:rPr>
          <w:rFonts w:ascii="Arial" w:eastAsia="Arial" w:hAnsi="Arial" w:cs="Arial"/>
          <w:color w:val="000000" w:themeColor="text1"/>
          <w:sz w:val="22"/>
          <w:szCs w:val="22"/>
        </w:rPr>
        <w:t xml:space="preserve"> and shelter to be healthy and happy, but there is more to look after. The lives of children and young people can be influenced by their own personalities and those around them like community and society (</w:t>
      </w:r>
      <w:r w:rsidRPr="00A81818">
        <w:rPr>
          <w:rFonts w:ascii="Arial" w:eastAsia="Arial" w:hAnsi="Arial" w:cs="Arial"/>
          <w:color w:val="000000" w:themeColor="text1"/>
          <w:sz w:val="22"/>
          <w:szCs w:val="22"/>
          <w:highlight w:val="white"/>
        </w:rPr>
        <w:t>Pentaris and Oresanya, 2021</w:t>
      </w:r>
      <w:r w:rsidRPr="00A81818">
        <w:rPr>
          <w:rFonts w:ascii="Arial" w:eastAsia="Arial" w:hAnsi="Arial" w:cs="Arial"/>
          <w:color w:val="000000" w:themeColor="text1"/>
          <w:sz w:val="22"/>
          <w:szCs w:val="22"/>
        </w:rPr>
        <w:t xml:space="preserve">). One of the factors improving the lives of “children, young people and families” is economic factors. The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of the economy of the country determines the factors such as affordable housing and how well parents can support their families. The children </w:t>
      </w:r>
      <w:r w:rsidR="00066AB9" w:rsidRPr="00A81818">
        <w:rPr>
          <w:rFonts w:ascii="Arial" w:eastAsia="Arial" w:hAnsi="Arial" w:cs="Arial"/>
          <w:color w:val="000000" w:themeColor="text1"/>
          <w:sz w:val="22"/>
          <w:szCs w:val="22"/>
        </w:rPr>
        <w:t>and</w:t>
      </w:r>
      <w:r w:rsidRPr="00A81818">
        <w:rPr>
          <w:rFonts w:ascii="Arial" w:eastAsia="Arial" w:hAnsi="Arial" w:cs="Arial"/>
          <w:color w:val="000000" w:themeColor="text1"/>
          <w:sz w:val="22"/>
          <w:szCs w:val="22"/>
        </w:rPr>
        <w:t xml:space="preserve"> the families </w:t>
      </w:r>
      <w:proofErr w:type="gramStart"/>
      <w:r w:rsidRPr="00A81818">
        <w:rPr>
          <w:rFonts w:ascii="Arial" w:eastAsia="Arial" w:hAnsi="Arial" w:cs="Arial"/>
          <w:color w:val="000000" w:themeColor="text1"/>
          <w:sz w:val="22"/>
          <w:szCs w:val="22"/>
        </w:rPr>
        <w:t>are avoided</w:t>
      </w:r>
      <w:proofErr w:type="gramEnd"/>
      <w:r w:rsidRPr="00A81818">
        <w:rPr>
          <w:rFonts w:ascii="Arial" w:eastAsia="Arial" w:hAnsi="Arial" w:cs="Arial"/>
          <w:color w:val="000000" w:themeColor="text1"/>
          <w:sz w:val="22"/>
          <w:szCs w:val="22"/>
        </w:rPr>
        <w:t xml:space="preserve"> from growing up in poverty to support healthy child development. The children </w:t>
      </w:r>
      <w:proofErr w:type="gramStart"/>
      <w:r w:rsidRPr="00A81818">
        <w:rPr>
          <w:rFonts w:ascii="Arial" w:eastAsia="Arial" w:hAnsi="Arial" w:cs="Arial"/>
          <w:color w:val="000000" w:themeColor="text1"/>
          <w:sz w:val="22"/>
          <w:szCs w:val="22"/>
        </w:rPr>
        <w:t>are also given</w:t>
      </w:r>
      <w:proofErr w:type="gramEnd"/>
      <w:r w:rsidRPr="00A81818">
        <w:rPr>
          <w:rFonts w:ascii="Arial" w:eastAsia="Arial" w:hAnsi="Arial" w:cs="Arial"/>
          <w:color w:val="000000" w:themeColor="text1"/>
          <w:sz w:val="22"/>
          <w:szCs w:val="22"/>
        </w:rPr>
        <w:t xml:space="preserve"> a </w:t>
      </w:r>
      <w:r w:rsidR="00066AB9" w:rsidRPr="00A81818">
        <w:rPr>
          <w:rFonts w:ascii="Arial" w:eastAsia="Arial" w:hAnsi="Arial" w:cs="Arial"/>
          <w:color w:val="000000" w:themeColor="text1"/>
          <w:sz w:val="22"/>
          <w:szCs w:val="22"/>
        </w:rPr>
        <w:t>high-quality</w:t>
      </w:r>
      <w:r w:rsidRPr="00A81818">
        <w:rPr>
          <w:rFonts w:ascii="Arial" w:eastAsia="Arial" w:hAnsi="Arial" w:cs="Arial"/>
          <w:color w:val="000000" w:themeColor="text1"/>
          <w:sz w:val="22"/>
          <w:szCs w:val="22"/>
        </w:rPr>
        <w:t xml:space="preserve"> education which plays a huge role in developing the children and young people. There is also less discrimination in the educational institute to provide equal quality education to all the children and improve their lives. The healthcare of the children </w:t>
      </w:r>
      <w:proofErr w:type="gramStart"/>
      <w:r w:rsidRPr="00A81818">
        <w:rPr>
          <w:rFonts w:ascii="Arial" w:eastAsia="Arial" w:hAnsi="Arial" w:cs="Arial"/>
          <w:color w:val="000000" w:themeColor="text1"/>
          <w:sz w:val="22"/>
          <w:szCs w:val="22"/>
        </w:rPr>
        <w:t>is also given</w:t>
      </w:r>
      <w:proofErr w:type="gramEnd"/>
      <w:r w:rsidRPr="00A81818">
        <w:rPr>
          <w:rFonts w:ascii="Arial" w:eastAsia="Arial" w:hAnsi="Arial" w:cs="Arial"/>
          <w:color w:val="000000" w:themeColor="text1"/>
          <w:sz w:val="22"/>
          <w:szCs w:val="22"/>
        </w:rPr>
        <w:t xml:space="preserve"> equal priority as education as it is a fundamental part of the overdevelopment and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of the children. The equal treatment in health and social care provision to those individuals can help them to do better not only in education but beyond. The communities and society also impact children,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families in a vital way (</w:t>
      </w:r>
      <w:r w:rsidRPr="00A81818">
        <w:rPr>
          <w:rFonts w:ascii="Arial" w:eastAsia="Arial" w:hAnsi="Arial" w:cs="Arial"/>
          <w:color w:val="000000" w:themeColor="text1"/>
          <w:sz w:val="22"/>
          <w:szCs w:val="22"/>
          <w:highlight w:val="white"/>
        </w:rPr>
        <w:t>Williams and Cooper, 2019</w:t>
      </w:r>
      <w:r w:rsidRPr="00A81818">
        <w:rPr>
          <w:rFonts w:ascii="Arial" w:eastAsia="Arial" w:hAnsi="Arial" w:cs="Arial"/>
          <w:color w:val="000000" w:themeColor="text1"/>
          <w:sz w:val="22"/>
          <w:szCs w:val="22"/>
        </w:rPr>
        <w:t>). Society creates a supportive and trusting relationship with the children and families to help them grow and learn and to reduce the inequalities in the health and social care service provision</w:t>
      </w:r>
      <w:r w:rsidR="00066AB9" w:rsidRPr="00A81818">
        <w:rPr>
          <w:rFonts w:ascii="Arial" w:eastAsia="Arial" w:hAnsi="Arial" w:cs="Arial"/>
          <w:color w:val="000000" w:themeColor="text1"/>
          <w:sz w:val="22"/>
          <w:szCs w:val="22"/>
        </w:rPr>
        <w:t xml:space="preserve">. </w:t>
      </w:r>
    </w:p>
    <w:p w14:paraId="55ADF6BF" w14:textId="592BB13B"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The children now are also protected from being mistreated and abused within the families as it can affect their mood disorder, do poorly in school or may commit suicide. Hence, different health care and social service providers protect children </w:t>
      </w:r>
      <w:r w:rsidR="00066AB9" w:rsidRPr="00A81818">
        <w:rPr>
          <w:rFonts w:ascii="Arial" w:eastAsia="Arial" w:hAnsi="Arial" w:cs="Arial"/>
          <w:color w:val="000000" w:themeColor="text1"/>
          <w:sz w:val="22"/>
          <w:szCs w:val="22"/>
        </w:rPr>
        <w:t>and</w:t>
      </w:r>
      <w:r w:rsidRPr="00A81818">
        <w:rPr>
          <w:rFonts w:ascii="Arial" w:eastAsia="Arial" w:hAnsi="Arial" w:cs="Arial"/>
          <w:color w:val="000000" w:themeColor="text1"/>
          <w:sz w:val="22"/>
          <w:szCs w:val="22"/>
        </w:rPr>
        <w:t xml:space="preserve"> young people and families from these activities to help them develop and improve their lives. Thus, the equality in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and health care of children, young people and families have well improved. The health and social care services provided are committed to the success and improving the lives of those individuals. The introduction of the “</w:t>
      </w:r>
      <w:r w:rsidRPr="00A81818">
        <w:rPr>
          <w:rFonts w:ascii="Arial" w:eastAsia="Arial" w:hAnsi="Arial" w:cs="Arial"/>
          <w:b/>
          <w:i/>
          <w:color w:val="000000" w:themeColor="text1"/>
          <w:sz w:val="22"/>
          <w:szCs w:val="22"/>
        </w:rPr>
        <w:t>Equality Act of 2010</w:t>
      </w:r>
      <w:r w:rsidRPr="00A81818">
        <w:rPr>
          <w:rFonts w:ascii="Arial" w:eastAsia="Arial" w:hAnsi="Arial" w:cs="Arial"/>
          <w:color w:val="000000" w:themeColor="text1"/>
          <w:sz w:val="22"/>
          <w:szCs w:val="22"/>
        </w:rPr>
        <w:t xml:space="preserve">” has also played a significant role in improving the lives of children,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families, by reducing the inequalities in health and social care provision. Since the introduction of the act, it </w:t>
      </w:r>
      <w:proofErr w:type="gramStart"/>
      <w:r w:rsidRPr="00A81818">
        <w:rPr>
          <w:rFonts w:ascii="Arial" w:eastAsia="Arial" w:hAnsi="Arial" w:cs="Arial"/>
          <w:color w:val="000000" w:themeColor="text1"/>
          <w:sz w:val="22"/>
          <w:szCs w:val="22"/>
        </w:rPr>
        <w:t>is reduced</w:t>
      </w:r>
      <w:proofErr w:type="gramEnd"/>
      <w:r w:rsidRPr="00A81818">
        <w:rPr>
          <w:rFonts w:ascii="Arial" w:eastAsia="Arial" w:hAnsi="Arial" w:cs="Arial"/>
          <w:color w:val="000000" w:themeColor="text1"/>
          <w:sz w:val="22"/>
          <w:szCs w:val="22"/>
        </w:rPr>
        <w:t xml:space="preserve"> or eliminated discrimination, victimisation, </w:t>
      </w:r>
      <w:r w:rsidR="00066AB9" w:rsidRPr="00A81818">
        <w:rPr>
          <w:rFonts w:ascii="Arial" w:eastAsia="Arial" w:hAnsi="Arial" w:cs="Arial"/>
          <w:color w:val="000000" w:themeColor="text1"/>
          <w:sz w:val="22"/>
          <w:szCs w:val="22"/>
        </w:rPr>
        <w:t>harassment,</w:t>
      </w:r>
      <w:r w:rsidRPr="00A81818">
        <w:rPr>
          <w:rFonts w:ascii="Arial" w:eastAsia="Arial" w:hAnsi="Arial" w:cs="Arial"/>
          <w:color w:val="000000" w:themeColor="text1"/>
          <w:sz w:val="22"/>
          <w:szCs w:val="22"/>
        </w:rPr>
        <w:t xml:space="preserve"> and any other activity which are prohibited by the Equality Act (</w:t>
      </w:r>
      <w:r w:rsidRPr="00A81818">
        <w:rPr>
          <w:rFonts w:ascii="Arial" w:eastAsia="Arial" w:hAnsi="Arial" w:cs="Arial"/>
          <w:color w:val="000000" w:themeColor="text1"/>
          <w:sz w:val="22"/>
          <w:szCs w:val="22"/>
          <w:highlight w:val="white"/>
        </w:rPr>
        <w:t>Burt, 2020</w:t>
      </w:r>
      <w:r w:rsidRPr="00A81818">
        <w:rPr>
          <w:rFonts w:ascii="Arial" w:eastAsia="Arial" w:hAnsi="Arial" w:cs="Arial"/>
          <w:color w:val="000000" w:themeColor="text1"/>
          <w:sz w:val="22"/>
          <w:szCs w:val="22"/>
        </w:rPr>
        <w:t xml:space="preserve">). This helps the children, young people and families of different races and ethics to get equal treatment in the health and social care system and reduce the inequalities in health and social care provision </w:t>
      </w:r>
      <w:r w:rsidRPr="00A81818">
        <w:rPr>
          <w:rFonts w:ascii="Arial" w:eastAsia="Arial" w:hAnsi="Arial" w:cs="Arial"/>
          <w:color w:val="000000" w:themeColor="text1"/>
          <w:sz w:val="22"/>
          <w:szCs w:val="22"/>
        </w:rPr>
        <w:lastRenderedPageBreak/>
        <w:t xml:space="preserve">to improve their lives in current times. The Equality Act also foster a good relationship between people who share relevant protected characteristics and a person who does not share it. Thus, it allows the young people, </w:t>
      </w:r>
      <w:r w:rsidR="00066AB9" w:rsidRPr="00A81818">
        <w:rPr>
          <w:rFonts w:ascii="Arial" w:eastAsia="Arial" w:hAnsi="Arial" w:cs="Arial"/>
          <w:color w:val="000000" w:themeColor="text1"/>
          <w:sz w:val="22"/>
          <w:szCs w:val="22"/>
        </w:rPr>
        <w:t>children,</w:t>
      </w:r>
      <w:r w:rsidRPr="00A81818">
        <w:rPr>
          <w:rFonts w:ascii="Arial" w:eastAsia="Arial" w:hAnsi="Arial" w:cs="Arial"/>
          <w:color w:val="000000" w:themeColor="text1"/>
          <w:sz w:val="22"/>
          <w:szCs w:val="22"/>
        </w:rPr>
        <w:t xml:space="preserve"> and families to respect each other and reduce inequalities in the health and social care provision and improve the lives of children, young </w:t>
      </w:r>
      <w:proofErr w:type="gramStart"/>
      <w:r w:rsidRPr="00A81818">
        <w:rPr>
          <w:rFonts w:ascii="Arial" w:eastAsia="Arial" w:hAnsi="Arial" w:cs="Arial"/>
          <w:color w:val="000000" w:themeColor="text1"/>
          <w:sz w:val="22"/>
          <w:szCs w:val="22"/>
        </w:rPr>
        <w:t>people</w:t>
      </w:r>
      <w:proofErr w:type="gramEnd"/>
      <w:r w:rsidRPr="00A81818">
        <w:rPr>
          <w:rFonts w:ascii="Arial" w:eastAsia="Arial" w:hAnsi="Arial" w:cs="Arial"/>
          <w:color w:val="000000" w:themeColor="text1"/>
          <w:sz w:val="22"/>
          <w:szCs w:val="22"/>
        </w:rPr>
        <w:t xml:space="preserve"> and families.      </w:t>
      </w:r>
    </w:p>
    <w:p w14:paraId="0DDFEB03" w14:textId="4580CD1B"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Supporting and protecting the children, young people and families who face significant harm have become important in present times to support vulnerable families,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children. Vulnerable children, young people and families face a lot of challenges in recent times as many children are separated from their families because of their vulnerabilities. One of the approaches which protect and supports vulnerable children is “</w:t>
      </w:r>
      <w:r w:rsidRPr="00A81818">
        <w:rPr>
          <w:rFonts w:ascii="Arial" w:eastAsia="Arial" w:hAnsi="Arial" w:cs="Arial"/>
          <w:b/>
          <w:i/>
          <w:color w:val="000000" w:themeColor="text1"/>
          <w:sz w:val="22"/>
          <w:szCs w:val="22"/>
        </w:rPr>
        <w:t>no child left behind</w:t>
      </w:r>
      <w:r w:rsidRPr="00A81818">
        <w:rPr>
          <w:rFonts w:ascii="Arial" w:eastAsia="Arial" w:hAnsi="Arial" w:cs="Arial"/>
          <w:color w:val="000000" w:themeColor="text1"/>
          <w:sz w:val="22"/>
          <w:szCs w:val="22"/>
        </w:rPr>
        <w:t>” to improve the outcome for vulnerable children (</w:t>
      </w:r>
      <w:r w:rsidRPr="00A81818">
        <w:rPr>
          <w:rFonts w:ascii="Arial" w:eastAsia="Arial" w:hAnsi="Arial" w:cs="Arial"/>
          <w:color w:val="000000" w:themeColor="text1"/>
          <w:sz w:val="22"/>
          <w:szCs w:val="22"/>
          <w:highlight w:val="white"/>
        </w:rPr>
        <w:t xml:space="preserve">Acosta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2020</w:t>
      </w:r>
      <w:r w:rsidRPr="00A81818">
        <w:rPr>
          <w:rFonts w:ascii="Arial" w:eastAsia="Arial" w:hAnsi="Arial" w:cs="Arial"/>
          <w:color w:val="000000" w:themeColor="text1"/>
          <w:sz w:val="22"/>
          <w:szCs w:val="22"/>
        </w:rPr>
        <w:t xml:space="preserve">). To reduce the vulnerabilities of the children this approach takes a systematic and </w:t>
      </w:r>
      <w:r w:rsidR="00066AB9" w:rsidRPr="00A81818">
        <w:rPr>
          <w:rFonts w:ascii="Arial" w:eastAsia="Arial" w:hAnsi="Arial" w:cs="Arial"/>
          <w:color w:val="000000" w:themeColor="text1"/>
          <w:sz w:val="22"/>
          <w:szCs w:val="22"/>
        </w:rPr>
        <w:t>comprehensive approach</w:t>
      </w:r>
      <w:r w:rsidRPr="00A81818">
        <w:rPr>
          <w:rFonts w:ascii="Arial" w:eastAsia="Arial" w:hAnsi="Arial" w:cs="Arial"/>
          <w:color w:val="000000" w:themeColor="text1"/>
          <w:sz w:val="22"/>
          <w:szCs w:val="22"/>
        </w:rPr>
        <w:t xml:space="preserve"> to address the vulnerabilities. This approach first addresses the root cause of the vulnerabilities of the children and tackles all the health inequalities and the wider determinants of health. Then the social care worker and other parties take an early intervention to support the families and children to reduce the inequalities in present times. The approach ensures that their service helps to reduce the inequalities in the health and social care provision as well as other negative impacts on the experience and circumstances to build resilience in vulnerable children,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families. There are also different interventions to support vulnerable children,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families and one of the interventions are</w:t>
      </w:r>
      <w:r w:rsidRPr="00A81818">
        <w:rPr>
          <w:rFonts w:ascii="Arial" w:eastAsia="Arial" w:hAnsi="Arial" w:cs="Arial"/>
          <w:b/>
          <w:i/>
          <w:color w:val="000000" w:themeColor="text1"/>
          <w:sz w:val="22"/>
          <w:szCs w:val="22"/>
        </w:rPr>
        <w:t xml:space="preserve"> </w:t>
      </w:r>
      <w:r w:rsidR="00066AB9" w:rsidRPr="00A81818">
        <w:rPr>
          <w:rFonts w:ascii="Arial" w:eastAsia="Arial" w:hAnsi="Arial" w:cs="Arial"/>
          <w:b/>
          <w:i/>
          <w:color w:val="000000" w:themeColor="text1"/>
          <w:sz w:val="22"/>
          <w:szCs w:val="22"/>
        </w:rPr>
        <w:t>Power</w:t>
      </w:r>
      <w:r w:rsidRPr="00A81818">
        <w:rPr>
          <w:rFonts w:ascii="Arial" w:eastAsia="Arial" w:hAnsi="Arial" w:cs="Arial"/>
          <w:b/>
          <w:i/>
          <w:color w:val="000000" w:themeColor="text1"/>
          <w:sz w:val="22"/>
          <w:szCs w:val="22"/>
        </w:rPr>
        <w:t xml:space="preserve"> </w:t>
      </w:r>
      <w:r w:rsidRPr="00A81818">
        <w:rPr>
          <w:rFonts w:ascii="Arial" w:eastAsia="Arial" w:hAnsi="Arial" w:cs="Arial"/>
          <w:color w:val="000000" w:themeColor="text1"/>
          <w:sz w:val="22"/>
          <w:szCs w:val="22"/>
        </w:rPr>
        <w:t xml:space="preserve">which helps the family to express their views and provide the support they need. This gives the families and young people the power to have a voice and </w:t>
      </w:r>
      <w:r w:rsidR="00066AB9" w:rsidRPr="00A81818">
        <w:rPr>
          <w:rFonts w:ascii="Arial" w:eastAsia="Arial" w:hAnsi="Arial" w:cs="Arial"/>
          <w:color w:val="000000" w:themeColor="text1"/>
          <w:sz w:val="22"/>
          <w:szCs w:val="22"/>
        </w:rPr>
        <w:t>are effective</w:t>
      </w:r>
      <w:r w:rsidRPr="00A81818">
        <w:rPr>
          <w:rFonts w:ascii="Arial" w:eastAsia="Arial" w:hAnsi="Arial" w:cs="Arial"/>
          <w:color w:val="000000" w:themeColor="text1"/>
          <w:sz w:val="22"/>
          <w:szCs w:val="22"/>
        </w:rPr>
        <w:t xml:space="preserve"> in the way they live. The people of </w:t>
      </w:r>
      <w:r w:rsidR="00066AB9" w:rsidRPr="00A81818">
        <w:rPr>
          <w:rFonts w:ascii="Arial" w:eastAsia="Arial" w:hAnsi="Arial" w:cs="Arial"/>
          <w:color w:val="000000" w:themeColor="text1"/>
          <w:sz w:val="22"/>
          <w:szCs w:val="22"/>
        </w:rPr>
        <w:t>Power</w:t>
      </w:r>
      <w:r w:rsidRPr="00A81818">
        <w:rPr>
          <w:rFonts w:ascii="Arial" w:eastAsia="Arial" w:hAnsi="Arial" w:cs="Arial"/>
          <w:color w:val="000000" w:themeColor="text1"/>
          <w:sz w:val="22"/>
          <w:szCs w:val="22"/>
        </w:rPr>
        <w:t xml:space="preserve"> also speak for those vulnerable families, young people and children who cannot speak for themselves. Thus, these initiatives and approaches provide support to vulnerable families, young </w:t>
      </w:r>
      <w:r w:rsidR="00066AB9" w:rsidRPr="00A81818">
        <w:rPr>
          <w:rFonts w:ascii="Arial" w:eastAsia="Arial" w:hAnsi="Arial" w:cs="Arial"/>
          <w:color w:val="000000" w:themeColor="text1"/>
          <w:sz w:val="22"/>
          <w:szCs w:val="22"/>
        </w:rPr>
        <w:t>people,</w:t>
      </w:r>
      <w:r w:rsidRPr="00A81818">
        <w:rPr>
          <w:rFonts w:ascii="Arial" w:eastAsia="Arial" w:hAnsi="Arial" w:cs="Arial"/>
          <w:color w:val="000000" w:themeColor="text1"/>
          <w:sz w:val="22"/>
          <w:szCs w:val="22"/>
        </w:rPr>
        <w:t xml:space="preserve"> and children to reduce inequalities in present times (</w:t>
      </w:r>
      <w:r w:rsidRPr="00A81818">
        <w:rPr>
          <w:rFonts w:ascii="Arial" w:eastAsia="Arial" w:hAnsi="Arial" w:cs="Arial"/>
          <w:color w:val="000000" w:themeColor="text1"/>
          <w:sz w:val="22"/>
          <w:szCs w:val="22"/>
          <w:highlight w:val="white"/>
        </w:rPr>
        <w:t xml:space="preserve">Wills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2020</w:t>
      </w:r>
      <w:r w:rsidRPr="00A81818">
        <w:rPr>
          <w:rFonts w:ascii="Arial" w:eastAsia="Arial" w:hAnsi="Arial" w:cs="Arial"/>
          <w:color w:val="000000" w:themeColor="text1"/>
          <w:sz w:val="22"/>
          <w:szCs w:val="22"/>
        </w:rPr>
        <w:t>). </w:t>
      </w:r>
    </w:p>
    <w:p w14:paraId="62477B99" w14:textId="5C9B4CBE"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These approaches and initiatives have been effective to reduce the inequalities faced by vulnerable families, </w:t>
      </w:r>
      <w:r w:rsidR="00066AB9" w:rsidRPr="00A81818">
        <w:rPr>
          <w:rFonts w:ascii="Arial" w:eastAsia="Arial" w:hAnsi="Arial" w:cs="Arial"/>
          <w:color w:val="000000" w:themeColor="text1"/>
          <w:sz w:val="22"/>
          <w:szCs w:val="22"/>
        </w:rPr>
        <w:t>children,</w:t>
      </w:r>
      <w:r w:rsidRPr="00A81818">
        <w:rPr>
          <w:rFonts w:ascii="Arial" w:eastAsia="Arial" w:hAnsi="Arial" w:cs="Arial"/>
          <w:color w:val="000000" w:themeColor="text1"/>
          <w:sz w:val="22"/>
          <w:szCs w:val="22"/>
        </w:rPr>
        <w:t xml:space="preserve"> and young people as it has improved the lives of those individuals. The approach of “no child left behind” has improved the health outcome of “vulnerable children and young people” as this approach provides local data to analyse the scale of risk and protective factors to assist the prioritisation. The local government also plays a “crucial role in addressing the social determinants” such as income, housing, community resilience, environmental </w:t>
      </w:r>
      <w:r w:rsidR="00066AB9" w:rsidRPr="00A81818">
        <w:rPr>
          <w:rFonts w:ascii="Arial" w:eastAsia="Arial" w:hAnsi="Arial" w:cs="Arial"/>
          <w:color w:val="000000" w:themeColor="text1"/>
          <w:sz w:val="22"/>
          <w:szCs w:val="22"/>
        </w:rPr>
        <w:t>condition,</w:t>
      </w:r>
      <w:r w:rsidRPr="00A81818">
        <w:rPr>
          <w:rFonts w:ascii="Arial" w:eastAsia="Arial" w:hAnsi="Arial" w:cs="Arial"/>
          <w:color w:val="000000" w:themeColor="text1"/>
          <w:sz w:val="22"/>
          <w:szCs w:val="22"/>
        </w:rPr>
        <w:t xml:space="preserve"> and education to help the vulnerable families and children. The local government now also provides locally led, shared vision such as early help services and the “Troubled Families programme” to mitigate the underlying cause of inequalities as well as the outcomes of </w:t>
      </w:r>
      <w:r w:rsidRPr="00A81818">
        <w:rPr>
          <w:rFonts w:ascii="Arial" w:eastAsia="Arial" w:hAnsi="Arial" w:cs="Arial"/>
          <w:color w:val="000000" w:themeColor="text1"/>
          <w:sz w:val="22"/>
          <w:szCs w:val="22"/>
        </w:rPr>
        <w:lastRenderedPageBreak/>
        <w:t xml:space="preserve">vulnerability. The voice provided by </w:t>
      </w:r>
      <w:r w:rsidR="00066AB9" w:rsidRPr="00A81818">
        <w:rPr>
          <w:rFonts w:ascii="Arial" w:eastAsia="Arial" w:hAnsi="Arial" w:cs="Arial"/>
          <w:color w:val="000000" w:themeColor="text1"/>
          <w:sz w:val="22"/>
          <w:szCs w:val="22"/>
        </w:rPr>
        <w:t>Power</w:t>
      </w:r>
      <w:r w:rsidRPr="00A81818">
        <w:rPr>
          <w:rFonts w:ascii="Arial" w:eastAsia="Arial" w:hAnsi="Arial" w:cs="Arial"/>
          <w:color w:val="000000" w:themeColor="text1"/>
          <w:sz w:val="22"/>
          <w:szCs w:val="22"/>
        </w:rPr>
        <w:t xml:space="preserve"> also has helped vulnerable families and children to have a voice to </w:t>
      </w:r>
      <w:r w:rsidR="00066AB9" w:rsidRPr="00A81818">
        <w:rPr>
          <w:rFonts w:ascii="Arial" w:eastAsia="Arial" w:hAnsi="Arial" w:cs="Arial"/>
          <w:color w:val="000000" w:themeColor="text1"/>
          <w:sz w:val="22"/>
          <w:szCs w:val="22"/>
        </w:rPr>
        <w:t>have influence</w:t>
      </w:r>
      <w:r w:rsidRPr="00A81818">
        <w:rPr>
          <w:rFonts w:ascii="Arial" w:eastAsia="Arial" w:hAnsi="Arial" w:cs="Arial"/>
          <w:color w:val="000000" w:themeColor="text1"/>
          <w:sz w:val="22"/>
          <w:szCs w:val="22"/>
        </w:rPr>
        <w:t xml:space="preserve"> in the way they live. This has allowed vulnerable individuals to get equal treatment and reduce the inequalities in several areas. The free advice, confidential and independent they provide </w:t>
      </w:r>
      <w:r w:rsidR="00066AB9" w:rsidRPr="00A81818">
        <w:rPr>
          <w:rFonts w:ascii="Arial" w:eastAsia="Arial" w:hAnsi="Arial" w:cs="Arial"/>
          <w:color w:val="000000" w:themeColor="text1"/>
          <w:sz w:val="22"/>
          <w:szCs w:val="22"/>
        </w:rPr>
        <w:t>must</w:t>
      </w:r>
      <w:r w:rsidRPr="00A81818">
        <w:rPr>
          <w:rFonts w:ascii="Arial" w:eastAsia="Arial" w:hAnsi="Arial" w:cs="Arial"/>
          <w:color w:val="000000" w:themeColor="text1"/>
          <w:sz w:val="22"/>
          <w:szCs w:val="22"/>
        </w:rPr>
        <w:t xml:space="preserve"> give protection and right to vulnerable families in everyday life. </w:t>
      </w:r>
      <w:sdt>
        <w:sdtPr>
          <w:rPr>
            <w:color w:val="000000" w:themeColor="text1"/>
          </w:rPr>
          <w:tag w:val="goog_rdk_8"/>
          <w:id w:val="256833"/>
        </w:sdtPr>
        <w:sdtContent/>
      </w:sdt>
      <w:r w:rsidRPr="00A81818">
        <w:rPr>
          <w:rFonts w:ascii="Arial" w:eastAsia="Arial" w:hAnsi="Arial" w:cs="Arial"/>
          <w:color w:val="000000" w:themeColor="text1"/>
          <w:sz w:val="22"/>
          <w:szCs w:val="22"/>
        </w:rPr>
        <w:t xml:space="preserve">The effectiveness can be measured as these initiatives provided by </w:t>
      </w:r>
      <w:r w:rsidR="00066AB9" w:rsidRPr="00A81818">
        <w:rPr>
          <w:rFonts w:ascii="Arial" w:eastAsia="Arial" w:hAnsi="Arial" w:cs="Arial"/>
          <w:color w:val="000000" w:themeColor="text1"/>
          <w:sz w:val="22"/>
          <w:szCs w:val="22"/>
        </w:rPr>
        <w:t>Power</w:t>
      </w:r>
      <w:r w:rsidRPr="00A81818">
        <w:rPr>
          <w:rFonts w:ascii="Arial" w:eastAsia="Arial" w:hAnsi="Arial" w:cs="Arial"/>
          <w:color w:val="000000" w:themeColor="text1"/>
          <w:sz w:val="22"/>
          <w:szCs w:val="22"/>
        </w:rPr>
        <w:t xml:space="preserve"> now support more than 148,000 people and support more than 92,000 issues and challenges (</w:t>
      </w:r>
      <w:r w:rsidRPr="00A81818">
        <w:rPr>
          <w:rFonts w:ascii="Arial" w:eastAsia="Arial" w:hAnsi="Arial" w:cs="Arial"/>
          <w:color w:val="000000" w:themeColor="text1"/>
          <w:sz w:val="22"/>
          <w:szCs w:val="22"/>
          <w:highlight w:val="white"/>
        </w:rPr>
        <w:t xml:space="preserve">Wills </w:t>
      </w:r>
      <w:r w:rsidRPr="00A81818">
        <w:rPr>
          <w:rFonts w:ascii="Arial" w:eastAsia="Arial" w:hAnsi="Arial" w:cs="Arial"/>
          <w:i/>
          <w:color w:val="000000" w:themeColor="text1"/>
          <w:sz w:val="22"/>
          <w:szCs w:val="22"/>
          <w:highlight w:val="white"/>
        </w:rPr>
        <w:t xml:space="preserve">et al., </w:t>
      </w:r>
      <w:r w:rsidRPr="00A81818">
        <w:rPr>
          <w:rFonts w:ascii="Arial" w:eastAsia="Arial" w:hAnsi="Arial" w:cs="Arial"/>
          <w:color w:val="000000" w:themeColor="text1"/>
          <w:sz w:val="22"/>
          <w:szCs w:val="22"/>
          <w:highlight w:val="white"/>
        </w:rPr>
        <w:t>2020</w:t>
      </w:r>
      <w:r w:rsidRPr="00A81818">
        <w:rPr>
          <w:rFonts w:ascii="Arial" w:eastAsia="Arial" w:hAnsi="Arial" w:cs="Arial"/>
          <w:color w:val="000000" w:themeColor="text1"/>
          <w:sz w:val="22"/>
          <w:szCs w:val="22"/>
        </w:rPr>
        <w:t>). However, there is much room for improvement to reduce the inequalities faced by vulnerable families. </w:t>
      </w:r>
    </w:p>
    <w:p w14:paraId="6B5D8E8C" w14:textId="02EA0416" w:rsidR="00807693" w:rsidRPr="00A81818" w:rsidRDefault="00000000" w:rsidP="00807693">
      <w:pPr>
        <w:pBdr>
          <w:top w:val="nil"/>
          <w:left w:val="nil"/>
          <w:bottom w:val="nil"/>
          <w:right w:val="nil"/>
          <w:between w:val="nil"/>
        </w:pBdr>
        <w:spacing w:after="0"/>
        <w:rPr>
          <w:rFonts w:ascii="Arial" w:eastAsia="Arial" w:hAnsi="Arial" w:cs="Arial"/>
          <w:color w:val="000000" w:themeColor="text1"/>
        </w:rPr>
      </w:pPr>
      <w:sdt>
        <w:sdtPr>
          <w:rPr>
            <w:color w:val="000000" w:themeColor="text1"/>
          </w:rPr>
          <w:tag w:val="goog_rdk_9"/>
          <w:id w:val="256834"/>
        </w:sdtPr>
        <w:sdtContent/>
      </w:sdt>
      <w:r w:rsidR="00807693" w:rsidRPr="00A81818">
        <w:rPr>
          <w:rFonts w:ascii="Arial" w:eastAsia="Arial" w:hAnsi="Arial" w:cs="Arial"/>
          <w:color w:val="000000" w:themeColor="text1"/>
          <w:sz w:val="22"/>
          <w:szCs w:val="22"/>
        </w:rPr>
        <w:t xml:space="preserve">The government can take the initiatives such as free school meal and universal service to help the </w:t>
      </w:r>
      <w:r w:rsidR="00066AB9" w:rsidRPr="00A81818">
        <w:rPr>
          <w:rFonts w:ascii="Arial" w:eastAsia="Arial" w:hAnsi="Arial" w:cs="Arial"/>
          <w:color w:val="000000" w:themeColor="text1"/>
          <w:sz w:val="22"/>
          <w:szCs w:val="22"/>
        </w:rPr>
        <w:t>children</w:t>
      </w:r>
      <w:r w:rsidR="00807693" w:rsidRPr="00A81818">
        <w:rPr>
          <w:rFonts w:ascii="Arial" w:eastAsia="Arial" w:hAnsi="Arial" w:cs="Arial"/>
          <w:color w:val="000000" w:themeColor="text1"/>
          <w:sz w:val="22"/>
          <w:szCs w:val="22"/>
        </w:rPr>
        <w:t xml:space="preserve"> reduce their vulnerabilities during the school session. Likewise, the government also can increase the initiatives of ensuring the </w:t>
      </w:r>
      <w:r w:rsidR="00066AB9" w:rsidRPr="00A81818">
        <w:rPr>
          <w:rFonts w:ascii="Arial" w:eastAsia="Arial" w:hAnsi="Arial" w:cs="Arial"/>
          <w:color w:val="000000" w:themeColor="text1"/>
          <w:sz w:val="22"/>
          <w:szCs w:val="22"/>
        </w:rPr>
        <w:t>well-being</w:t>
      </w:r>
      <w:r w:rsidR="00807693" w:rsidRPr="00A81818">
        <w:rPr>
          <w:rFonts w:ascii="Arial" w:eastAsia="Arial" w:hAnsi="Arial" w:cs="Arial"/>
          <w:color w:val="000000" w:themeColor="text1"/>
          <w:sz w:val="22"/>
          <w:szCs w:val="22"/>
        </w:rPr>
        <w:t xml:space="preserve"> and healthy lives of people of all ages to provide equality to all the individuals who live in poverty and cannot afford health insurance. The government can also </w:t>
      </w:r>
      <w:r w:rsidR="00066AB9" w:rsidRPr="00A81818">
        <w:rPr>
          <w:rFonts w:ascii="Arial" w:eastAsia="Arial" w:hAnsi="Arial" w:cs="Arial"/>
          <w:color w:val="000000" w:themeColor="text1"/>
          <w:sz w:val="22"/>
          <w:szCs w:val="22"/>
        </w:rPr>
        <w:t>use</w:t>
      </w:r>
      <w:r w:rsidR="00807693" w:rsidRPr="00A81818">
        <w:rPr>
          <w:rFonts w:ascii="Arial" w:eastAsia="Arial" w:hAnsi="Arial" w:cs="Arial"/>
          <w:color w:val="000000" w:themeColor="text1"/>
          <w:sz w:val="22"/>
          <w:szCs w:val="22"/>
        </w:rPr>
        <w:t xml:space="preserve"> different policies such as “The Children and Young Person Act of 1933 and Employment of Women, Children and Young Person Act of 1920” to protect the children and support their development. It will benefit the children in a significant way as these policies can help the children in their development while also protecting the children from poverty (</w:t>
      </w:r>
      <w:r w:rsidR="00807693" w:rsidRPr="00A81818">
        <w:rPr>
          <w:rFonts w:ascii="Arial" w:eastAsia="Arial" w:hAnsi="Arial" w:cs="Arial"/>
          <w:color w:val="000000" w:themeColor="text1"/>
          <w:sz w:val="22"/>
          <w:szCs w:val="22"/>
          <w:highlight w:val="white"/>
        </w:rPr>
        <w:t>Pentaris and Oresanya, 2021</w:t>
      </w:r>
      <w:r w:rsidR="00807693" w:rsidRPr="00A81818">
        <w:rPr>
          <w:rFonts w:ascii="Arial" w:eastAsia="Arial" w:hAnsi="Arial" w:cs="Arial"/>
          <w:color w:val="000000" w:themeColor="text1"/>
          <w:sz w:val="22"/>
          <w:szCs w:val="22"/>
        </w:rPr>
        <w:t>). Thus, these are the recommendations which can improve the lives of children, young people and families and reduce the inequalities and vulnerabilities of those individuals</w:t>
      </w:r>
      <w:proofErr w:type="gramStart"/>
      <w:r w:rsidR="00066AB9" w:rsidRPr="00A81818">
        <w:rPr>
          <w:rFonts w:ascii="Arial" w:eastAsia="Arial" w:hAnsi="Arial" w:cs="Arial"/>
          <w:color w:val="000000" w:themeColor="text1"/>
          <w:sz w:val="22"/>
          <w:szCs w:val="22"/>
        </w:rPr>
        <w:t xml:space="preserve">. </w:t>
      </w:r>
      <w:r w:rsidR="00807693" w:rsidRPr="00A81818">
        <w:rPr>
          <w:rFonts w:ascii="Arial" w:eastAsia="Arial" w:hAnsi="Arial" w:cs="Arial"/>
          <w:color w:val="000000" w:themeColor="text1"/>
          <w:sz w:val="22"/>
          <w:szCs w:val="22"/>
        </w:rPr>
        <w:t> </w:t>
      </w:r>
      <w:proofErr w:type="gramEnd"/>
      <w:r w:rsidR="00807693" w:rsidRPr="00A81818">
        <w:rPr>
          <w:rFonts w:ascii="Arial" w:eastAsia="Arial" w:hAnsi="Arial" w:cs="Arial"/>
          <w:color w:val="000000" w:themeColor="text1"/>
          <w:sz w:val="22"/>
          <w:szCs w:val="22"/>
        </w:rPr>
        <w:t>   </w:t>
      </w:r>
    </w:p>
    <w:p w14:paraId="7F327542" w14:textId="77777777" w:rsidR="00807693" w:rsidRPr="00A81818" w:rsidRDefault="00807693" w:rsidP="00807693">
      <w:pPr>
        <w:spacing w:after="0"/>
        <w:jc w:val="left"/>
        <w:rPr>
          <w:rFonts w:ascii="Arial" w:eastAsia="Arial" w:hAnsi="Arial" w:cs="Arial"/>
          <w:b/>
          <w:color w:val="000000" w:themeColor="text1"/>
          <w:sz w:val="22"/>
          <w:szCs w:val="22"/>
        </w:rPr>
      </w:pPr>
      <w:r w:rsidRPr="00A81818">
        <w:rPr>
          <w:color w:val="000000" w:themeColor="text1"/>
        </w:rPr>
        <w:br w:type="page"/>
      </w:r>
    </w:p>
    <w:bookmarkStart w:id="2" w:name="_heading=h.1fob9te" w:colFirst="0" w:colLast="0"/>
    <w:bookmarkEnd w:id="2"/>
    <w:p w14:paraId="4DC97477" w14:textId="77777777" w:rsidR="00807693" w:rsidRPr="00A81818" w:rsidRDefault="00000000" w:rsidP="00807693">
      <w:pPr>
        <w:pStyle w:val="Heading1"/>
        <w:spacing w:before="0"/>
        <w:rPr>
          <w:color w:val="000000" w:themeColor="text1"/>
        </w:rPr>
      </w:pPr>
      <w:sdt>
        <w:sdtPr>
          <w:rPr>
            <w:color w:val="000000" w:themeColor="text1"/>
          </w:rPr>
          <w:tag w:val="goog_rdk_10"/>
          <w:id w:val="256835"/>
        </w:sdtPr>
        <w:sdtContent/>
      </w:sdt>
      <w:r w:rsidR="00807693" w:rsidRPr="00A81818">
        <w:rPr>
          <w:color w:val="000000" w:themeColor="text1"/>
        </w:rPr>
        <w:t>Conclusion </w:t>
      </w:r>
    </w:p>
    <w:p w14:paraId="4485CD13" w14:textId="77777777" w:rsidR="00807693" w:rsidRPr="00A81818" w:rsidRDefault="00807693" w:rsidP="00807693">
      <w:pPr>
        <w:pBdr>
          <w:top w:val="nil"/>
          <w:left w:val="nil"/>
          <w:bottom w:val="nil"/>
          <w:right w:val="nil"/>
          <w:between w:val="nil"/>
        </w:pBdr>
        <w:spacing w:after="0"/>
        <w:rPr>
          <w:rFonts w:ascii="Arial" w:eastAsia="Arial" w:hAnsi="Arial" w:cs="Arial"/>
          <w:color w:val="000000" w:themeColor="text1"/>
          <w:sz w:val="22"/>
          <w:szCs w:val="22"/>
        </w:rPr>
      </w:pPr>
      <w:r w:rsidRPr="00A81818">
        <w:rPr>
          <w:rFonts w:ascii="Arial" w:eastAsia="Arial" w:hAnsi="Arial" w:cs="Arial"/>
          <w:color w:val="000000" w:themeColor="text1"/>
          <w:sz w:val="22"/>
          <w:szCs w:val="22"/>
        </w:rPr>
        <w:t>The above essay has concluded about “children, young people and families” and has highlighted the points related to it. This essay has first shown an understanding of childhood and has underlined the elements of childhood and family life. The essay has also demonstrated how the social construction of childhood was developed in historical times and in present times. It has also displayed the changes in the lives of children and families from historical times to the present. It has then exhibited e factors including legislation and policy which have influenced the changes in families and childhood’s social construction. It has also underlined the impact of those factors in reducing inequalities in health and social care service provision. It has also highlighted interventions and approaches which support vulnerable families, children and young people and their effectiveness. It has also provided a recommendation to reduce the inequalities faced by those individuals. </w:t>
      </w:r>
    </w:p>
    <w:p w14:paraId="5C19358E" w14:textId="5B6DE946"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It is suggested to provide free schooling or equal opportunity for schooling and education to reduce the inequalities faced by the children and young people. It </w:t>
      </w:r>
      <w:proofErr w:type="gramStart"/>
      <w:r w:rsidRPr="00A81818">
        <w:rPr>
          <w:rFonts w:ascii="Arial" w:eastAsia="Arial" w:hAnsi="Arial" w:cs="Arial"/>
          <w:color w:val="000000" w:themeColor="text1"/>
          <w:sz w:val="22"/>
          <w:szCs w:val="22"/>
        </w:rPr>
        <w:t>is also recommended</w:t>
      </w:r>
      <w:proofErr w:type="gramEnd"/>
      <w:r w:rsidRPr="00A81818">
        <w:rPr>
          <w:rFonts w:ascii="Arial" w:eastAsia="Arial" w:hAnsi="Arial" w:cs="Arial"/>
          <w:color w:val="000000" w:themeColor="text1"/>
          <w:sz w:val="22"/>
          <w:szCs w:val="22"/>
        </w:rPr>
        <w:t xml:space="preserve"> to ensure the </w:t>
      </w:r>
      <w:r w:rsidR="00066AB9" w:rsidRPr="00A81818">
        <w:rPr>
          <w:rFonts w:ascii="Arial" w:eastAsia="Arial" w:hAnsi="Arial" w:cs="Arial"/>
          <w:color w:val="000000" w:themeColor="text1"/>
          <w:sz w:val="22"/>
          <w:szCs w:val="22"/>
        </w:rPr>
        <w:t>wellbeing</w:t>
      </w:r>
      <w:r w:rsidRPr="00A81818">
        <w:rPr>
          <w:rFonts w:ascii="Arial" w:eastAsia="Arial" w:hAnsi="Arial" w:cs="Arial"/>
          <w:color w:val="000000" w:themeColor="text1"/>
          <w:sz w:val="22"/>
          <w:szCs w:val="22"/>
        </w:rPr>
        <w:t xml:space="preserve"> and healthy lives of people of all ages to provide equality to all the individuals who live in poverty. Thus, these factors can help to reduce the inequalities faced by the children and young people. </w:t>
      </w:r>
    </w:p>
    <w:p w14:paraId="4E2878C1" w14:textId="77777777"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p>
    <w:p w14:paraId="01AD5ABC" w14:textId="77777777" w:rsidR="00807693" w:rsidRPr="00A81818" w:rsidRDefault="00807693" w:rsidP="00807693">
      <w:pPr>
        <w:spacing w:after="0"/>
        <w:jc w:val="left"/>
        <w:rPr>
          <w:rFonts w:ascii="Arial" w:eastAsia="Arial" w:hAnsi="Arial" w:cs="Arial"/>
          <w:b/>
          <w:color w:val="000000" w:themeColor="text1"/>
          <w:sz w:val="22"/>
          <w:szCs w:val="22"/>
        </w:rPr>
      </w:pPr>
      <w:r w:rsidRPr="00A81818">
        <w:rPr>
          <w:color w:val="000000" w:themeColor="text1"/>
        </w:rPr>
        <w:br w:type="page"/>
      </w:r>
    </w:p>
    <w:p w14:paraId="727E90DF" w14:textId="77777777" w:rsidR="00807693" w:rsidRPr="00A81818" w:rsidRDefault="00807693" w:rsidP="00807693">
      <w:pPr>
        <w:pStyle w:val="Heading1"/>
        <w:spacing w:before="0"/>
        <w:rPr>
          <w:color w:val="000000" w:themeColor="text1"/>
        </w:rPr>
      </w:pPr>
      <w:bookmarkStart w:id="3" w:name="_heading=h.3znysh7" w:colFirst="0" w:colLast="0"/>
      <w:bookmarkEnd w:id="3"/>
      <w:r w:rsidRPr="00A81818">
        <w:rPr>
          <w:color w:val="000000" w:themeColor="text1"/>
        </w:rPr>
        <w:lastRenderedPageBreak/>
        <w:t>References </w:t>
      </w:r>
    </w:p>
    <w:p w14:paraId="7C88AC27" w14:textId="617954FD"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Acosta, S., Garza, T., Hsu, H.Y., Goodson, P., Padrón, Y., Goltz, H.H. and Johnston, </w:t>
      </w:r>
      <w:r w:rsidR="00066AB9" w:rsidRPr="00A81818">
        <w:rPr>
          <w:rFonts w:ascii="Arial" w:eastAsia="Arial" w:hAnsi="Arial" w:cs="Arial"/>
          <w:color w:val="000000" w:themeColor="text1"/>
          <w:sz w:val="22"/>
          <w:szCs w:val="22"/>
          <w:highlight w:val="white"/>
        </w:rPr>
        <w:t>A.</w:t>
      </w:r>
      <w:r w:rsidR="00066AB9">
        <w:rPr>
          <w:rFonts w:ascii="Arial" w:eastAsia="Arial" w:hAnsi="Arial" w:cs="Arial"/>
          <w:color w:val="000000" w:themeColor="text1"/>
          <w:sz w:val="22"/>
          <w:szCs w:val="22"/>
          <w:highlight w:val="white"/>
        </w:rPr>
        <w:t xml:space="preserve"> (</w:t>
      </w:r>
      <w:r w:rsidRPr="00A81818">
        <w:rPr>
          <w:rFonts w:ascii="Arial" w:eastAsia="Arial" w:hAnsi="Arial" w:cs="Arial"/>
          <w:color w:val="000000" w:themeColor="text1"/>
          <w:sz w:val="22"/>
          <w:szCs w:val="22"/>
          <w:highlight w:val="white"/>
        </w:rPr>
        <w:t>2020</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The accountability culture: A systematic review of </w:t>
      </w:r>
      <w:r w:rsidR="00066AB9" w:rsidRPr="00A81818">
        <w:rPr>
          <w:rFonts w:ascii="Arial" w:eastAsia="Arial" w:hAnsi="Arial" w:cs="Arial"/>
          <w:color w:val="000000" w:themeColor="text1"/>
          <w:sz w:val="22"/>
          <w:szCs w:val="22"/>
          <w:highlight w:val="white"/>
        </w:rPr>
        <w:t>high stakes</w:t>
      </w:r>
      <w:r w:rsidRPr="00A81818">
        <w:rPr>
          <w:rFonts w:ascii="Arial" w:eastAsia="Arial" w:hAnsi="Arial" w:cs="Arial"/>
          <w:color w:val="000000" w:themeColor="text1"/>
          <w:sz w:val="22"/>
          <w:szCs w:val="22"/>
          <w:highlight w:val="white"/>
        </w:rPr>
        <w:t xml:space="preserve"> testing and English learners in the United States during No Child Left Behind. </w:t>
      </w:r>
      <w:r w:rsidRPr="00A81818">
        <w:rPr>
          <w:rFonts w:ascii="Arial" w:eastAsia="Arial" w:hAnsi="Arial" w:cs="Arial"/>
          <w:i/>
          <w:color w:val="000000" w:themeColor="text1"/>
          <w:sz w:val="22"/>
          <w:szCs w:val="22"/>
        </w:rPr>
        <w:t>Educational Psychology Review</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32</w:t>
      </w:r>
      <w:r w:rsidRPr="00A81818">
        <w:rPr>
          <w:rFonts w:ascii="Arial" w:eastAsia="Arial" w:hAnsi="Arial" w:cs="Arial"/>
          <w:color w:val="000000" w:themeColor="text1"/>
          <w:sz w:val="22"/>
          <w:szCs w:val="22"/>
        </w:rPr>
        <w:t>(2), pp.327-352.</w:t>
      </w:r>
    </w:p>
    <w:p w14:paraId="22414FBA" w14:textId="4834619D"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Burt, </w:t>
      </w:r>
      <w:proofErr w:type="gramStart"/>
      <w:r w:rsidR="00066AB9" w:rsidRPr="00A81818">
        <w:rPr>
          <w:rFonts w:ascii="Arial" w:eastAsia="Arial" w:hAnsi="Arial" w:cs="Arial"/>
          <w:color w:val="000000" w:themeColor="text1"/>
          <w:sz w:val="22"/>
          <w:szCs w:val="22"/>
          <w:highlight w:val="white"/>
        </w:rPr>
        <w:t>C.H.</w:t>
      </w:r>
      <w:r w:rsidR="00066AB9">
        <w:rPr>
          <w:rFonts w:ascii="Arial" w:eastAsia="Arial" w:hAnsi="Arial" w:cs="Arial"/>
          <w:color w:val="000000" w:themeColor="text1"/>
          <w:sz w:val="22"/>
          <w:szCs w:val="22"/>
          <w:highlight w:val="white"/>
        </w:rPr>
        <w:t>(</w:t>
      </w:r>
      <w:proofErr w:type="gramEnd"/>
      <w:r w:rsidR="00066AB9" w:rsidRPr="00A81818">
        <w:rPr>
          <w:rFonts w:ascii="Arial" w:eastAsia="Arial" w:hAnsi="Arial" w:cs="Arial"/>
          <w:color w:val="000000" w:themeColor="text1"/>
          <w:sz w:val="22"/>
          <w:szCs w:val="22"/>
          <w:highlight w:val="white"/>
        </w:rPr>
        <w:t>2020</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Scrutinizing the US Equality Act 2019: A feminist examination of definitional changes and sociolegal ramifications. </w:t>
      </w:r>
      <w:r w:rsidRPr="00A81818">
        <w:rPr>
          <w:rFonts w:ascii="Arial" w:eastAsia="Arial" w:hAnsi="Arial" w:cs="Arial"/>
          <w:i/>
          <w:color w:val="000000" w:themeColor="text1"/>
          <w:sz w:val="22"/>
          <w:szCs w:val="22"/>
        </w:rPr>
        <w:t>Feminist Criminology</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15</w:t>
      </w:r>
      <w:r w:rsidRPr="00A81818">
        <w:rPr>
          <w:rFonts w:ascii="Arial" w:eastAsia="Arial" w:hAnsi="Arial" w:cs="Arial"/>
          <w:color w:val="000000" w:themeColor="text1"/>
          <w:sz w:val="22"/>
          <w:szCs w:val="22"/>
        </w:rPr>
        <w:t>(4), pp.363-409.</w:t>
      </w:r>
    </w:p>
    <w:p w14:paraId="3E9C5A47" w14:textId="77777777"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Chambers, D. and Gracia, P., 2021. </w:t>
      </w:r>
      <w:r w:rsidRPr="00A81818">
        <w:rPr>
          <w:rFonts w:ascii="Arial" w:eastAsia="Arial" w:hAnsi="Arial" w:cs="Arial"/>
          <w:i/>
          <w:color w:val="000000" w:themeColor="text1"/>
          <w:sz w:val="22"/>
          <w:szCs w:val="22"/>
        </w:rPr>
        <w:t>A sociology of family life: Change and diversity in intimate relations</w:t>
      </w:r>
      <w:r w:rsidRPr="00A81818">
        <w:rPr>
          <w:rFonts w:ascii="Arial" w:eastAsia="Arial" w:hAnsi="Arial" w:cs="Arial"/>
          <w:color w:val="000000" w:themeColor="text1"/>
          <w:sz w:val="22"/>
          <w:szCs w:val="22"/>
        </w:rPr>
        <w:t>. John Wiley &amp; Sons.</w:t>
      </w:r>
    </w:p>
    <w:p w14:paraId="0F40291E" w14:textId="1956EC91"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Felson, J., Adamczyk, A. and Thomas, C., 2019. How and why have attitudes about cannabis legalization changed so </w:t>
      </w:r>
      <w:r w:rsidR="00066AB9" w:rsidRPr="00A81818">
        <w:rPr>
          <w:rFonts w:ascii="Arial" w:eastAsia="Arial" w:hAnsi="Arial" w:cs="Arial"/>
          <w:color w:val="000000" w:themeColor="text1"/>
          <w:sz w:val="22"/>
          <w:szCs w:val="22"/>
          <w:highlight w:val="white"/>
        </w:rPr>
        <w:t>much?</w:t>
      </w:r>
      <w:r w:rsidRPr="00A81818">
        <w:rPr>
          <w:rFonts w:ascii="Arial" w:eastAsia="Arial" w:hAnsi="Arial" w:cs="Arial"/>
          <w:color w:val="000000" w:themeColor="text1"/>
          <w:sz w:val="22"/>
          <w:szCs w:val="22"/>
          <w:highlight w:val="white"/>
        </w:rPr>
        <w:t xml:space="preserve"> </w:t>
      </w:r>
      <w:r w:rsidRPr="00A81818">
        <w:rPr>
          <w:rFonts w:ascii="Arial" w:eastAsia="Arial" w:hAnsi="Arial" w:cs="Arial"/>
          <w:i/>
          <w:color w:val="000000" w:themeColor="text1"/>
          <w:sz w:val="22"/>
          <w:szCs w:val="22"/>
        </w:rPr>
        <w:t>Social science research</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78</w:t>
      </w:r>
      <w:r w:rsidRPr="00A81818">
        <w:rPr>
          <w:rFonts w:ascii="Arial" w:eastAsia="Arial" w:hAnsi="Arial" w:cs="Arial"/>
          <w:color w:val="000000" w:themeColor="text1"/>
          <w:sz w:val="22"/>
          <w:szCs w:val="22"/>
        </w:rPr>
        <w:t>, pp.12-27.</w:t>
      </w:r>
    </w:p>
    <w:p w14:paraId="2B7616C7" w14:textId="4CC291C1"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Grabowski, D., Mortil, A.M.A., Hoeeg, D., Hansen, M.B.L., Højgaard Roikjer, B. and </w:t>
      </w:r>
      <w:proofErr w:type="spellStart"/>
      <w:r w:rsidRPr="00A81818">
        <w:rPr>
          <w:rFonts w:ascii="Arial" w:eastAsia="Arial" w:hAnsi="Arial" w:cs="Arial"/>
          <w:color w:val="000000" w:themeColor="text1"/>
          <w:sz w:val="22"/>
          <w:szCs w:val="22"/>
          <w:highlight w:val="white"/>
        </w:rPr>
        <w:t>Teilmann</w:t>
      </w:r>
      <w:proofErr w:type="spellEnd"/>
      <w:r w:rsidRPr="00A81818">
        <w:rPr>
          <w:rFonts w:ascii="Arial" w:eastAsia="Arial" w:hAnsi="Arial" w:cs="Arial"/>
          <w:color w:val="000000" w:themeColor="text1"/>
          <w:sz w:val="22"/>
          <w:szCs w:val="22"/>
          <w:highlight w:val="white"/>
        </w:rPr>
        <w:t xml:space="preserve">, </w:t>
      </w:r>
      <w:r w:rsidR="00066AB9" w:rsidRPr="00A81818">
        <w:rPr>
          <w:rFonts w:ascii="Arial" w:eastAsia="Arial" w:hAnsi="Arial" w:cs="Arial"/>
          <w:color w:val="000000" w:themeColor="text1"/>
          <w:sz w:val="22"/>
          <w:szCs w:val="22"/>
          <w:highlight w:val="white"/>
        </w:rPr>
        <w:t>G.K.</w:t>
      </w:r>
      <w:r w:rsidR="00066AB9">
        <w:rPr>
          <w:rFonts w:ascii="Arial" w:eastAsia="Arial" w:hAnsi="Arial" w:cs="Arial"/>
          <w:color w:val="000000" w:themeColor="text1"/>
          <w:sz w:val="22"/>
          <w:szCs w:val="22"/>
          <w:highlight w:val="white"/>
        </w:rPr>
        <w:t xml:space="preserve"> (</w:t>
      </w:r>
      <w:r w:rsidRPr="00A81818">
        <w:rPr>
          <w:rFonts w:ascii="Arial" w:eastAsia="Arial" w:hAnsi="Arial" w:cs="Arial"/>
          <w:color w:val="000000" w:themeColor="text1"/>
          <w:sz w:val="22"/>
          <w:szCs w:val="22"/>
          <w:highlight w:val="white"/>
        </w:rPr>
        <w:t>2021</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‘I Think It Will Be Like This Forever’: How Family Narratives Affect Participation in a Childhood Weight Management Intervention. </w:t>
      </w:r>
      <w:r w:rsidRPr="00A81818">
        <w:rPr>
          <w:rFonts w:ascii="Arial" w:eastAsia="Arial" w:hAnsi="Arial" w:cs="Arial"/>
          <w:i/>
          <w:color w:val="000000" w:themeColor="text1"/>
          <w:sz w:val="22"/>
          <w:szCs w:val="22"/>
        </w:rPr>
        <w:t>Social Sciences</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10</w:t>
      </w:r>
      <w:r w:rsidRPr="00A81818">
        <w:rPr>
          <w:rFonts w:ascii="Arial" w:eastAsia="Arial" w:hAnsi="Arial" w:cs="Arial"/>
          <w:color w:val="000000" w:themeColor="text1"/>
          <w:sz w:val="22"/>
          <w:szCs w:val="22"/>
        </w:rPr>
        <w:t>(5), p.175.</w:t>
      </w:r>
    </w:p>
    <w:p w14:paraId="6C549094" w14:textId="6440771B"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Hareven, T.Κ.</w:t>
      </w:r>
      <w:r w:rsidR="00066AB9">
        <w:rPr>
          <w:rFonts w:ascii="Arial" w:eastAsia="Arial" w:hAnsi="Arial" w:cs="Arial"/>
          <w:color w:val="000000" w:themeColor="text1"/>
          <w:sz w:val="22"/>
          <w:szCs w:val="22"/>
          <w:highlight w:val="white"/>
        </w:rPr>
        <w:t>(</w:t>
      </w:r>
      <w:r w:rsidR="00066AB9" w:rsidRPr="00A81818">
        <w:rPr>
          <w:rFonts w:ascii="Arial" w:eastAsia="Arial" w:hAnsi="Arial" w:cs="Arial"/>
          <w:color w:val="000000" w:themeColor="text1"/>
          <w:sz w:val="22"/>
          <w:szCs w:val="22"/>
          <w:highlight w:val="white"/>
        </w:rPr>
        <w:t>2019</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The life course and aging in historical perspective. In </w:t>
      </w:r>
      <w:r w:rsidRPr="00A81818">
        <w:rPr>
          <w:rFonts w:ascii="Arial" w:eastAsia="Arial" w:hAnsi="Arial" w:cs="Arial"/>
          <w:i/>
          <w:color w:val="000000" w:themeColor="text1"/>
          <w:sz w:val="22"/>
          <w:szCs w:val="22"/>
        </w:rPr>
        <w:t>Life course: Integrative theories and exemplary populations</w:t>
      </w:r>
      <w:r w:rsidRPr="00A81818">
        <w:rPr>
          <w:rFonts w:ascii="Arial" w:eastAsia="Arial" w:hAnsi="Arial" w:cs="Arial"/>
          <w:color w:val="000000" w:themeColor="text1"/>
          <w:sz w:val="22"/>
          <w:szCs w:val="22"/>
        </w:rPr>
        <w:t xml:space="preserve"> (pp. 9-25). Routledge.</w:t>
      </w:r>
    </w:p>
    <w:p w14:paraId="033B7821" w14:textId="0A158D3E"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Koegst, L., Baum, L. and </w:t>
      </w:r>
      <w:proofErr w:type="spellStart"/>
      <w:r w:rsidRPr="00A81818">
        <w:rPr>
          <w:rFonts w:ascii="Arial" w:eastAsia="Arial" w:hAnsi="Arial" w:cs="Arial"/>
          <w:color w:val="000000" w:themeColor="text1"/>
          <w:sz w:val="22"/>
          <w:szCs w:val="22"/>
          <w:highlight w:val="white"/>
        </w:rPr>
        <w:t>Stintzing</w:t>
      </w:r>
      <w:proofErr w:type="spellEnd"/>
      <w:r w:rsidRPr="00A81818">
        <w:rPr>
          <w:rFonts w:ascii="Arial" w:eastAsia="Arial" w:hAnsi="Arial" w:cs="Arial"/>
          <w:color w:val="000000" w:themeColor="text1"/>
          <w:sz w:val="22"/>
          <w:szCs w:val="22"/>
          <w:highlight w:val="white"/>
        </w:rPr>
        <w:t xml:space="preserve">, </w:t>
      </w:r>
      <w:proofErr w:type="gramStart"/>
      <w:r w:rsidR="00066AB9" w:rsidRPr="00A81818">
        <w:rPr>
          <w:rFonts w:ascii="Arial" w:eastAsia="Arial" w:hAnsi="Arial" w:cs="Arial"/>
          <w:color w:val="000000" w:themeColor="text1"/>
          <w:sz w:val="22"/>
          <w:szCs w:val="22"/>
          <w:highlight w:val="white"/>
        </w:rPr>
        <w:t>M.</w:t>
      </w:r>
      <w:r w:rsidR="00066AB9">
        <w:rPr>
          <w:rFonts w:ascii="Arial" w:eastAsia="Arial" w:hAnsi="Arial" w:cs="Arial"/>
          <w:color w:val="000000" w:themeColor="text1"/>
          <w:sz w:val="22"/>
          <w:szCs w:val="22"/>
          <w:highlight w:val="white"/>
        </w:rPr>
        <w:t>(</w:t>
      </w:r>
      <w:proofErr w:type="gramEnd"/>
      <w:r w:rsidR="00066AB9" w:rsidRPr="00A81818">
        <w:rPr>
          <w:rFonts w:ascii="Arial" w:eastAsia="Arial" w:hAnsi="Arial" w:cs="Arial"/>
          <w:color w:val="000000" w:themeColor="text1"/>
          <w:sz w:val="22"/>
          <w:szCs w:val="22"/>
          <w:highlight w:val="white"/>
        </w:rPr>
        <w:t>2022</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Landscape in action. The teaching of ‘</w:t>
      </w:r>
      <w:r w:rsidR="00066AB9" w:rsidRPr="00A81818">
        <w:rPr>
          <w:rFonts w:ascii="Arial" w:eastAsia="Arial" w:hAnsi="Arial" w:cs="Arial"/>
          <w:color w:val="000000" w:themeColor="text1"/>
          <w:sz w:val="22"/>
          <w:szCs w:val="22"/>
          <w:highlight w:val="white"/>
        </w:rPr>
        <w:t>landscape ‘in</w:t>
      </w:r>
      <w:r w:rsidRPr="00A81818">
        <w:rPr>
          <w:rFonts w:ascii="Arial" w:eastAsia="Arial" w:hAnsi="Arial" w:cs="Arial"/>
          <w:color w:val="000000" w:themeColor="text1"/>
          <w:sz w:val="22"/>
          <w:szCs w:val="22"/>
          <w:highlight w:val="white"/>
        </w:rPr>
        <w:t xml:space="preserve"> innovative excursion formats using the example of the digital urban geography excursion in Stuttgart developed within the project ‘InExkurs</w:t>
      </w:r>
      <w:r w:rsidR="00066AB9" w:rsidRP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In </w:t>
      </w:r>
      <w:r w:rsidRPr="00A81818">
        <w:rPr>
          <w:rFonts w:ascii="Arial" w:eastAsia="Arial" w:hAnsi="Arial" w:cs="Arial"/>
          <w:i/>
          <w:color w:val="000000" w:themeColor="text1"/>
          <w:sz w:val="22"/>
          <w:szCs w:val="22"/>
        </w:rPr>
        <w:t>The Social Construction of Landscapes in Games</w:t>
      </w:r>
      <w:r w:rsidRPr="00A81818">
        <w:rPr>
          <w:rFonts w:ascii="Arial" w:eastAsia="Arial" w:hAnsi="Arial" w:cs="Arial"/>
          <w:color w:val="000000" w:themeColor="text1"/>
          <w:sz w:val="22"/>
          <w:szCs w:val="22"/>
        </w:rPr>
        <w:t xml:space="preserve"> (pp. 337-357). Springer VS, Wiesbaden.</w:t>
      </w:r>
    </w:p>
    <w:p w14:paraId="1B7C2EEE" w14:textId="62898531"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Pentaris, P. and Oresanya, A., 2021. Child protection vocabulary in the Children Act 1989: power, </w:t>
      </w:r>
      <w:r w:rsidR="00066AB9" w:rsidRPr="00A81818">
        <w:rPr>
          <w:rFonts w:ascii="Arial" w:eastAsia="Arial" w:hAnsi="Arial" w:cs="Arial"/>
          <w:color w:val="000000" w:themeColor="text1"/>
          <w:sz w:val="22"/>
          <w:szCs w:val="22"/>
          <w:highlight w:val="white"/>
        </w:rPr>
        <w:t>ambiguity,</w:t>
      </w:r>
      <w:r w:rsidRPr="00A81818">
        <w:rPr>
          <w:rFonts w:ascii="Arial" w:eastAsia="Arial" w:hAnsi="Arial" w:cs="Arial"/>
          <w:color w:val="000000" w:themeColor="text1"/>
          <w:sz w:val="22"/>
          <w:szCs w:val="22"/>
          <w:highlight w:val="white"/>
        </w:rPr>
        <w:t xml:space="preserve"> and </w:t>
      </w:r>
      <w:r w:rsidR="00066AB9" w:rsidRPr="00A81818">
        <w:rPr>
          <w:rFonts w:ascii="Arial" w:eastAsia="Arial" w:hAnsi="Arial" w:cs="Arial"/>
          <w:color w:val="000000" w:themeColor="text1"/>
          <w:sz w:val="22"/>
          <w:szCs w:val="22"/>
          <w:highlight w:val="white"/>
        </w:rPr>
        <w:t>heterogeneity</w:t>
      </w:r>
      <w:r w:rsidRPr="00A81818">
        <w:rPr>
          <w:rFonts w:ascii="Arial" w:eastAsia="Arial" w:hAnsi="Arial" w:cs="Arial"/>
          <w:color w:val="000000" w:themeColor="text1"/>
          <w:sz w:val="22"/>
          <w:szCs w:val="22"/>
          <w:highlight w:val="white"/>
        </w:rPr>
        <w:t xml:space="preserve">. </w:t>
      </w:r>
      <w:r w:rsidRPr="00A81818">
        <w:rPr>
          <w:rFonts w:ascii="Arial" w:eastAsia="Arial" w:hAnsi="Arial" w:cs="Arial"/>
          <w:i/>
          <w:color w:val="000000" w:themeColor="text1"/>
          <w:sz w:val="22"/>
          <w:szCs w:val="22"/>
        </w:rPr>
        <w:t>Greenwich Social Work Review</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2</w:t>
      </w:r>
      <w:r w:rsidRPr="00A81818">
        <w:rPr>
          <w:rFonts w:ascii="Arial" w:eastAsia="Arial" w:hAnsi="Arial" w:cs="Arial"/>
          <w:color w:val="000000" w:themeColor="text1"/>
          <w:sz w:val="22"/>
          <w:szCs w:val="22"/>
        </w:rPr>
        <w:t>(2), pp.181-191.</w:t>
      </w:r>
    </w:p>
    <w:p w14:paraId="062128FF" w14:textId="1892A73D"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Sedelmeier, T. and Baum, </w:t>
      </w:r>
      <w:r w:rsidR="00066AB9" w:rsidRPr="00A81818">
        <w:rPr>
          <w:rFonts w:ascii="Arial" w:eastAsia="Arial" w:hAnsi="Arial" w:cs="Arial"/>
          <w:color w:val="000000" w:themeColor="text1"/>
          <w:sz w:val="22"/>
          <w:szCs w:val="22"/>
          <w:highlight w:val="white"/>
        </w:rPr>
        <w:t>L.</w:t>
      </w:r>
      <w:r w:rsidR="00066AB9">
        <w:rPr>
          <w:rFonts w:ascii="Arial" w:eastAsia="Arial" w:hAnsi="Arial" w:cs="Arial"/>
          <w:color w:val="000000" w:themeColor="text1"/>
          <w:sz w:val="22"/>
          <w:szCs w:val="22"/>
          <w:highlight w:val="white"/>
        </w:rPr>
        <w:t xml:space="preserve"> (</w:t>
      </w:r>
      <w:r w:rsidRPr="00A81818">
        <w:rPr>
          <w:rFonts w:ascii="Arial" w:eastAsia="Arial" w:hAnsi="Arial" w:cs="Arial"/>
          <w:color w:val="000000" w:themeColor="text1"/>
          <w:sz w:val="22"/>
          <w:szCs w:val="22"/>
          <w:highlight w:val="white"/>
        </w:rPr>
        <w:t>2022</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The </w:t>
      </w:r>
      <w:r w:rsidR="00066AB9" w:rsidRPr="00A81818">
        <w:rPr>
          <w:rFonts w:ascii="Arial" w:eastAsia="Arial" w:hAnsi="Arial" w:cs="Arial"/>
          <w:color w:val="000000" w:themeColor="text1"/>
          <w:sz w:val="22"/>
          <w:szCs w:val="22"/>
          <w:highlight w:val="white"/>
        </w:rPr>
        <w:t>Controversy</w:t>
      </w:r>
      <w:r w:rsidRPr="00A81818">
        <w:rPr>
          <w:rFonts w:ascii="Arial" w:eastAsia="Arial" w:hAnsi="Arial" w:cs="Arial"/>
          <w:color w:val="000000" w:themeColor="text1"/>
          <w:sz w:val="22"/>
          <w:szCs w:val="22"/>
          <w:highlight w:val="white"/>
        </w:rPr>
        <w:t xml:space="preserve"> About Colonialism in Board Games—Illustrated by the Example of Santa Maria. In </w:t>
      </w:r>
      <w:r w:rsidRPr="00A81818">
        <w:rPr>
          <w:rFonts w:ascii="Arial" w:eastAsia="Arial" w:hAnsi="Arial" w:cs="Arial"/>
          <w:i/>
          <w:color w:val="000000" w:themeColor="text1"/>
          <w:sz w:val="22"/>
          <w:szCs w:val="22"/>
        </w:rPr>
        <w:t>The Social Construction of Landscapes in Games</w:t>
      </w:r>
      <w:r w:rsidRPr="00A81818">
        <w:rPr>
          <w:rFonts w:ascii="Arial" w:eastAsia="Arial" w:hAnsi="Arial" w:cs="Arial"/>
          <w:color w:val="000000" w:themeColor="text1"/>
          <w:sz w:val="22"/>
          <w:szCs w:val="22"/>
        </w:rPr>
        <w:t xml:space="preserve"> (pp. 91-107). Springer VS, Wiesbaden.</w:t>
      </w:r>
    </w:p>
    <w:p w14:paraId="412E8286" w14:textId="46A43040"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Settersten Jr, R.A., Bernardi, L., Härkönen, J., Antonucci, T.C., Dykstra, P.A., Heckhausen, J., Kuh, D., Mayer, K.U., Moen, P., Mortimer, J.T. and Mulder, </w:t>
      </w:r>
      <w:proofErr w:type="gramStart"/>
      <w:r w:rsidR="00066AB9" w:rsidRPr="00A81818">
        <w:rPr>
          <w:rFonts w:ascii="Arial" w:eastAsia="Arial" w:hAnsi="Arial" w:cs="Arial"/>
          <w:color w:val="000000" w:themeColor="text1"/>
          <w:sz w:val="22"/>
          <w:szCs w:val="22"/>
          <w:highlight w:val="white"/>
        </w:rPr>
        <w:t>C.H.</w:t>
      </w:r>
      <w:r w:rsidR="00066AB9">
        <w:rPr>
          <w:rFonts w:ascii="Arial" w:eastAsia="Arial" w:hAnsi="Arial" w:cs="Arial"/>
          <w:color w:val="000000" w:themeColor="text1"/>
          <w:sz w:val="22"/>
          <w:szCs w:val="22"/>
          <w:highlight w:val="white"/>
        </w:rPr>
        <w:t>(</w:t>
      </w:r>
      <w:proofErr w:type="gramEnd"/>
      <w:r w:rsidR="00066AB9" w:rsidRPr="00A81818">
        <w:rPr>
          <w:rFonts w:ascii="Arial" w:eastAsia="Arial" w:hAnsi="Arial" w:cs="Arial"/>
          <w:color w:val="000000" w:themeColor="text1"/>
          <w:sz w:val="22"/>
          <w:szCs w:val="22"/>
          <w:highlight w:val="white"/>
        </w:rPr>
        <w:t>2020</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Understanding the effects of Covid-19 through a life course lens. </w:t>
      </w:r>
      <w:r w:rsidRPr="00A81818">
        <w:rPr>
          <w:rFonts w:ascii="Arial" w:eastAsia="Arial" w:hAnsi="Arial" w:cs="Arial"/>
          <w:i/>
          <w:color w:val="000000" w:themeColor="text1"/>
          <w:sz w:val="22"/>
          <w:szCs w:val="22"/>
        </w:rPr>
        <w:t>Advances in Life Course Research</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45</w:t>
      </w:r>
      <w:r w:rsidRPr="00A81818">
        <w:rPr>
          <w:rFonts w:ascii="Arial" w:eastAsia="Arial" w:hAnsi="Arial" w:cs="Arial"/>
          <w:color w:val="000000" w:themeColor="text1"/>
          <w:sz w:val="22"/>
          <w:szCs w:val="22"/>
        </w:rPr>
        <w:t>, p.100360.</w:t>
      </w:r>
    </w:p>
    <w:p w14:paraId="305217E3" w14:textId="43139EB5" w:rsidR="00807693" w:rsidRPr="00A81818" w:rsidRDefault="00807693" w:rsidP="00807693">
      <w:pPr>
        <w:pBdr>
          <w:top w:val="nil"/>
          <w:left w:val="nil"/>
          <w:bottom w:val="nil"/>
          <w:right w:val="nil"/>
          <w:between w:val="nil"/>
        </w:pBdr>
        <w:spacing w:after="0"/>
        <w:rPr>
          <w:rFonts w:ascii="Arial" w:eastAsia="Arial" w:hAnsi="Arial" w:cs="Arial"/>
          <w:color w:val="000000" w:themeColor="text1"/>
          <w:sz w:val="22"/>
          <w:szCs w:val="22"/>
        </w:rPr>
      </w:pPr>
      <w:r w:rsidRPr="00A81818">
        <w:rPr>
          <w:rFonts w:ascii="Arial" w:eastAsia="Arial" w:hAnsi="Arial" w:cs="Arial"/>
          <w:color w:val="000000" w:themeColor="text1"/>
          <w:sz w:val="22"/>
          <w:szCs w:val="22"/>
          <w:highlight w:val="white"/>
        </w:rPr>
        <w:t xml:space="preserve">Weihrauch-Blüher, S. and Wiegand, </w:t>
      </w:r>
      <w:r w:rsidR="00066AB9" w:rsidRPr="00A81818">
        <w:rPr>
          <w:rFonts w:ascii="Arial" w:eastAsia="Arial" w:hAnsi="Arial" w:cs="Arial"/>
          <w:color w:val="000000" w:themeColor="text1"/>
          <w:sz w:val="22"/>
          <w:szCs w:val="22"/>
          <w:highlight w:val="white"/>
        </w:rPr>
        <w:t>S.</w:t>
      </w:r>
      <w:r w:rsidR="00066AB9">
        <w:rPr>
          <w:rFonts w:ascii="Arial" w:eastAsia="Arial" w:hAnsi="Arial" w:cs="Arial"/>
          <w:color w:val="000000" w:themeColor="text1"/>
          <w:sz w:val="22"/>
          <w:szCs w:val="22"/>
          <w:highlight w:val="white"/>
        </w:rPr>
        <w:t xml:space="preserve"> (</w:t>
      </w:r>
      <w:r w:rsidRPr="00A81818">
        <w:rPr>
          <w:rFonts w:ascii="Arial" w:eastAsia="Arial" w:hAnsi="Arial" w:cs="Arial"/>
          <w:color w:val="000000" w:themeColor="text1"/>
          <w:sz w:val="22"/>
          <w:szCs w:val="22"/>
          <w:highlight w:val="white"/>
        </w:rPr>
        <w:t>2018</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Risk factors and implications of childhood obesity. </w:t>
      </w:r>
      <w:r w:rsidRPr="00A81818">
        <w:rPr>
          <w:rFonts w:ascii="Arial" w:eastAsia="Arial" w:hAnsi="Arial" w:cs="Arial"/>
          <w:i/>
          <w:color w:val="000000" w:themeColor="text1"/>
          <w:sz w:val="22"/>
          <w:szCs w:val="22"/>
        </w:rPr>
        <w:t>Current obesity reports</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7</w:t>
      </w:r>
      <w:r w:rsidRPr="00A81818">
        <w:rPr>
          <w:rFonts w:ascii="Arial" w:eastAsia="Arial" w:hAnsi="Arial" w:cs="Arial"/>
          <w:color w:val="000000" w:themeColor="text1"/>
          <w:sz w:val="22"/>
          <w:szCs w:val="22"/>
        </w:rPr>
        <w:t>(4), pp.254-259.</w:t>
      </w:r>
    </w:p>
    <w:p w14:paraId="586B24B3" w14:textId="1220FC98"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rPr>
        <w:t xml:space="preserve">Winters, G, </w:t>
      </w:r>
      <w:r w:rsidR="00066AB9" w:rsidRPr="00A81818">
        <w:rPr>
          <w:rFonts w:ascii="Arial" w:eastAsia="Arial" w:hAnsi="Arial" w:cs="Arial"/>
          <w:color w:val="000000" w:themeColor="text1"/>
          <w:sz w:val="22"/>
          <w:szCs w:val="22"/>
        </w:rPr>
        <w:t>M,</w:t>
      </w:r>
      <w:r w:rsidRPr="00A81818">
        <w:rPr>
          <w:rFonts w:ascii="Arial" w:eastAsia="Arial" w:hAnsi="Arial" w:cs="Arial"/>
          <w:color w:val="000000" w:themeColor="text1"/>
          <w:sz w:val="22"/>
          <w:szCs w:val="22"/>
        </w:rPr>
        <w:t xml:space="preserve"> Kaylor, L.E. and </w:t>
      </w:r>
      <w:proofErr w:type="spellStart"/>
      <w:r w:rsidRPr="00A81818">
        <w:rPr>
          <w:rFonts w:ascii="Arial" w:eastAsia="Arial" w:hAnsi="Arial" w:cs="Arial"/>
          <w:color w:val="000000" w:themeColor="text1"/>
          <w:sz w:val="22"/>
          <w:szCs w:val="22"/>
        </w:rPr>
        <w:t>Jeglic</w:t>
      </w:r>
      <w:proofErr w:type="spellEnd"/>
      <w:r w:rsidRPr="00A81818">
        <w:rPr>
          <w:rFonts w:ascii="Arial" w:eastAsia="Arial" w:hAnsi="Arial" w:cs="Arial"/>
          <w:color w:val="000000" w:themeColor="text1"/>
          <w:sz w:val="22"/>
          <w:szCs w:val="22"/>
        </w:rPr>
        <w:t xml:space="preserve">, </w:t>
      </w:r>
      <w:r w:rsidR="00066AB9" w:rsidRPr="00A81818">
        <w:rPr>
          <w:rFonts w:ascii="Arial" w:eastAsia="Arial" w:hAnsi="Arial" w:cs="Arial"/>
          <w:color w:val="000000" w:themeColor="text1"/>
          <w:sz w:val="22"/>
          <w:szCs w:val="22"/>
        </w:rPr>
        <w:t>E.L.</w:t>
      </w:r>
      <w:r w:rsidR="00066AB9">
        <w:rPr>
          <w:rFonts w:ascii="Arial" w:eastAsia="Arial" w:hAnsi="Arial" w:cs="Arial"/>
          <w:color w:val="000000" w:themeColor="text1"/>
          <w:sz w:val="22"/>
          <w:szCs w:val="22"/>
        </w:rPr>
        <w:t xml:space="preserve"> (</w:t>
      </w:r>
      <w:r w:rsidRPr="00A81818">
        <w:rPr>
          <w:rFonts w:ascii="Arial" w:eastAsia="Arial" w:hAnsi="Arial" w:cs="Arial"/>
          <w:color w:val="000000" w:themeColor="text1"/>
          <w:sz w:val="22"/>
          <w:szCs w:val="22"/>
        </w:rPr>
        <w:t>2021</w:t>
      </w:r>
      <w:r w:rsidR="00A81818">
        <w:rPr>
          <w:rFonts w:ascii="Arial" w:eastAsia="Arial" w:hAnsi="Arial" w:cs="Arial"/>
          <w:color w:val="000000" w:themeColor="text1"/>
          <w:sz w:val="22"/>
          <w:szCs w:val="22"/>
        </w:rPr>
        <w:t>)</w:t>
      </w:r>
      <w:r w:rsidRPr="00A81818">
        <w:rPr>
          <w:rFonts w:ascii="Arial" w:eastAsia="Arial" w:hAnsi="Arial" w:cs="Arial"/>
          <w:color w:val="000000" w:themeColor="text1"/>
          <w:sz w:val="22"/>
          <w:szCs w:val="22"/>
        </w:rPr>
        <w:t xml:space="preserve">. Toward a universal definition of child sexual grooming. </w:t>
      </w:r>
      <w:r w:rsidRPr="00A81818">
        <w:rPr>
          <w:rFonts w:ascii="Arial" w:eastAsia="Arial" w:hAnsi="Arial" w:cs="Arial"/>
          <w:i/>
          <w:iCs/>
          <w:color w:val="000000" w:themeColor="text1"/>
          <w:sz w:val="22"/>
          <w:szCs w:val="22"/>
        </w:rPr>
        <w:t xml:space="preserve">Deviant Behavior, </w:t>
      </w:r>
      <w:r w:rsidRPr="00A81818">
        <w:rPr>
          <w:rFonts w:ascii="Arial" w:eastAsia="Arial" w:hAnsi="Arial" w:cs="Arial"/>
          <w:color w:val="000000" w:themeColor="text1"/>
          <w:sz w:val="22"/>
          <w:szCs w:val="22"/>
        </w:rPr>
        <w:t>pp. 1- 13</w:t>
      </w:r>
    </w:p>
    <w:p w14:paraId="216BBA93" w14:textId="0FBF1C75"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t xml:space="preserve">Williams, D.R. and Cooper, </w:t>
      </w:r>
      <w:proofErr w:type="gramStart"/>
      <w:r w:rsidR="00066AB9" w:rsidRPr="00A81818">
        <w:rPr>
          <w:rFonts w:ascii="Arial" w:eastAsia="Arial" w:hAnsi="Arial" w:cs="Arial"/>
          <w:color w:val="000000" w:themeColor="text1"/>
          <w:sz w:val="22"/>
          <w:szCs w:val="22"/>
          <w:highlight w:val="white"/>
        </w:rPr>
        <w:t>L.A.</w:t>
      </w:r>
      <w:r w:rsidR="00066AB9">
        <w:rPr>
          <w:rFonts w:ascii="Arial" w:eastAsia="Arial" w:hAnsi="Arial" w:cs="Arial"/>
          <w:color w:val="000000" w:themeColor="text1"/>
          <w:sz w:val="22"/>
          <w:szCs w:val="22"/>
          <w:highlight w:val="white"/>
        </w:rPr>
        <w:t>(</w:t>
      </w:r>
      <w:proofErr w:type="gramEnd"/>
      <w:r w:rsidR="00066AB9" w:rsidRPr="00A81818">
        <w:rPr>
          <w:rFonts w:ascii="Arial" w:eastAsia="Arial" w:hAnsi="Arial" w:cs="Arial"/>
          <w:color w:val="000000" w:themeColor="text1"/>
          <w:sz w:val="22"/>
          <w:szCs w:val="22"/>
          <w:highlight w:val="white"/>
        </w:rPr>
        <w:t>2019</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Reducing racial inequities in health: using what we already know to </w:t>
      </w:r>
      <w:r w:rsidR="00066AB9" w:rsidRPr="00A81818">
        <w:rPr>
          <w:rFonts w:ascii="Arial" w:eastAsia="Arial" w:hAnsi="Arial" w:cs="Arial"/>
          <w:color w:val="000000" w:themeColor="text1"/>
          <w:sz w:val="22"/>
          <w:szCs w:val="22"/>
          <w:highlight w:val="white"/>
        </w:rPr>
        <w:t>act</w:t>
      </w:r>
      <w:r w:rsidRPr="00A81818">
        <w:rPr>
          <w:rFonts w:ascii="Arial" w:eastAsia="Arial" w:hAnsi="Arial" w:cs="Arial"/>
          <w:color w:val="000000" w:themeColor="text1"/>
          <w:sz w:val="22"/>
          <w:szCs w:val="22"/>
          <w:highlight w:val="white"/>
        </w:rPr>
        <w:t xml:space="preserve">. </w:t>
      </w:r>
      <w:r w:rsidRPr="00A81818">
        <w:rPr>
          <w:rFonts w:ascii="Arial" w:eastAsia="Arial" w:hAnsi="Arial" w:cs="Arial"/>
          <w:i/>
          <w:color w:val="000000" w:themeColor="text1"/>
          <w:sz w:val="22"/>
          <w:szCs w:val="22"/>
        </w:rPr>
        <w:t>International journal of environmental research and public health</w:t>
      </w:r>
      <w:r w:rsidRPr="00A81818">
        <w:rPr>
          <w:rFonts w:ascii="Arial" w:eastAsia="Arial" w:hAnsi="Arial" w:cs="Arial"/>
          <w:color w:val="000000" w:themeColor="text1"/>
          <w:sz w:val="22"/>
          <w:szCs w:val="22"/>
        </w:rPr>
        <w:t xml:space="preserve">, </w:t>
      </w:r>
      <w:r w:rsidRPr="00A81818">
        <w:rPr>
          <w:rFonts w:ascii="Arial" w:eastAsia="Arial" w:hAnsi="Arial" w:cs="Arial"/>
          <w:i/>
          <w:color w:val="000000" w:themeColor="text1"/>
          <w:sz w:val="22"/>
          <w:szCs w:val="22"/>
        </w:rPr>
        <w:t>16</w:t>
      </w:r>
      <w:r w:rsidRPr="00A81818">
        <w:rPr>
          <w:rFonts w:ascii="Arial" w:eastAsia="Arial" w:hAnsi="Arial" w:cs="Arial"/>
          <w:color w:val="000000" w:themeColor="text1"/>
          <w:sz w:val="22"/>
          <w:szCs w:val="22"/>
        </w:rPr>
        <w:t>(4), p.606.</w:t>
      </w:r>
    </w:p>
    <w:p w14:paraId="3CE1612F" w14:textId="4C0A69F3" w:rsidR="00807693" w:rsidRPr="00A81818" w:rsidRDefault="00807693" w:rsidP="00807693">
      <w:pPr>
        <w:pBdr>
          <w:top w:val="nil"/>
          <w:left w:val="nil"/>
          <w:bottom w:val="nil"/>
          <w:right w:val="nil"/>
          <w:between w:val="nil"/>
        </w:pBdr>
        <w:spacing w:after="0"/>
        <w:rPr>
          <w:rFonts w:ascii="Arial" w:eastAsia="Arial" w:hAnsi="Arial" w:cs="Arial"/>
          <w:color w:val="000000" w:themeColor="text1"/>
        </w:rPr>
      </w:pPr>
      <w:r w:rsidRPr="00A81818">
        <w:rPr>
          <w:rFonts w:ascii="Arial" w:eastAsia="Arial" w:hAnsi="Arial" w:cs="Arial"/>
          <w:color w:val="000000" w:themeColor="text1"/>
          <w:sz w:val="22"/>
          <w:szCs w:val="22"/>
          <w:highlight w:val="white"/>
        </w:rPr>
        <w:lastRenderedPageBreak/>
        <w:t xml:space="preserve">Wills, W., Almack, K., Littlechild, B. and Chester, </w:t>
      </w:r>
      <w:r w:rsidR="00066AB9" w:rsidRPr="00A81818">
        <w:rPr>
          <w:rFonts w:ascii="Arial" w:eastAsia="Arial" w:hAnsi="Arial" w:cs="Arial"/>
          <w:color w:val="000000" w:themeColor="text1"/>
          <w:sz w:val="22"/>
          <w:szCs w:val="22"/>
          <w:highlight w:val="white"/>
        </w:rPr>
        <w:t>K.</w:t>
      </w:r>
      <w:r w:rsidR="00066AB9">
        <w:rPr>
          <w:rFonts w:ascii="Arial" w:eastAsia="Arial" w:hAnsi="Arial" w:cs="Arial"/>
          <w:color w:val="000000" w:themeColor="text1"/>
          <w:sz w:val="22"/>
          <w:szCs w:val="22"/>
          <w:highlight w:val="white"/>
        </w:rPr>
        <w:t xml:space="preserve"> (</w:t>
      </w:r>
      <w:r w:rsidRPr="00A81818">
        <w:rPr>
          <w:rFonts w:ascii="Arial" w:eastAsia="Arial" w:hAnsi="Arial" w:cs="Arial"/>
          <w:color w:val="000000" w:themeColor="text1"/>
          <w:sz w:val="22"/>
          <w:szCs w:val="22"/>
          <w:highlight w:val="white"/>
        </w:rPr>
        <w:t>2020</w:t>
      </w:r>
      <w:r w:rsidR="00A81818">
        <w:rPr>
          <w:rFonts w:ascii="Arial" w:eastAsia="Arial" w:hAnsi="Arial" w:cs="Arial"/>
          <w:color w:val="000000" w:themeColor="text1"/>
          <w:sz w:val="22"/>
          <w:szCs w:val="22"/>
          <w:highlight w:val="white"/>
        </w:rPr>
        <w:t>)</w:t>
      </w:r>
      <w:r w:rsidRPr="00A81818">
        <w:rPr>
          <w:rFonts w:ascii="Arial" w:eastAsia="Arial" w:hAnsi="Arial" w:cs="Arial"/>
          <w:color w:val="000000" w:themeColor="text1"/>
          <w:sz w:val="22"/>
          <w:szCs w:val="22"/>
          <w:highlight w:val="white"/>
        </w:rPr>
        <w:t xml:space="preserve">. Social Care Research Readiness Project: Mapping </w:t>
      </w:r>
      <w:r w:rsidR="00066AB9" w:rsidRPr="00A81818">
        <w:rPr>
          <w:rFonts w:ascii="Arial" w:eastAsia="Arial" w:hAnsi="Arial" w:cs="Arial"/>
          <w:color w:val="000000" w:themeColor="text1"/>
          <w:sz w:val="22"/>
          <w:szCs w:val="22"/>
          <w:highlight w:val="white"/>
        </w:rPr>
        <w:t>the</w:t>
      </w:r>
      <w:r w:rsidRPr="00A81818">
        <w:rPr>
          <w:rFonts w:ascii="Arial" w:eastAsia="Arial" w:hAnsi="Arial" w:cs="Arial"/>
          <w:color w:val="000000" w:themeColor="text1"/>
          <w:sz w:val="22"/>
          <w:szCs w:val="22"/>
          <w:highlight w:val="white"/>
        </w:rPr>
        <w:t xml:space="preserve"> Social Care Landscape Across Bedfordshire, Cambridgeshire &amp; Hertfordshire: Mapping </w:t>
      </w:r>
      <w:r w:rsidR="00066AB9" w:rsidRPr="00A81818">
        <w:rPr>
          <w:rFonts w:ascii="Arial" w:eastAsia="Arial" w:hAnsi="Arial" w:cs="Arial"/>
          <w:color w:val="000000" w:themeColor="text1"/>
          <w:sz w:val="22"/>
          <w:szCs w:val="22"/>
          <w:highlight w:val="white"/>
        </w:rPr>
        <w:t>the</w:t>
      </w:r>
      <w:r w:rsidRPr="00A81818">
        <w:rPr>
          <w:rFonts w:ascii="Arial" w:eastAsia="Arial" w:hAnsi="Arial" w:cs="Arial"/>
          <w:color w:val="000000" w:themeColor="text1"/>
          <w:sz w:val="22"/>
          <w:szCs w:val="22"/>
          <w:highlight w:val="white"/>
        </w:rPr>
        <w:t xml:space="preserve"> Social Care Landscape Across Bedfordshire, Cambridgeshire &amp; Hertfordshire.</w:t>
      </w:r>
    </w:p>
    <w:p w14:paraId="2D5A225D" w14:textId="77777777" w:rsidR="00807693" w:rsidRPr="00A81818" w:rsidRDefault="00807693" w:rsidP="00807693">
      <w:pPr>
        <w:spacing w:after="0"/>
        <w:rPr>
          <w:rFonts w:ascii="Arial" w:eastAsia="Arial" w:hAnsi="Arial" w:cs="Arial"/>
          <w:color w:val="000000" w:themeColor="text1"/>
          <w:sz w:val="22"/>
          <w:szCs w:val="22"/>
          <w:highlight w:val="white"/>
        </w:rPr>
      </w:pPr>
    </w:p>
    <w:p w14:paraId="75E51EE7" w14:textId="77777777" w:rsidR="0058451E" w:rsidRPr="00A81818" w:rsidRDefault="0058451E">
      <w:pPr>
        <w:rPr>
          <w:color w:val="000000" w:themeColor="text1"/>
        </w:rPr>
      </w:pPr>
    </w:p>
    <w:sectPr w:rsidR="0058451E" w:rsidRPr="00A81818" w:rsidSect="00D04C7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6CF6D" w14:textId="77777777" w:rsidR="0014126A" w:rsidRDefault="0014126A">
      <w:pPr>
        <w:spacing w:after="0" w:line="240" w:lineRule="auto"/>
      </w:pPr>
      <w:r>
        <w:separator/>
      </w:r>
    </w:p>
  </w:endnote>
  <w:endnote w:type="continuationSeparator" w:id="0">
    <w:p w14:paraId="5D183BCA" w14:textId="77777777" w:rsidR="0014126A" w:rsidRDefault="00141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B79FD" w14:textId="77777777" w:rsidR="00D04C70"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4393BB5F" w14:textId="77777777" w:rsidR="00D04C70" w:rsidRDefault="0000000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F06E6" w14:textId="77777777" w:rsidR="0014126A" w:rsidRDefault="0014126A">
      <w:pPr>
        <w:spacing w:after="0" w:line="240" w:lineRule="auto"/>
      </w:pPr>
      <w:r>
        <w:separator/>
      </w:r>
    </w:p>
  </w:footnote>
  <w:footnote w:type="continuationSeparator" w:id="0">
    <w:p w14:paraId="43581F87" w14:textId="77777777" w:rsidR="0014126A" w:rsidRDefault="001412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693"/>
    <w:rsid w:val="00066AB9"/>
    <w:rsid w:val="0014126A"/>
    <w:rsid w:val="0058451E"/>
    <w:rsid w:val="007A53F8"/>
    <w:rsid w:val="00807693"/>
    <w:rsid w:val="00822FCE"/>
    <w:rsid w:val="00961A19"/>
    <w:rsid w:val="00A81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0D55D"/>
  <w15:chartTrackingRefBased/>
  <w15:docId w15:val="{DB6D177D-D74F-4761-904F-F0ED5046A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93"/>
    <w:pPr>
      <w:spacing w:after="20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07693"/>
    <w:pPr>
      <w:keepNext/>
      <w:keepLines/>
      <w:spacing w:before="480" w:after="0"/>
      <w:outlineLvl w:val="0"/>
    </w:pPr>
    <w:rPr>
      <w:rFonts w:ascii="Arial" w:eastAsiaTheme="majorEastAsia" w:hAnsi="Arial" w:cstheme="majorBidi"/>
      <w:b/>
      <w:bCs/>
      <w:sz w:val="2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693"/>
    <w:rPr>
      <w:rFonts w:ascii="Arial" w:eastAsiaTheme="majorEastAsia" w:hAnsi="Arial" w:cstheme="majorBidi"/>
      <w:b/>
      <w:bCs/>
      <w:szCs w:val="28"/>
    </w:rPr>
  </w:style>
  <w:style w:type="paragraph" w:styleId="Title">
    <w:name w:val="Title"/>
    <w:basedOn w:val="Normal"/>
    <w:next w:val="Normal"/>
    <w:link w:val="TitleChar"/>
    <w:uiPriority w:val="10"/>
    <w:qFormat/>
    <w:rsid w:val="00807693"/>
    <w:pPr>
      <w:pBdr>
        <w:bottom w:val="single" w:sz="8" w:space="4" w:color="4472C4" w:themeColor="accent1"/>
      </w:pBdr>
      <w:spacing w:after="300" w:line="240" w:lineRule="auto"/>
      <w:contextualSpacing/>
      <w:jc w:val="center"/>
    </w:pPr>
    <w:rPr>
      <w:rFonts w:ascii="Ariel" w:eastAsiaTheme="majorEastAsia" w:hAnsi="Ariel" w:cstheme="majorBidi"/>
      <w:b/>
      <w:spacing w:val="5"/>
      <w:kern w:val="28"/>
      <w:sz w:val="32"/>
      <w:szCs w:val="52"/>
    </w:rPr>
  </w:style>
  <w:style w:type="character" w:customStyle="1" w:styleId="TitleChar">
    <w:name w:val="Title Char"/>
    <w:basedOn w:val="DefaultParagraphFont"/>
    <w:link w:val="Title"/>
    <w:uiPriority w:val="10"/>
    <w:rsid w:val="00807693"/>
    <w:rPr>
      <w:rFonts w:ascii="Ariel" w:eastAsiaTheme="majorEastAsia" w:hAnsi="Ariel" w:cstheme="majorBidi"/>
      <w:b/>
      <w:spacing w:val="5"/>
      <w:kern w:val="28"/>
      <w:sz w:val="3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3466</Words>
  <Characters>19760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5</cp:revision>
  <dcterms:created xsi:type="dcterms:W3CDTF">2022-08-22T07:15:00Z</dcterms:created>
  <dcterms:modified xsi:type="dcterms:W3CDTF">2022-08-22T07:26:00Z</dcterms:modified>
</cp:coreProperties>
</file>