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7C659" w14:textId="1B8E5582" w:rsidR="0010297D" w:rsidRPr="008236B0" w:rsidRDefault="002173D6" w:rsidP="00D40664">
      <w:pPr>
        <w:spacing w:line="360" w:lineRule="auto"/>
        <w:jc w:val="center"/>
        <w:rPr>
          <w:rFonts w:ascii="Times New Roman" w:hAnsi="Times New Roman" w:cs="Times New Roman"/>
          <w:sz w:val="28"/>
          <w:szCs w:val="28"/>
        </w:rPr>
      </w:pPr>
      <w:r w:rsidRPr="008236B0">
        <w:rPr>
          <w:rFonts w:ascii="Times New Roman" w:hAnsi="Times New Roman" w:cs="Times New Roman"/>
          <w:sz w:val="28"/>
          <w:szCs w:val="28"/>
        </w:rPr>
        <w:t>The Vanishing of Cartimandua</w:t>
      </w:r>
      <w:r w:rsidR="00810DBF" w:rsidRPr="008236B0">
        <w:rPr>
          <w:rFonts w:ascii="Times New Roman" w:hAnsi="Times New Roman" w:cs="Times New Roman"/>
          <w:sz w:val="28"/>
          <w:szCs w:val="28"/>
        </w:rPr>
        <w:t xml:space="preserve"> </w:t>
      </w:r>
    </w:p>
    <w:p w14:paraId="622A8C5C" w14:textId="2F68EDF8" w:rsidR="009B1D84" w:rsidRPr="008236B0" w:rsidRDefault="009B1D84" w:rsidP="009B1D84">
      <w:pPr>
        <w:spacing w:line="360" w:lineRule="auto"/>
        <w:rPr>
          <w:rFonts w:ascii="Times New Roman" w:hAnsi="Times New Roman" w:cs="Times New Roman"/>
          <w:sz w:val="24"/>
          <w:szCs w:val="24"/>
        </w:rPr>
      </w:pPr>
      <w:r w:rsidRPr="008236B0">
        <w:rPr>
          <w:rFonts w:ascii="Times New Roman" w:hAnsi="Times New Roman" w:cs="Times New Roman"/>
          <w:sz w:val="24"/>
          <w:szCs w:val="24"/>
        </w:rPr>
        <w:t xml:space="preserve">Women are tragically underrepresented throughout </w:t>
      </w:r>
      <w:r w:rsidR="00941834" w:rsidRPr="008236B0">
        <w:rPr>
          <w:rFonts w:ascii="Times New Roman" w:hAnsi="Times New Roman" w:cs="Times New Roman"/>
          <w:sz w:val="24"/>
          <w:szCs w:val="24"/>
        </w:rPr>
        <w:t>much of the historical record</w:t>
      </w:r>
      <w:r w:rsidR="0014332D" w:rsidRPr="008236B0">
        <w:rPr>
          <w:rFonts w:ascii="Times New Roman" w:hAnsi="Times New Roman" w:cs="Times New Roman"/>
          <w:sz w:val="24"/>
          <w:szCs w:val="24"/>
        </w:rPr>
        <w:t>; in an interview with English Heritage, historian Bettany Hughes states that women make up only 0.5% of recorded history</w:t>
      </w:r>
      <w:r w:rsidRPr="008236B0">
        <w:rPr>
          <w:rFonts w:ascii="Times New Roman" w:hAnsi="Times New Roman" w:cs="Times New Roman"/>
          <w:sz w:val="24"/>
          <w:szCs w:val="24"/>
        </w:rPr>
        <w:t>.</w:t>
      </w:r>
      <w:r w:rsidR="00B964B1" w:rsidRPr="008236B0">
        <w:rPr>
          <w:rStyle w:val="FootnoteReference"/>
          <w:rFonts w:ascii="Times New Roman" w:hAnsi="Times New Roman" w:cs="Times New Roman"/>
          <w:sz w:val="24"/>
          <w:szCs w:val="24"/>
        </w:rPr>
        <w:footnoteReference w:id="1"/>
      </w:r>
      <w:r w:rsidRPr="008236B0">
        <w:rPr>
          <w:rFonts w:ascii="Times New Roman" w:hAnsi="Times New Roman" w:cs="Times New Roman"/>
          <w:sz w:val="24"/>
          <w:szCs w:val="24"/>
        </w:rPr>
        <w:t xml:space="preserve"> The Celtic peoples of Iron Age Britain shared their histories orally, and so they too are lacking in recorded history. </w:t>
      </w:r>
      <w:r w:rsidR="00262690" w:rsidRPr="008236B0">
        <w:rPr>
          <w:rFonts w:ascii="Times New Roman" w:hAnsi="Times New Roman" w:cs="Times New Roman"/>
          <w:sz w:val="24"/>
          <w:szCs w:val="24"/>
        </w:rPr>
        <w:t xml:space="preserve">The life of </w:t>
      </w:r>
      <w:r w:rsidRPr="008236B0">
        <w:rPr>
          <w:rFonts w:ascii="Times New Roman" w:hAnsi="Times New Roman" w:cs="Times New Roman"/>
          <w:sz w:val="24"/>
          <w:szCs w:val="24"/>
        </w:rPr>
        <w:t>Cartimandua, queen of Brigantia, like</w:t>
      </w:r>
      <w:r w:rsidR="00F07104" w:rsidRPr="008236B0">
        <w:rPr>
          <w:rFonts w:ascii="Times New Roman" w:hAnsi="Times New Roman" w:cs="Times New Roman"/>
          <w:sz w:val="24"/>
          <w:szCs w:val="24"/>
        </w:rPr>
        <w:t xml:space="preserve"> that of</w:t>
      </w:r>
      <w:r w:rsidRPr="008236B0">
        <w:rPr>
          <w:rFonts w:ascii="Times New Roman" w:hAnsi="Times New Roman" w:cs="Times New Roman"/>
          <w:sz w:val="24"/>
          <w:szCs w:val="24"/>
        </w:rPr>
        <w:t xml:space="preserve"> many powerful women before and after her, is shrouded with mystery. This essay is </w:t>
      </w:r>
      <w:r w:rsidR="002704CE" w:rsidRPr="008236B0">
        <w:rPr>
          <w:rFonts w:ascii="Times New Roman" w:hAnsi="Times New Roman" w:cs="Times New Roman"/>
          <w:sz w:val="24"/>
          <w:szCs w:val="24"/>
        </w:rPr>
        <w:t xml:space="preserve">both </w:t>
      </w:r>
      <w:r w:rsidRPr="008236B0">
        <w:rPr>
          <w:rFonts w:ascii="Times New Roman" w:hAnsi="Times New Roman" w:cs="Times New Roman"/>
          <w:sz w:val="24"/>
          <w:szCs w:val="24"/>
        </w:rPr>
        <w:t xml:space="preserve">an attempt to </w:t>
      </w:r>
      <w:r w:rsidR="001477F8" w:rsidRPr="008236B0">
        <w:rPr>
          <w:rFonts w:ascii="Times New Roman" w:hAnsi="Times New Roman" w:cs="Times New Roman"/>
          <w:sz w:val="24"/>
          <w:szCs w:val="24"/>
        </w:rPr>
        <w:t>integrate the</w:t>
      </w:r>
      <w:r w:rsidR="00262690" w:rsidRPr="008236B0">
        <w:rPr>
          <w:rFonts w:ascii="Times New Roman" w:hAnsi="Times New Roman" w:cs="Times New Roman"/>
          <w:sz w:val="24"/>
          <w:szCs w:val="24"/>
        </w:rPr>
        <w:t xml:space="preserve"> known</w:t>
      </w:r>
      <w:r w:rsidR="001477F8" w:rsidRPr="008236B0">
        <w:rPr>
          <w:rFonts w:ascii="Times New Roman" w:hAnsi="Times New Roman" w:cs="Times New Roman"/>
          <w:sz w:val="24"/>
          <w:szCs w:val="24"/>
        </w:rPr>
        <w:t xml:space="preserve"> facts about Cartimandua into a cohesive </w:t>
      </w:r>
      <w:r w:rsidR="004445DF" w:rsidRPr="008236B0">
        <w:rPr>
          <w:rFonts w:ascii="Times New Roman" w:hAnsi="Times New Roman" w:cs="Times New Roman"/>
          <w:sz w:val="24"/>
          <w:szCs w:val="24"/>
        </w:rPr>
        <w:t>history</w:t>
      </w:r>
      <w:r w:rsidR="001477F8" w:rsidRPr="008236B0">
        <w:rPr>
          <w:rFonts w:ascii="Times New Roman" w:hAnsi="Times New Roman" w:cs="Times New Roman"/>
          <w:sz w:val="24"/>
          <w:szCs w:val="24"/>
        </w:rPr>
        <w:t xml:space="preserve">, and a critique of the classical view of </w:t>
      </w:r>
      <w:r w:rsidR="00262690" w:rsidRPr="008236B0">
        <w:rPr>
          <w:rFonts w:ascii="Times New Roman" w:hAnsi="Times New Roman" w:cs="Times New Roman"/>
          <w:sz w:val="24"/>
          <w:szCs w:val="24"/>
        </w:rPr>
        <w:t xml:space="preserve">her. </w:t>
      </w:r>
      <w:r w:rsidRPr="008236B0">
        <w:rPr>
          <w:rFonts w:ascii="Times New Roman" w:hAnsi="Times New Roman" w:cs="Times New Roman"/>
          <w:sz w:val="24"/>
          <w:szCs w:val="24"/>
        </w:rPr>
        <w:t xml:space="preserve"> </w:t>
      </w:r>
    </w:p>
    <w:p w14:paraId="76797B1B" w14:textId="66C37B01" w:rsidR="0010297D" w:rsidRPr="008236B0" w:rsidRDefault="009B1D84" w:rsidP="009B1D84">
      <w:pPr>
        <w:spacing w:line="360" w:lineRule="auto"/>
        <w:jc w:val="center"/>
        <w:rPr>
          <w:rFonts w:ascii="Times New Roman" w:hAnsi="Times New Roman" w:cs="Times New Roman"/>
          <w:sz w:val="24"/>
          <w:szCs w:val="24"/>
          <w:u w:val="single"/>
        </w:rPr>
      </w:pPr>
      <w:r w:rsidRPr="008236B0">
        <w:rPr>
          <w:rFonts w:ascii="Times New Roman" w:hAnsi="Times New Roman" w:cs="Times New Roman"/>
          <w:sz w:val="24"/>
          <w:szCs w:val="24"/>
          <w:u w:val="single"/>
        </w:rPr>
        <w:t>Cartimandua</w:t>
      </w:r>
      <w:r w:rsidR="00D467E8" w:rsidRPr="008236B0">
        <w:rPr>
          <w:rFonts w:ascii="Times New Roman" w:hAnsi="Times New Roman" w:cs="Times New Roman"/>
          <w:sz w:val="24"/>
          <w:szCs w:val="24"/>
          <w:u w:val="single"/>
        </w:rPr>
        <w:t>, Queen</w:t>
      </w:r>
      <w:r w:rsidRPr="008236B0">
        <w:rPr>
          <w:rFonts w:ascii="Times New Roman" w:hAnsi="Times New Roman" w:cs="Times New Roman"/>
          <w:sz w:val="24"/>
          <w:szCs w:val="24"/>
          <w:u w:val="single"/>
        </w:rPr>
        <w:t xml:space="preserve"> of Brigantia</w:t>
      </w:r>
    </w:p>
    <w:p w14:paraId="1064885C" w14:textId="7A3CA241" w:rsidR="00577554" w:rsidRPr="008236B0" w:rsidRDefault="00F07104" w:rsidP="00D32E43">
      <w:pPr>
        <w:spacing w:line="360" w:lineRule="auto"/>
        <w:rPr>
          <w:rFonts w:ascii="Times New Roman" w:hAnsi="Times New Roman" w:cs="Times New Roman"/>
          <w:sz w:val="24"/>
          <w:szCs w:val="24"/>
        </w:rPr>
      </w:pPr>
      <w:r w:rsidRPr="008236B0">
        <w:rPr>
          <w:noProof/>
        </w:rPr>
        <mc:AlternateContent>
          <mc:Choice Requires="wps">
            <w:drawing>
              <wp:anchor distT="0" distB="0" distL="114300" distR="114300" simplePos="0" relativeHeight="251661312" behindDoc="0" locked="0" layoutInCell="1" allowOverlap="1" wp14:anchorId="0CD5F9CE" wp14:editId="5F266F84">
                <wp:simplePos x="0" y="0"/>
                <wp:positionH relativeFrom="column">
                  <wp:posOffset>-114300</wp:posOffset>
                </wp:positionH>
                <wp:positionV relativeFrom="paragraph">
                  <wp:posOffset>3629025</wp:posOffset>
                </wp:positionV>
                <wp:extent cx="2880360" cy="635"/>
                <wp:effectExtent l="0" t="0" r="0" b="0"/>
                <wp:wrapSquare wrapText="bothSides"/>
                <wp:docPr id="1141411078" name="Text Box 1"/>
                <wp:cNvGraphicFramePr/>
                <a:graphic xmlns:a="http://schemas.openxmlformats.org/drawingml/2006/main">
                  <a:graphicData uri="http://schemas.microsoft.com/office/word/2010/wordprocessingShape">
                    <wps:wsp>
                      <wps:cNvSpPr txBox="1"/>
                      <wps:spPr>
                        <a:xfrm>
                          <a:off x="0" y="0"/>
                          <a:ext cx="2880360" cy="635"/>
                        </a:xfrm>
                        <a:prstGeom prst="rect">
                          <a:avLst/>
                        </a:prstGeom>
                        <a:solidFill>
                          <a:prstClr val="white"/>
                        </a:solidFill>
                        <a:ln>
                          <a:noFill/>
                        </a:ln>
                      </wps:spPr>
                      <wps:txbx>
                        <w:txbxContent>
                          <w:p w14:paraId="5DCFD2B7" w14:textId="350DBC1D" w:rsidR="00F07104" w:rsidRPr="008A2572" w:rsidRDefault="00F07104" w:rsidP="00F07104">
                            <w:pPr>
                              <w:pStyle w:val="Caption"/>
                              <w:rPr>
                                <w:rFonts w:ascii="Times New Roman" w:hAnsi="Times New Roman" w:cs="Times New Roman"/>
                                <w:noProof/>
                                <w:sz w:val="24"/>
                                <w:szCs w:val="24"/>
                              </w:rPr>
                            </w:pPr>
                            <w:r>
                              <w:t xml:space="preserve">Figure </w:t>
                            </w:r>
                            <w:fldSimple w:instr=" SEQ Figure \* ARABIC ">
                              <w:r w:rsidR="00A4705C">
                                <w:rPr>
                                  <w:noProof/>
                                </w:rPr>
                                <w:t>1</w:t>
                              </w:r>
                            </w:fldSimple>
                            <w:r>
                              <w:t xml:space="preserve"> Map of the British Isles, AD 43.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CD5F9CE" id="_x0000_t202" coordsize="21600,21600" o:spt="202" path="m,l,21600r21600,l21600,xe">
                <v:stroke joinstyle="miter"/>
                <v:path gradientshapeok="t" o:connecttype="rect"/>
              </v:shapetype>
              <v:shape id="Text Box 1" o:spid="_x0000_s1026" type="#_x0000_t202" style="position:absolute;margin-left:-9pt;margin-top:285.75pt;width:226.8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" stroked="f">
                <v:textbox style="mso-fit-shape-to-text:t" inset="0,0,0,0">
                  <w:txbxContent>
                    <w:p w14:paraId="5DCFD2B7" w14:textId="350DBC1D" w:rsidR="00F07104" w:rsidRPr="008A2572" w:rsidRDefault="00F07104" w:rsidP="00F07104">
                      <w:pPr>
                        <w:pStyle w:val="Caption"/>
                        <w:rPr>
                          <w:rFonts w:ascii="Times New Roman" w:hAnsi="Times New Roman" w:cs="Times New Roman"/>
                          <w:noProof/>
                          <w:sz w:val="24"/>
                          <w:szCs w:val="24"/>
                        </w:rPr>
                      </w:pPr>
                      <w:r>
                        <w:t xml:space="preserve">Figure </w:t>
                      </w:r>
                      <w:fldSimple w:instr=" SEQ Figure \* ARABIC ">
                        <w:r w:rsidR="00A4705C">
                          <w:rPr>
                            <w:noProof/>
                          </w:rPr>
                          <w:t>1</w:t>
                        </w:r>
                      </w:fldSimple>
                      <w:r>
                        <w:t xml:space="preserve"> Map of the British Isles, AD 43.</w:t>
                      </w:r>
                    </w:p>
                  </w:txbxContent>
                </v:textbox>
                <w10:wrap type="square"/>
              </v:shape>
            </w:pict>
          </mc:Fallback>
        </mc:AlternateContent>
      </w:r>
      <w:r w:rsidR="005D1AA5" w:rsidRPr="008236B0">
        <w:rPr>
          <w:rFonts w:ascii="Times New Roman" w:hAnsi="Times New Roman" w:cs="Times New Roman"/>
          <w:noProof/>
          <w:sz w:val="24"/>
          <w:szCs w:val="24"/>
        </w:rPr>
        <w:drawing>
          <wp:anchor distT="0" distB="0" distL="114300" distR="114300" simplePos="0" relativeHeight="251658240" behindDoc="1" locked="0" layoutInCell="1" allowOverlap="1" wp14:anchorId="3C206BC8" wp14:editId="21D1D3A2">
            <wp:simplePos x="0" y="0"/>
            <wp:positionH relativeFrom="column">
              <wp:posOffset>-114300</wp:posOffset>
            </wp:positionH>
            <wp:positionV relativeFrom="paragraph">
              <wp:posOffset>55245</wp:posOffset>
            </wp:positionV>
            <wp:extent cx="2880360" cy="3516630"/>
            <wp:effectExtent l="0" t="0" r="0" b="7620"/>
            <wp:wrapSquare wrapText="bothSides"/>
            <wp:docPr id="2056012133"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012133" name="Picture 1" descr="A map of the united kingdo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80360" cy="3516630"/>
                    </a:xfrm>
                    <a:prstGeom prst="rect">
                      <a:avLst/>
                    </a:prstGeom>
                  </pic:spPr>
                </pic:pic>
              </a:graphicData>
            </a:graphic>
            <wp14:sizeRelH relativeFrom="margin">
              <wp14:pctWidth>0</wp14:pctWidth>
            </wp14:sizeRelH>
            <wp14:sizeRelV relativeFrom="margin">
              <wp14:pctHeight>0</wp14:pctHeight>
            </wp14:sizeRelV>
          </wp:anchor>
        </w:drawing>
      </w:r>
      <w:r w:rsidR="0010297D" w:rsidRPr="008236B0">
        <w:rPr>
          <w:rFonts w:ascii="Times New Roman" w:hAnsi="Times New Roman" w:cs="Times New Roman"/>
          <w:sz w:val="24"/>
          <w:szCs w:val="24"/>
        </w:rPr>
        <w:t xml:space="preserve">Cartimandua was ruler of the </w:t>
      </w:r>
      <w:proofErr w:type="spellStart"/>
      <w:r w:rsidR="0010297D" w:rsidRPr="008236B0">
        <w:rPr>
          <w:rFonts w:ascii="Times New Roman" w:hAnsi="Times New Roman" w:cs="Times New Roman"/>
          <w:sz w:val="24"/>
          <w:szCs w:val="24"/>
        </w:rPr>
        <w:t>Brigantes</w:t>
      </w:r>
      <w:proofErr w:type="spellEnd"/>
      <w:r w:rsidR="0010297D" w:rsidRPr="008236B0">
        <w:rPr>
          <w:rFonts w:ascii="Times New Roman" w:hAnsi="Times New Roman" w:cs="Times New Roman"/>
          <w:sz w:val="24"/>
          <w:szCs w:val="24"/>
        </w:rPr>
        <w:t xml:space="preserve"> tribe</w:t>
      </w:r>
      <w:r w:rsidR="002A7113" w:rsidRPr="008236B0">
        <w:rPr>
          <w:rFonts w:ascii="Times New Roman" w:hAnsi="Times New Roman" w:cs="Times New Roman"/>
          <w:sz w:val="24"/>
          <w:szCs w:val="24"/>
        </w:rPr>
        <w:t>, who</w:t>
      </w:r>
      <w:r w:rsidR="004563BA" w:rsidRPr="008236B0">
        <w:rPr>
          <w:rFonts w:ascii="Times New Roman" w:hAnsi="Times New Roman" w:cs="Times New Roman"/>
          <w:sz w:val="24"/>
          <w:szCs w:val="24"/>
        </w:rPr>
        <w:t>se territory, Brigantia,</w:t>
      </w:r>
      <w:r w:rsidR="002A7113" w:rsidRPr="008236B0">
        <w:rPr>
          <w:rFonts w:ascii="Times New Roman" w:hAnsi="Times New Roman" w:cs="Times New Roman"/>
          <w:sz w:val="24"/>
          <w:szCs w:val="24"/>
        </w:rPr>
        <w:t xml:space="preserve"> covered most of the north of England</w:t>
      </w:r>
      <w:r w:rsidR="00A4705C" w:rsidRPr="008236B0">
        <w:rPr>
          <w:rFonts w:ascii="Times New Roman" w:hAnsi="Times New Roman" w:cs="Times New Roman"/>
          <w:sz w:val="24"/>
          <w:szCs w:val="24"/>
        </w:rPr>
        <w:t>. Figure 1 shows</w:t>
      </w:r>
      <w:r w:rsidR="00BE5E62" w:rsidRPr="008236B0">
        <w:rPr>
          <w:rFonts w:ascii="Times New Roman" w:hAnsi="Times New Roman" w:cs="Times New Roman"/>
          <w:sz w:val="24"/>
          <w:szCs w:val="24"/>
        </w:rPr>
        <w:t xml:space="preserve"> a map </w:t>
      </w:r>
      <w:r w:rsidR="00A4705C" w:rsidRPr="008236B0">
        <w:rPr>
          <w:rFonts w:ascii="Times New Roman" w:hAnsi="Times New Roman" w:cs="Times New Roman"/>
          <w:sz w:val="24"/>
          <w:szCs w:val="24"/>
        </w:rPr>
        <w:t>of</w:t>
      </w:r>
      <w:r w:rsidR="00BE5E62" w:rsidRPr="008236B0">
        <w:rPr>
          <w:rFonts w:ascii="Times New Roman" w:hAnsi="Times New Roman" w:cs="Times New Roman"/>
          <w:sz w:val="24"/>
          <w:szCs w:val="24"/>
        </w:rPr>
        <w:t xml:space="preserve"> the approximate territories of Iron Age Britain in </w:t>
      </w:r>
      <w:r w:rsidR="00262690" w:rsidRPr="008236B0">
        <w:rPr>
          <w:rFonts w:ascii="Times New Roman" w:hAnsi="Times New Roman" w:cs="Times New Roman"/>
          <w:sz w:val="24"/>
          <w:szCs w:val="24"/>
        </w:rPr>
        <w:t>43</w:t>
      </w:r>
      <w:r w:rsidR="00BE5E62" w:rsidRPr="008236B0">
        <w:rPr>
          <w:rFonts w:ascii="Times New Roman" w:hAnsi="Times New Roman" w:cs="Times New Roman"/>
          <w:sz w:val="24"/>
          <w:szCs w:val="24"/>
        </w:rPr>
        <w:t xml:space="preserve"> AD.</w:t>
      </w:r>
      <w:r w:rsidR="00726C3A">
        <w:rPr>
          <w:rStyle w:val="FootnoteReference"/>
          <w:rFonts w:ascii="Times New Roman" w:hAnsi="Times New Roman" w:cs="Times New Roman"/>
          <w:sz w:val="24"/>
          <w:szCs w:val="24"/>
        </w:rPr>
        <w:footnoteReference w:id="2"/>
      </w:r>
      <w:r w:rsidR="00BE5E62" w:rsidRPr="008236B0">
        <w:rPr>
          <w:rFonts w:ascii="Times New Roman" w:hAnsi="Times New Roman" w:cs="Times New Roman"/>
          <w:sz w:val="24"/>
          <w:szCs w:val="24"/>
        </w:rPr>
        <w:t xml:space="preserve"> </w:t>
      </w:r>
      <w:r w:rsidR="00726C3A">
        <w:rPr>
          <w:rFonts w:ascii="Times New Roman" w:hAnsi="Times New Roman" w:cs="Times New Roman"/>
          <w:sz w:val="24"/>
          <w:szCs w:val="24"/>
        </w:rPr>
        <w:t>B</w:t>
      </w:r>
      <w:r w:rsidR="007822C4" w:rsidRPr="008236B0">
        <w:rPr>
          <w:rFonts w:ascii="Times New Roman" w:hAnsi="Times New Roman" w:cs="Times New Roman"/>
          <w:sz w:val="24"/>
          <w:szCs w:val="24"/>
        </w:rPr>
        <w:t xml:space="preserve">rigantia was the largest kingdom in Iron Age Britain and may have encompassed not just the </w:t>
      </w:r>
      <w:proofErr w:type="spellStart"/>
      <w:r w:rsidR="007822C4" w:rsidRPr="008236B0">
        <w:rPr>
          <w:rFonts w:ascii="Times New Roman" w:hAnsi="Times New Roman" w:cs="Times New Roman"/>
          <w:sz w:val="24"/>
          <w:szCs w:val="24"/>
        </w:rPr>
        <w:t>Brigantes</w:t>
      </w:r>
      <w:proofErr w:type="spellEnd"/>
      <w:r w:rsidR="007822C4" w:rsidRPr="008236B0">
        <w:rPr>
          <w:rFonts w:ascii="Times New Roman" w:hAnsi="Times New Roman" w:cs="Times New Roman"/>
          <w:sz w:val="24"/>
          <w:szCs w:val="24"/>
        </w:rPr>
        <w:t>, but several smaller ‘sub-tribes’ of peoples as well.</w:t>
      </w:r>
      <w:r w:rsidR="005D1AA5" w:rsidRPr="008236B0">
        <w:rPr>
          <w:rStyle w:val="FootnoteReference"/>
          <w:rFonts w:ascii="Times New Roman" w:hAnsi="Times New Roman" w:cs="Times New Roman"/>
          <w:sz w:val="24"/>
          <w:szCs w:val="24"/>
        </w:rPr>
        <w:footnoteReference w:id="3"/>
      </w:r>
      <w:r w:rsidR="007822C4" w:rsidRPr="008236B0">
        <w:rPr>
          <w:rFonts w:ascii="Times New Roman" w:hAnsi="Times New Roman" w:cs="Times New Roman"/>
          <w:sz w:val="24"/>
          <w:szCs w:val="24"/>
        </w:rPr>
        <w:t xml:space="preserve"> </w:t>
      </w:r>
      <w:r w:rsidR="002A7113" w:rsidRPr="008236B0">
        <w:rPr>
          <w:rFonts w:ascii="Times New Roman" w:hAnsi="Times New Roman" w:cs="Times New Roman"/>
          <w:sz w:val="24"/>
          <w:szCs w:val="24"/>
        </w:rPr>
        <w:t xml:space="preserve">There is no consensus on when exactly Cartimandua came into power, but </w:t>
      </w:r>
      <w:r w:rsidR="00B80B58" w:rsidRPr="008236B0">
        <w:rPr>
          <w:rFonts w:ascii="Times New Roman" w:hAnsi="Times New Roman" w:cs="Times New Roman"/>
          <w:sz w:val="24"/>
          <w:szCs w:val="24"/>
        </w:rPr>
        <w:t>some</w:t>
      </w:r>
      <w:r w:rsidR="002A7113" w:rsidRPr="008236B0">
        <w:rPr>
          <w:rFonts w:ascii="Times New Roman" w:hAnsi="Times New Roman" w:cs="Times New Roman"/>
          <w:sz w:val="24"/>
          <w:szCs w:val="24"/>
        </w:rPr>
        <w:t xml:space="preserve"> scholars </w:t>
      </w:r>
      <w:r w:rsidR="00B80B58" w:rsidRPr="008236B0">
        <w:rPr>
          <w:rFonts w:ascii="Times New Roman" w:hAnsi="Times New Roman" w:cs="Times New Roman"/>
          <w:sz w:val="24"/>
          <w:szCs w:val="24"/>
        </w:rPr>
        <w:t>believe</w:t>
      </w:r>
      <w:r w:rsidR="002A7113" w:rsidRPr="008236B0">
        <w:rPr>
          <w:rFonts w:ascii="Times New Roman" w:hAnsi="Times New Roman" w:cs="Times New Roman"/>
          <w:sz w:val="24"/>
          <w:szCs w:val="24"/>
        </w:rPr>
        <w:t xml:space="preserve"> she was </w:t>
      </w:r>
      <w:r w:rsidR="004445DF" w:rsidRPr="008236B0">
        <w:rPr>
          <w:rFonts w:ascii="Times New Roman" w:hAnsi="Times New Roman" w:cs="Times New Roman"/>
          <w:sz w:val="24"/>
          <w:szCs w:val="24"/>
        </w:rPr>
        <w:t xml:space="preserve">likely </w:t>
      </w:r>
      <w:r w:rsidR="002A7113" w:rsidRPr="008236B0">
        <w:rPr>
          <w:rFonts w:ascii="Times New Roman" w:hAnsi="Times New Roman" w:cs="Times New Roman"/>
          <w:sz w:val="24"/>
          <w:szCs w:val="24"/>
        </w:rPr>
        <w:t>already queen by the time of the Roman invasion in 43 AD.</w:t>
      </w:r>
      <w:r w:rsidR="00B80B58" w:rsidRPr="008236B0">
        <w:rPr>
          <w:rStyle w:val="FootnoteReference"/>
          <w:rFonts w:ascii="Times New Roman" w:hAnsi="Times New Roman" w:cs="Times New Roman"/>
          <w:sz w:val="24"/>
          <w:szCs w:val="24"/>
        </w:rPr>
        <w:footnoteReference w:id="4"/>
      </w:r>
      <w:r w:rsidR="002A7113" w:rsidRPr="008236B0">
        <w:rPr>
          <w:rFonts w:ascii="Times New Roman" w:hAnsi="Times New Roman" w:cs="Times New Roman"/>
          <w:sz w:val="24"/>
          <w:szCs w:val="24"/>
        </w:rPr>
        <w:t xml:space="preserve"> </w:t>
      </w:r>
      <w:r w:rsidR="00D40664" w:rsidRPr="008236B0">
        <w:rPr>
          <w:rFonts w:ascii="Times New Roman" w:hAnsi="Times New Roman" w:cs="Times New Roman"/>
          <w:sz w:val="24"/>
          <w:szCs w:val="24"/>
        </w:rPr>
        <w:t xml:space="preserve">Cartimandua likely inherited her power; in </w:t>
      </w:r>
      <w:r w:rsidR="00D40664" w:rsidRPr="008236B0">
        <w:rPr>
          <w:rFonts w:ascii="Times New Roman" w:hAnsi="Times New Roman" w:cs="Times New Roman"/>
          <w:i/>
          <w:iCs/>
          <w:sz w:val="24"/>
          <w:szCs w:val="24"/>
        </w:rPr>
        <w:t>Histories</w:t>
      </w:r>
      <w:r w:rsidR="00D40664" w:rsidRPr="008236B0">
        <w:rPr>
          <w:rFonts w:ascii="Times New Roman" w:hAnsi="Times New Roman" w:cs="Times New Roman"/>
          <w:sz w:val="24"/>
          <w:szCs w:val="24"/>
        </w:rPr>
        <w:t>, Roman historian Tacitus describes Cartimandua as being ‘of high birth’.</w:t>
      </w:r>
      <w:r w:rsidR="00040FAD">
        <w:rPr>
          <w:rStyle w:val="FootnoteReference"/>
          <w:rFonts w:ascii="Times New Roman" w:hAnsi="Times New Roman" w:cs="Times New Roman"/>
          <w:sz w:val="24"/>
          <w:szCs w:val="24"/>
        </w:rPr>
        <w:footnoteReference w:id="5"/>
      </w:r>
      <w:r w:rsidR="00D40664" w:rsidRPr="008236B0">
        <w:rPr>
          <w:rFonts w:ascii="Times New Roman" w:hAnsi="Times New Roman" w:cs="Times New Roman"/>
          <w:sz w:val="24"/>
          <w:szCs w:val="24"/>
        </w:rPr>
        <w:t xml:space="preserve"> </w:t>
      </w:r>
      <w:r w:rsidR="003C42B0" w:rsidRPr="008236B0">
        <w:rPr>
          <w:rFonts w:ascii="Times New Roman" w:hAnsi="Times New Roman" w:cs="Times New Roman"/>
          <w:sz w:val="24"/>
          <w:szCs w:val="24"/>
        </w:rPr>
        <w:t>She maintained a friendly relationship with Rome, being a ‘client queen’</w:t>
      </w:r>
      <w:r w:rsidR="009B1D84" w:rsidRPr="008236B0">
        <w:rPr>
          <w:rFonts w:ascii="Times New Roman" w:hAnsi="Times New Roman" w:cs="Times New Roman"/>
          <w:sz w:val="24"/>
          <w:szCs w:val="24"/>
        </w:rPr>
        <w:t>. T</w:t>
      </w:r>
      <w:r w:rsidR="003C42B0" w:rsidRPr="008236B0">
        <w:rPr>
          <w:rFonts w:ascii="Times New Roman" w:hAnsi="Times New Roman" w:cs="Times New Roman"/>
          <w:sz w:val="24"/>
          <w:szCs w:val="24"/>
        </w:rPr>
        <w:t xml:space="preserve">here is debate around whether she </w:t>
      </w:r>
      <w:r w:rsidR="003C42B0" w:rsidRPr="008236B0">
        <w:rPr>
          <w:rFonts w:ascii="Times New Roman" w:hAnsi="Times New Roman" w:cs="Times New Roman"/>
          <w:sz w:val="24"/>
          <w:szCs w:val="24"/>
        </w:rPr>
        <w:lastRenderedPageBreak/>
        <w:t xml:space="preserve">was one of the eleven </w:t>
      </w:r>
      <w:r w:rsidR="00E43F04" w:rsidRPr="008236B0">
        <w:rPr>
          <w:rFonts w:ascii="Times New Roman" w:hAnsi="Times New Roman" w:cs="Times New Roman"/>
          <w:sz w:val="24"/>
          <w:szCs w:val="24"/>
        </w:rPr>
        <w:t>tribal rulers</w:t>
      </w:r>
      <w:r w:rsidR="003C42B0" w:rsidRPr="008236B0">
        <w:rPr>
          <w:rFonts w:ascii="Times New Roman" w:hAnsi="Times New Roman" w:cs="Times New Roman"/>
          <w:sz w:val="24"/>
          <w:szCs w:val="24"/>
        </w:rPr>
        <w:t xml:space="preserve"> who submitted to Claudius in</w:t>
      </w:r>
      <w:r w:rsidR="00D838A0" w:rsidRPr="008236B0">
        <w:rPr>
          <w:rFonts w:ascii="Times New Roman" w:hAnsi="Times New Roman" w:cs="Times New Roman"/>
          <w:sz w:val="24"/>
          <w:szCs w:val="24"/>
        </w:rPr>
        <w:t xml:space="preserve"> 43 </w:t>
      </w:r>
      <w:r w:rsidR="003C42B0" w:rsidRPr="008236B0">
        <w:rPr>
          <w:rFonts w:ascii="Times New Roman" w:hAnsi="Times New Roman" w:cs="Times New Roman"/>
          <w:sz w:val="24"/>
          <w:szCs w:val="24"/>
        </w:rPr>
        <w:t>AD.</w:t>
      </w:r>
      <w:r w:rsidR="00B80B58" w:rsidRPr="008236B0">
        <w:rPr>
          <w:rStyle w:val="FootnoteReference"/>
          <w:rFonts w:ascii="Times New Roman" w:hAnsi="Times New Roman" w:cs="Times New Roman"/>
          <w:sz w:val="24"/>
          <w:szCs w:val="24"/>
        </w:rPr>
        <w:footnoteReference w:id="6"/>
      </w:r>
      <w:r w:rsidR="003C42B0" w:rsidRPr="008236B0">
        <w:rPr>
          <w:rFonts w:ascii="Times New Roman" w:hAnsi="Times New Roman" w:cs="Times New Roman"/>
          <w:sz w:val="24"/>
          <w:szCs w:val="24"/>
        </w:rPr>
        <w:t xml:space="preserve"> </w:t>
      </w:r>
      <w:r w:rsidR="009B1D84" w:rsidRPr="008236B0">
        <w:rPr>
          <w:rFonts w:ascii="Times New Roman" w:hAnsi="Times New Roman" w:cs="Times New Roman"/>
          <w:sz w:val="24"/>
          <w:szCs w:val="24"/>
        </w:rPr>
        <w:t xml:space="preserve">As </w:t>
      </w:r>
      <w:r w:rsidR="003C42B0" w:rsidRPr="008236B0">
        <w:rPr>
          <w:rFonts w:ascii="Times New Roman" w:hAnsi="Times New Roman" w:cs="Times New Roman"/>
          <w:sz w:val="24"/>
          <w:szCs w:val="24"/>
        </w:rPr>
        <w:t xml:space="preserve">the </w:t>
      </w:r>
      <w:r w:rsidR="00040FAD">
        <w:rPr>
          <w:rFonts w:ascii="Times New Roman" w:hAnsi="Times New Roman" w:cs="Times New Roman"/>
          <w:sz w:val="24"/>
          <w:szCs w:val="24"/>
        </w:rPr>
        <w:t>Iron Age</w:t>
      </w:r>
      <w:r w:rsidR="003C42B0" w:rsidRPr="008236B0">
        <w:rPr>
          <w:rFonts w:ascii="Times New Roman" w:hAnsi="Times New Roman" w:cs="Times New Roman"/>
          <w:sz w:val="24"/>
          <w:szCs w:val="24"/>
        </w:rPr>
        <w:t xml:space="preserve"> peoples of </w:t>
      </w:r>
      <w:r w:rsidR="00040FAD">
        <w:rPr>
          <w:rFonts w:ascii="Times New Roman" w:hAnsi="Times New Roman" w:cs="Times New Roman"/>
          <w:sz w:val="24"/>
          <w:szCs w:val="24"/>
        </w:rPr>
        <w:t xml:space="preserve">Celtic </w:t>
      </w:r>
      <w:r w:rsidR="003C42B0" w:rsidRPr="008236B0">
        <w:rPr>
          <w:rFonts w:ascii="Times New Roman" w:hAnsi="Times New Roman" w:cs="Times New Roman"/>
          <w:sz w:val="24"/>
          <w:szCs w:val="24"/>
        </w:rPr>
        <w:t>Britain did</w:t>
      </w:r>
      <w:r w:rsidR="002F627A" w:rsidRPr="008236B0">
        <w:rPr>
          <w:rFonts w:ascii="Times New Roman" w:hAnsi="Times New Roman" w:cs="Times New Roman"/>
          <w:sz w:val="24"/>
          <w:szCs w:val="24"/>
        </w:rPr>
        <w:t xml:space="preserve"> no</w:t>
      </w:r>
      <w:r w:rsidR="003C42B0" w:rsidRPr="008236B0">
        <w:rPr>
          <w:rFonts w:ascii="Times New Roman" w:hAnsi="Times New Roman" w:cs="Times New Roman"/>
          <w:sz w:val="24"/>
          <w:szCs w:val="24"/>
        </w:rPr>
        <w:t>t leave written records</w:t>
      </w:r>
      <w:r w:rsidR="00BE5E62" w:rsidRPr="008236B0">
        <w:rPr>
          <w:rFonts w:ascii="Times New Roman" w:hAnsi="Times New Roman" w:cs="Times New Roman"/>
          <w:sz w:val="24"/>
          <w:szCs w:val="24"/>
        </w:rPr>
        <w:t xml:space="preserve">, </w:t>
      </w:r>
      <w:r w:rsidR="0018310F" w:rsidRPr="008236B0">
        <w:rPr>
          <w:rFonts w:ascii="Times New Roman" w:hAnsi="Times New Roman" w:cs="Times New Roman"/>
          <w:sz w:val="24"/>
          <w:szCs w:val="24"/>
        </w:rPr>
        <w:t xml:space="preserve">there is no direct archaeological evidence </w:t>
      </w:r>
      <w:r w:rsidR="00040FAD">
        <w:rPr>
          <w:rFonts w:ascii="Times New Roman" w:hAnsi="Times New Roman" w:cs="Times New Roman"/>
          <w:sz w:val="24"/>
          <w:szCs w:val="24"/>
        </w:rPr>
        <w:t xml:space="preserve">for the life </w:t>
      </w:r>
      <w:r w:rsidR="00C50B09">
        <w:rPr>
          <w:rFonts w:ascii="Times New Roman" w:hAnsi="Times New Roman" w:cs="Times New Roman"/>
          <w:sz w:val="24"/>
          <w:szCs w:val="24"/>
        </w:rPr>
        <w:t xml:space="preserve">of </w:t>
      </w:r>
      <w:r w:rsidR="00C50B09" w:rsidRPr="008236B0">
        <w:rPr>
          <w:rFonts w:ascii="Times New Roman" w:hAnsi="Times New Roman" w:cs="Times New Roman"/>
          <w:sz w:val="24"/>
          <w:szCs w:val="24"/>
        </w:rPr>
        <w:t>Cartimandua</w:t>
      </w:r>
      <w:r w:rsidR="003C42B0" w:rsidRPr="008236B0">
        <w:rPr>
          <w:rFonts w:ascii="Times New Roman" w:hAnsi="Times New Roman" w:cs="Times New Roman"/>
          <w:sz w:val="24"/>
          <w:szCs w:val="24"/>
        </w:rPr>
        <w:t>, leaving only the writings of Tacitus</w:t>
      </w:r>
      <w:r w:rsidR="0018310F" w:rsidRPr="008236B0">
        <w:rPr>
          <w:rFonts w:ascii="Times New Roman" w:hAnsi="Times New Roman" w:cs="Times New Roman"/>
          <w:sz w:val="24"/>
          <w:szCs w:val="24"/>
        </w:rPr>
        <w:t xml:space="preserve"> </w:t>
      </w:r>
      <w:r w:rsidR="00E43F04" w:rsidRPr="008236B0">
        <w:rPr>
          <w:rFonts w:ascii="Times New Roman" w:hAnsi="Times New Roman" w:cs="Times New Roman"/>
          <w:sz w:val="24"/>
          <w:szCs w:val="24"/>
        </w:rPr>
        <w:t>for study and analysis</w:t>
      </w:r>
      <w:r w:rsidR="003C42B0" w:rsidRPr="008236B0">
        <w:rPr>
          <w:rFonts w:ascii="Times New Roman" w:hAnsi="Times New Roman" w:cs="Times New Roman"/>
          <w:sz w:val="24"/>
          <w:szCs w:val="24"/>
        </w:rPr>
        <w:t xml:space="preserve">. </w:t>
      </w:r>
    </w:p>
    <w:p w14:paraId="27F8B462" w14:textId="218FEAAF" w:rsidR="00051F03" w:rsidRPr="008236B0" w:rsidRDefault="00051F03" w:rsidP="00051F03">
      <w:pPr>
        <w:spacing w:line="360" w:lineRule="auto"/>
        <w:jc w:val="center"/>
        <w:rPr>
          <w:rFonts w:ascii="Times New Roman" w:hAnsi="Times New Roman" w:cs="Times New Roman"/>
          <w:sz w:val="24"/>
          <w:szCs w:val="24"/>
          <w:u w:val="single"/>
        </w:rPr>
      </w:pPr>
      <w:r w:rsidRPr="008236B0">
        <w:rPr>
          <w:rFonts w:ascii="Times New Roman" w:hAnsi="Times New Roman" w:cs="Times New Roman"/>
          <w:sz w:val="24"/>
          <w:szCs w:val="24"/>
          <w:u w:val="single"/>
        </w:rPr>
        <w:t>The Captur</w:t>
      </w:r>
      <w:r w:rsidR="001477F8" w:rsidRPr="008236B0">
        <w:rPr>
          <w:rFonts w:ascii="Times New Roman" w:hAnsi="Times New Roman" w:cs="Times New Roman"/>
          <w:sz w:val="24"/>
          <w:szCs w:val="24"/>
          <w:u w:val="single"/>
        </w:rPr>
        <w:t>e</w:t>
      </w:r>
      <w:r w:rsidRPr="008236B0">
        <w:rPr>
          <w:rFonts w:ascii="Times New Roman" w:hAnsi="Times New Roman" w:cs="Times New Roman"/>
          <w:sz w:val="24"/>
          <w:szCs w:val="24"/>
          <w:u w:val="single"/>
        </w:rPr>
        <w:t xml:space="preserve"> of Caratacus</w:t>
      </w:r>
    </w:p>
    <w:p w14:paraId="4DCDC5A4" w14:textId="3BB592BA" w:rsidR="00D32E43" w:rsidRPr="008236B0" w:rsidRDefault="00A4705C" w:rsidP="0045353D">
      <w:pPr>
        <w:spacing w:line="360" w:lineRule="auto"/>
        <w:jc w:val="both"/>
        <w:rPr>
          <w:rFonts w:ascii="Times New Roman" w:hAnsi="Times New Roman" w:cs="Times New Roman"/>
          <w:sz w:val="24"/>
          <w:szCs w:val="24"/>
        </w:rPr>
      </w:pPr>
      <w:r w:rsidRPr="008236B0">
        <w:rPr>
          <w:noProof/>
        </w:rPr>
        <mc:AlternateContent>
          <mc:Choice Requires="wps">
            <w:drawing>
              <wp:anchor distT="0" distB="0" distL="114300" distR="114300" simplePos="0" relativeHeight="251663360" behindDoc="1" locked="0" layoutInCell="1" allowOverlap="1" wp14:anchorId="334574D3" wp14:editId="0F098154">
                <wp:simplePos x="0" y="0"/>
                <wp:positionH relativeFrom="column">
                  <wp:posOffset>2035810</wp:posOffset>
                </wp:positionH>
                <wp:positionV relativeFrom="paragraph">
                  <wp:posOffset>3161665</wp:posOffset>
                </wp:positionV>
                <wp:extent cx="3695700" cy="635"/>
                <wp:effectExtent l="0" t="0" r="0" b="0"/>
                <wp:wrapTight wrapText="bothSides">
                  <wp:wrapPolygon edited="0">
                    <wp:start x="0" y="0"/>
                    <wp:lineTo x="0" y="21600"/>
                    <wp:lineTo x="21600" y="21600"/>
                    <wp:lineTo x="21600" y="0"/>
                  </wp:wrapPolygon>
                </wp:wrapTight>
                <wp:docPr id="836396716" name="Text Box 1"/>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wps:spPr>
                      <wps:txbx>
                        <w:txbxContent>
                          <w:p w14:paraId="6FE90014" w14:textId="6CDA8955" w:rsidR="00A4705C" w:rsidRPr="00363E98" w:rsidRDefault="00A4705C" w:rsidP="00A4705C">
                            <w:pPr>
                              <w:pStyle w:val="Caption"/>
                              <w:rPr>
                                <w:rFonts w:ascii="Times New Roman" w:hAnsi="Times New Roman" w:cs="Times New Roman"/>
                                <w:noProof/>
                                <w:sz w:val="24"/>
                                <w:szCs w:val="24"/>
                              </w:rPr>
                            </w:pPr>
                            <w:r>
                              <w:t xml:space="preserve">Figure </w:t>
                            </w:r>
                            <w:fldSimple w:instr=" SEQ Figure \* ARABIC ">
                              <w:r>
                                <w:rPr>
                                  <w:noProof/>
                                </w:rPr>
                                <w:t>2</w:t>
                              </w:r>
                            </w:fldSimple>
                            <w:r w:rsidR="00040FAD">
                              <w:t>:</w:t>
                            </w:r>
                            <w:r>
                              <w:t xml:space="preserve"> </w:t>
                            </w:r>
                            <w:r w:rsidRPr="00081E27">
                              <w:t xml:space="preserve">Caractacus, King of the Silures, </w:t>
                            </w:r>
                            <w:r w:rsidRPr="00081E27">
                              <w:t>deliver'd up to Ostorius, the Roman General, by Cartismandua, Queen of the Brigantes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4574D3" id="_x0000_s1027" type="#_x0000_t202" style="position:absolute;left:0;text-align:left;margin-left:160.3pt;margin-top:248.95pt;width:291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" stroked="f">
                <v:textbox style="mso-fit-shape-to-text:t" inset="0,0,0,0">
                  <w:txbxContent>
                    <w:p w14:paraId="6FE90014" w14:textId="6CDA8955" w:rsidR="00A4705C" w:rsidRPr="00363E98" w:rsidRDefault="00A4705C" w:rsidP="00A4705C">
                      <w:pPr>
                        <w:pStyle w:val="Caption"/>
                        <w:rPr>
                          <w:rFonts w:ascii="Times New Roman" w:hAnsi="Times New Roman" w:cs="Times New Roman"/>
                          <w:noProof/>
                          <w:sz w:val="24"/>
                          <w:szCs w:val="24"/>
                        </w:rPr>
                      </w:pPr>
                      <w:r>
                        <w:t xml:space="preserve">Figure </w:t>
                      </w:r>
                      <w:fldSimple w:instr=" SEQ Figure \* ARABIC ">
                        <w:r>
                          <w:rPr>
                            <w:noProof/>
                          </w:rPr>
                          <w:t>2</w:t>
                        </w:r>
                      </w:fldSimple>
                      <w:r w:rsidR="00040FAD">
                        <w:t>:</w:t>
                      </w:r>
                      <w:r>
                        <w:t xml:space="preserve"> </w:t>
                      </w:r>
                      <w:r w:rsidRPr="00081E27">
                        <w:t xml:space="preserve">Caractacus, King of the Silures, </w:t>
                      </w:r>
                      <w:r w:rsidRPr="00081E27">
                        <w:t>deliver'd up to Ostorius, the Roman General, by Cartismandua, Queen of the Brigantes</w:t>
                      </w:r>
                    </w:p>
                  </w:txbxContent>
                </v:textbox>
                <w10:wrap type="tight"/>
              </v:shape>
            </w:pict>
          </mc:Fallback>
        </mc:AlternateContent>
      </w:r>
      <w:r w:rsidR="00E43F04" w:rsidRPr="008236B0">
        <w:rPr>
          <w:rFonts w:ascii="Times New Roman" w:hAnsi="Times New Roman" w:cs="Times New Roman"/>
          <w:noProof/>
          <w:sz w:val="24"/>
          <w:szCs w:val="24"/>
        </w:rPr>
        <w:drawing>
          <wp:anchor distT="0" distB="0" distL="114300" distR="114300" simplePos="0" relativeHeight="251659264" behindDoc="1" locked="0" layoutInCell="1" allowOverlap="1" wp14:anchorId="17DB035E" wp14:editId="54102D0A">
            <wp:simplePos x="0" y="0"/>
            <wp:positionH relativeFrom="margin">
              <wp:align>right</wp:align>
            </wp:positionH>
            <wp:positionV relativeFrom="paragraph">
              <wp:posOffset>6350</wp:posOffset>
            </wp:positionV>
            <wp:extent cx="3695700" cy="3098165"/>
            <wp:effectExtent l="0" t="0" r="0" b="6985"/>
            <wp:wrapTight wrapText="bothSides">
              <wp:wrapPolygon edited="0">
                <wp:start x="0" y="0"/>
                <wp:lineTo x="0" y="21516"/>
                <wp:lineTo x="21489" y="21516"/>
                <wp:lineTo x="21489" y="0"/>
                <wp:lineTo x="0" y="0"/>
              </wp:wrapPolygon>
            </wp:wrapTight>
            <wp:docPr id="201955206" name="Picture 1" descr="A drawing of a person surrounded by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55206" name="Picture 1" descr="A drawing of a person surrounded by peop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95700" cy="3098165"/>
                    </a:xfrm>
                    <a:prstGeom prst="rect">
                      <a:avLst/>
                    </a:prstGeom>
                  </pic:spPr>
                </pic:pic>
              </a:graphicData>
            </a:graphic>
          </wp:anchor>
        </w:drawing>
      </w:r>
      <w:r w:rsidR="00814F89" w:rsidRPr="008236B0">
        <w:rPr>
          <w:rFonts w:ascii="Times New Roman" w:hAnsi="Times New Roman" w:cs="Times New Roman"/>
          <w:sz w:val="24"/>
          <w:szCs w:val="24"/>
        </w:rPr>
        <w:t xml:space="preserve">Cartimandua is best known for </w:t>
      </w:r>
      <w:r w:rsidR="0045353D" w:rsidRPr="008236B0">
        <w:rPr>
          <w:rFonts w:ascii="Times New Roman" w:hAnsi="Times New Roman" w:cs="Times New Roman"/>
          <w:sz w:val="24"/>
          <w:szCs w:val="24"/>
        </w:rPr>
        <w:t>capturing</w:t>
      </w:r>
      <w:r w:rsidR="00814F89" w:rsidRPr="008236B0">
        <w:rPr>
          <w:rFonts w:ascii="Times New Roman" w:hAnsi="Times New Roman" w:cs="Times New Roman"/>
          <w:sz w:val="24"/>
          <w:szCs w:val="24"/>
        </w:rPr>
        <w:t xml:space="preserve"> the British resistance fighter Caratacus, who came to her for sanctuary, and </w:t>
      </w:r>
      <w:r w:rsidR="0045353D" w:rsidRPr="008236B0">
        <w:rPr>
          <w:rFonts w:ascii="Times New Roman" w:hAnsi="Times New Roman" w:cs="Times New Roman"/>
          <w:sz w:val="24"/>
          <w:szCs w:val="24"/>
        </w:rPr>
        <w:t>handing</w:t>
      </w:r>
      <w:r w:rsidR="00814F89" w:rsidRPr="008236B0">
        <w:rPr>
          <w:rFonts w:ascii="Times New Roman" w:hAnsi="Times New Roman" w:cs="Times New Roman"/>
          <w:sz w:val="24"/>
          <w:szCs w:val="24"/>
        </w:rPr>
        <w:t xml:space="preserve"> him to Rome in chains in 5</w:t>
      </w:r>
      <w:r w:rsidR="00CA0E5C" w:rsidRPr="008236B0">
        <w:rPr>
          <w:rFonts w:ascii="Times New Roman" w:hAnsi="Times New Roman" w:cs="Times New Roman"/>
          <w:sz w:val="24"/>
          <w:szCs w:val="24"/>
        </w:rPr>
        <w:t>2</w:t>
      </w:r>
      <w:r w:rsidR="00814F89" w:rsidRPr="008236B0">
        <w:rPr>
          <w:rFonts w:ascii="Times New Roman" w:hAnsi="Times New Roman" w:cs="Times New Roman"/>
          <w:sz w:val="24"/>
          <w:szCs w:val="24"/>
        </w:rPr>
        <w:t xml:space="preserve"> AD</w:t>
      </w:r>
      <w:r w:rsidR="002F627A" w:rsidRPr="008236B0">
        <w:rPr>
          <w:rFonts w:ascii="Times New Roman" w:hAnsi="Times New Roman" w:cs="Times New Roman"/>
          <w:sz w:val="24"/>
          <w:szCs w:val="24"/>
        </w:rPr>
        <w:t>.</w:t>
      </w:r>
      <w:r w:rsidR="00E43F04" w:rsidRPr="008236B0">
        <w:rPr>
          <w:rFonts w:ascii="Times New Roman" w:hAnsi="Times New Roman" w:cs="Times New Roman"/>
          <w:sz w:val="24"/>
          <w:szCs w:val="24"/>
        </w:rPr>
        <w:t xml:space="preserve"> </w:t>
      </w:r>
      <w:r w:rsidR="00CA0E5C" w:rsidRPr="008236B0">
        <w:rPr>
          <w:rFonts w:ascii="Times New Roman" w:hAnsi="Times New Roman" w:cs="Times New Roman"/>
          <w:sz w:val="24"/>
          <w:szCs w:val="24"/>
        </w:rPr>
        <w:t>Th</w:t>
      </w:r>
      <w:r w:rsidR="00BE5E62" w:rsidRPr="008236B0">
        <w:rPr>
          <w:rFonts w:ascii="Times New Roman" w:hAnsi="Times New Roman" w:cs="Times New Roman"/>
          <w:sz w:val="24"/>
          <w:szCs w:val="24"/>
        </w:rPr>
        <w:t xml:space="preserve">is </w:t>
      </w:r>
      <w:r w:rsidR="00814F89" w:rsidRPr="008236B0">
        <w:rPr>
          <w:rFonts w:ascii="Times New Roman" w:hAnsi="Times New Roman" w:cs="Times New Roman"/>
          <w:sz w:val="24"/>
          <w:szCs w:val="24"/>
        </w:rPr>
        <w:t>was interpreted by Tacitus as an act of treachery.</w:t>
      </w:r>
      <w:r w:rsidR="006D5339">
        <w:rPr>
          <w:rStyle w:val="FootnoteReference"/>
          <w:rFonts w:ascii="Times New Roman" w:hAnsi="Times New Roman" w:cs="Times New Roman"/>
          <w:sz w:val="24"/>
          <w:szCs w:val="24"/>
        </w:rPr>
        <w:footnoteReference w:id="7"/>
      </w:r>
      <w:r w:rsidR="00814F89" w:rsidRPr="008236B0">
        <w:rPr>
          <w:rFonts w:ascii="Times New Roman" w:hAnsi="Times New Roman" w:cs="Times New Roman"/>
          <w:sz w:val="24"/>
          <w:szCs w:val="24"/>
        </w:rPr>
        <w:t xml:space="preserve"> However, it could be argued that Cartimandua was doing exactly what she should have done, as an ally to Rome. It is easy to imagine that, had she honoured the plea of Caratacus and provided him with sanctuary, she would have made herself and her people an enemy of </w:t>
      </w:r>
      <w:r w:rsidR="002F627A" w:rsidRPr="008236B0">
        <w:rPr>
          <w:rFonts w:ascii="Times New Roman" w:hAnsi="Times New Roman" w:cs="Times New Roman"/>
          <w:sz w:val="24"/>
          <w:szCs w:val="24"/>
        </w:rPr>
        <w:t>Rome.</w:t>
      </w:r>
      <w:r w:rsidR="00814F89" w:rsidRPr="008236B0">
        <w:rPr>
          <w:rFonts w:ascii="Times New Roman" w:hAnsi="Times New Roman" w:cs="Times New Roman"/>
          <w:sz w:val="24"/>
          <w:szCs w:val="24"/>
        </w:rPr>
        <w:t xml:space="preserve"> </w:t>
      </w:r>
      <w:r w:rsidR="00D32E43" w:rsidRPr="008236B0">
        <w:rPr>
          <w:rFonts w:ascii="Times New Roman" w:hAnsi="Times New Roman" w:cs="Times New Roman"/>
          <w:sz w:val="24"/>
          <w:szCs w:val="24"/>
        </w:rPr>
        <w:t>The capture of Caratacus was an important triumph for Rome</w:t>
      </w:r>
      <w:r w:rsidR="003A7153" w:rsidRPr="008236B0">
        <w:rPr>
          <w:rFonts w:ascii="Times New Roman" w:hAnsi="Times New Roman" w:cs="Times New Roman"/>
          <w:sz w:val="24"/>
          <w:szCs w:val="24"/>
        </w:rPr>
        <w:t>,</w:t>
      </w:r>
      <w:r w:rsidR="00CA0E5C" w:rsidRPr="008236B0">
        <w:rPr>
          <w:rFonts w:ascii="Times New Roman" w:hAnsi="Times New Roman" w:cs="Times New Roman"/>
          <w:sz w:val="24"/>
          <w:szCs w:val="24"/>
        </w:rPr>
        <w:t xml:space="preserve"> with Tacitus writing</w:t>
      </w:r>
      <w:r w:rsidR="00E43F04" w:rsidRPr="008236B0">
        <w:rPr>
          <w:rFonts w:ascii="Times New Roman" w:hAnsi="Times New Roman" w:cs="Times New Roman"/>
          <w:sz w:val="24"/>
          <w:szCs w:val="24"/>
        </w:rPr>
        <w:t xml:space="preserve"> ‘even in Rome, the name of Caratacus was not without honour</w:t>
      </w:r>
      <w:r w:rsidR="00040FAD">
        <w:rPr>
          <w:rFonts w:ascii="Times New Roman" w:hAnsi="Times New Roman" w:cs="Times New Roman"/>
          <w:sz w:val="24"/>
          <w:szCs w:val="24"/>
        </w:rPr>
        <w:t>’</w:t>
      </w:r>
      <w:r w:rsidR="00B02440" w:rsidRPr="008236B0">
        <w:rPr>
          <w:rFonts w:ascii="Times New Roman" w:hAnsi="Times New Roman" w:cs="Times New Roman"/>
          <w:sz w:val="24"/>
          <w:szCs w:val="24"/>
        </w:rPr>
        <w:t>.</w:t>
      </w:r>
      <w:r w:rsidR="002C125C">
        <w:rPr>
          <w:rStyle w:val="FootnoteReference"/>
          <w:rFonts w:ascii="Times New Roman" w:hAnsi="Times New Roman" w:cs="Times New Roman"/>
          <w:sz w:val="24"/>
          <w:szCs w:val="24"/>
        </w:rPr>
        <w:footnoteReference w:id="8"/>
      </w:r>
      <w:r w:rsidR="00B02440" w:rsidRPr="008236B0">
        <w:rPr>
          <w:rFonts w:ascii="Times New Roman" w:hAnsi="Times New Roman" w:cs="Times New Roman"/>
          <w:sz w:val="24"/>
          <w:szCs w:val="24"/>
        </w:rPr>
        <w:t xml:space="preserve"> </w:t>
      </w:r>
      <w:r w:rsidR="00F45138" w:rsidRPr="008236B0">
        <w:rPr>
          <w:rFonts w:ascii="Times New Roman" w:hAnsi="Times New Roman" w:cs="Times New Roman"/>
          <w:sz w:val="24"/>
          <w:szCs w:val="24"/>
        </w:rPr>
        <w:t>Figure 2</w:t>
      </w:r>
      <w:r w:rsidR="00E43F04" w:rsidRPr="008236B0">
        <w:rPr>
          <w:rFonts w:ascii="Times New Roman" w:hAnsi="Times New Roman" w:cs="Times New Roman"/>
          <w:sz w:val="24"/>
          <w:szCs w:val="24"/>
        </w:rPr>
        <w:t xml:space="preserve"> </w:t>
      </w:r>
      <w:r w:rsidR="00040FAD">
        <w:rPr>
          <w:rFonts w:ascii="Times New Roman" w:hAnsi="Times New Roman" w:cs="Times New Roman"/>
          <w:sz w:val="24"/>
          <w:szCs w:val="24"/>
        </w:rPr>
        <w:t>shows</w:t>
      </w:r>
      <w:r w:rsidR="00E43F04" w:rsidRPr="008236B0">
        <w:rPr>
          <w:rFonts w:ascii="Times New Roman" w:hAnsi="Times New Roman" w:cs="Times New Roman"/>
          <w:sz w:val="24"/>
          <w:szCs w:val="24"/>
        </w:rPr>
        <w:t xml:space="preserve"> Francesco Bartolozzi’s print of William Hamilton’s ‘</w:t>
      </w:r>
      <w:r w:rsidR="00E43F04" w:rsidRPr="008236B0">
        <w:rPr>
          <w:rFonts w:ascii="Times New Roman" w:hAnsi="Times New Roman" w:cs="Times New Roman"/>
          <w:i/>
          <w:iCs/>
          <w:sz w:val="24"/>
          <w:szCs w:val="24"/>
          <w:shd w:val="clear" w:color="auto" w:fill="FFFFFF"/>
        </w:rPr>
        <w:t xml:space="preserve">Caractacus, King of the Silures, </w:t>
      </w:r>
      <w:proofErr w:type="spellStart"/>
      <w:r w:rsidR="00E43F04" w:rsidRPr="008236B0">
        <w:rPr>
          <w:rFonts w:ascii="Times New Roman" w:hAnsi="Times New Roman" w:cs="Times New Roman"/>
          <w:i/>
          <w:iCs/>
          <w:sz w:val="24"/>
          <w:szCs w:val="24"/>
          <w:shd w:val="clear" w:color="auto" w:fill="FFFFFF"/>
        </w:rPr>
        <w:t>deliver'd</w:t>
      </w:r>
      <w:proofErr w:type="spellEnd"/>
      <w:r w:rsidR="00E43F04" w:rsidRPr="008236B0">
        <w:rPr>
          <w:rFonts w:ascii="Times New Roman" w:hAnsi="Times New Roman" w:cs="Times New Roman"/>
          <w:i/>
          <w:iCs/>
          <w:sz w:val="24"/>
          <w:szCs w:val="24"/>
          <w:shd w:val="clear" w:color="auto" w:fill="FFFFFF"/>
        </w:rPr>
        <w:t xml:space="preserve"> up to Ostorius, the Roman General, by </w:t>
      </w:r>
      <w:proofErr w:type="spellStart"/>
      <w:r w:rsidR="00E43F04" w:rsidRPr="008236B0">
        <w:rPr>
          <w:rFonts w:ascii="Times New Roman" w:hAnsi="Times New Roman" w:cs="Times New Roman"/>
          <w:i/>
          <w:iCs/>
          <w:sz w:val="24"/>
          <w:szCs w:val="24"/>
          <w:shd w:val="clear" w:color="auto" w:fill="FFFFFF"/>
        </w:rPr>
        <w:t>Cartismandua</w:t>
      </w:r>
      <w:proofErr w:type="spellEnd"/>
      <w:r w:rsidR="00E43F04" w:rsidRPr="008236B0">
        <w:rPr>
          <w:rFonts w:ascii="Times New Roman" w:hAnsi="Times New Roman" w:cs="Times New Roman"/>
          <w:i/>
          <w:iCs/>
          <w:sz w:val="24"/>
          <w:szCs w:val="24"/>
          <w:shd w:val="clear" w:color="auto" w:fill="FFFFFF"/>
        </w:rPr>
        <w:t xml:space="preserve">, Queen of the </w:t>
      </w:r>
      <w:proofErr w:type="spellStart"/>
      <w:r w:rsidR="00E43F04" w:rsidRPr="008236B0">
        <w:rPr>
          <w:rFonts w:ascii="Times New Roman" w:hAnsi="Times New Roman" w:cs="Times New Roman"/>
          <w:i/>
          <w:iCs/>
          <w:sz w:val="24"/>
          <w:szCs w:val="24"/>
          <w:shd w:val="clear" w:color="auto" w:fill="FFFFFF"/>
        </w:rPr>
        <w:t>Brigantes</w:t>
      </w:r>
      <w:proofErr w:type="spellEnd"/>
      <w:r w:rsidR="00E43F04" w:rsidRPr="008236B0">
        <w:rPr>
          <w:rFonts w:ascii="Times New Roman" w:hAnsi="Times New Roman" w:cs="Times New Roman"/>
          <w:sz w:val="24"/>
          <w:szCs w:val="24"/>
          <w:shd w:val="clear" w:color="auto" w:fill="FFFFFF"/>
        </w:rPr>
        <w:t>’.</w:t>
      </w:r>
      <w:r w:rsidR="00262690" w:rsidRPr="008236B0">
        <w:rPr>
          <w:rStyle w:val="FootnoteReference"/>
          <w:rFonts w:ascii="Times New Roman" w:hAnsi="Times New Roman" w:cs="Times New Roman"/>
          <w:sz w:val="24"/>
          <w:szCs w:val="24"/>
          <w:shd w:val="clear" w:color="auto" w:fill="FFFFFF"/>
        </w:rPr>
        <w:footnoteReference w:id="9"/>
      </w:r>
      <w:r w:rsidR="00E43F04" w:rsidRPr="008236B0">
        <w:rPr>
          <w:rFonts w:ascii="Times New Roman" w:hAnsi="Times New Roman" w:cs="Times New Roman"/>
          <w:sz w:val="24"/>
          <w:szCs w:val="24"/>
          <w:shd w:val="clear" w:color="auto" w:fill="FFFFFF"/>
        </w:rPr>
        <w:t xml:space="preserve"> This is a 1788 etching depicting the scene, according to the Neoclassical style that was popular at the time; note the clothing of Cartimandua, who is depicted wearing highly stylised versions of a stola and </w:t>
      </w:r>
      <w:proofErr w:type="spellStart"/>
      <w:r w:rsidR="00E43F04" w:rsidRPr="008236B0">
        <w:rPr>
          <w:rFonts w:ascii="Times New Roman" w:hAnsi="Times New Roman" w:cs="Times New Roman"/>
          <w:sz w:val="24"/>
          <w:szCs w:val="24"/>
          <w:shd w:val="clear" w:color="auto" w:fill="FFFFFF"/>
        </w:rPr>
        <w:t>palla</w:t>
      </w:r>
      <w:proofErr w:type="spellEnd"/>
      <w:r w:rsidR="00E43F04" w:rsidRPr="008236B0">
        <w:rPr>
          <w:rFonts w:ascii="Times New Roman" w:hAnsi="Times New Roman" w:cs="Times New Roman"/>
          <w:sz w:val="24"/>
          <w:szCs w:val="24"/>
          <w:shd w:val="clear" w:color="auto" w:fill="FFFFFF"/>
        </w:rPr>
        <w:t>.</w:t>
      </w:r>
      <w:r w:rsidR="00262690" w:rsidRPr="008236B0">
        <w:rPr>
          <w:rFonts w:ascii="Times New Roman" w:hAnsi="Times New Roman" w:cs="Times New Roman"/>
          <w:sz w:val="24"/>
          <w:szCs w:val="24"/>
          <w:shd w:val="clear" w:color="auto" w:fill="FFFFFF"/>
        </w:rPr>
        <w:t xml:space="preserve"> </w:t>
      </w:r>
    </w:p>
    <w:p w14:paraId="44FC74C2" w14:textId="7FF18643" w:rsidR="00D32E43" w:rsidRPr="008236B0" w:rsidRDefault="009B1D84" w:rsidP="000511F3">
      <w:pPr>
        <w:spacing w:line="360" w:lineRule="auto"/>
        <w:rPr>
          <w:rFonts w:ascii="Times New Roman" w:hAnsi="Times New Roman" w:cs="Times New Roman"/>
          <w:sz w:val="24"/>
          <w:szCs w:val="24"/>
        </w:rPr>
      </w:pPr>
      <w:r w:rsidRPr="008236B0">
        <w:rPr>
          <w:rFonts w:ascii="Times New Roman" w:hAnsi="Times New Roman" w:cs="Times New Roman"/>
          <w:sz w:val="24"/>
          <w:szCs w:val="24"/>
        </w:rPr>
        <w:lastRenderedPageBreak/>
        <w:t xml:space="preserve">Tacitus appears to have held Caratacus in higher regard than he did Cartimandua, </w:t>
      </w:r>
      <w:r w:rsidR="004405FD" w:rsidRPr="008236B0">
        <w:rPr>
          <w:rFonts w:ascii="Times New Roman" w:hAnsi="Times New Roman" w:cs="Times New Roman"/>
          <w:sz w:val="24"/>
          <w:szCs w:val="24"/>
        </w:rPr>
        <w:t>though</w:t>
      </w:r>
      <w:r w:rsidRPr="008236B0">
        <w:rPr>
          <w:rFonts w:ascii="Times New Roman" w:hAnsi="Times New Roman" w:cs="Times New Roman"/>
          <w:sz w:val="24"/>
          <w:szCs w:val="24"/>
        </w:rPr>
        <w:t xml:space="preserve"> the former </w:t>
      </w:r>
      <w:r w:rsidR="004405FD" w:rsidRPr="008236B0">
        <w:rPr>
          <w:rFonts w:ascii="Times New Roman" w:hAnsi="Times New Roman" w:cs="Times New Roman"/>
          <w:sz w:val="24"/>
          <w:szCs w:val="24"/>
        </w:rPr>
        <w:t>was</w:t>
      </w:r>
      <w:r w:rsidRPr="008236B0">
        <w:rPr>
          <w:rFonts w:ascii="Times New Roman" w:hAnsi="Times New Roman" w:cs="Times New Roman"/>
          <w:sz w:val="24"/>
          <w:szCs w:val="24"/>
        </w:rPr>
        <w:t xml:space="preserve"> an enemy of Rome. This feeling</w:t>
      </w:r>
      <w:r w:rsidR="00577554" w:rsidRPr="008236B0">
        <w:rPr>
          <w:rFonts w:ascii="Times New Roman" w:hAnsi="Times New Roman" w:cs="Times New Roman"/>
          <w:sz w:val="24"/>
          <w:szCs w:val="24"/>
        </w:rPr>
        <w:t xml:space="preserve"> of fondness</w:t>
      </w:r>
      <w:r w:rsidRPr="008236B0">
        <w:rPr>
          <w:rFonts w:ascii="Times New Roman" w:hAnsi="Times New Roman" w:cs="Times New Roman"/>
          <w:sz w:val="24"/>
          <w:szCs w:val="24"/>
        </w:rPr>
        <w:t xml:space="preserve"> </w:t>
      </w:r>
      <w:r w:rsidR="00D467E8" w:rsidRPr="008236B0">
        <w:rPr>
          <w:rFonts w:ascii="Times New Roman" w:hAnsi="Times New Roman" w:cs="Times New Roman"/>
          <w:sz w:val="24"/>
          <w:szCs w:val="24"/>
        </w:rPr>
        <w:t>was mirrored by the emperor himself</w:t>
      </w:r>
      <w:r w:rsidRPr="008236B0">
        <w:rPr>
          <w:rFonts w:ascii="Times New Roman" w:hAnsi="Times New Roman" w:cs="Times New Roman"/>
          <w:sz w:val="24"/>
          <w:szCs w:val="24"/>
        </w:rPr>
        <w:t xml:space="preserve">, as Caratacus was </w:t>
      </w:r>
      <w:r w:rsidR="00B964B1" w:rsidRPr="008236B0">
        <w:rPr>
          <w:rFonts w:ascii="Times New Roman" w:hAnsi="Times New Roman" w:cs="Times New Roman"/>
          <w:sz w:val="24"/>
          <w:szCs w:val="24"/>
        </w:rPr>
        <w:t>allowed</w:t>
      </w:r>
      <w:r w:rsidRPr="008236B0">
        <w:rPr>
          <w:rFonts w:ascii="Times New Roman" w:hAnsi="Times New Roman" w:cs="Times New Roman"/>
          <w:sz w:val="24"/>
          <w:szCs w:val="24"/>
        </w:rPr>
        <w:t xml:space="preserve"> to live in Rome with his family after his capture, despite his previous </w:t>
      </w:r>
      <w:r w:rsidR="00F45138" w:rsidRPr="008236B0">
        <w:rPr>
          <w:rFonts w:ascii="Times New Roman" w:hAnsi="Times New Roman" w:cs="Times New Roman"/>
          <w:sz w:val="24"/>
          <w:szCs w:val="24"/>
        </w:rPr>
        <w:t>activities</w:t>
      </w:r>
      <w:r w:rsidRPr="008236B0">
        <w:rPr>
          <w:rFonts w:ascii="Times New Roman" w:hAnsi="Times New Roman" w:cs="Times New Roman"/>
          <w:sz w:val="24"/>
          <w:szCs w:val="24"/>
        </w:rPr>
        <w:t xml:space="preserve"> against the Empire.</w:t>
      </w:r>
      <w:r w:rsidR="00726C3A">
        <w:rPr>
          <w:rStyle w:val="FootnoteReference"/>
          <w:rFonts w:ascii="Times New Roman" w:hAnsi="Times New Roman" w:cs="Times New Roman"/>
          <w:sz w:val="24"/>
          <w:szCs w:val="24"/>
        </w:rPr>
        <w:footnoteReference w:id="10"/>
      </w:r>
      <w:r w:rsidRPr="008236B0">
        <w:rPr>
          <w:rFonts w:ascii="Times New Roman" w:hAnsi="Times New Roman" w:cs="Times New Roman"/>
          <w:sz w:val="24"/>
          <w:szCs w:val="24"/>
        </w:rPr>
        <w:t xml:space="preserve"> Cartimandua was rewarded for her efforts, </w:t>
      </w:r>
      <w:r w:rsidR="00787232" w:rsidRPr="008236B0">
        <w:rPr>
          <w:rFonts w:ascii="Times New Roman" w:hAnsi="Times New Roman" w:cs="Times New Roman"/>
          <w:sz w:val="24"/>
          <w:szCs w:val="24"/>
        </w:rPr>
        <w:t>however</w:t>
      </w:r>
      <w:r w:rsidRPr="008236B0">
        <w:rPr>
          <w:rFonts w:ascii="Times New Roman" w:hAnsi="Times New Roman" w:cs="Times New Roman"/>
          <w:sz w:val="24"/>
          <w:szCs w:val="24"/>
        </w:rPr>
        <w:t xml:space="preserve"> Tacitus </w:t>
      </w:r>
      <w:r w:rsidR="00787232" w:rsidRPr="008236B0">
        <w:rPr>
          <w:rFonts w:ascii="Times New Roman" w:hAnsi="Times New Roman" w:cs="Times New Roman"/>
          <w:sz w:val="24"/>
          <w:szCs w:val="24"/>
        </w:rPr>
        <w:t>writes</w:t>
      </w:r>
      <w:r w:rsidRPr="008236B0">
        <w:rPr>
          <w:rFonts w:ascii="Times New Roman" w:hAnsi="Times New Roman" w:cs="Times New Roman"/>
          <w:sz w:val="24"/>
          <w:szCs w:val="24"/>
        </w:rPr>
        <w:t xml:space="preserve"> that from these rewards ‘came her wealth and the wanton spirit which success breeds’</w:t>
      </w:r>
      <w:r w:rsidR="00F45138" w:rsidRPr="008236B0">
        <w:rPr>
          <w:rFonts w:ascii="Times New Roman" w:hAnsi="Times New Roman" w:cs="Times New Roman"/>
          <w:sz w:val="24"/>
          <w:szCs w:val="24"/>
        </w:rPr>
        <w:t>.</w:t>
      </w:r>
      <w:r w:rsidR="006D5339">
        <w:rPr>
          <w:rStyle w:val="FootnoteReference"/>
          <w:rFonts w:ascii="Times New Roman" w:hAnsi="Times New Roman" w:cs="Times New Roman"/>
          <w:sz w:val="24"/>
          <w:szCs w:val="24"/>
        </w:rPr>
        <w:footnoteReference w:id="11"/>
      </w:r>
      <w:r w:rsidR="004D180A" w:rsidRPr="008236B0">
        <w:rPr>
          <w:rFonts w:ascii="Times New Roman" w:hAnsi="Times New Roman" w:cs="Times New Roman"/>
          <w:sz w:val="24"/>
          <w:szCs w:val="24"/>
        </w:rPr>
        <w:t xml:space="preserve"> </w:t>
      </w:r>
      <w:r w:rsidR="00577554" w:rsidRPr="008236B0">
        <w:rPr>
          <w:rFonts w:ascii="Times New Roman" w:hAnsi="Times New Roman" w:cs="Times New Roman"/>
          <w:sz w:val="24"/>
          <w:szCs w:val="24"/>
        </w:rPr>
        <w:t xml:space="preserve">Tacitus, and Rome in general, </w:t>
      </w:r>
      <w:r w:rsidR="00787232" w:rsidRPr="008236B0">
        <w:rPr>
          <w:rFonts w:ascii="Times New Roman" w:hAnsi="Times New Roman" w:cs="Times New Roman"/>
          <w:sz w:val="24"/>
          <w:szCs w:val="24"/>
        </w:rPr>
        <w:t>were unused to women having any kind of political power and this may explain his derisory comment</w:t>
      </w:r>
      <w:r w:rsidR="00D467E8" w:rsidRPr="008236B0">
        <w:rPr>
          <w:rFonts w:ascii="Times New Roman" w:hAnsi="Times New Roman" w:cs="Times New Roman"/>
          <w:sz w:val="24"/>
          <w:szCs w:val="24"/>
        </w:rPr>
        <w:t>s</w:t>
      </w:r>
      <w:r w:rsidR="00787232" w:rsidRPr="008236B0">
        <w:rPr>
          <w:rFonts w:ascii="Times New Roman" w:hAnsi="Times New Roman" w:cs="Times New Roman"/>
          <w:sz w:val="24"/>
          <w:szCs w:val="24"/>
        </w:rPr>
        <w:t>. Tacitus</w:t>
      </w:r>
      <w:r w:rsidR="00577554" w:rsidRPr="008236B0">
        <w:rPr>
          <w:rFonts w:ascii="Times New Roman" w:hAnsi="Times New Roman" w:cs="Times New Roman"/>
          <w:sz w:val="24"/>
          <w:szCs w:val="24"/>
        </w:rPr>
        <w:t xml:space="preserve"> is likely to be biased</w:t>
      </w:r>
      <w:r w:rsidR="00787232" w:rsidRPr="008236B0">
        <w:rPr>
          <w:rFonts w:ascii="Times New Roman" w:hAnsi="Times New Roman" w:cs="Times New Roman"/>
          <w:sz w:val="24"/>
          <w:szCs w:val="24"/>
        </w:rPr>
        <w:t xml:space="preserve"> and perhaps felt challenged by the fact that a woman was able to deliver to them </w:t>
      </w:r>
      <w:r w:rsidR="00D467E8" w:rsidRPr="008236B0">
        <w:rPr>
          <w:rFonts w:ascii="Times New Roman" w:hAnsi="Times New Roman" w:cs="Times New Roman"/>
          <w:sz w:val="24"/>
          <w:szCs w:val="24"/>
        </w:rPr>
        <w:t>a notorious enemy</w:t>
      </w:r>
      <w:r w:rsidR="00577554" w:rsidRPr="008236B0">
        <w:rPr>
          <w:rFonts w:ascii="Times New Roman" w:hAnsi="Times New Roman" w:cs="Times New Roman"/>
          <w:sz w:val="24"/>
          <w:szCs w:val="24"/>
        </w:rPr>
        <w:t xml:space="preserve">. </w:t>
      </w:r>
      <w:r w:rsidR="00F45138" w:rsidRPr="008236B0">
        <w:rPr>
          <w:rFonts w:ascii="Times New Roman" w:hAnsi="Times New Roman" w:cs="Times New Roman"/>
          <w:sz w:val="24"/>
          <w:szCs w:val="24"/>
        </w:rPr>
        <w:t>J</w:t>
      </w:r>
      <w:r w:rsidR="00577554" w:rsidRPr="008236B0">
        <w:rPr>
          <w:rFonts w:ascii="Times New Roman" w:hAnsi="Times New Roman" w:cs="Times New Roman"/>
          <w:sz w:val="24"/>
          <w:szCs w:val="24"/>
        </w:rPr>
        <w:t>ournalist Jill Armitage writes: ‘Because she was a staunch Roman ally, he couldn’t criticise her as a ruler, so he concentrated on her faults as a woman.’</w:t>
      </w:r>
      <w:r w:rsidR="00DC2E0B" w:rsidRPr="008236B0">
        <w:rPr>
          <w:rStyle w:val="FootnoteReference"/>
          <w:rFonts w:ascii="Times New Roman" w:hAnsi="Times New Roman" w:cs="Times New Roman"/>
          <w:sz w:val="24"/>
          <w:szCs w:val="24"/>
        </w:rPr>
        <w:footnoteReference w:id="12"/>
      </w:r>
      <w:r w:rsidR="00577554" w:rsidRPr="008236B0">
        <w:rPr>
          <w:rFonts w:ascii="Times New Roman" w:hAnsi="Times New Roman" w:cs="Times New Roman"/>
          <w:sz w:val="24"/>
          <w:szCs w:val="24"/>
        </w:rPr>
        <w:t xml:space="preserve"> It is fair to say that Tacitus held some contempt for Cartimandua, despite her alignment with</w:t>
      </w:r>
      <w:r w:rsidR="000511F3" w:rsidRPr="008236B0">
        <w:rPr>
          <w:rFonts w:ascii="Times New Roman" w:hAnsi="Times New Roman" w:cs="Times New Roman"/>
          <w:sz w:val="24"/>
          <w:szCs w:val="24"/>
        </w:rPr>
        <w:t xml:space="preserve"> Rome. </w:t>
      </w:r>
      <w:r w:rsidR="008B4A73" w:rsidRPr="008236B0">
        <w:rPr>
          <w:rFonts w:ascii="Times New Roman" w:hAnsi="Times New Roman" w:cs="Times New Roman"/>
          <w:sz w:val="24"/>
          <w:szCs w:val="24"/>
        </w:rPr>
        <w:t xml:space="preserve">This echoes the general views of women held by </w:t>
      </w:r>
      <w:r w:rsidR="00051F03" w:rsidRPr="008236B0">
        <w:rPr>
          <w:rFonts w:ascii="Times New Roman" w:hAnsi="Times New Roman" w:cs="Times New Roman"/>
          <w:sz w:val="24"/>
          <w:szCs w:val="24"/>
        </w:rPr>
        <w:t>Rome, and</w:t>
      </w:r>
      <w:r w:rsidR="008B4A73" w:rsidRPr="008236B0">
        <w:rPr>
          <w:rFonts w:ascii="Times New Roman" w:hAnsi="Times New Roman" w:cs="Times New Roman"/>
          <w:sz w:val="24"/>
          <w:szCs w:val="24"/>
        </w:rPr>
        <w:t xml:space="preserve"> leads one to question how much of Cartimandua’s life and history could have been rejected or ignored by Tacitus. </w:t>
      </w:r>
    </w:p>
    <w:p w14:paraId="4717149A" w14:textId="4B610A9D" w:rsidR="00051F03" w:rsidRPr="008236B0" w:rsidRDefault="00051F03" w:rsidP="00051F03">
      <w:pPr>
        <w:spacing w:line="360" w:lineRule="auto"/>
        <w:jc w:val="center"/>
        <w:rPr>
          <w:rFonts w:ascii="Times New Roman" w:hAnsi="Times New Roman" w:cs="Times New Roman"/>
          <w:sz w:val="24"/>
          <w:szCs w:val="24"/>
          <w:u w:val="single"/>
        </w:rPr>
      </w:pPr>
      <w:r w:rsidRPr="008236B0">
        <w:rPr>
          <w:rFonts w:ascii="Times New Roman" w:hAnsi="Times New Roman" w:cs="Times New Roman"/>
          <w:sz w:val="24"/>
          <w:szCs w:val="24"/>
          <w:u w:val="single"/>
        </w:rPr>
        <w:t xml:space="preserve">Divorce and War with </w:t>
      </w:r>
      <w:proofErr w:type="spellStart"/>
      <w:r w:rsidRPr="008236B0">
        <w:rPr>
          <w:rFonts w:ascii="Times New Roman" w:hAnsi="Times New Roman" w:cs="Times New Roman"/>
          <w:sz w:val="24"/>
          <w:szCs w:val="24"/>
          <w:u w:val="single"/>
        </w:rPr>
        <w:t>Venutius</w:t>
      </w:r>
      <w:proofErr w:type="spellEnd"/>
    </w:p>
    <w:p w14:paraId="45FD4E32" w14:textId="40015B3C" w:rsidR="004D180A" w:rsidRPr="008236B0" w:rsidRDefault="00577554" w:rsidP="004563BA">
      <w:pPr>
        <w:spacing w:line="360" w:lineRule="auto"/>
        <w:rPr>
          <w:rFonts w:ascii="Times New Roman" w:hAnsi="Times New Roman" w:cs="Times New Roman"/>
          <w:sz w:val="24"/>
          <w:szCs w:val="24"/>
          <w:u w:val="single"/>
        </w:rPr>
      </w:pPr>
      <w:r w:rsidRPr="008236B0">
        <w:rPr>
          <w:rFonts w:ascii="Times New Roman" w:hAnsi="Times New Roman" w:cs="Times New Roman"/>
          <w:sz w:val="24"/>
          <w:szCs w:val="24"/>
        </w:rPr>
        <w:t>Cartimandua was</w:t>
      </w:r>
      <w:r w:rsidR="00F45138" w:rsidRPr="008236B0">
        <w:rPr>
          <w:rFonts w:ascii="Times New Roman" w:hAnsi="Times New Roman" w:cs="Times New Roman"/>
          <w:sz w:val="24"/>
          <w:szCs w:val="24"/>
        </w:rPr>
        <w:t xml:space="preserve"> </w:t>
      </w:r>
      <w:r w:rsidR="000511F3" w:rsidRPr="008236B0">
        <w:rPr>
          <w:rFonts w:ascii="Times New Roman" w:hAnsi="Times New Roman" w:cs="Times New Roman"/>
          <w:sz w:val="24"/>
          <w:szCs w:val="24"/>
        </w:rPr>
        <w:t xml:space="preserve">married to </w:t>
      </w:r>
      <w:proofErr w:type="spellStart"/>
      <w:r w:rsidR="000511F3" w:rsidRPr="008236B0">
        <w:rPr>
          <w:rFonts w:ascii="Times New Roman" w:hAnsi="Times New Roman" w:cs="Times New Roman"/>
          <w:sz w:val="24"/>
          <w:szCs w:val="24"/>
        </w:rPr>
        <w:t>Venutius</w:t>
      </w:r>
      <w:proofErr w:type="spellEnd"/>
      <w:r w:rsidR="000511F3" w:rsidRPr="008236B0">
        <w:rPr>
          <w:rFonts w:ascii="Times New Roman" w:hAnsi="Times New Roman" w:cs="Times New Roman"/>
          <w:sz w:val="24"/>
          <w:szCs w:val="24"/>
        </w:rPr>
        <w:t>.</w:t>
      </w:r>
      <w:r w:rsidR="006D5339">
        <w:rPr>
          <w:rStyle w:val="FootnoteReference"/>
          <w:rFonts w:ascii="Times New Roman" w:hAnsi="Times New Roman" w:cs="Times New Roman"/>
          <w:sz w:val="24"/>
          <w:szCs w:val="24"/>
        </w:rPr>
        <w:footnoteReference w:id="13"/>
      </w:r>
      <w:r w:rsidR="000511F3" w:rsidRPr="008236B0">
        <w:rPr>
          <w:rFonts w:ascii="Times New Roman" w:hAnsi="Times New Roman" w:cs="Times New Roman"/>
          <w:sz w:val="24"/>
          <w:szCs w:val="24"/>
        </w:rPr>
        <w:t xml:space="preserve"> </w:t>
      </w:r>
      <w:r w:rsidR="0029514B" w:rsidRPr="008236B0">
        <w:rPr>
          <w:rFonts w:ascii="Times New Roman" w:hAnsi="Times New Roman" w:cs="Times New Roman"/>
          <w:sz w:val="24"/>
          <w:szCs w:val="24"/>
        </w:rPr>
        <w:t xml:space="preserve">He may have ruled Brigantia alongside Cartimandua. </w:t>
      </w:r>
      <w:r w:rsidR="001477F8" w:rsidRPr="008236B0">
        <w:rPr>
          <w:rFonts w:ascii="Times New Roman" w:hAnsi="Times New Roman" w:cs="Times New Roman"/>
          <w:sz w:val="24"/>
          <w:szCs w:val="24"/>
        </w:rPr>
        <w:t xml:space="preserve">During the reign of </w:t>
      </w:r>
      <w:proofErr w:type="spellStart"/>
      <w:r w:rsidR="001477F8" w:rsidRPr="008236B0">
        <w:rPr>
          <w:rFonts w:ascii="Times New Roman" w:hAnsi="Times New Roman" w:cs="Times New Roman"/>
          <w:sz w:val="24"/>
          <w:szCs w:val="24"/>
        </w:rPr>
        <w:t>Didius</w:t>
      </w:r>
      <w:proofErr w:type="spellEnd"/>
      <w:r w:rsidR="001477F8" w:rsidRPr="008236B0">
        <w:rPr>
          <w:rFonts w:ascii="Times New Roman" w:hAnsi="Times New Roman" w:cs="Times New Roman"/>
          <w:sz w:val="24"/>
          <w:szCs w:val="24"/>
        </w:rPr>
        <w:t xml:space="preserve"> Gallus (52-57 AD)</w:t>
      </w:r>
      <w:r w:rsidR="00671A22" w:rsidRPr="008236B0">
        <w:rPr>
          <w:rFonts w:ascii="Times New Roman" w:hAnsi="Times New Roman" w:cs="Times New Roman"/>
          <w:sz w:val="24"/>
          <w:szCs w:val="24"/>
        </w:rPr>
        <w:t xml:space="preserve">, </w:t>
      </w:r>
      <w:r w:rsidR="004563BA" w:rsidRPr="008236B0">
        <w:rPr>
          <w:rFonts w:ascii="Times New Roman" w:hAnsi="Times New Roman" w:cs="Times New Roman"/>
          <w:sz w:val="24"/>
          <w:szCs w:val="24"/>
        </w:rPr>
        <w:t>some time after the deliverance of Caratacus</w:t>
      </w:r>
      <w:r w:rsidR="001477F8" w:rsidRPr="008236B0">
        <w:rPr>
          <w:rFonts w:ascii="Times New Roman" w:hAnsi="Times New Roman" w:cs="Times New Roman"/>
          <w:sz w:val="24"/>
          <w:szCs w:val="24"/>
        </w:rPr>
        <w:t xml:space="preserve">, </w:t>
      </w:r>
      <w:r w:rsidR="0029514B" w:rsidRPr="008236B0">
        <w:rPr>
          <w:rFonts w:ascii="Times New Roman" w:hAnsi="Times New Roman" w:cs="Times New Roman"/>
          <w:sz w:val="24"/>
          <w:szCs w:val="24"/>
        </w:rPr>
        <w:t xml:space="preserve">Cartimandua divorced </w:t>
      </w:r>
      <w:proofErr w:type="spellStart"/>
      <w:r w:rsidR="0029514B" w:rsidRPr="008236B0">
        <w:rPr>
          <w:rFonts w:ascii="Times New Roman" w:hAnsi="Times New Roman" w:cs="Times New Roman"/>
          <w:sz w:val="24"/>
          <w:szCs w:val="24"/>
        </w:rPr>
        <w:t>Venutius</w:t>
      </w:r>
      <w:proofErr w:type="spellEnd"/>
      <w:r w:rsidR="0029514B" w:rsidRPr="008236B0">
        <w:rPr>
          <w:rFonts w:ascii="Times New Roman" w:hAnsi="Times New Roman" w:cs="Times New Roman"/>
          <w:sz w:val="24"/>
          <w:szCs w:val="24"/>
        </w:rPr>
        <w:t xml:space="preserve">, taking his armour-bearer, </w:t>
      </w:r>
      <w:proofErr w:type="spellStart"/>
      <w:r w:rsidR="0029514B" w:rsidRPr="008236B0">
        <w:rPr>
          <w:rFonts w:ascii="Times New Roman" w:hAnsi="Times New Roman" w:cs="Times New Roman"/>
          <w:sz w:val="24"/>
          <w:szCs w:val="24"/>
        </w:rPr>
        <w:t>Vellocatus</w:t>
      </w:r>
      <w:proofErr w:type="spellEnd"/>
      <w:r w:rsidR="0029514B" w:rsidRPr="008236B0">
        <w:rPr>
          <w:rFonts w:ascii="Times New Roman" w:hAnsi="Times New Roman" w:cs="Times New Roman"/>
          <w:sz w:val="24"/>
          <w:szCs w:val="24"/>
        </w:rPr>
        <w:t>, as her romantic partner instead and inviting him to share the throne with her.</w:t>
      </w:r>
      <w:r w:rsidR="006D5339">
        <w:rPr>
          <w:rStyle w:val="FootnoteReference"/>
          <w:rFonts w:ascii="Times New Roman" w:hAnsi="Times New Roman" w:cs="Times New Roman"/>
          <w:sz w:val="24"/>
          <w:szCs w:val="24"/>
        </w:rPr>
        <w:footnoteReference w:id="14"/>
      </w:r>
      <w:r w:rsidR="0029514B" w:rsidRPr="008236B0">
        <w:rPr>
          <w:rFonts w:ascii="Times New Roman" w:hAnsi="Times New Roman" w:cs="Times New Roman"/>
          <w:sz w:val="24"/>
          <w:szCs w:val="24"/>
        </w:rPr>
        <w:t xml:space="preserve"> </w:t>
      </w:r>
      <w:r w:rsidR="00172F17" w:rsidRPr="008236B0">
        <w:rPr>
          <w:rFonts w:ascii="Times New Roman" w:hAnsi="Times New Roman" w:cs="Times New Roman"/>
          <w:sz w:val="24"/>
          <w:szCs w:val="24"/>
        </w:rPr>
        <w:t xml:space="preserve">Some scholars believe </w:t>
      </w:r>
      <w:proofErr w:type="spellStart"/>
      <w:r w:rsidR="00172F17" w:rsidRPr="008236B0">
        <w:rPr>
          <w:rFonts w:ascii="Times New Roman" w:hAnsi="Times New Roman" w:cs="Times New Roman"/>
          <w:sz w:val="24"/>
          <w:szCs w:val="24"/>
        </w:rPr>
        <w:t>Venutius</w:t>
      </w:r>
      <w:proofErr w:type="spellEnd"/>
      <w:r w:rsidR="00172F17" w:rsidRPr="008236B0">
        <w:rPr>
          <w:rFonts w:ascii="Times New Roman" w:hAnsi="Times New Roman" w:cs="Times New Roman"/>
          <w:sz w:val="24"/>
          <w:szCs w:val="24"/>
        </w:rPr>
        <w:t xml:space="preserve"> may have disapproved of Cartimandua’s decision to deliver Caratacus to Rome.</w:t>
      </w:r>
      <w:r w:rsidR="00172F17" w:rsidRPr="008236B0">
        <w:rPr>
          <w:rStyle w:val="FootnoteReference"/>
          <w:rFonts w:ascii="Times New Roman" w:hAnsi="Times New Roman" w:cs="Times New Roman"/>
          <w:sz w:val="24"/>
          <w:szCs w:val="24"/>
        </w:rPr>
        <w:footnoteReference w:id="15"/>
      </w:r>
      <w:r w:rsidR="00172F17" w:rsidRPr="008236B0">
        <w:rPr>
          <w:rFonts w:ascii="Times New Roman" w:hAnsi="Times New Roman" w:cs="Times New Roman"/>
          <w:sz w:val="24"/>
          <w:szCs w:val="24"/>
        </w:rPr>
        <w:t xml:space="preserve"> </w:t>
      </w:r>
      <w:r w:rsidR="00787232" w:rsidRPr="008236B0">
        <w:rPr>
          <w:rFonts w:ascii="Times New Roman" w:hAnsi="Times New Roman" w:cs="Times New Roman"/>
          <w:sz w:val="24"/>
          <w:szCs w:val="24"/>
        </w:rPr>
        <w:t xml:space="preserve">In Rome, a woman’s status was entirely dependent on </w:t>
      </w:r>
      <w:r w:rsidR="00172F17" w:rsidRPr="008236B0">
        <w:rPr>
          <w:rFonts w:ascii="Times New Roman" w:hAnsi="Times New Roman" w:cs="Times New Roman"/>
          <w:sz w:val="24"/>
          <w:szCs w:val="24"/>
        </w:rPr>
        <w:t>her</w:t>
      </w:r>
      <w:r w:rsidR="00787232" w:rsidRPr="008236B0">
        <w:rPr>
          <w:rFonts w:ascii="Times New Roman" w:hAnsi="Times New Roman" w:cs="Times New Roman"/>
          <w:sz w:val="24"/>
          <w:szCs w:val="24"/>
        </w:rPr>
        <w:t xml:space="preserve"> male connections, </w:t>
      </w:r>
      <w:r w:rsidR="00172F17" w:rsidRPr="008236B0">
        <w:rPr>
          <w:rFonts w:ascii="Times New Roman" w:hAnsi="Times New Roman" w:cs="Times New Roman"/>
          <w:sz w:val="24"/>
          <w:szCs w:val="24"/>
        </w:rPr>
        <w:t xml:space="preserve">that of her </w:t>
      </w:r>
      <w:r w:rsidR="00787232" w:rsidRPr="008236B0">
        <w:rPr>
          <w:rFonts w:ascii="Times New Roman" w:hAnsi="Times New Roman" w:cs="Times New Roman"/>
          <w:sz w:val="24"/>
          <w:szCs w:val="24"/>
        </w:rPr>
        <w:t>family or husband</w:t>
      </w:r>
      <w:r w:rsidR="00F45138" w:rsidRPr="008236B0">
        <w:rPr>
          <w:rFonts w:ascii="Times New Roman" w:hAnsi="Times New Roman" w:cs="Times New Roman"/>
          <w:sz w:val="24"/>
          <w:szCs w:val="24"/>
        </w:rPr>
        <w:t>; f</w:t>
      </w:r>
      <w:r w:rsidR="00787232" w:rsidRPr="008236B0">
        <w:rPr>
          <w:rFonts w:ascii="Times New Roman" w:hAnsi="Times New Roman" w:cs="Times New Roman"/>
          <w:sz w:val="24"/>
          <w:szCs w:val="24"/>
        </w:rPr>
        <w:t xml:space="preserve">or a woman to have status in her own right was </w:t>
      </w:r>
      <w:r w:rsidR="0084701F" w:rsidRPr="008236B0">
        <w:rPr>
          <w:rFonts w:ascii="Times New Roman" w:hAnsi="Times New Roman" w:cs="Times New Roman"/>
          <w:sz w:val="24"/>
          <w:szCs w:val="24"/>
        </w:rPr>
        <w:t xml:space="preserve">almost </w:t>
      </w:r>
      <w:r w:rsidR="00787232" w:rsidRPr="008236B0">
        <w:rPr>
          <w:rFonts w:ascii="Times New Roman" w:hAnsi="Times New Roman" w:cs="Times New Roman"/>
          <w:sz w:val="24"/>
          <w:szCs w:val="24"/>
        </w:rPr>
        <w:t>entirely unheard of in the Roman world</w:t>
      </w:r>
      <w:r w:rsidR="0084701F" w:rsidRPr="008236B0">
        <w:rPr>
          <w:rFonts w:ascii="Times New Roman" w:hAnsi="Times New Roman" w:cs="Times New Roman"/>
          <w:sz w:val="24"/>
          <w:szCs w:val="24"/>
        </w:rPr>
        <w:t>.</w:t>
      </w:r>
      <w:r w:rsidR="009A30C7" w:rsidRPr="008236B0">
        <w:rPr>
          <w:rStyle w:val="FootnoteReference"/>
          <w:rFonts w:ascii="Times New Roman" w:hAnsi="Times New Roman" w:cs="Times New Roman"/>
          <w:sz w:val="24"/>
          <w:szCs w:val="24"/>
        </w:rPr>
        <w:footnoteReference w:id="16"/>
      </w:r>
      <w:r w:rsidR="0084701F" w:rsidRPr="008236B0">
        <w:rPr>
          <w:rFonts w:ascii="Times New Roman" w:hAnsi="Times New Roman" w:cs="Times New Roman"/>
          <w:sz w:val="24"/>
          <w:szCs w:val="24"/>
        </w:rPr>
        <w:t xml:space="preserve"> Cartimandua’s </w:t>
      </w:r>
      <w:r w:rsidR="00172F17" w:rsidRPr="008236B0">
        <w:rPr>
          <w:rFonts w:ascii="Times New Roman" w:hAnsi="Times New Roman" w:cs="Times New Roman"/>
          <w:sz w:val="24"/>
          <w:szCs w:val="24"/>
        </w:rPr>
        <w:t>agency</w:t>
      </w:r>
      <w:r w:rsidR="0084701F" w:rsidRPr="008236B0">
        <w:rPr>
          <w:rFonts w:ascii="Times New Roman" w:hAnsi="Times New Roman" w:cs="Times New Roman"/>
          <w:sz w:val="24"/>
          <w:szCs w:val="24"/>
        </w:rPr>
        <w:t xml:space="preserve"> may have been extremely difficult</w:t>
      </w:r>
      <w:r w:rsidR="00172F17" w:rsidRPr="008236B0">
        <w:rPr>
          <w:rFonts w:ascii="Times New Roman" w:hAnsi="Times New Roman" w:cs="Times New Roman"/>
          <w:sz w:val="24"/>
          <w:szCs w:val="24"/>
        </w:rPr>
        <w:t xml:space="preserve"> </w:t>
      </w:r>
      <w:r w:rsidR="0084701F" w:rsidRPr="008236B0">
        <w:rPr>
          <w:rFonts w:ascii="Times New Roman" w:hAnsi="Times New Roman" w:cs="Times New Roman"/>
          <w:sz w:val="24"/>
          <w:szCs w:val="24"/>
        </w:rPr>
        <w:t>for a Roman</w:t>
      </w:r>
      <w:r w:rsidR="00172F17" w:rsidRPr="008236B0">
        <w:rPr>
          <w:rFonts w:ascii="Times New Roman" w:hAnsi="Times New Roman" w:cs="Times New Roman"/>
          <w:sz w:val="24"/>
          <w:szCs w:val="24"/>
        </w:rPr>
        <w:t xml:space="preserve"> to accept</w:t>
      </w:r>
      <w:r w:rsidR="0084701F" w:rsidRPr="008236B0">
        <w:rPr>
          <w:rFonts w:ascii="Times New Roman" w:hAnsi="Times New Roman" w:cs="Times New Roman"/>
          <w:sz w:val="24"/>
          <w:szCs w:val="24"/>
        </w:rPr>
        <w:t xml:space="preserve">. </w:t>
      </w:r>
      <w:r w:rsidR="008B4A73" w:rsidRPr="008236B0">
        <w:rPr>
          <w:rFonts w:ascii="Times New Roman" w:hAnsi="Times New Roman" w:cs="Times New Roman"/>
          <w:sz w:val="24"/>
          <w:szCs w:val="24"/>
        </w:rPr>
        <w:t>In</w:t>
      </w:r>
      <w:r w:rsidR="00040FAD">
        <w:rPr>
          <w:rFonts w:ascii="Times New Roman" w:hAnsi="Times New Roman" w:cs="Times New Roman"/>
          <w:sz w:val="24"/>
          <w:szCs w:val="24"/>
        </w:rPr>
        <w:t xml:space="preserve"> </w:t>
      </w:r>
      <w:r w:rsidR="00040FAD">
        <w:rPr>
          <w:rFonts w:ascii="Times New Roman" w:hAnsi="Times New Roman" w:cs="Times New Roman"/>
          <w:i/>
          <w:iCs/>
          <w:sz w:val="24"/>
          <w:szCs w:val="24"/>
        </w:rPr>
        <w:t>Annals</w:t>
      </w:r>
      <w:r w:rsidR="008B4A73" w:rsidRPr="008236B0">
        <w:rPr>
          <w:rFonts w:ascii="Times New Roman" w:hAnsi="Times New Roman" w:cs="Times New Roman"/>
          <w:sz w:val="24"/>
          <w:szCs w:val="24"/>
        </w:rPr>
        <w:t xml:space="preserve">, </w:t>
      </w:r>
      <w:r w:rsidR="0029514B" w:rsidRPr="008236B0">
        <w:rPr>
          <w:rFonts w:ascii="Times New Roman" w:hAnsi="Times New Roman" w:cs="Times New Roman"/>
          <w:sz w:val="24"/>
          <w:szCs w:val="24"/>
        </w:rPr>
        <w:t xml:space="preserve">Tacitus writes that it was shameful for </w:t>
      </w:r>
      <w:proofErr w:type="spellStart"/>
      <w:r w:rsidR="0029514B" w:rsidRPr="008236B0">
        <w:rPr>
          <w:rFonts w:ascii="Times New Roman" w:hAnsi="Times New Roman" w:cs="Times New Roman"/>
          <w:sz w:val="24"/>
          <w:szCs w:val="24"/>
        </w:rPr>
        <w:t>Venutius</w:t>
      </w:r>
      <w:proofErr w:type="spellEnd"/>
      <w:r w:rsidR="0029514B" w:rsidRPr="008236B0">
        <w:rPr>
          <w:rFonts w:ascii="Times New Roman" w:hAnsi="Times New Roman" w:cs="Times New Roman"/>
          <w:sz w:val="24"/>
          <w:szCs w:val="24"/>
        </w:rPr>
        <w:t xml:space="preserve"> to have been rejected by Cartimandua for someone of lower rank, that he </w:t>
      </w:r>
      <w:r w:rsidR="008B4A73" w:rsidRPr="008236B0">
        <w:rPr>
          <w:rFonts w:ascii="Times New Roman" w:hAnsi="Times New Roman" w:cs="Times New Roman"/>
          <w:sz w:val="24"/>
          <w:szCs w:val="24"/>
        </w:rPr>
        <w:t>was ‘smarting at the ignominious prospect of submitting to the sway of a woman’.</w:t>
      </w:r>
      <w:r w:rsidR="00726C3A">
        <w:rPr>
          <w:rStyle w:val="FootnoteReference"/>
          <w:rFonts w:ascii="Times New Roman" w:hAnsi="Times New Roman" w:cs="Times New Roman"/>
          <w:sz w:val="24"/>
          <w:szCs w:val="24"/>
        </w:rPr>
        <w:footnoteReference w:id="17"/>
      </w:r>
      <w:r w:rsidR="008B4A73" w:rsidRPr="008236B0">
        <w:rPr>
          <w:rFonts w:ascii="Times New Roman" w:hAnsi="Times New Roman" w:cs="Times New Roman"/>
          <w:sz w:val="24"/>
          <w:szCs w:val="24"/>
        </w:rPr>
        <w:t xml:space="preserve"> He goes on to write that </w:t>
      </w:r>
      <w:proofErr w:type="spellStart"/>
      <w:r w:rsidR="008B4A73" w:rsidRPr="008236B0">
        <w:rPr>
          <w:rFonts w:ascii="Times New Roman" w:hAnsi="Times New Roman" w:cs="Times New Roman"/>
          <w:sz w:val="24"/>
          <w:szCs w:val="24"/>
        </w:rPr>
        <w:t>Venutius</w:t>
      </w:r>
      <w:proofErr w:type="spellEnd"/>
      <w:r w:rsidR="008B4A73" w:rsidRPr="008236B0">
        <w:rPr>
          <w:rFonts w:ascii="Times New Roman" w:hAnsi="Times New Roman" w:cs="Times New Roman"/>
          <w:sz w:val="24"/>
          <w:szCs w:val="24"/>
        </w:rPr>
        <w:t xml:space="preserve"> waged war against Cartimandua immediately after being divorced, and by extension, against Rome. </w:t>
      </w:r>
      <w:r w:rsidR="0084701F" w:rsidRPr="008236B0">
        <w:rPr>
          <w:rFonts w:ascii="Times New Roman" w:hAnsi="Times New Roman" w:cs="Times New Roman"/>
          <w:sz w:val="24"/>
          <w:szCs w:val="24"/>
        </w:rPr>
        <w:t xml:space="preserve">Tacitus </w:t>
      </w:r>
      <w:r w:rsidR="0084701F" w:rsidRPr="008236B0">
        <w:rPr>
          <w:rFonts w:ascii="Times New Roman" w:hAnsi="Times New Roman" w:cs="Times New Roman"/>
          <w:sz w:val="24"/>
          <w:szCs w:val="24"/>
        </w:rPr>
        <w:lastRenderedPageBreak/>
        <w:t xml:space="preserve">suggests that </w:t>
      </w:r>
      <w:r w:rsidR="008B4A73" w:rsidRPr="008236B0">
        <w:rPr>
          <w:rFonts w:ascii="Times New Roman" w:hAnsi="Times New Roman" w:cs="Times New Roman"/>
          <w:sz w:val="24"/>
          <w:szCs w:val="24"/>
        </w:rPr>
        <w:t xml:space="preserve">Cartimandua was not hugely popular with her </w:t>
      </w:r>
      <w:r w:rsidR="0084701F" w:rsidRPr="008236B0">
        <w:rPr>
          <w:rFonts w:ascii="Times New Roman" w:hAnsi="Times New Roman" w:cs="Times New Roman"/>
          <w:sz w:val="24"/>
          <w:szCs w:val="24"/>
        </w:rPr>
        <w:t xml:space="preserve">people owing to what he calls </w:t>
      </w:r>
      <w:r w:rsidR="00F45138" w:rsidRPr="008236B0">
        <w:rPr>
          <w:rFonts w:ascii="Times New Roman" w:hAnsi="Times New Roman" w:cs="Times New Roman"/>
          <w:sz w:val="24"/>
          <w:szCs w:val="24"/>
        </w:rPr>
        <w:t>in</w:t>
      </w:r>
      <w:r w:rsidR="006D5339">
        <w:rPr>
          <w:rFonts w:ascii="Times New Roman" w:hAnsi="Times New Roman" w:cs="Times New Roman"/>
          <w:sz w:val="24"/>
          <w:szCs w:val="24"/>
        </w:rPr>
        <w:t xml:space="preserve"> </w:t>
      </w:r>
      <w:r w:rsidR="006D5339">
        <w:rPr>
          <w:rFonts w:ascii="Times New Roman" w:hAnsi="Times New Roman" w:cs="Times New Roman"/>
          <w:i/>
          <w:iCs/>
          <w:sz w:val="24"/>
          <w:szCs w:val="24"/>
        </w:rPr>
        <w:t>Annals</w:t>
      </w:r>
      <w:r w:rsidR="00F45138" w:rsidRPr="008236B0">
        <w:rPr>
          <w:rFonts w:ascii="Times New Roman" w:hAnsi="Times New Roman" w:cs="Times New Roman"/>
          <w:sz w:val="24"/>
          <w:szCs w:val="24"/>
        </w:rPr>
        <w:t xml:space="preserve">, </w:t>
      </w:r>
      <w:r w:rsidR="0084701F" w:rsidRPr="008236B0">
        <w:rPr>
          <w:rFonts w:ascii="Times New Roman" w:hAnsi="Times New Roman" w:cs="Times New Roman"/>
          <w:sz w:val="24"/>
          <w:szCs w:val="24"/>
        </w:rPr>
        <w:t>her ‘scandalous act’.</w:t>
      </w:r>
      <w:r w:rsidR="006D5339">
        <w:rPr>
          <w:rStyle w:val="FootnoteReference"/>
          <w:rFonts w:ascii="Times New Roman" w:hAnsi="Times New Roman" w:cs="Times New Roman"/>
          <w:sz w:val="24"/>
          <w:szCs w:val="24"/>
        </w:rPr>
        <w:footnoteReference w:id="18"/>
      </w:r>
      <w:r w:rsidR="0084701F" w:rsidRPr="008236B0">
        <w:rPr>
          <w:rFonts w:ascii="Times New Roman" w:hAnsi="Times New Roman" w:cs="Times New Roman"/>
          <w:sz w:val="24"/>
          <w:szCs w:val="24"/>
        </w:rPr>
        <w:t xml:space="preserve"> </w:t>
      </w:r>
      <w:r w:rsidR="0089709F">
        <w:rPr>
          <w:rFonts w:ascii="Times New Roman" w:hAnsi="Times New Roman" w:cs="Times New Roman"/>
          <w:sz w:val="24"/>
          <w:szCs w:val="24"/>
        </w:rPr>
        <w:t xml:space="preserve">However, there could also reasonably have been pockets of anti-Roman sentiment among the </w:t>
      </w:r>
      <w:proofErr w:type="spellStart"/>
      <w:r w:rsidR="0089709F">
        <w:rPr>
          <w:rFonts w:ascii="Times New Roman" w:hAnsi="Times New Roman" w:cs="Times New Roman"/>
          <w:sz w:val="24"/>
          <w:szCs w:val="24"/>
        </w:rPr>
        <w:t>Brigantes</w:t>
      </w:r>
      <w:proofErr w:type="spellEnd"/>
      <w:r w:rsidR="0089709F">
        <w:rPr>
          <w:rFonts w:ascii="Times New Roman" w:hAnsi="Times New Roman" w:cs="Times New Roman"/>
          <w:sz w:val="24"/>
          <w:szCs w:val="24"/>
        </w:rPr>
        <w:t>, given what a large tribe they were.</w:t>
      </w:r>
      <w:r w:rsidR="00795282">
        <w:rPr>
          <w:rStyle w:val="FootnoteReference"/>
          <w:rFonts w:ascii="Times New Roman" w:hAnsi="Times New Roman" w:cs="Times New Roman"/>
          <w:sz w:val="24"/>
          <w:szCs w:val="24"/>
        </w:rPr>
        <w:footnoteReference w:id="19"/>
      </w:r>
      <w:r w:rsidR="0084701F" w:rsidRPr="008236B0">
        <w:rPr>
          <w:rFonts w:ascii="Times New Roman" w:hAnsi="Times New Roman" w:cs="Times New Roman"/>
          <w:sz w:val="24"/>
          <w:szCs w:val="24"/>
        </w:rPr>
        <w:t xml:space="preserve"> </w:t>
      </w:r>
      <w:proofErr w:type="spellStart"/>
      <w:r w:rsidR="008B4A73" w:rsidRPr="008236B0">
        <w:rPr>
          <w:rFonts w:ascii="Times New Roman" w:hAnsi="Times New Roman" w:cs="Times New Roman"/>
          <w:sz w:val="24"/>
          <w:szCs w:val="24"/>
        </w:rPr>
        <w:t>Venutius</w:t>
      </w:r>
      <w:proofErr w:type="spellEnd"/>
      <w:r w:rsidR="008B4A73" w:rsidRPr="008236B0">
        <w:rPr>
          <w:rFonts w:ascii="Times New Roman" w:hAnsi="Times New Roman" w:cs="Times New Roman"/>
          <w:sz w:val="24"/>
          <w:szCs w:val="24"/>
        </w:rPr>
        <w:t xml:space="preserve"> was able to capitalise on </w:t>
      </w:r>
      <w:r w:rsidR="0089709F">
        <w:rPr>
          <w:rFonts w:ascii="Times New Roman" w:hAnsi="Times New Roman" w:cs="Times New Roman"/>
          <w:sz w:val="24"/>
          <w:szCs w:val="24"/>
        </w:rPr>
        <w:t>the scandal</w:t>
      </w:r>
      <w:r w:rsidR="008B4A73" w:rsidRPr="008236B0">
        <w:rPr>
          <w:rFonts w:ascii="Times New Roman" w:hAnsi="Times New Roman" w:cs="Times New Roman"/>
          <w:sz w:val="24"/>
          <w:szCs w:val="24"/>
        </w:rPr>
        <w:t xml:space="preserve"> to procure an army for his vendetta against his ex-wife. </w:t>
      </w:r>
      <w:r w:rsidR="00172F17" w:rsidRPr="008236B0">
        <w:rPr>
          <w:rFonts w:ascii="Times New Roman" w:hAnsi="Times New Roman" w:cs="Times New Roman"/>
          <w:sz w:val="24"/>
          <w:szCs w:val="24"/>
        </w:rPr>
        <w:t xml:space="preserve">Thanks to her clientage, Cartimandua was able to request aid from Rome, who, after a series of inconsequential battles with </w:t>
      </w:r>
      <w:proofErr w:type="spellStart"/>
      <w:r w:rsidR="00172F17" w:rsidRPr="008236B0">
        <w:rPr>
          <w:rFonts w:ascii="Times New Roman" w:hAnsi="Times New Roman" w:cs="Times New Roman"/>
          <w:sz w:val="24"/>
          <w:szCs w:val="24"/>
        </w:rPr>
        <w:t>Venutius</w:t>
      </w:r>
      <w:proofErr w:type="spellEnd"/>
      <w:r w:rsidR="00172F17" w:rsidRPr="008236B0">
        <w:rPr>
          <w:rFonts w:ascii="Times New Roman" w:hAnsi="Times New Roman" w:cs="Times New Roman"/>
          <w:sz w:val="24"/>
          <w:szCs w:val="24"/>
        </w:rPr>
        <w:t>’ army, sent legionaries, who succeeded in defeating him and ensuring victory for Cartimandua.</w:t>
      </w:r>
      <w:r w:rsidR="00726C3A">
        <w:rPr>
          <w:rStyle w:val="FootnoteReference"/>
          <w:rFonts w:ascii="Times New Roman" w:hAnsi="Times New Roman" w:cs="Times New Roman"/>
          <w:sz w:val="24"/>
          <w:szCs w:val="24"/>
        </w:rPr>
        <w:footnoteReference w:id="20"/>
      </w:r>
      <w:r w:rsidR="00172F17" w:rsidRPr="008236B0">
        <w:rPr>
          <w:rFonts w:ascii="Times New Roman" w:hAnsi="Times New Roman" w:cs="Times New Roman"/>
          <w:sz w:val="24"/>
          <w:szCs w:val="24"/>
        </w:rPr>
        <w:t xml:space="preserve"> It seems that from here, there were some years of relative peace. </w:t>
      </w:r>
    </w:p>
    <w:p w14:paraId="43D9A14A" w14:textId="77777777" w:rsidR="009C0A0A" w:rsidRPr="008236B0" w:rsidRDefault="009C0A0A" w:rsidP="001477F8">
      <w:pPr>
        <w:spacing w:line="360" w:lineRule="auto"/>
        <w:jc w:val="center"/>
        <w:rPr>
          <w:rFonts w:ascii="Times New Roman" w:hAnsi="Times New Roman" w:cs="Times New Roman"/>
          <w:sz w:val="24"/>
          <w:szCs w:val="24"/>
          <w:u w:val="single"/>
        </w:rPr>
      </w:pPr>
    </w:p>
    <w:p w14:paraId="2EF1CB5B" w14:textId="4BACEBA9" w:rsidR="001477F8" w:rsidRPr="008236B0" w:rsidRDefault="001477F8" w:rsidP="001477F8">
      <w:pPr>
        <w:spacing w:line="360" w:lineRule="auto"/>
        <w:jc w:val="center"/>
        <w:rPr>
          <w:rFonts w:ascii="Times New Roman" w:hAnsi="Times New Roman" w:cs="Times New Roman"/>
          <w:sz w:val="24"/>
          <w:szCs w:val="24"/>
          <w:u w:val="single"/>
        </w:rPr>
      </w:pPr>
      <w:r w:rsidRPr="008236B0">
        <w:rPr>
          <w:rFonts w:ascii="Times New Roman" w:hAnsi="Times New Roman" w:cs="Times New Roman"/>
          <w:sz w:val="24"/>
          <w:szCs w:val="24"/>
          <w:u w:val="single"/>
        </w:rPr>
        <w:t>The Vanishing</w:t>
      </w:r>
    </w:p>
    <w:p w14:paraId="6D426446" w14:textId="73F284ED" w:rsidR="001477F8" w:rsidRPr="008236B0" w:rsidRDefault="00172F17" w:rsidP="004563BA">
      <w:pPr>
        <w:spacing w:line="360" w:lineRule="auto"/>
        <w:rPr>
          <w:rFonts w:ascii="Times New Roman" w:hAnsi="Times New Roman" w:cs="Times New Roman"/>
          <w:sz w:val="24"/>
          <w:szCs w:val="24"/>
        </w:rPr>
      </w:pPr>
      <w:proofErr w:type="spellStart"/>
      <w:r w:rsidRPr="008236B0">
        <w:rPr>
          <w:rFonts w:ascii="Times New Roman" w:hAnsi="Times New Roman" w:cs="Times New Roman"/>
          <w:sz w:val="24"/>
          <w:szCs w:val="24"/>
        </w:rPr>
        <w:t>Venutius</w:t>
      </w:r>
      <w:proofErr w:type="spellEnd"/>
      <w:r w:rsidRPr="008236B0">
        <w:rPr>
          <w:rFonts w:ascii="Times New Roman" w:hAnsi="Times New Roman" w:cs="Times New Roman"/>
          <w:sz w:val="24"/>
          <w:szCs w:val="24"/>
        </w:rPr>
        <w:t xml:space="preserve"> did not let go of his vendetta after the defeat, and instead bided his time before making war against Cartimandua </w:t>
      </w:r>
      <w:r w:rsidR="00C27091" w:rsidRPr="008236B0">
        <w:rPr>
          <w:rFonts w:ascii="Times New Roman" w:hAnsi="Times New Roman" w:cs="Times New Roman"/>
          <w:sz w:val="24"/>
          <w:szCs w:val="24"/>
        </w:rPr>
        <w:t>again.</w:t>
      </w:r>
      <w:r w:rsidR="000B52B2">
        <w:rPr>
          <w:rStyle w:val="FootnoteReference"/>
          <w:rFonts w:ascii="Times New Roman" w:hAnsi="Times New Roman" w:cs="Times New Roman"/>
          <w:sz w:val="24"/>
          <w:szCs w:val="24"/>
        </w:rPr>
        <w:footnoteReference w:id="21"/>
      </w:r>
      <w:r w:rsidRPr="008236B0">
        <w:rPr>
          <w:rFonts w:ascii="Times New Roman" w:hAnsi="Times New Roman" w:cs="Times New Roman"/>
          <w:sz w:val="24"/>
          <w:szCs w:val="24"/>
        </w:rPr>
        <w:t xml:space="preserve"> </w:t>
      </w:r>
      <w:r w:rsidR="001477F8" w:rsidRPr="008236B0">
        <w:rPr>
          <w:rFonts w:ascii="Times New Roman" w:hAnsi="Times New Roman" w:cs="Times New Roman"/>
          <w:sz w:val="24"/>
          <w:szCs w:val="24"/>
        </w:rPr>
        <w:t xml:space="preserve">This was the year 69 AD, the ‘year of the four </w:t>
      </w:r>
      <w:r w:rsidR="00726C3A" w:rsidRPr="008236B0">
        <w:rPr>
          <w:rFonts w:ascii="Times New Roman" w:hAnsi="Times New Roman" w:cs="Times New Roman"/>
          <w:sz w:val="24"/>
          <w:szCs w:val="24"/>
        </w:rPr>
        <w:t>emperors</w:t>
      </w:r>
      <w:r w:rsidR="00726C3A">
        <w:rPr>
          <w:rFonts w:ascii="Times New Roman" w:hAnsi="Times New Roman" w:cs="Times New Roman"/>
          <w:sz w:val="24"/>
          <w:szCs w:val="24"/>
        </w:rPr>
        <w:t>’</w:t>
      </w:r>
      <w:r w:rsidR="00013423" w:rsidRPr="008236B0">
        <w:rPr>
          <w:rFonts w:ascii="Times New Roman" w:hAnsi="Times New Roman" w:cs="Times New Roman"/>
          <w:sz w:val="24"/>
          <w:szCs w:val="24"/>
        </w:rPr>
        <w:t>.</w:t>
      </w:r>
      <w:r w:rsidR="001477F8" w:rsidRPr="008236B0">
        <w:rPr>
          <w:rFonts w:ascii="Times New Roman" w:hAnsi="Times New Roman" w:cs="Times New Roman"/>
          <w:sz w:val="24"/>
          <w:szCs w:val="24"/>
        </w:rPr>
        <w:t xml:space="preserve"> Rome’s hold over Britain was unstable at this point</w:t>
      </w:r>
      <w:r w:rsidR="00C74F4D" w:rsidRPr="008236B0">
        <w:rPr>
          <w:rFonts w:ascii="Times New Roman" w:hAnsi="Times New Roman" w:cs="Times New Roman"/>
          <w:sz w:val="24"/>
          <w:szCs w:val="24"/>
        </w:rPr>
        <w:t xml:space="preserve"> due to more pressing conflicts</w:t>
      </w:r>
      <w:r w:rsidR="00013423" w:rsidRPr="008236B0">
        <w:rPr>
          <w:rFonts w:ascii="Times New Roman" w:hAnsi="Times New Roman" w:cs="Times New Roman"/>
          <w:sz w:val="24"/>
          <w:szCs w:val="24"/>
        </w:rPr>
        <w:t xml:space="preserve"> elsewhere. In</w:t>
      </w:r>
      <w:r w:rsidR="006D5339">
        <w:rPr>
          <w:rFonts w:ascii="Times New Roman" w:hAnsi="Times New Roman" w:cs="Times New Roman"/>
          <w:sz w:val="24"/>
          <w:szCs w:val="24"/>
        </w:rPr>
        <w:t xml:space="preserve"> </w:t>
      </w:r>
      <w:r w:rsidR="006D5339">
        <w:rPr>
          <w:rFonts w:ascii="Times New Roman" w:hAnsi="Times New Roman" w:cs="Times New Roman"/>
          <w:i/>
          <w:iCs/>
          <w:sz w:val="24"/>
          <w:szCs w:val="24"/>
        </w:rPr>
        <w:t>Annals</w:t>
      </w:r>
      <w:r w:rsidR="00013423" w:rsidRPr="008236B0">
        <w:rPr>
          <w:rFonts w:ascii="Times New Roman" w:hAnsi="Times New Roman" w:cs="Times New Roman"/>
          <w:sz w:val="24"/>
          <w:szCs w:val="24"/>
        </w:rPr>
        <w:t xml:space="preserve">, </w:t>
      </w:r>
      <w:r w:rsidRPr="008236B0">
        <w:rPr>
          <w:rFonts w:ascii="Times New Roman" w:hAnsi="Times New Roman" w:cs="Times New Roman"/>
          <w:sz w:val="24"/>
          <w:szCs w:val="24"/>
        </w:rPr>
        <w:t>Tacitus</w:t>
      </w:r>
      <w:r w:rsidR="00013423" w:rsidRPr="008236B0">
        <w:rPr>
          <w:rFonts w:ascii="Times New Roman" w:hAnsi="Times New Roman" w:cs="Times New Roman"/>
          <w:sz w:val="24"/>
          <w:szCs w:val="24"/>
        </w:rPr>
        <w:t xml:space="preserve"> describes how</w:t>
      </w:r>
      <w:r w:rsidRPr="008236B0">
        <w:rPr>
          <w:rFonts w:ascii="Times New Roman" w:hAnsi="Times New Roman" w:cs="Times New Roman"/>
          <w:sz w:val="24"/>
          <w:szCs w:val="24"/>
        </w:rPr>
        <w:t xml:space="preserve"> Cartimandua ‘adroitly’ captured </w:t>
      </w:r>
      <w:proofErr w:type="spellStart"/>
      <w:r w:rsidRPr="008236B0">
        <w:rPr>
          <w:rFonts w:ascii="Times New Roman" w:hAnsi="Times New Roman" w:cs="Times New Roman"/>
          <w:sz w:val="24"/>
          <w:szCs w:val="24"/>
        </w:rPr>
        <w:t>Venutius</w:t>
      </w:r>
      <w:proofErr w:type="spellEnd"/>
      <w:r w:rsidRPr="008236B0">
        <w:rPr>
          <w:rFonts w:ascii="Times New Roman" w:hAnsi="Times New Roman" w:cs="Times New Roman"/>
          <w:sz w:val="24"/>
          <w:szCs w:val="24"/>
        </w:rPr>
        <w:t xml:space="preserve">’ relatives </w:t>
      </w:r>
      <w:r w:rsidR="00013423" w:rsidRPr="008236B0">
        <w:rPr>
          <w:rFonts w:ascii="Times New Roman" w:hAnsi="Times New Roman" w:cs="Times New Roman"/>
          <w:sz w:val="24"/>
          <w:szCs w:val="24"/>
        </w:rPr>
        <w:t>as leverage</w:t>
      </w:r>
      <w:r w:rsidRPr="008236B0">
        <w:rPr>
          <w:rFonts w:ascii="Times New Roman" w:hAnsi="Times New Roman" w:cs="Times New Roman"/>
          <w:sz w:val="24"/>
          <w:szCs w:val="24"/>
        </w:rPr>
        <w:t xml:space="preserve">, but in the end, requested </w:t>
      </w:r>
      <w:r w:rsidR="00FD4128" w:rsidRPr="008236B0">
        <w:rPr>
          <w:rFonts w:ascii="Times New Roman" w:hAnsi="Times New Roman" w:cs="Times New Roman"/>
          <w:sz w:val="24"/>
          <w:szCs w:val="24"/>
        </w:rPr>
        <w:t>aid from Rome again.</w:t>
      </w:r>
      <w:r w:rsidR="00726C3A">
        <w:rPr>
          <w:rStyle w:val="FootnoteReference"/>
          <w:rFonts w:ascii="Times New Roman" w:hAnsi="Times New Roman" w:cs="Times New Roman"/>
          <w:sz w:val="24"/>
          <w:szCs w:val="24"/>
        </w:rPr>
        <w:footnoteReference w:id="22"/>
      </w:r>
      <w:r w:rsidR="00FD4128" w:rsidRPr="008236B0">
        <w:rPr>
          <w:rFonts w:ascii="Times New Roman" w:hAnsi="Times New Roman" w:cs="Times New Roman"/>
          <w:sz w:val="24"/>
          <w:szCs w:val="24"/>
        </w:rPr>
        <w:t xml:space="preserve"> Due to their own political struggles, Rome was only able to send auxiliary forces to assist Cartimandua, which </w:t>
      </w:r>
      <w:r w:rsidR="00013423" w:rsidRPr="008236B0">
        <w:rPr>
          <w:rFonts w:ascii="Times New Roman" w:hAnsi="Times New Roman" w:cs="Times New Roman"/>
          <w:sz w:val="24"/>
          <w:szCs w:val="24"/>
        </w:rPr>
        <w:t>were not</w:t>
      </w:r>
      <w:r w:rsidR="00FD4128" w:rsidRPr="008236B0">
        <w:rPr>
          <w:rFonts w:ascii="Times New Roman" w:hAnsi="Times New Roman" w:cs="Times New Roman"/>
          <w:sz w:val="24"/>
          <w:szCs w:val="24"/>
        </w:rPr>
        <w:t xml:space="preserve"> enough to defeat </w:t>
      </w:r>
      <w:proofErr w:type="spellStart"/>
      <w:r w:rsidR="00FD4128" w:rsidRPr="008236B0">
        <w:rPr>
          <w:rFonts w:ascii="Times New Roman" w:hAnsi="Times New Roman" w:cs="Times New Roman"/>
          <w:sz w:val="24"/>
          <w:szCs w:val="24"/>
        </w:rPr>
        <w:t>Venutius</w:t>
      </w:r>
      <w:proofErr w:type="spellEnd"/>
      <w:r w:rsidR="00FD4128" w:rsidRPr="008236B0">
        <w:rPr>
          <w:rFonts w:ascii="Times New Roman" w:hAnsi="Times New Roman" w:cs="Times New Roman"/>
          <w:sz w:val="24"/>
          <w:szCs w:val="24"/>
        </w:rPr>
        <w:t xml:space="preserve">. </w:t>
      </w:r>
      <w:r w:rsidR="001477F8" w:rsidRPr="008236B0">
        <w:rPr>
          <w:rFonts w:ascii="Times New Roman" w:hAnsi="Times New Roman" w:cs="Times New Roman"/>
          <w:sz w:val="24"/>
          <w:szCs w:val="24"/>
        </w:rPr>
        <w:t xml:space="preserve">Cartimandua was able to escape with her life thanks to the forces Rome sent, but </w:t>
      </w:r>
      <w:proofErr w:type="spellStart"/>
      <w:r w:rsidR="001477F8" w:rsidRPr="008236B0">
        <w:rPr>
          <w:rFonts w:ascii="Times New Roman" w:hAnsi="Times New Roman" w:cs="Times New Roman"/>
          <w:sz w:val="24"/>
          <w:szCs w:val="24"/>
        </w:rPr>
        <w:t>Venutius</w:t>
      </w:r>
      <w:proofErr w:type="spellEnd"/>
      <w:r w:rsidR="001477F8" w:rsidRPr="008236B0">
        <w:rPr>
          <w:rFonts w:ascii="Times New Roman" w:hAnsi="Times New Roman" w:cs="Times New Roman"/>
          <w:sz w:val="24"/>
          <w:szCs w:val="24"/>
        </w:rPr>
        <w:t xml:space="preserve"> took over as king of the </w:t>
      </w:r>
      <w:proofErr w:type="spellStart"/>
      <w:r w:rsidR="001477F8" w:rsidRPr="008236B0">
        <w:rPr>
          <w:rFonts w:ascii="Times New Roman" w:hAnsi="Times New Roman" w:cs="Times New Roman"/>
          <w:sz w:val="24"/>
          <w:szCs w:val="24"/>
        </w:rPr>
        <w:t>Brigantes</w:t>
      </w:r>
      <w:proofErr w:type="spellEnd"/>
      <w:r w:rsidR="009C0A0A" w:rsidRPr="008236B0">
        <w:rPr>
          <w:rFonts w:ascii="Times New Roman" w:hAnsi="Times New Roman" w:cs="Times New Roman"/>
          <w:sz w:val="24"/>
          <w:szCs w:val="24"/>
        </w:rPr>
        <w:t>; a</w:t>
      </w:r>
      <w:r w:rsidR="001477F8" w:rsidRPr="008236B0">
        <w:rPr>
          <w:rFonts w:ascii="Times New Roman" w:hAnsi="Times New Roman" w:cs="Times New Roman"/>
          <w:sz w:val="24"/>
          <w:szCs w:val="24"/>
        </w:rPr>
        <w:t xml:space="preserve">s </w:t>
      </w:r>
      <w:r w:rsidR="001477F8" w:rsidRPr="006D5339">
        <w:rPr>
          <w:rFonts w:ascii="Times New Roman" w:hAnsi="Times New Roman" w:cs="Times New Roman"/>
          <w:sz w:val="24"/>
          <w:szCs w:val="24"/>
        </w:rPr>
        <w:t>Tacitus</w:t>
      </w:r>
      <w:r w:rsidR="001477F8" w:rsidRPr="008236B0">
        <w:rPr>
          <w:rFonts w:ascii="Times New Roman" w:hAnsi="Times New Roman" w:cs="Times New Roman"/>
          <w:sz w:val="24"/>
          <w:szCs w:val="24"/>
        </w:rPr>
        <w:t xml:space="preserve"> put it, ‘the throne was left to </w:t>
      </w:r>
      <w:proofErr w:type="spellStart"/>
      <w:r w:rsidR="001477F8" w:rsidRPr="008236B0">
        <w:rPr>
          <w:rFonts w:ascii="Times New Roman" w:hAnsi="Times New Roman" w:cs="Times New Roman"/>
          <w:sz w:val="24"/>
          <w:szCs w:val="24"/>
        </w:rPr>
        <w:t>Venutius</w:t>
      </w:r>
      <w:proofErr w:type="spellEnd"/>
      <w:r w:rsidR="001477F8" w:rsidRPr="008236B0">
        <w:rPr>
          <w:rFonts w:ascii="Times New Roman" w:hAnsi="Times New Roman" w:cs="Times New Roman"/>
          <w:sz w:val="24"/>
          <w:szCs w:val="24"/>
        </w:rPr>
        <w:t>; the war, to us.’.</w:t>
      </w:r>
      <w:r w:rsidR="006D5339">
        <w:rPr>
          <w:rStyle w:val="FootnoteReference"/>
          <w:rFonts w:ascii="Times New Roman" w:hAnsi="Times New Roman" w:cs="Times New Roman"/>
          <w:sz w:val="24"/>
          <w:szCs w:val="24"/>
        </w:rPr>
        <w:footnoteReference w:id="23"/>
      </w:r>
      <w:r w:rsidR="001477F8" w:rsidRPr="008236B0">
        <w:rPr>
          <w:rFonts w:ascii="Times New Roman" w:hAnsi="Times New Roman" w:cs="Times New Roman"/>
          <w:sz w:val="24"/>
          <w:szCs w:val="24"/>
        </w:rPr>
        <w:t xml:space="preserve"> </w:t>
      </w:r>
    </w:p>
    <w:p w14:paraId="489CF863" w14:textId="0529B329" w:rsidR="008B4A73" w:rsidRPr="008236B0" w:rsidRDefault="008B4A73" w:rsidP="00814F89">
      <w:pPr>
        <w:spacing w:line="360" w:lineRule="auto"/>
        <w:jc w:val="both"/>
        <w:rPr>
          <w:rFonts w:ascii="Times New Roman" w:hAnsi="Times New Roman" w:cs="Times New Roman"/>
          <w:sz w:val="24"/>
          <w:szCs w:val="24"/>
        </w:rPr>
      </w:pPr>
      <w:r w:rsidRPr="008236B0">
        <w:rPr>
          <w:rFonts w:ascii="Times New Roman" w:hAnsi="Times New Roman" w:cs="Times New Roman"/>
          <w:sz w:val="24"/>
          <w:szCs w:val="24"/>
        </w:rPr>
        <w:t xml:space="preserve">There is </w:t>
      </w:r>
      <w:r w:rsidR="0084701F" w:rsidRPr="008236B0">
        <w:rPr>
          <w:rFonts w:ascii="Times New Roman" w:hAnsi="Times New Roman" w:cs="Times New Roman"/>
          <w:sz w:val="24"/>
          <w:szCs w:val="24"/>
        </w:rPr>
        <w:t>a frustrating lack of consensus</w:t>
      </w:r>
      <w:r w:rsidRPr="008236B0">
        <w:rPr>
          <w:rFonts w:ascii="Times New Roman" w:hAnsi="Times New Roman" w:cs="Times New Roman"/>
          <w:sz w:val="24"/>
          <w:szCs w:val="24"/>
        </w:rPr>
        <w:t xml:space="preserve"> on </w:t>
      </w:r>
      <w:r w:rsidR="00C74F4D" w:rsidRPr="008236B0">
        <w:rPr>
          <w:rFonts w:ascii="Times New Roman" w:hAnsi="Times New Roman" w:cs="Times New Roman"/>
          <w:sz w:val="24"/>
          <w:szCs w:val="24"/>
        </w:rPr>
        <w:t>Cartimandua,</w:t>
      </w:r>
      <w:r w:rsidR="0084701F" w:rsidRPr="008236B0">
        <w:rPr>
          <w:rFonts w:ascii="Times New Roman" w:hAnsi="Times New Roman" w:cs="Times New Roman"/>
          <w:sz w:val="24"/>
          <w:szCs w:val="24"/>
        </w:rPr>
        <w:t xml:space="preserve"> and </w:t>
      </w:r>
      <w:r w:rsidR="00064EB0" w:rsidRPr="008236B0">
        <w:rPr>
          <w:rFonts w:ascii="Times New Roman" w:hAnsi="Times New Roman" w:cs="Times New Roman"/>
          <w:sz w:val="24"/>
          <w:szCs w:val="24"/>
        </w:rPr>
        <w:t>the existing evidence is often fragmentary</w:t>
      </w:r>
      <w:r w:rsidR="00C27091" w:rsidRPr="008236B0">
        <w:rPr>
          <w:rFonts w:ascii="Times New Roman" w:hAnsi="Times New Roman" w:cs="Times New Roman"/>
          <w:sz w:val="24"/>
          <w:szCs w:val="24"/>
        </w:rPr>
        <w:t>.</w:t>
      </w:r>
      <w:r w:rsidR="009C0A0A" w:rsidRPr="008236B0">
        <w:rPr>
          <w:rStyle w:val="FootnoteReference"/>
          <w:rFonts w:ascii="Times New Roman" w:hAnsi="Times New Roman" w:cs="Times New Roman"/>
          <w:sz w:val="24"/>
          <w:szCs w:val="24"/>
        </w:rPr>
        <w:footnoteReference w:id="24"/>
      </w:r>
      <w:r w:rsidRPr="008236B0">
        <w:rPr>
          <w:rFonts w:ascii="Times New Roman" w:hAnsi="Times New Roman" w:cs="Times New Roman"/>
          <w:sz w:val="24"/>
          <w:szCs w:val="24"/>
        </w:rPr>
        <w:t xml:space="preserve"> From the writings of </w:t>
      </w:r>
      <w:proofErr w:type="spellStart"/>
      <w:r w:rsidRPr="008236B0">
        <w:rPr>
          <w:rFonts w:ascii="Times New Roman" w:hAnsi="Times New Roman" w:cs="Times New Roman"/>
          <w:sz w:val="24"/>
          <w:szCs w:val="24"/>
        </w:rPr>
        <w:t>Tactitus</w:t>
      </w:r>
      <w:proofErr w:type="spellEnd"/>
      <w:r w:rsidRPr="008236B0">
        <w:rPr>
          <w:rFonts w:ascii="Times New Roman" w:hAnsi="Times New Roman" w:cs="Times New Roman"/>
          <w:sz w:val="24"/>
          <w:szCs w:val="24"/>
        </w:rPr>
        <w:t xml:space="preserve">, it is known that Cartimandua was a queen and of noble birth, but her heritage and family history </w:t>
      </w:r>
      <w:r w:rsidR="004563BA" w:rsidRPr="008236B0">
        <w:rPr>
          <w:rFonts w:ascii="Times New Roman" w:hAnsi="Times New Roman" w:cs="Times New Roman"/>
          <w:sz w:val="24"/>
          <w:szCs w:val="24"/>
        </w:rPr>
        <w:t>go</w:t>
      </w:r>
      <w:r w:rsidRPr="008236B0">
        <w:rPr>
          <w:rFonts w:ascii="Times New Roman" w:hAnsi="Times New Roman" w:cs="Times New Roman"/>
          <w:sz w:val="24"/>
          <w:szCs w:val="24"/>
        </w:rPr>
        <w:t xml:space="preserve"> unmentioned.</w:t>
      </w:r>
      <w:r w:rsidR="007E624E" w:rsidRPr="008236B0">
        <w:rPr>
          <w:rFonts w:ascii="Times New Roman" w:hAnsi="Times New Roman" w:cs="Times New Roman"/>
          <w:sz w:val="24"/>
          <w:szCs w:val="24"/>
        </w:rPr>
        <w:t xml:space="preserve"> She escaped the wrath of </w:t>
      </w:r>
      <w:proofErr w:type="spellStart"/>
      <w:r w:rsidR="007E624E" w:rsidRPr="008236B0">
        <w:rPr>
          <w:rFonts w:ascii="Times New Roman" w:hAnsi="Times New Roman" w:cs="Times New Roman"/>
          <w:sz w:val="24"/>
          <w:szCs w:val="24"/>
        </w:rPr>
        <w:t>Venutius</w:t>
      </w:r>
      <w:proofErr w:type="spellEnd"/>
      <w:r w:rsidR="007E624E" w:rsidRPr="008236B0">
        <w:rPr>
          <w:rFonts w:ascii="Times New Roman" w:hAnsi="Times New Roman" w:cs="Times New Roman"/>
          <w:sz w:val="24"/>
          <w:szCs w:val="24"/>
        </w:rPr>
        <w:t>, but nobody knows where she went or what became of her</w:t>
      </w:r>
      <w:r w:rsidR="00C27091" w:rsidRPr="008236B0">
        <w:rPr>
          <w:rFonts w:ascii="Times New Roman" w:hAnsi="Times New Roman" w:cs="Times New Roman"/>
          <w:sz w:val="24"/>
          <w:szCs w:val="24"/>
        </w:rPr>
        <w:t xml:space="preserve">; </w:t>
      </w:r>
      <w:r w:rsidR="00C74F4D" w:rsidRPr="008236B0">
        <w:rPr>
          <w:rFonts w:ascii="Times New Roman" w:hAnsi="Times New Roman" w:cs="Times New Roman"/>
          <w:sz w:val="24"/>
          <w:szCs w:val="24"/>
        </w:rPr>
        <w:t>though some scholars suggest she fled to Cheste</w:t>
      </w:r>
      <w:r w:rsidR="00C27091" w:rsidRPr="008236B0">
        <w:rPr>
          <w:rFonts w:ascii="Times New Roman" w:hAnsi="Times New Roman" w:cs="Times New Roman"/>
          <w:sz w:val="24"/>
          <w:szCs w:val="24"/>
        </w:rPr>
        <w:t>r, there is no evidence to substantiate this.</w:t>
      </w:r>
      <w:r w:rsidR="00570914" w:rsidRPr="008236B0">
        <w:rPr>
          <w:rStyle w:val="FootnoteReference"/>
          <w:rFonts w:ascii="Times New Roman" w:hAnsi="Times New Roman" w:cs="Times New Roman"/>
          <w:sz w:val="24"/>
          <w:szCs w:val="24"/>
        </w:rPr>
        <w:footnoteReference w:id="25"/>
      </w:r>
      <w:r w:rsidRPr="008236B0">
        <w:rPr>
          <w:rFonts w:ascii="Times New Roman" w:hAnsi="Times New Roman" w:cs="Times New Roman"/>
          <w:sz w:val="24"/>
          <w:szCs w:val="24"/>
        </w:rPr>
        <w:t xml:space="preserve"> There are several archaeological sites that have been claimed to be the capital of the </w:t>
      </w:r>
      <w:proofErr w:type="spellStart"/>
      <w:r w:rsidRPr="008236B0">
        <w:rPr>
          <w:rFonts w:ascii="Times New Roman" w:hAnsi="Times New Roman" w:cs="Times New Roman"/>
          <w:sz w:val="24"/>
          <w:szCs w:val="24"/>
        </w:rPr>
        <w:t>Brigantes</w:t>
      </w:r>
      <w:proofErr w:type="spellEnd"/>
      <w:r w:rsidRPr="008236B0">
        <w:rPr>
          <w:rFonts w:ascii="Times New Roman" w:hAnsi="Times New Roman" w:cs="Times New Roman"/>
          <w:sz w:val="24"/>
          <w:szCs w:val="24"/>
        </w:rPr>
        <w:t xml:space="preserve">, but no conclusive </w:t>
      </w:r>
      <w:r w:rsidRPr="008236B0">
        <w:rPr>
          <w:rFonts w:ascii="Times New Roman" w:hAnsi="Times New Roman" w:cs="Times New Roman"/>
          <w:sz w:val="24"/>
          <w:szCs w:val="24"/>
        </w:rPr>
        <w:lastRenderedPageBreak/>
        <w:t>evidence</w:t>
      </w:r>
      <w:r w:rsidR="00064EB0" w:rsidRPr="008236B0">
        <w:rPr>
          <w:rFonts w:ascii="Times New Roman" w:hAnsi="Times New Roman" w:cs="Times New Roman"/>
          <w:sz w:val="24"/>
          <w:szCs w:val="24"/>
        </w:rPr>
        <w:t>; Hanson and Campbell write extensively about the various possible sites</w:t>
      </w:r>
      <w:r w:rsidR="009C0A0A" w:rsidRPr="008236B0">
        <w:rPr>
          <w:rFonts w:ascii="Times New Roman" w:hAnsi="Times New Roman" w:cs="Times New Roman"/>
          <w:sz w:val="24"/>
          <w:szCs w:val="24"/>
        </w:rPr>
        <w:t xml:space="preserve">, </w:t>
      </w:r>
      <w:r w:rsidR="00064EB0" w:rsidRPr="008236B0">
        <w:rPr>
          <w:rFonts w:ascii="Times New Roman" w:hAnsi="Times New Roman" w:cs="Times New Roman"/>
          <w:sz w:val="24"/>
          <w:szCs w:val="24"/>
        </w:rPr>
        <w:t xml:space="preserve">stating that the most compelling evidence is found in Stanwick, </w:t>
      </w:r>
      <w:r w:rsidR="007E624E" w:rsidRPr="008236B0">
        <w:rPr>
          <w:rFonts w:ascii="Times New Roman" w:hAnsi="Times New Roman" w:cs="Times New Roman"/>
          <w:sz w:val="24"/>
          <w:szCs w:val="24"/>
        </w:rPr>
        <w:t>in the form of Roman roof-tiles, pottery and the remains of wine amphorae.</w:t>
      </w:r>
      <w:r w:rsidR="009C0A0A" w:rsidRPr="008236B0">
        <w:rPr>
          <w:rStyle w:val="FootnoteReference"/>
          <w:rFonts w:ascii="Times New Roman" w:hAnsi="Times New Roman" w:cs="Times New Roman"/>
          <w:sz w:val="24"/>
          <w:szCs w:val="24"/>
        </w:rPr>
        <w:footnoteReference w:id="26"/>
      </w:r>
      <w:r w:rsidR="007E624E" w:rsidRPr="008236B0">
        <w:rPr>
          <w:rFonts w:ascii="Times New Roman" w:hAnsi="Times New Roman" w:cs="Times New Roman"/>
          <w:sz w:val="24"/>
          <w:szCs w:val="24"/>
        </w:rPr>
        <w:t xml:space="preserve"> </w:t>
      </w:r>
      <w:r w:rsidR="00E85D2E" w:rsidRPr="008236B0">
        <w:rPr>
          <w:rFonts w:ascii="Times New Roman" w:hAnsi="Times New Roman" w:cs="Times New Roman"/>
          <w:sz w:val="24"/>
          <w:szCs w:val="24"/>
        </w:rPr>
        <w:t xml:space="preserve">Previously, Stanwick had been seen as the hold of </w:t>
      </w:r>
      <w:proofErr w:type="spellStart"/>
      <w:r w:rsidR="00E85D2E" w:rsidRPr="008236B0">
        <w:rPr>
          <w:rFonts w:ascii="Times New Roman" w:hAnsi="Times New Roman" w:cs="Times New Roman"/>
          <w:sz w:val="24"/>
          <w:szCs w:val="24"/>
        </w:rPr>
        <w:t>Venutius</w:t>
      </w:r>
      <w:proofErr w:type="spellEnd"/>
      <w:r w:rsidR="00C74F4D" w:rsidRPr="008236B0">
        <w:rPr>
          <w:rFonts w:ascii="Times New Roman" w:hAnsi="Times New Roman" w:cs="Times New Roman"/>
          <w:sz w:val="24"/>
          <w:szCs w:val="24"/>
        </w:rPr>
        <w:t xml:space="preserve"> by some due to his being king of Brigantia,</w:t>
      </w:r>
      <w:r w:rsidR="00E85D2E" w:rsidRPr="008236B0">
        <w:rPr>
          <w:rFonts w:ascii="Times New Roman" w:hAnsi="Times New Roman" w:cs="Times New Roman"/>
          <w:sz w:val="24"/>
          <w:szCs w:val="24"/>
        </w:rPr>
        <w:t xml:space="preserve"> forgetting he was the consort of queen Cartimandua.</w:t>
      </w:r>
      <w:r w:rsidR="00570914" w:rsidRPr="008236B0">
        <w:rPr>
          <w:rStyle w:val="FootnoteReference"/>
          <w:rFonts w:ascii="Times New Roman" w:hAnsi="Times New Roman" w:cs="Times New Roman"/>
          <w:sz w:val="24"/>
          <w:szCs w:val="24"/>
        </w:rPr>
        <w:footnoteReference w:id="27"/>
      </w:r>
      <w:r w:rsidR="00E85D2E" w:rsidRPr="008236B0">
        <w:rPr>
          <w:rFonts w:ascii="Times New Roman" w:hAnsi="Times New Roman" w:cs="Times New Roman"/>
          <w:sz w:val="24"/>
          <w:szCs w:val="24"/>
        </w:rPr>
        <w:t xml:space="preserve"> </w:t>
      </w:r>
      <w:r w:rsidR="007E624E" w:rsidRPr="008236B0">
        <w:rPr>
          <w:rFonts w:ascii="Times New Roman" w:hAnsi="Times New Roman" w:cs="Times New Roman"/>
          <w:sz w:val="24"/>
          <w:szCs w:val="24"/>
        </w:rPr>
        <w:t xml:space="preserve">While there is a more persuasive argument for Stanwick being the home of Cartimandua, there </w:t>
      </w:r>
      <w:r w:rsidR="00013423" w:rsidRPr="008236B0">
        <w:rPr>
          <w:rFonts w:ascii="Times New Roman" w:hAnsi="Times New Roman" w:cs="Times New Roman"/>
          <w:sz w:val="24"/>
          <w:szCs w:val="24"/>
        </w:rPr>
        <w:t>is no</w:t>
      </w:r>
      <w:r w:rsidR="007E624E" w:rsidRPr="008236B0">
        <w:rPr>
          <w:rFonts w:ascii="Times New Roman" w:hAnsi="Times New Roman" w:cs="Times New Roman"/>
          <w:sz w:val="24"/>
          <w:szCs w:val="24"/>
        </w:rPr>
        <w:t xml:space="preserve"> way of confirming this</w:t>
      </w:r>
      <w:r w:rsidRPr="008236B0">
        <w:rPr>
          <w:rFonts w:ascii="Times New Roman" w:hAnsi="Times New Roman" w:cs="Times New Roman"/>
          <w:sz w:val="24"/>
          <w:szCs w:val="24"/>
        </w:rPr>
        <w:t xml:space="preserve">. </w:t>
      </w:r>
      <w:r w:rsidR="00C27091" w:rsidRPr="008236B0">
        <w:rPr>
          <w:rFonts w:ascii="Times New Roman" w:hAnsi="Times New Roman" w:cs="Times New Roman"/>
          <w:sz w:val="24"/>
          <w:szCs w:val="24"/>
        </w:rPr>
        <w:t>Thus, as</w:t>
      </w:r>
      <w:r w:rsidRPr="008236B0">
        <w:rPr>
          <w:rFonts w:ascii="Times New Roman" w:hAnsi="Times New Roman" w:cs="Times New Roman"/>
          <w:sz w:val="24"/>
          <w:szCs w:val="24"/>
        </w:rPr>
        <w:t xml:space="preserve"> far as the archaeological and historical record go, she simply vanished. </w:t>
      </w:r>
    </w:p>
    <w:p w14:paraId="77604A03" w14:textId="77777777" w:rsidR="000B52B2" w:rsidRDefault="00013423" w:rsidP="000B52B2">
      <w:pPr>
        <w:spacing w:line="360" w:lineRule="auto"/>
        <w:jc w:val="both"/>
        <w:rPr>
          <w:rFonts w:ascii="Times New Roman" w:hAnsi="Times New Roman" w:cs="Times New Roman"/>
          <w:sz w:val="24"/>
          <w:szCs w:val="24"/>
        </w:rPr>
      </w:pPr>
      <w:r w:rsidRPr="008236B0">
        <w:rPr>
          <w:rFonts w:ascii="Times New Roman" w:hAnsi="Times New Roman" w:cs="Times New Roman"/>
          <w:sz w:val="24"/>
          <w:szCs w:val="24"/>
        </w:rPr>
        <w:t>Cartimandua’s story is problematic, partly due to the</w:t>
      </w:r>
      <w:r w:rsidR="00B43A16" w:rsidRPr="008236B0">
        <w:rPr>
          <w:rFonts w:ascii="Times New Roman" w:hAnsi="Times New Roman" w:cs="Times New Roman"/>
          <w:sz w:val="24"/>
          <w:szCs w:val="24"/>
        </w:rPr>
        <w:t xml:space="preserve"> </w:t>
      </w:r>
      <w:r w:rsidR="00570914" w:rsidRPr="008236B0">
        <w:rPr>
          <w:rFonts w:ascii="Times New Roman" w:hAnsi="Times New Roman" w:cs="Times New Roman"/>
          <w:sz w:val="24"/>
          <w:szCs w:val="24"/>
        </w:rPr>
        <w:t xml:space="preserve">difficulty in </w:t>
      </w:r>
      <w:r w:rsidRPr="008236B0">
        <w:rPr>
          <w:rFonts w:ascii="Times New Roman" w:hAnsi="Times New Roman" w:cs="Times New Roman"/>
          <w:sz w:val="24"/>
          <w:szCs w:val="24"/>
        </w:rPr>
        <w:t>interpreting</w:t>
      </w:r>
      <w:r w:rsidR="00B43A16" w:rsidRPr="008236B0">
        <w:rPr>
          <w:rFonts w:ascii="Times New Roman" w:hAnsi="Times New Roman" w:cs="Times New Roman"/>
          <w:sz w:val="24"/>
          <w:szCs w:val="24"/>
        </w:rPr>
        <w:t xml:space="preserve"> Tacitus.</w:t>
      </w:r>
      <w:r w:rsidR="00570914" w:rsidRPr="008236B0">
        <w:rPr>
          <w:rStyle w:val="FootnoteReference"/>
          <w:rFonts w:ascii="Times New Roman" w:hAnsi="Times New Roman" w:cs="Times New Roman"/>
          <w:sz w:val="24"/>
          <w:szCs w:val="24"/>
        </w:rPr>
        <w:footnoteReference w:id="28"/>
      </w:r>
      <w:r w:rsidR="00B43A16" w:rsidRPr="008236B0">
        <w:rPr>
          <w:rFonts w:ascii="Times New Roman" w:hAnsi="Times New Roman" w:cs="Times New Roman"/>
          <w:sz w:val="24"/>
          <w:szCs w:val="24"/>
        </w:rPr>
        <w:t xml:space="preserve"> He is the only surviving source on the life and actions of Cartimandua, but he was writing from a Roman perspective, for a Roman audience. His works often read as vitriolic and contemptuous of Cartimandua, describing her as </w:t>
      </w:r>
      <w:r w:rsidRPr="008236B0">
        <w:rPr>
          <w:rFonts w:ascii="Times New Roman" w:hAnsi="Times New Roman" w:cs="Times New Roman"/>
          <w:sz w:val="24"/>
          <w:szCs w:val="24"/>
        </w:rPr>
        <w:t>‘</w:t>
      </w:r>
      <w:r w:rsidR="00B43A16" w:rsidRPr="008236B0">
        <w:rPr>
          <w:rFonts w:ascii="Times New Roman" w:hAnsi="Times New Roman" w:cs="Times New Roman"/>
          <w:sz w:val="24"/>
          <w:szCs w:val="24"/>
        </w:rPr>
        <w:t>wanton</w:t>
      </w:r>
      <w:r w:rsidRPr="008236B0">
        <w:rPr>
          <w:rFonts w:ascii="Times New Roman" w:hAnsi="Times New Roman" w:cs="Times New Roman"/>
          <w:sz w:val="24"/>
          <w:szCs w:val="24"/>
        </w:rPr>
        <w:t>’</w:t>
      </w:r>
      <w:r w:rsidR="00B43A16" w:rsidRPr="008236B0">
        <w:rPr>
          <w:rFonts w:ascii="Times New Roman" w:hAnsi="Times New Roman" w:cs="Times New Roman"/>
          <w:sz w:val="24"/>
          <w:szCs w:val="24"/>
        </w:rPr>
        <w:t xml:space="preserve">, </w:t>
      </w:r>
      <w:r w:rsidRPr="008236B0">
        <w:rPr>
          <w:rFonts w:ascii="Times New Roman" w:hAnsi="Times New Roman" w:cs="Times New Roman"/>
          <w:sz w:val="24"/>
          <w:szCs w:val="24"/>
        </w:rPr>
        <w:t>‘</w:t>
      </w:r>
      <w:r w:rsidR="00B43A16" w:rsidRPr="008236B0">
        <w:rPr>
          <w:rFonts w:ascii="Times New Roman" w:hAnsi="Times New Roman" w:cs="Times New Roman"/>
          <w:sz w:val="24"/>
          <w:szCs w:val="24"/>
        </w:rPr>
        <w:t>treacherous</w:t>
      </w:r>
      <w:r w:rsidRPr="008236B0">
        <w:rPr>
          <w:rFonts w:ascii="Times New Roman" w:hAnsi="Times New Roman" w:cs="Times New Roman"/>
          <w:sz w:val="24"/>
          <w:szCs w:val="24"/>
        </w:rPr>
        <w:t>’</w:t>
      </w:r>
      <w:r w:rsidR="00B43A16" w:rsidRPr="008236B0">
        <w:rPr>
          <w:rFonts w:ascii="Times New Roman" w:hAnsi="Times New Roman" w:cs="Times New Roman"/>
          <w:sz w:val="24"/>
          <w:szCs w:val="24"/>
        </w:rPr>
        <w:t xml:space="preserve">, </w:t>
      </w:r>
      <w:r w:rsidRPr="008236B0">
        <w:rPr>
          <w:rFonts w:ascii="Times New Roman" w:hAnsi="Times New Roman" w:cs="Times New Roman"/>
          <w:sz w:val="24"/>
          <w:szCs w:val="24"/>
        </w:rPr>
        <w:t>‘</w:t>
      </w:r>
      <w:r w:rsidR="00B43A16" w:rsidRPr="008236B0">
        <w:rPr>
          <w:rFonts w:ascii="Times New Roman" w:hAnsi="Times New Roman" w:cs="Times New Roman"/>
          <w:sz w:val="24"/>
          <w:szCs w:val="24"/>
        </w:rPr>
        <w:t>savage</w:t>
      </w:r>
      <w:r w:rsidRPr="008236B0">
        <w:rPr>
          <w:rFonts w:ascii="Times New Roman" w:hAnsi="Times New Roman" w:cs="Times New Roman"/>
          <w:sz w:val="24"/>
          <w:szCs w:val="24"/>
        </w:rPr>
        <w:t>’</w:t>
      </w:r>
      <w:r w:rsidR="00B43A16" w:rsidRPr="008236B0">
        <w:rPr>
          <w:rFonts w:ascii="Times New Roman" w:hAnsi="Times New Roman" w:cs="Times New Roman"/>
          <w:sz w:val="24"/>
          <w:szCs w:val="24"/>
        </w:rPr>
        <w:t>.</w:t>
      </w:r>
      <w:r w:rsidR="006D5339">
        <w:rPr>
          <w:rStyle w:val="FootnoteReference"/>
          <w:rFonts w:ascii="Times New Roman" w:hAnsi="Times New Roman" w:cs="Times New Roman"/>
          <w:sz w:val="24"/>
          <w:szCs w:val="24"/>
        </w:rPr>
        <w:footnoteReference w:id="29"/>
      </w:r>
      <w:r w:rsidR="00E85D2E" w:rsidRPr="008236B0">
        <w:rPr>
          <w:rFonts w:ascii="Times New Roman" w:hAnsi="Times New Roman" w:cs="Times New Roman"/>
          <w:sz w:val="24"/>
          <w:szCs w:val="24"/>
        </w:rPr>
        <w:t xml:space="preserve"> This could have been a way to </w:t>
      </w:r>
      <w:r w:rsidR="00C74F4D" w:rsidRPr="008236B0">
        <w:rPr>
          <w:rFonts w:ascii="Times New Roman" w:hAnsi="Times New Roman" w:cs="Times New Roman"/>
          <w:sz w:val="24"/>
          <w:szCs w:val="24"/>
        </w:rPr>
        <w:t>‘</w:t>
      </w:r>
      <w:r w:rsidR="00E85D2E" w:rsidRPr="008236B0">
        <w:rPr>
          <w:rFonts w:ascii="Times New Roman" w:hAnsi="Times New Roman" w:cs="Times New Roman"/>
          <w:sz w:val="24"/>
          <w:szCs w:val="24"/>
        </w:rPr>
        <w:t>other</w:t>
      </w:r>
      <w:r w:rsidR="00C74F4D" w:rsidRPr="008236B0">
        <w:rPr>
          <w:rFonts w:ascii="Times New Roman" w:hAnsi="Times New Roman" w:cs="Times New Roman"/>
          <w:sz w:val="24"/>
          <w:szCs w:val="24"/>
        </w:rPr>
        <w:t>’</w:t>
      </w:r>
      <w:r w:rsidR="00E85D2E" w:rsidRPr="008236B0">
        <w:rPr>
          <w:rFonts w:ascii="Times New Roman" w:hAnsi="Times New Roman" w:cs="Times New Roman"/>
          <w:sz w:val="24"/>
          <w:szCs w:val="24"/>
        </w:rPr>
        <w:t xml:space="preserve"> her and other Celtic women with power, and show the dichotomy between civilised, orderly Rome and chaotic, savage Britain.</w:t>
      </w:r>
      <w:r w:rsidR="00D73CF4" w:rsidRPr="008236B0">
        <w:rPr>
          <w:rFonts w:ascii="Times New Roman" w:hAnsi="Times New Roman" w:cs="Times New Roman"/>
          <w:sz w:val="24"/>
          <w:szCs w:val="24"/>
        </w:rPr>
        <w:t xml:space="preserve"> </w:t>
      </w:r>
      <w:r w:rsidR="00B43A16" w:rsidRPr="008236B0">
        <w:rPr>
          <w:rFonts w:ascii="Times New Roman" w:hAnsi="Times New Roman" w:cs="Times New Roman"/>
          <w:sz w:val="24"/>
          <w:szCs w:val="24"/>
        </w:rPr>
        <w:t>Women having independence and power was an alien concept to a Roman audience</w:t>
      </w:r>
      <w:r w:rsidR="004D1F35" w:rsidRPr="008236B0">
        <w:rPr>
          <w:rFonts w:ascii="Times New Roman" w:hAnsi="Times New Roman" w:cs="Times New Roman"/>
          <w:sz w:val="24"/>
          <w:szCs w:val="24"/>
        </w:rPr>
        <w:t>;</w:t>
      </w:r>
      <w:r w:rsidR="000B52B2">
        <w:rPr>
          <w:rFonts w:ascii="Times New Roman" w:hAnsi="Times New Roman" w:cs="Times New Roman"/>
          <w:sz w:val="24"/>
          <w:szCs w:val="24"/>
        </w:rPr>
        <w:t xml:space="preserve"> c</w:t>
      </w:r>
      <w:r w:rsidR="004D1F35" w:rsidRPr="008236B0">
        <w:rPr>
          <w:rFonts w:ascii="Times New Roman" w:hAnsi="Times New Roman" w:cs="Times New Roman"/>
          <w:sz w:val="24"/>
          <w:szCs w:val="24"/>
        </w:rPr>
        <w:t xml:space="preserve">lassicist Marshall writes that Tacitus’ idea of the ‘good woman’ is a woman who protects and stands by her husband or relative, no matter what; a woman who is </w:t>
      </w:r>
      <w:r w:rsidR="00676A4E" w:rsidRPr="008236B0">
        <w:rPr>
          <w:rFonts w:ascii="Times New Roman" w:hAnsi="Times New Roman" w:cs="Times New Roman"/>
          <w:sz w:val="24"/>
          <w:szCs w:val="24"/>
        </w:rPr>
        <w:t>‘</w:t>
      </w:r>
      <w:r w:rsidR="004D1F35" w:rsidRPr="008236B0">
        <w:rPr>
          <w:rFonts w:ascii="Times New Roman" w:hAnsi="Times New Roman" w:cs="Times New Roman"/>
          <w:sz w:val="24"/>
          <w:szCs w:val="24"/>
        </w:rPr>
        <w:t>feminine</w:t>
      </w:r>
      <w:r w:rsidR="00676A4E" w:rsidRPr="008236B0">
        <w:rPr>
          <w:rFonts w:ascii="Times New Roman" w:hAnsi="Times New Roman" w:cs="Times New Roman"/>
          <w:sz w:val="24"/>
          <w:szCs w:val="24"/>
        </w:rPr>
        <w:t>’</w:t>
      </w:r>
      <w:r w:rsidR="004D1F35" w:rsidRPr="008236B0">
        <w:rPr>
          <w:rFonts w:ascii="Times New Roman" w:hAnsi="Times New Roman" w:cs="Times New Roman"/>
          <w:sz w:val="24"/>
          <w:szCs w:val="24"/>
        </w:rPr>
        <w:t xml:space="preserve">, and stays away from </w:t>
      </w:r>
      <w:r w:rsidR="00676A4E" w:rsidRPr="008236B0">
        <w:rPr>
          <w:rFonts w:ascii="Times New Roman" w:hAnsi="Times New Roman" w:cs="Times New Roman"/>
          <w:sz w:val="24"/>
          <w:szCs w:val="24"/>
        </w:rPr>
        <w:t>‘</w:t>
      </w:r>
      <w:r w:rsidR="004D1F35" w:rsidRPr="008236B0">
        <w:rPr>
          <w:rFonts w:ascii="Times New Roman" w:hAnsi="Times New Roman" w:cs="Times New Roman"/>
          <w:sz w:val="24"/>
          <w:szCs w:val="24"/>
        </w:rPr>
        <w:t>masculine</w:t>
      </w:r>
      <w:r w:rsidR="00676A4E" w:rsidRPr="008236B0">
        <w:rPr>
          <w:rFonts w:ascii="Times New Roman" w:hAnsi="Times New Roman" w:cs="Times New Roman"/>
          <w:sz w:val="24"/>
          <w:szCs w:val="24"/>
        </w:rPr>
        <w:t>’</w:t>
      </w:r>
      <w:r w:rsidR="004D1F35" w:rsidRPr="008236B0">
        <w:rPr>
          <w:rFonts w:ascii="Times New Roman" w:hAnsi="Times New Roman" w:cs="Times New Roman"/>
          <w:sz w:val="24"/>
          <w:szCs w:val="24"/>
        </w:rPr>
        <w:t xml:space="preserve"> pursuits like politics and war.</w:t>
      </w:r>
      <w:r w:rsidR="004D1F35" w:rsidRPr="008236B0">
        <w:rPr>
          <w:rStyle w:val="FootnoteReference"/>
          <w:rFonts w:ascii="Times New Roman" w:hAnsi="Times New Roman" w:cs="Times New Roman"/>
          <w:sz w:val="24"/>
          <w:szCs w:val="24"/>
        </w:rPr>
        <w:footnoteReference w:id="30"/>
      </w:r>
      <w:r w:rsidR="004D1F35" w:rsidRPr="008236B0">
        <w:rPr>
          <w:rFonts w:ascii="Times New Roman" w:hAnsi="Times New Roman" w:cs="Times New Roman"/>
          <w:sz w:val="24"/>
          <w:szCs w:val="24"/>
        </w:rPr>
        <w:t xml:space="preserve"> Marshall writes that Tacitus saw women who were independent, ambitious, or who used their femininity or sexuality to their advantage, as ‘bad women’.</w:t>
      </w:r>
      <w:r w:rsidR="00710FB3" w:rsidRPr="008236B0">
        <w:rPr>
          <w:rStyle w:val="FootnoteReference"/>
          <w:rFonts w:ascii="Times New Roman" w:hAnsi="Times New Roman" w:cs="Times New Roman"/>
          <w:sz w:val="24"/>
          <w:szCs w:val="24"/>
        </w:rPr>
        <w:footnoteReference w:id="31"/>
      </w:r>
      <w:r w:rsidR="00710FB3" w:rsidRPr="00710FB3">
        <w:rPr>
          <w:rFonts w:ascii="Arial" w:eastAsia="Times New Roman" w:hAnsi="Arial" w:cs="Arial"/>
          <w:vanish/>
          <w:kern w:val="0"/>
          <w:sz w:val="16"/>
          <w:szCs w:val="16"/>
          <w:lang w:eastAsia="en-GB"/>
          <w14:ligatures w14:val="none"/>
        </w:rPr>
        <w:t>Bottom of Form</w:t>
      </w:r>
      <w:r w:rsidR="004D1F35" w:rsidRPr="008236B0">
        <w:rPr>
          <w:rFonts w:ascii="Times New Roman" w:hAnsi="Times New Roman" w:cs="Times New Roman"/>
          <w:sz w:val="24"/>
          <w:szCs w:val="24"/>
        </w:rPr>
        <w:t xml:space="preserve"> It </w:t>
      </w:r>
      <w:r w:rsidR="00D73CF4" w:rsidRPr="008236B0">
        <w:rPr>
          <w:rFonts w:ascii="Times New Roman" w:hAnsi="Times New Roman" w:cs="Times New Roman"/>
          <w:sz w:val="24"/>
          <w:szCs w:val="24"/>
        </w:rPr>
        <w:t xml:space="preserve">seems likely </w:t>
      </w:r>
      <w:r w:rsidR="004D1F35" w:rsidRPr="008236B0">
        <w:rPr>
          <w:rFonts w:ascii="Times New Roman" w:hAnsi="Times New Roman" w:cs="Times New Roman"/>
          <w:sz w:val="24"/>
          <w:szCs w:val="24"/>
        </w:rPr>
        <w:t>that Tacitus saw Cartimandua</w:t>
      </w:r>
      <w:r w:rsidR="00676A4E" w:rsidRPr="008236B0">
        <w:rPr>
          <w:rFonts w:ascii="Times New Roman" w:hAnsi="Times New Roman" w:cs="Times New Roman"/>
          <w:sz w:val="24"/>
          <w:szCs w:val="24"/>
        </w:rPr>
        <w:t>, who had agency and power in her own right,</w:t>
      </w:r>
      <w:r w:rsidR="004D1F35" w:rsidRPr="008236B0">
        <w:rPr>
          <w:rFonts w:ascii="Times New Roman" w:hAnsi="Times New Roman" w:cs="Times New Roman"/>
          <w:sz w:val="24"/>
          <w:szCs w:val="24"/>
        </w:rPr>
        <w:t xml:space="preserve"> as a ‘bad woman’. </w:t>
      </w:r>
      <w:r w:rsidR="00B43A16" w:rsidRPr="008236B0">
        <w:rPr>
          <w:rFonts w:ascii="Times New Roman" w:hAnsi="Times New Roman" w:cs="Times New Roman"/>
          <w:sz w:val="24"/>
          <w:szCs w:val="24"/>
        </w:rPr>
        <w:t xml:space="preserve">Archaeologists Pope and Ralston address the </w:t>
      </w:r>
      <w:r w:rsidR="00262690" w:rsidRPr="008236B0">
        <w:rPr>
          <w:rFonts w:ascii="Times New Roman" w:hAnsi="Times New Roman" w:cs="Times New Roman"/>
          <w:sz w:val="24"/>
          <w:szCs w:val="24"/>
        </w:rPr>
        <w:t>impact</w:t>
      </w:r>
      <w:r w:rsidR="00B43A16" w:rsidRPr="008236B0">
        <w:rPr>
          <w:rFonts w:ascii="Times New Roman" w:hAnsi="Times New Roman" w:cs="Times New Roman"/>
          <w:sz w:val="24"/>
          <w:szCs w:val="24"/>
        </w:rPr>
        <w:t xml:space="preserve"> of </w:t>
      </w:r>
      <w:r w:rsidR="00262690" w:rsidRPr="008236B0">
        <w:rPr>
          <w:rFonts w:ascii="Times New Roman" w:hAnsi="Times New Roman" w:cs="Times New Roman"/>
          <w:sz w:val="24"/>
          <w:szCs w:val="24"/>
        </w:rPr>
        <w:t>preconception</w:t>
      </w:r>
      <w:r w:rsidR="00B43A16" w:rsidRPr="008236B0">
        <w:rPr>
          <w:rFonts w:ascii="Times New Roman" w:hAnsi="Times New Roman" w:cs="Times New Roman"/>
          <w:sz w:val="24"/>
          <w:szCs w:val="24"/>
        </w:rPr>
        <w:t xml:space="preserve"> from </w:t>
      </w:r>
      <w:r w:rsidR="00262690" w:rsidRPr="008236B0">
        <w:rPr>
          <w:rFonts w:ascii="Times New Roman" w:hAnsi="Times New Roman" w:cs="Times New Roman"/>
          <w:sz w:val="24"/>
          <w:szCs w:val="24"/>
        </w:rPr>
        <w:t>the</w:t>
      </w:r>
      <w:r w:rsidR="00B43A16" w:rsidRPr="008236B0">
        <w:rPr>
          <w:rFonts w:ascii="Times New Roman" w:hAnsi="Times New Roman" w:cs="Times New Roman"/>
          <w:sz w:val="24"/>
          <w:szCs w:val="24"/>
        </w:rPr>
        <w:t xml:space="preserve"> archaeological perspective, writing:</w:t>
      </w:r>
      <w:r w:rsidR="000B52B2">
        <w:rPr>
          <w:rFonts w:ascii="Times New Roman" w:hAnsi="Times New Roman" w:cs="Times New Roman"/>
          <w:sz w:val="24"/>
          <w:szCs w:val="24"/>
        </w:rPr>
        <w:t xml:space="preserve"> </w:t>
      </w:r>
    </w:p>
    <w:p w14:paraId="4A60FC1C" w14:textId="6962338B" w:rsidR="00676A4E" w:rsidRPr="008236B0" w:rsidRDefault="00B43A16" w:rsidP="000B52B2">
      <w:pPr>
        <w:spacing w:line="360" w:lineRule="auto"/>
        <w:ind w:left="567"/>
        <w:jc w:val="both"/>
        <w:rPr>
          <w:rFonts w:ascii="Times New Roman" w:hAnsi="Times New Roman" w:cs="Times New Roman"/>
          <w:sz w:val="24"/>
          <w:szCs w:val="24"/>
        </w:rPr>
      </w:pPr>
      <w:r w:rsidRPr="008236B0">
        <w:rPr>
          <w:rFonts w:ascii="Times New Roman" w:hAnsi="Times New Roman" w:cs="Times New Roman"/>
          <w:sz w:val="24"/>
          <w:szCs w:val="24"/>
        </w:rPr>
        <w:t>[…] Approaches to Iron Age gender centred on archaeological and osteological evidence remain under-developed; with a tendency instead to focus on the few classical testimonies and to gender prehistory by formal analogy.</w:t>
      </w:r>
      <w:r w:rsidR="00076853" w:rsidRPr="008236B0">
        <w:rPr>
          <w:rStyle w:val="FootnoteReference"/>
          <w:rFonts w:ascii="Times New Roman" w:hAnsi="Times New Roman" w:cs="Times New Roman"/>
          <w:sz w:val="24"/>
          <w:szCs w:val="24"/>
        </w:rPr>
        <w:footnoteReference w:id="32"/>
      </w:r>
      <w:r w:rsidRPr="008236B0">
        <w:rPr>
          <w:rFonts w:ascii="Times New Roman" w:hAnsi="Times New Roman" w:cs="Times New Roman"/>
          <w:sz w:val="24"/>
          <w:szCs w:val="24"/>
        </w:rPr>
        <w:t xml:space="preserve"> </w:t>
      </w:r>
    </w:p>
    <w:p w14:paraId="06946E13" w14:textId="3B234B97" w:rsidR="008236B0" w:rsidRPr="008236B0" w:rsidRDefault="00E85D2E" w:rsidP="00814F89">
      <w:pPr>
        <w:spacing w:line="360" w:lineRule="auto"/>
        <w:jc w:val="both"/>
        <w:rPr>
          <w:rFonts w:ascii="Times New Roman" w:hAnsi="Times New Roman" w:cs="Times New Roman"/>
          <w:sz w:val="24"/>
          <w:szCs w:val="24"/>
        </w:rPr>
      </w:pPr>
      <w:r w:rsidRPr="008236B0">
        <w:rPr>
          <w:rFonts w:ascii="Times New Roman" w:hAnsi="Times New Roman" w:cs="Times New Roman"/>
          <w:sz w:val="24"/>
          <w:szCs w:val="24"/>
        </w:rPr>
        <w:t>I</w:t>
      </w:r>
      <w:r w:rsidR="00661B44" w:rsidRPr="008236B0">
        <w:rPr>
          <w:rFonts w:ascii="Times New Roman" w:hAnsi="Times New Roman" w:cs="Times New Roman"/>
          <w:sz w:val="24"/>
          <w:szCs w:val="24"/>
        </w:rPr>
        <w:t>t appears that the biased views of ancient scholars continue to impact and impede research today. I</w:t>
      </w:r>
      <w:r w:rsidRPr="008236B0">
        <w:rPr>
          <w:rFonts w:ascii="Times New Roman" w:hAnsi="Times New Roman" w:cs="Times New Roman"/>
          <w:sz w:val="24"/>
          <w:szCs w:val="24"/>
        </w:rPr>
        <w:t xml:space="preserve">t is saddening to see how pervasive the issue of bias against women </w:t>
      </w:r>
      <w:r w:rsidR="00262690" w:rsidRPr="008236B0">
        <w:rPr>
          <w:rFonts w:ascii="Times New Roman" w:hAnsi="Times New Roman" w:cs="Times New Roman"/>
          <w:sz w:val="24"/>
          <w:szCs w:val="24"/>
        </w:rPr>
        <w:t>holding</w:t>
      </w:r>
      <w:r w:rsidRPr="008236B0">
        <w:rPr>
          <w:rFonts w:ascii="Times New Roman" w:hAnsi="Times New Roman" w:cs="Times New Roman"/>
          <w:sz w:val="24"/>
          <w:szCs w:val="24"/>
        </w:rPr>
        <w:t xml:space="preserve"> </w:t>
      </w:r>
      <w:r w:rsidR="00661B44" w:rsidRPr="008236B0">
        <w:rPr>
          <w:rFonts w:ascii="Times New Roman" w:hAnsi="Times New Roman" w:cs="Times New Roman"/>
          <w:sz w:val="24"/>
          <w:szCs w:val="24"/>
        </w:rPr>
        <w:t xml:space="preserve">independent </w:t>
      </w:r>
      <w:r w:rsidR="00661B44" w:rsidRPr="008236B0">
        <w:rPr>
          <w:rFonts w:ascii="Times New Roman" w:hAnsi="Times New Roman" w:cs="Times New Roman"/>
          <w:sz w:val="24"/>
          <w:szCs w:val="24"/>
        </w:rPr>
        <w:lastRenderedPageBreak/>
        <w:t>power is</w:t>
      </w:r>
      <w:r w:rsidRPr="008236B0">
        <w:rPr>
          <w:rFonts w:ascii="Times New Roman" w:hAnsi="Times New Roman" w:cs="Times New Roman"/>
          <w:sz w:val="24"/>
          <w:szCs w:val="24"/>
        </w:rPr>
        <w:t xml:space="preserve">, especially in a field where women are so often </w:t>
      </w:r>
      <w:r w:rsidR="00570914" w:rsidRPr="008236B0">
        <w:rPr>
          <w:rFonts w:ascii="Times New Roman" w:hAnsi="Times New Roman" w:cs="Times New Roman"/>
          <w:sz w:val="24"/>
          <w:szCs w:val="24"/>
        </w:rPr>
        <w:t xml:space="preserve">poorly represented in the </w:t>
      </w:r>
      <w:r w:rsidRPr="008236B0">
        <w:rPr>
          <w:rFonts w:ascii="Times New Roman" w:hAnsi="Times New Roman" w:cs="Times New Roman"/>
          <w:sz w:val="24"/>
          <w:szCs w:val="24"/>
        </w:rPr>
        <w:t>historical record. With more critical analysis and education on these matters, there is hope that women in</w:t>
      </w:r>
      <w:r w:rsidR="00262690" w:rsidRPr="008236B0">
        <w:rPr>
          <w:rFonts w:ascii="Times New Roman" w:hAnsi="Times New Roman" w:cs="Times New Roman"/>
          <w:sz w:val="24"/>
          <w:szCs w:val="24"/>
        </w:rPr>
        <w:t xml:space="preserve"> history</w:t>
      </w:r>
      <w:r w:rsidRPr="008236B0">
        <w:rPr>
          <w:rFonts w:ascii="Times New Roman" w:hAnsi="Times New Roman" w:cs="Times New Roman"/>
          <w:sz w:val="24"/>
          <w:szCs w:val="24"/>
        </w:rPr>
        <w:t xml:space="preserve"> will </w:t>
      </w:r>
      <w:r w:rsidR="00262690" w:rsidRPr="008236B0">
        <w:rPr>
          <w:rFonts w:ascii="Times New Roman" w:hAnsi="Times New Roman" w:cs="Times New Roman"/>
          <w:sz w:val="24"/>
          <w:szCs w:val="24"/>
        </w:rPr>
        <w:t>more readily be</w:t>
      </w:r>
      <w:r w:rsidRPr="008236B0">
        <w:rPr>
          <w:rFonts w:ascii="Times New Roman" w:hAnsi="Times New Roman" w:cs="Times New Roman"/>
          <w:sz w:val="24"/>
          <w:szCs w:val="24"/>
        </w:rPr>
        <w:t xml:space="preserve"> recognised as people, and not accessories to powerful men. </w:t>
      </w:r>
      <w:r w:rsidR="00676A4E" w:rsidRPr="008236B0">
        <w:rPr>
          <w:rFonts w:ascii="Times New Roman" w:hAnsi="Times New Roman" w:cs="Times New Roman"/>
          <w:sz w:val="24"/>
          <w:szCs w:val="24"/>
        </w:rPr>
        <w:t xml:space="preserve"> </w:t>
      </w:r>
    </w:p>
    <w:p w14:paraId="5417BF77" w14:textId="77777777" w:rsidR="008236B0" w:rsidRPr="008236B0" w:rsidRDefault="008236B0">
      <w:pPr>
        <w:rPr>
          <w:rFonts w:ascii="Times New Roman" w:hAnsi="Times New Roman" w:cs="Times New Roman"/>
          <w:sz w:val="24"/>
          <w:szCs w:val="24"/>
        </w:rPr>
      </w:pPr>
      <w:r w:rsidRPr="008236B0">
        <w:rPr>
          <w:rFonts w:ascii="Times New Roman" w:hAnsi="Times New Roman" w:cs="Times New Roman"/>
          <w:sz w:val="24"/>
          <w:szCs w:val="24"/>
        </w:rPr>
        <w:br w:type="page"/>
      </w:r>
    </w:p>
    <w:p w14:paraId="5BE6AA62" w14:textId="19450C10" w:rsidR="00676A4E" w:rsidRPr="008236B0" w:rsidRDefault="008236B0" w:rsidP="008236B0">
      <w:pPr>
        <w:spacing w:line="360" w:lineRule="auto"/>
        <w:jc w:val="center"/>
        <w:rPr>
          <w:rFonts w:ascii="Times New Roman" w:hAnsi="Times New Roman" w:cs="Times New Roman"/>
          <w:sz w:val="28"/>
          <w:szCs w:val="28"/>
        </w:rPr>
      </w:pPr>
      <w:r w:rsidRPr="008236B0">
        <w:rPr>
          <w:rFonts w:ascii="Times New Roman" w:hAnsi="Times New Roman" w:cs="Times New Roman"/>
          <w:sz w:val="28"/>
          <w:szCs w:val="28"/>
        </w:rPr>
        <w:lastRenderedPageBreak/>
        <w:t>Bibliography</w:t>
      </w:r>
    </w:p>
    <w:p w14:paraId="2FFCA62B" w14:textId="08EC7DD5" w:rsidR="008236B0" w:rsidRPr="00260D06" w:rsidRDefault="008236B0" w:rsidP="008236B0">
      <w:pPr>
        <w:spacing w:line="360" w:lineRule="auto"/>
        <w:jc w:val="center"/>
        <w:rPr>
          <w:rFonts w:ascii="Times New Roman" w:hAnsi="Times New Roman" w:cs="Times New Roman"/>
          <w:sz w:val="26"/>
          <w:szCs w:val="26"/>
          <w:u w:val="single"/>
        </w:rPr>
      </w:pPr>
      <w:r w:rsidRPr="00260D06">
        <w:rPr>
          <w:rFonts w:ascii="Times New Roman" w:eastAsia="Times New Roman" w:hAnsi="Times New Roman" w:cs="Times New Roman"/>
          <w:kern w:val="0"/>
          <w:sz w:val="26"/>
          <w:szCs w:val="26"/>
          <w:u w:val="single"/>
          <w:lang w:eastAsia="en-GB"/>
          <w14:ligatures w14:val="none"/>
        </w:rPr>
        <w:t>Ancient Sources</w:t>
      </w:r>
    </w:p>
    <w:p w14:paraId="35C73BDA" w14:textId="10E493DC" w:rsidR="00040FAD" w:rsidRDefault="00040FAD" w:rsidP="008236B0">
      <w:pPr>
        <w:spacing w:line="240" w:lineRule="auto"/>
        <w:rPr>
          <w:rFonts w:ascii="Times New Roman" w:eastAsia="Times New Roman" w:hAnsi="Times New Roman" w:cs="Times New Roman"/>
          <w:kern w:val="0"/>
          <w:sz w:val="24"/>
          <w:szCs w:val="24"/>
          <w:lang w:eastAsia="en-GB"/>
          <w14:ligatures w14:val="none"/>
        </w:rPr>
      </w:pPr>
      <w:r w:rsidRPr="008236B0">
        <w:rPr>
          <w:rFonts w:ascii="Times New Roman" w:eastAsia="Times New Roman" w:hAnsi="Times New Roman" w:cs="Times New Roman"/>
          <w:kern w:val="0"/>
          <w:sz w:val="24"/>
          <w:szCs w:val="24"/>
          <w:lang w:eastAsia="en-GB"/>
          <w14:ligatures w14:val="none"/>
        </w:rPr>
        <w:t>Tacitus</w:t>
      </w:r>
      <w:r>
        <w:rPr>
          <w:rFonts w:ascii="Times New Roman" w:eastAsia="Times New Roman" w:hAnsi="Times New Roman" w:cs="Times New Roman"/>
          <w:kern w:val="0"/>
          <w:sz w:val="24"/>
          <w:szCs w:val="24"/>
          <w:lang w:eastAsia="en-GB"/>
          <w14:ligatures w14:val="none"/>
        </w:rPr>
        <w:t>,</w:t>
      </w:r>
      <w:r w:rsidRPr="008236B0">
        <w:rPr>
          <w:rFonts w:ascii="Times New Roman" w:eastAsia="Times New Roman" w:hAnsi="Times New Roman" w:cs="Times New Roman"/>
          <w:kern w:val="0"/>
          <w:sz w:val="24"/>
          <w:szCs w:val="24"/>
          <w:lang w:eastAsia="en-GB"/>
          <w14:ligatures w14:val="none"/>
        </w:rPr>
        <w:t xml:space="preserve"> </w:t>
      </w:r>
      <w:r w:rsidRPr="008236B0">
        <w:rPr>
          <w:rFonts w:ascii="Times New Roman" w:eastAsia="Times New Roman" w:hAnsi="Times New Roman" w:cs="Times New Roman"/>
          <w:i/>
          <w:iCs/>
          <w:kern w:val="0"/>
          <w:sz w:val="24"/>
          <w:szCs w:val="24"/>
          <w:lang w:eastAsia="en-GB"/>
          <w14:ligatures w14:val="none"/>
        </w:rPr>
        <w:t>Annals: Book 12</w:t>
      </w:r>
      <w:r w:rsidRPr="008236B0">
        <w:rPr>
          <w:rFonts w:ascii="Times New Roman" w:eastAsia="Times New Roman" w:hAnsi="Times New Roman" w:cs="Times New Roman"/>
          <w:kern w:val="0"/>
          <w:sz w:val="24"/>
          <w:szCs w:val="24"/>
          <w:lang w:eastAsia="en-GB"/>
          <w14:ligatures w14:val="none"/>
        </w:rPr>
        <w:t xml:space="preserve">, trans. by John Jackson (Loeb Classical Library 312. Cambridge, MA: Harvard University Press, 1937) pp. 363-373 </w:t>
      </w:r>
    </w:p>
    <w:p w14:paraId="0A7F920C" w14:textId="59413626" w:rsidR="008236B0" w:rsidRPr="008236B0" w:rsidRDefault="008236B0" w:rsidP="008236B0">
      <w:pPr>
        <w:spacing w:line="240" w:lineRule="auto"/>
        <w:rPr>
          <w:rFonts w:ascii="Times New Roman" w:eastAsia="Times New Roman" w:hAnsi="Times New Roman" w:cs="Times New Roman"/>
          <w:kern w:val="0"/>
          <w:sz w:val="24"/>
          <w:szCs w:val="24"/>
          <w:lang w:eastAsia="en-GB"/>
          <w14:ligatures w14:val="none"/>
        </w:rPr>
      </w:pPr>
      <w:r w:rsidRPr="008236B0">
        <w:rPr>
          <w:rFonts w:ascii="Times New Roman" w:eastAsia="Times New Roman" w:hAnsi="Times New Roman" w:cs="Times New Roman"/>
          <w:kern w:val="0"/>
          <w:sz w:val="24"/>
          <w:szCs w:val="24"/>
          <w:lang w:eastAsia="en-GB"/>
          <w14:ligatures w14:val="none"/>
        </w:rPr>
        <w:t>Tacitus</w:t>
      </w:r>
      <w:r w:rsidR="004348FF">
        <w:rPr>
          <w:rFonts w:ascii="Times New Roman" w:eastAsia="Times New Roman" w:hAnsi="Times New Roman" w:cs="Times New Roman"/>
          <w:kern w:val="0"/>
          <w:sz w:val="24"/>
          <w:szCs w:val="24"/>
          <w:lang w:eastAsia="en-GB"/>
          <w14:ligatures w14:val="none"/>
        </w:rPr>
        <w:t>,</w:t>
      </w:r>
      <w:r w:rsidRPr="008236B0">
        <w:rPr>
          <w:rFonts w:ascii="Times New Roman" w:eastAsia="Times New Roman" w:hAnsi="Times New Roman" w:cs="Times New Roman"/>
          <w:kern w:val="0"/>
          <w:sz w:val="24"/>
          <w:szCs w:val="24"/>
          <w:lang w:eastAsia="en-GB"/>
          <w14:ligatures w14:val="none"/>
        </w:rPr>
        <w:t xml:space="preserve"> </w:t>
      </w:r>
      <w:r w:rsidRPr="008236B0">
        <w:rPr>
          <w:rFonts w:ascii="Times New Roman" w:eastAsia="Times New Roman" w:hAnsi="Times New Roman" w:cs="Times New Roman"/>
          <w:i/>
          <w:iCs/>
          <w:kern w:val="0"/>
          <w:sz w:val="24"/>
          <w:szCs w:val="24"/>
          <w:lang w:eastAsia="en-GB"/>
          <w14:ligatures w14:val="none"/>
        </w:rPr>
        <w:t>Histories: Book 3</w:t>
      </w:r>
      <w:r w:rsidRPr="008236B0">
        <w:rPr>
          <w:rFonts w:ascii="Times New Roman" w:eastAsia="Times New Roman" w:hAnsi="Times New Roman" w:cs="Times New Roman"/>
          <w:kern w:val="0"/>
          <w:sz w:val="24"/>
          <w:szCs w:val="24"/>
          <w:lang w:eastAsia="en-GB"/>
          <w14:ligatures w14:val="none"/>
        </w:rPr>
        <w:t>, trans. by Clifford H. Moore (Loeb Classical Library 111. Cambridge, MA: Harvard University Press, 1925) p</w:t>
      </w:r>
      <w:r w:rsidR="004348FF">
        <w:rPr>
          <w:rFonts w:ascii="Times New Roman" w:eastAsia="Times New Roman" w:hAnsi="Times New Roman" w:cs="Times New Roman"/>
          <w:kern w:val="0"/>
          <w:sz w:val="24"/>
          <w:szCs w:val="24"/>
          <w:lang w:eastAsia="en-GB"/>
          <w14:ligatures w14:val="none"/>
        </w:rPr>
        <w:t xml:space="preserve">. 403 </w:t>
      </w:r>
      <w:r w:rsidRPr="008236B0">
        <w:rPr>
          <w:rFonts w:ascii="Times New Roman" w:eastAsia="Times New Roman" w:hAnsi="Times New Roman" w:cs="Times New Roman"/>
          <w:kern w:val="0"/>
          <w:sz w:val="24"/>
          <w:szCs w:val="24"/>
          <w:lang w:eastAsia="en-GB"/>
          <w14:ligatures w14:val="none"/>
        </w:rPr>
        <w:t xml:space="preserve"> </w:t>
      </w:r>
    </w:p>
    <w:p w14:paraId="7AA2A4FB" w14:textId="73E77016" w:rsidR="008236B0" w:rsidRPr="00260D06" w:rsidRDefault="008236B0" w:rsidP="008236B0">
      <w:pPr>
        <w:spacing w:line="360" w:lineRule="auto"/>
        <w:jc w:val="center"/>
        <w:rPr>
          <w:rFonts w:ascii="Times New Roman" w:hAnsi="Times New Roman" w:cs="Times New Roman"/>
          <w:sz w:val="26"/>
          <w:szCs w:val="26"/>
          <w:u w:val="single"/>
        </w:rPr>
      </w:pPr>
      <w:r w:rsidRPr="00260D06">
        <w:rPr>
          <w:rFonts w:ascii="Times New Roman" w:hAnsi="Times New Roman" w:cs="Times New Roman"/>
          <w:sz w:val="26"/>
          <w:szCs w:val="26"/>
          <w:u w:val="single"/>
        </w:rPr>
        <w:t xml:space="preserve">Modern Sources </w:t>
      </w:r>
    </w:p>
    <w:p w14:paraId="48D4F0F0" w14:textId="36875583" w:rsidR="004B50A2" w:rsidRPr="00017F0D" w:rsidRDefault="004B50A2" w:rsidP="004B50A2">
      <w:pPr>
        <w:pStyle w:val="Bibliography"/>
        <w:rPr>
          <w:rFonts w:ascii="Times New Roman" w:hAnsi="Times New Roman" w:cs="Times New Roman"/>
          <w:sz w:val="24"/>
        </w:rPr>
      </w:pPr>
      <w:r w:rsidRPr="00017F0D">
        <w:rPr>
          <w:u w:val="single"/>
        </w:rPr>
        <w:fldChar w:fldCharType="begin"/>
      </w:r>
      <w:r w:rsidRPr="00017F0D">
        <w:rPr>
          <w:u w:val="single"/>
        </w:rPr>
        <w:instrText xml:space="preserve"> ADDIN ZOTERO_BIBL {"uncited":[],"omitted":[],"custom":[]} CSL_BIBLIOGRAPHY </w:instrText>
      </w:r>
      <w:r w:rsidRPr="00017F0D">
        <w:rPr>
          <w:u w:val="single"/>
        </w:rPr>
        <w:fldChar w:fldCharType="separate"/>
      </w:r>
      <w:r w:rsidRPr="00017F0D">
        <w:rPr>
          <w:rFonts w:ascii="Times New Roman" w:hAnsi="Times New Roman" w:cs="Times New Roman"/>
          <w:sz w:val="24"/>
        </w:rPr>
        <w:t xml:space="preserve">Armitage, Jill, </w:t>
      </w:r>
      <w:r w:rsidRPr="00017F0D">
        <w:rPr>
          <w:rFonts w:ascii="Times New Roman" w:hAnsi="Times New Roman" w:cs="Times New Roman"/>
          <w:i/>
          <w:iCs/>
          <w:sz w:val="24"/>
        </w:rPr>
        <w:t>Celtic Queen: The World of Cartimandua</w:t>
      </w:r>
      <w:r w:rsidRPr="00017F0D">
        <w:rPr>
          <w:rFonts w:ascii="Times New Roman" w:hAnsi="Times New Roman" w:cs="Times New Roman"/>
          <w:sz w:val="24"/>
        </w:rPr>
        <w:t xml:space="preserve"> (Gloucestershire: Amberley Publishing, 2020)</w:t>
      </w:r>
    </w:p>
    <w:p w14:paraId="2C2C017A" w14:textId="77777777" w:rsidR="004B50A2" w:rsidRPr="00017F0D" w:rsidRDefault="004B50A2" w:rsidP="004B50A2">
      <w:pPr>
        <w:pStyle w:val="Bibliography"/>
        <w:rPr>
          <w:rFonts w:ascii="Times New Roman" w:hAnsi="Times New Roman" w:cs="Times New Roman"/>
          <w:sz w:val="24"/>
        </w:rPr>
      </w:pPr>
      <w:r w:rsidRPr="00017F0D">
        <w:rPr>
          <w:rFonts w:ascii="Times New Roman" w:hAnsi="Times New Roman" w:cs="Times New Roman"/>
          <w:sz w:val="24"/>
        </w:rPr>
        <w:t xml:space="preserve">Braund, David, ‘Observations on Cartimandua’, </w:t>
      </w:r>
      <w:r w:rsidRPr="00017F0D">
        <w:rPr>
          <w:rFonts w:ascii="Times New Roman" w:hAnsi="Times New Roman" w:cs="Times New Roman"/>
          <w:i/>
          <w:iCs/>
          <w:sz w:val="24"/>
        </w:rPr>
        <w:t>Britannia</w:t>
      </w:r>
      <w:r w:rsidRPr="00017F0D">
        <w:rPr>
          <w:rFonts w:ascii="Times New Roman" w:hAnsi="Times New Roman" w:cs="Times New Roman"/>
          <w:sz w:val="24"/>
        </w:rPr>
        <w:t>, 15 (1984), 1–6 &lt;https://doi.org/10.2307/526580&gt;</w:t>
      </w:r>
    </w:p>
    <w:p w14:paraId="2F417A71" w14:textId="01030E65" w:rsidR="004B50A2" w:rsidRPr="00017F0D" w:rsidRDefault="00017F0D" w:rsidP="004B50A2">
      <w:pPr>
        <w:pStyle w:val="Bibliography"/>
        <w:rPr>
          <w:rFonts w:ascii="Times New Roman" w:hAnsi="Times New Roman" w:cs="Times New Roman"/>
          <w:sz w:val="24"/>
        </w:rPr>
      </w:pPr>
      <w:r w:rsidRPr="00017F0D">
        <w:rPr>
          <w:rFonts w:ascii="Times New Roman" w:hAnsi="Times New Roman" w:cs="Times New Roman"/>
          <w:sz w:val="24"/>
        </w:rPr>
        <w:t xml:space="preserve">University of Warwick, </w:t>
      </w:r>
      <w:r w:rsidR="004B50A2" w:rsidRPr="00017F0D">
        <w:rPr>
          <w:rFonts w:ascii="Times New Roman" w:hAnsi="Times New Roman" w:cs="Times New Roman"/>
          <w:i/>
          <w:iCs/>
          <w:sz w:val="24"/>
        </w:rPr>
        <w:t xml:space="preserve">Cartimandua and the Brigantes </w:t>
      </w:r>
      <w:r w:rsidR="004B50A2" w:rsidRPr="00017F0D">
        <w:rPr>
          <w:rFonts w:ascii="Times New Roman" w:hAnsi="Times New Roman" w:cs="Times New Roman"/>
          <w:sz w:val="24"/>
        </w:rPr>
        <w:t>&lt;https://warwick.ac.uk/fac/arts/classics/warwickclassicsnetwork/romancoventry/resources/interactions/civitates/cartimandua/&gt; [accessed 17 December 2023]</w:t>
      </w:r>
    </w:p>
    <w:p w14:paraId="7E0301B6" w14:textId="2BBD9BC5" w:rsidR="004B50A2" w:rsidRPr="00017F0D" w:rsidRDefault="004B50A2" w:rsidP="004B50A2">
      <w:pPr>
        <w:pStyle w:val="Bibliography"/>
        <w:rPr>
          <w:rFonts w:ascii="Times New Roman" w:hAnsi="Times New Roman" w:cs="Times New Roman"/>
          <w:sz w:val="24"/>
        </w:rPr>
      </w:pPr>
      <w:r w:rsidRPr="00017F0D">
        <w:rPr>
          <w:rFonts w:ascii="Times New Roman" w:hAnsi="Times New Roman" w:cs="Times New Roman"/>
          <w:sz w:val="24"/>
        </w:rPr>
        <w:t xml:space="preserve">Cartwright, Mark, </w:t>
      </w:r>
      <w:r w:rsidR="00017F0D" w:rsidRPr="00017F0D">
        <w:rPr>
          <w:rFonts w:ascii="Times New Roman" w:hAnsi="Times New Roman" w:cs="Times New Roman"/>
          <w:i/>
          <w:iCs/>
          <w:sz w:val="24"/>
        </w:rPr>
        <w:t xml:space="preserve">The Role of Women in the Roman World </w:t>
      </w:r>
      <w:r w:rsidR="00017F0D" w:rsidRPr="00017F0D">
        <w:rPr>
          <w:rFonts w:ascii="Times New Roman" w:hAnsi="Times New Roman" w:cs="Times New Roman"/>
          <w:sz w:val="24"/>
        </w:rPr>
        <w:t xml:space="preserve">(2014) </w:t>
      </w:r>
      <w:r w:rsidRPr="00017F0D">
        <w:rPr>
          <w:rFonts w:ascii="Times New Roman" w:hAnsi="Times New Roman" w:cs="Times New Roman"/>
          <w:sz w:val="24"/>
        </w:rPr>
        <w:t>&lt;https://www.worldhistory.org/article/659/the-role-of-women-in-the-roman-world/&gt; [accessed 6 December 2023]</w:t>
      </w:r>
    </w:p>
    <w:p w14:paraId="546599F4" w14:textId="77777777" w:rsidR="004B50A2" w:rsidRPr="00017F0D" w:rsidRDefault="004B50A2" w:rsidP="004B50A2">
      <w:pPr>
        <w:pStyle w:val="Bibliography"/>
        <w:rPr>
          <w:rFonts w:ascii="Times New Roman" w:hAnsi="Times New Roman" w:cs="Times New Roman"/>
          <w:sz w:val="24"/>
        </w:rPr>
      </w:pPr>
      <w:r w:rsidRPr="00017F0D">
        <w:rPr>
          <w:rFonts w:ascii="Times New Roman" w:hAnsi="Times New Roman" w:cs="Times New Roman"/>
          <w:sz w:val="24"/>
        </w:rPr>
        <w:t xml:space="preserve">Hanson, W. S, and D. B. Campbell, ‘The Brigantes: From Clientage to Conquest’, </w:t>
      </w:r>
      <w:r w:rsidRPr="00017F0D">
        <w:rPr>
          <w:rFonts w:ascii="Times New Roman" w:hAnsi="Times New Roman" w:cs="Times New Roman"/>
          <w:i/>
          <w:iCs/>
          <w:sz w:val="24"/>
        </w:rPr>
        <w:t>Britannia</w:t>
      </w:r>
      <w:r w:rsidRPr="00017F0D">
        <w:rPr>
          <w:rFonts w:ascii="Times New Roman" w:hAnsi="Times New Roman" w:cs="Times New Roman"/>
          <w:sz w:val="24"/>
        </w:rPr>
        <w:t>, 17 (1986), 73–89 &lt;https://doi.org/10.2307/526541&gt;</w:t>
      </w:r>
    </w:p>
    <w:p w14:paraId="58D002C6" w14:textId="18473999" w:rsidR="004B50A2" w:rsidRPr="00017F0D" w:rsidRDefault="004B50A2" w:rsidP="004B50A2">
      <w:pPr>
        <w:pStyle w:val="Bibliography"/>
        <w:rPr>
          <w:rFonts w:ascii="Times New Roman" w:hAnsi="Times New Roman" w:cs="Times New Roman"/>
          <w:sz w:val="24"/>
        </w:rPr>
      </w:pPr>
      <w:r w:rsidRPr="00017F0D">
        <w:rPr>
          <w:rFonts w:ascii="Times New Roman" w:hAnsi="Times New Roman" w:cs="Times New Roman"/>
          <w:sz w:val="24"/>
        </w:rPr>
        <w:t>Kessler, P. L.,</w:t>
      </w:r>
      <w:r w:rsidR="00017F0D" w:rsidRPr="00017F0D">
        <w:rPr>
          <w:rFonts w:ascii="Times New Roman" w:hAnsi="Times New Roman" w:cs="Times New Roman"/>
          <w:sz w:val="24"/>
        </w:rPr>
        <w:t xml:space="preserve"> </w:t>
      </w:r>
      <w:r w:rsidR="00017F0D" w:rsidRPr="00017F0D">
        <w:rPr>
          <w:rFonts w:ascii="Times New Roman" w:hAnsi="Times New Roman" w:cs="Times New Roman"/>
          <w:i/>
          <w:iCs/>
          <w:sz w:val="24"/>
        </w:rPr>
        <w:t>Map of the British Isles in 43 AD</w:t>
      </w:r>
      <w:r w:rsidRPr="00017F0D">
        <w:rPr>
          <w:rFonts w:ascii="Times New Roman" w:hAnsi="Times New Roman" w:cs="Times New Roman"/>
          <w:sz w:val="24"/>
        </w:rPr>
        <w:t xml:space="preserve"> </w:t>
      </w:r>
      <w:r w:rsidR="00017F0D" w:rsidRPr="00017F0D">
        <w:rPr>
          <w:rFonts w:ascii="Times New Roman" w:hAnsi="Times New Roman" w:cs="Times New Roman"/>
          <w:sz w:val="24"/>
        </w:rPr>
        <w:t>[Map] (</w:t>
      </w:r>
      <w:r w:rsidRPr="00017F0D">
        <w:rPr>
          <w:rFonts w:ascii="Times New Roman" w:hAnsi="Times New Roman" w:cs="Times New Roman"/>
          <w:sz w:val="24"/>
        </w:rPr>
        <w:t>2012</w:t>
      </w:r>
      <w:r w:rsidR="00017F0D" w:rsidRPr="00017F0D">
        <w:rPr>
          <w:rFonts w:ascii="Times New Roman" w:hAnsi="Times New Roman" w:cs="Times New Roman"/>
          <w:sz w:val="24"/>
        </w:rPr>
        <w:t>)</w:t>
      </w:r>
      <w:r w:rsidRPr="00017F0D">
        <w:rPr>
          <w:rFonts w:ascii="Times New Roman" w:hAnsi="Times New Roman" w:cs="Times New Roman"/>
          <w:sz w:val="24"/>
        </w:rPr>
        <w:t xml:space="preserve"> &lt;https://www.worldhistory.org/image/742/map-of-the-british-isles-in-ad-43/&gt; [accessed 15 December 2023]</w:t>
      </w:r>
    </w:p>
    <w:p w14:paraId="3F075DAA" w14:textId="2CF5116C" w:rsidR="004B50A2" w:rsidRPr="00017F0D" w:rsidRDefault="004B50A2" w:rsidP="004B50A2">
      <w:pPr>
        <w:pStyle w:val="Bibliography"/>
        <w:rPr>
          <w:rFonts w:ascii="Times New Roman" w:hAnsi="Times New Roman" w:cs="Times New Roman"/>
          <w:sz w:val="24"/>
        </w:rPr>
      </w:pPr>
      <w:r w:rsidRPr="00017F0D">
        <w:rPr>
          <w:rFonts w:ascii="Times New Roman" w:hAnsi="Times New Roman" w:cs="Times New Roman"/>
          <w:sz w:val="24"/>
        </w:rPr>
        <w:t xml:space="preserve">Marshall, Anthony J., ‘Ladies in Waiting: The Role of Women in Tacitus’ Histories’, </w:t>
      </w:r>
      <w:r w:rsidRPr="00017F0D">
        <w:rPr>
          <w:rFonts w:ascii="Times New Roman" w:hAnsi="Times New Roman" w:cs="Times New Roman"/>
          <w:i/>
          <w:iCs/>
          <w:sz w:val="24"/>
        </w:rPr>
        <w:t>Ancient Society</w:t>
      </w:r>
      <w:r w:rsidRPr="00017F0D">
        <w:rPr>
          <w:rFonts w:ascii="Times New Roman" w:hAnsi="Times New Roman" w:cs="Times New Roman"/>
          <w:sz w:val="24"/>
        </w:rPr>
        <w:t>, 15</w:t>
      </w:r>
      <w:r w:rsidR="00017F0D" w:rsidRPr="00017F0D">
        <w:rPr>
          <w:rFonts w:ascii="Times New Roman" w:hAnsi="Times New Roman" w:cs="Times New Roman"/>
          <w:sz w:val="24"/>
        </w:rPr>
        <w:t>.</w:t>
      </w:r>
      <w:r w:rsidRPr="00017F0D">
        <w:rPr>
          <w:rFonts w:ascii="Times New Roman" w:hAnsi="Times New Roman" w:cs="Times New Roman"/>
          <w:sz w:val="24"/>
        </w:rPr>
        <w:t>17 (1984), 167–84</w:t>
      </w:r>
    </w:p>
    <w:p w14:paraId="18A126A4" w14:textId="37C50CE8" w:rsidR="004B50A2" w:rsidRPr="00017F0D" w:rsidRDefault="004B50A2" w:rsidP="00017F0D">
      <w:pPr>
        <w:pStyle w:val="Bibliography"/>
        <w:shd w:val="clear" w:color="auto" w:fill="FFFFFF" w:themeFill="background1"/>
        <w:rPr>
          <w:rFonts w:ascii="Times New Roman" w:hAnsi="Times New Roman" w:cs="Times New Roman"/>
          <w:sz w:val="24"/>
        </w:rPr>
      </w:pPr>
      <w:r w:rsidRPr="00017F0D">
        <w:rPr>
          <w:rFonts w:ascii="Times New Roman" w:hAnsi="Times New Roman" w:cs="Times New Roman"/>
          <w:sz w:val="24"/>
        </w:rPr>
        <w:t xml:space="preserve">Pope, Rachel, and Ian Ralston, ‘Approaching Sex and Status in Iron Age Britain with Reference to the Nearer Continent’, in </w:t>
      </w:r>
      <w:r w:rsidRPr="00017F0D">
        <w:rPr>
          <w:rFonts w:ascii="Times New Roman" w:hAnsi="Times New Roman" w:cs="Times New Roman"/>
          <w:i/>
          <w:iCs/>
          <w:sz w:val="24"/>
        </w:rPr>
        <w:t>Atlantic Europe in the First Millennium BC: Crossing the Divide</w:t>
      </w:r>
      <w:r w:rsidRPr="00017F0D">
        <w:rPr>
          <w:rFonts w:ascii="Times New Roman" w:hAnsi="Times New Roman" w:cs="Times New Roman"/>
          <w:sz w:val="24"/>
        </w:rPr>
        <w:t>, ed. by Tom Moore and Xosê-Lois Armada (Oxford University Press, 2012) &lt;https://doi.org/10.1093/acprof:osobl/9780199567959.003.0017&gt;</w:t>
      </w:r>
    </w:p>
    <w:p w14:paraId="795419EC" w14:textId="672D9B51" w:rsidR="004B50A2" w:rsidRPr="00017F0D" w:rsidRDefault="00017F0D" w:rsidP="004B50A2">
      <w:pPr>
        <w:pStyle w:val="Bibliography"/>
        <w:rPr>
          <w:rFonts w:ascii="Times New Roman" w:hAnsi="Times New Roman" w:cs="Times New Roman"/>
          <w:sz w:val="24"/>
        </w:rPr>
      </w:pPr>
      <w:r w:rsidRPr="00017F0D">
        <w:rPr>
          <w:rFonts w:ascii="Times New Roman" w:hAnsi="Times New Roman" w:cs="Times New Roman"/>
          <w:sz w:val="24"/>
        </w:rPr>
        <w:t xml:space="preserve">Bartolozzi, Francesco, after William Hamilton, </w:t>
      </w:r>
      <w:r w:rsidRPr="00017F0D">
        <w:rPr>
          <w:rFonts w:ascii="Times New Roman" w:hAnsi="Times New Roman" w:cs="Times New Roman"/>
          <w:i/>
          <w:iCs/>
          <w:sz w:val="24"/>
        </w:rPr>
        <w:t xml:space="preserve">Caractacus, King of the Silures, deliver'd up to Ostorius, the Roman general, by Cartismandua, Queen of the Brigantes </w:t>
      </w:r>
      <w:r w:rsidRPr="00017F0D">
        <w:rPr>
          <w:rFonts w:ascii="Times New Roman" w:hAnsi="Times New Roman" w:cs="Times New Roman"/>
          <w:sz w:val="24"/>
        </w:rPr>
        <w:t xml:space="preserve">[print, etching] (1788) </w:t>
      </w:r>
      <w:r w:rsidR="004B50A2" w:rsidRPr="00017F0D">
        <w:rPr>
          <w:rFonts w:ascii="Times New Roman" w:hAnsi="Times New Roman" w:cs="Times New Roman"/>
          <w:sz w:val="24"/>
        </w:rPr>
        <w:t>&lt;https://www.britishmuseum.org/collection/object/P_1868-0808-2826&gt; [accessed 18 December 2023]</w:t>
      </w:r>
    </w:p>
    <w:p w14:paraId="2A73635A" w14:textId="77777777" w:rsidR="004B50A2" w:rsidRPr="00017F0D" w:rsidRDefault="004B50A2" w:rsidP="004B50A2">
      <w:pPr>
        <w:pStyle w:val="Bibliography"/>
        <w:rPr>
          <w:rFonts w:ascii="Times New Roman" w:hAnsi="Times New Roman" w:cs="Times New Roman"/>
          <w:sz w:val="24"/>
        </w:rPr>
      </w:pPr>
      <w:r w:rsidRPr="00017F0D">
        <w:rPr>
          <w:rFonts w:ascii="Times New Roman" w:hAnsi="Times New Roman" w:cs="Times New Roman"/>
          <w:sz w:val="24"/>
        </w:rPr>
        <w:t xml:space="preserve">Richmond, I. A., ‘Queen Cartimandua’, </w:t>
      </w:r>
      <w:r w:rsidRPr="00017F0D">
        <w:rPr>
          <w:rFonts w:ascii="Times New Roman" w:hAnsi="Times New Roman" w:cs="Times New Roman"/>
          <w:i/>
          <w:iCs/>
          <w:sz w:val="24"/>
        </w:rPr>
        <w:t>The Journal of Roman Studies</w:t>
      </w:r>
      <w:r w:rsidRPr="00017F0D">
        <w:rPr>
          <w:rFonts w:ascii="Times New Roman" w:hAnsi="Times New Roman" w:cs="Times New Roman"/>
          <w:sz w:val="24"/>
        </w:rPr>
        <w:t>, 44 (1954), 43–52 &lt;https://doi.org/10.2307/297554&gt;</w:t>
      </w:r>
    </w:p>
    <w:p w14:paraId="27B74DD6" w14:textId="77777777" w:rsidR="004B50A2" w:rsidRPr="00017F0D" w:rsidRDefault="004B50A2" w:rsidP="004B50A2">
      <w:pPr>
        <w:pStyle w:val="Bibliography"/>
        <w:rPr>
          <w:rFonts w:ascii="Times New Roman" w:hAnsi="Times New Roman" w:cs="Times New Roman"/>
          <w:sz w:val="24"/>
        </w:rPr>
      </w:pPr>
      <w:r w:rsidRPr="00017F0D">
        <w:rPr>
          <w:rFonts w:ascii="Times New Roman" w:hAnsi="Times New Roman" w:cs="Times New Roman"/>
          <w:sz w:val="24"/>
        </w:rPr>
        <w:t xml:space="preserve">Stewart, James J., ‘Venutius’ Role in Romano-British Affairs, AD 43-75’, </w:t>
      </w:r>
      <w:r w:rsidRPr="00017F0D">
        <w:rPr>
          <w:rFonts w:ascii="Times New Roman" w:hAnsi="Times New Roman" w:cs="Times New Roman"/>
          <w:i/>
          <w:iCs/>
          <w:sz w:val="24"/>
        </w:rPr>
        <w:t>Latomus</w:t>
      </w:r>
      <w:r w:rsidRPr="00017F0D">
        <w:rPr>
          <w:rFonts w:ascii="Times New Roman" w:hAnsi="Times New Roman" w:cs="Times New Roman"/>
          <w:sz w:val="24"/>
        </w:rPr>
        <w:t>, 60.2 (2001), 380–86</w:t>
      </w:r>
    </w:p>
    <w:p w14:paraId="3E31D1ED" w14:textId="3EDBB976" w:rsidR="004B50A2" w:rsidRPr="00017F0D" w:rsidRDefault="00017F0D" w:rsidP="004B50A2">
      <w:pPr>
        <w:pStyle w:val="Bibliography"/>
        <w:rPr>
          <w:rFonts w:ascii="Times New Roman" w:hAnsi="Times New Roman" w:cs="Times New Roman"/>
          <w:sz w:val="24"/>
        </w:rPr>
      </w:pPr>
      <w:r w:rsidRPr="00017F0D">
        <w:rPr>
          <w:rFonts w:ascii="Times New Roman" w:hAnsi="Times New Roman" w:cs="Times New Roman"/>
          <w:sz w:val="24"/>
        </w:rPr>
        <w:lastRenderedPageBreak/>
        <w:t xml:space="preserve">English Heritage, </w:t>
      </w:r>
      <w:r w:rsidR="004B50A2" w:rsidRPr="00017F0D">
        <w:rPr>
          <w:rFonts w:ascii="Times New Roman" w:hAnsi="Times New Roman" w:cs="Times New Roman"/>
          <w:i/>
          <w:iCs/>
          <w:sz w:val="24"/>
        </w:rPr>
        <w:t>Why Were Women Written out of History? An Interview with Bettany Hughes</w:t>
      </w:r>
      <w:r w:rsidRPr="00017F0D">
        <w:rPr>
          <w:rFonts w:ascii="Times New Roman" w:hAnsi="Times New Roman" w:cs="Times New Roman"/>
          <w:sz w:val="24"/>
        </w:rPr>
        <w:t xml:space="preserve"> (2016)</w:t>
      </w:r>
      <w:r w:rsidR="004B50A2" w:rsidRPr="00017F0D">
        <w:rPr>
          <w:rFonts w:ascii="Times New Roman" w:hAnsi="Times New Roman" w:cs="Times New Roman"/>
          <w:sz w:val="24"/>
        </w:rPr>
        <w:t xml:space="preserve"> &lt;https://www.english-heritage.org.uk/visit/inspire-me/blog/blog-posts/why-were-women-written-out-of-history-an-interview-with-bettany-hughes/&gt; [accessed 13 December 2023]</w:t>
      </w:r>
    </w:p>
    <w:p w14:paraId="4952E00D" w14:textId="35501806" w:rsidR="008236B0" w:rsidRPr="008236B0" w:rsidRDefault="004B50A2" w:rsidP="008236B0">
      <w:pPr>
        <w:spacing w:line="360" w:lineRule="auto"/>
        <w:jc w:val="center"/>
        <w:rPr>
          <w:rFonts w:ascii="Times New Roman" w:hAnsi="Times New Roman" w:cs="Times New Roman"/>
          <w:sz w:val="24"/>
          <w:szCs w:val="24"/>
          <w:u w:val="single"/>
        </w:rPr>
      </w:pPr>
      <w:r w:rsidRPr="00017F0D">
        <w:rPr>
          <w:rFonts w:ascii="Times New Roman" w:hAnsi="Times New Roman" w:cs="Times New Roman"/>
          <w:sz w:val="24"/>
          <w:szCs w:val="24"/>
          <w:u w:val="single"/>
        </w:rPr>
        <w:fldChar w:fldCharType="end"/>
      </w:r>
    </w:p>
    <w:sectPr w:rsidR="008236B0" w:rsidRPr="008236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317C1" w14:textId="77777777" w:rsidR="00B01A54" w:rsidRDefault="00B01A54" w:rsidP="0014332D">
      <w:pPr>
        <w:spacing w:after="0" w:line="240" w:lineRule="auto"/>
      </w:pPr>
      <w:r>
        <w:separator/>
      </w:r>
    </w:p>
  </w:endnote>
  <w:endnote w:type="continuationSeparator" w:id="0">
    <w:p w14:paraId="4DA366BA" w14:textId="77777777" w:rsidR="00B01A54" w:rsidRDefault="00B01A54" w:rsidP="00143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DAF21" w14:textId="77777777" w:rsidR="00B01A54" w:rsidRDefault="00B01A54" w:rsidP="0014332D">
      <w:pPr>
        <w:spacing w:after="0" w:line="240" w:lineRule="auto"/>
      </w:pPr>
      <w:r>
        <w:separator/>
      </w:r>
    </w:p>
  </w:footnote>
  <w:footnote w:type="continuationSeparator" w:id="0">
    <w:p w14:paraId="2700659D" w14:textId="77777777" w:rsidR="00B01A54" w:rsidRDefault="00B01A54" w:rsidP="0014332D">
      <w:pPr>
        <w:spacing w:after="0" w:line="240" w:lineRule="auto"/>
      </w:pPr>
      <w:r>
        <w:continuationSeparator/>
      </w:r>
    </w:p>
  </w:footnote>
  <w:footnote w:id="1">
    <w:p w14:paraId="3D238833" w14:textId="3D8D3CF9" w:rsidR="00B964B1" w:rsidRDefault="00B964B1">
      <w:pPr>
        <w:pStyle w:val="FootnoteText"/>
      </w:pPr>
      <w:r>
        <w:rPr>
          <w:rStyle w:val="FootnoteReference"/>
        </w:rPr>
        <w:footnoteRef/>
      </w:r>
      <w:r>
        <w:t xml:space="preserve"> </w:t>
      </w:r>
      <w:r w:rsidR="008B26AD">
        <w:t xml:space="preserve">English Heritage, </w:t>
      </w:r>
      <w:r>
        <w:fldChar w:fldCharType="begin"/>
      </w:r>
      <w:r>
        <w:instrText xml:space="preserve"> ADDIN ZOTERO_ITEM CSL_CITATION {"citationID":"OYs0hxiK","properties":{"formattedCitation":"\\uc0\\u8216{}Why Were Women Written out of History? An Interview with Bettany Hughes\\uc0\\u8217{}, {\\i{}English Heritage} &lt;https://www.english-heritage.org.uk/visit/inspire-me/blog/blog-posts/why-were-women-written-out-of-history-an-interview-with-bettany-hughes/&gt; [accessed 13 December 2023].","plainCitation":"‘Why Were Women Written out of History? An Interview with Bettany Hughes’, English Heritage &lt;https://www.english-heritage.org.uk/visit/inspire-me/blog/blog-posts/why-were-women-written-out-of-history-an-interview-with-bettany-hughes/&gt; [accessed 13 December 2023].","noteIndex":1},"citationItems":[{"id":101,"uris":["http://zotero.org/users/local/VhgDsqkD/items/VFTUI7PA"],"itemData":{"id":101,"type":"webpage","abstract":"For Women's History Month, award-winning historian, author and broadcaster Dr Bettany Hughes explains why women were written out of history.","container-title":"English Heritage","title":"Why were women written out of history? An interview with Bettany Hughes","title-short":"Why were women written out of history?","URL":"https://www.english-heritage.org.uk/visit/inspire-me/blog/blog-posts/why-were-women-written-out-of-history-an-interview-with-bettany-hughes/","accessed":{"date-parts":[["2023",12,13]]}}}],"schema":"https://github.com/citation-style-language/schema/raw/master/csl-citation.json"} </w:instrText>
      </w:r>
      <w:r>
        <w:fldChar w:fldCharType="separate"/>
      </w:r>
      <w:r w:rsidRPr="008B26AD">
        <w:rPr>
          <w:rFonts w:ascii="Calibri" w:hAnsi="Calibri" w:cs="Calibri"/>
          <w:i/>
          <w:iCs/>
          <w:kern w:val="0"/>
          <w:szCs w:val="24"/>
        </w:rPr>
        <w:t>Why Were Women Written out of History? An Interview with Bettany Hughes</w:t>
      </w:r>
      <w:r w:rsidR="00C50B09">
        <w:rPr>
          <w:rFonts w:ascii="Calibri" w:hAnsi="Calibri" w:cs="Calibri"/>
          <w:i/>
          <w:iCs/>
          <w:kern w:val="0"/>
          <w:szCs w:val="24"/>
        </w:rPr>
        <w:t xml:space="preserve"> </w:t>
      </w:r>
      <w:r w:rsidR="00C50B09">
        <w:rPr>
          <w:rFonts w:ascii="Calibri" w:hAnsi="Calibri" w:cs="Calibri"/>
          <w:kern w:val="0"/>
          <w:szCs w:val="24"/>
        </w:rPr>
        <w:t xml:space="preserve">(2016) </w:t>
      </w:r>
      <w:r w:rsidRPr="00B964B1">
        <w:rPr>
          <w:rFonts w:ascii="Calibri" w:hAnsi="Calibri" w:cs="Calibri"/>
          <w:kern w:val="0"/>
          <w:szCs w:val="24"/>
        </w:rPr>
        <w:t>&lt;https://www.english-heritage.org.uk/visit/inspire-me/blog/blog-posts/why-were-women-written-out-of-history-an-interview-with-bettany-hughes/&gt; [accessed 13 December 2023].</w:t>
      </w:r>
      <w:r>
        <w:fldChar w:fldCharType="end"/>
      </w:r>
    </w:p>
  </w:footnote>
  <w:footnote w:id="2">
    <w:p w14:paraId="7DA4A77C" w14:textId="2ACC2127" w:rsidR="00726C3A" w:rsidRDefault="00726C3A">
      <w:pPr>
        <w:pStyle w:val="FootnoteText"/>
      </w:pPr>
      <w:r>
        <w:rPr>
          <w:rStyle w:val="FootnoteReference"/>
        </w:rPr>
        <w:footnoteRef/>
      </w:r>
      <w:r>
        <w:t xml:space="preserve"> </w:t>
      </w:r>
      <w:r>
        <w:fldChar w:fldCharType="begin"/>
      </w:r>
      <w:r>
        <w:instrText xml:space="preserve"> ADDIN ZOTERO_ITEM CSL_CITATION {"citationID":"EShaYY9T","properties":{"formattedCitation":"P. L. Kessler, \\uc0\\u8216{}Map of the British Isles in AD 43\\uc0\\u8217{}, {\\i{}World History Encyclopedia}, 2012 &lt;https://www.worldhistory.org/image/742/map-of-the-british-isles-in-ad-43/&gt; [accessed 15 December 2023].","plainCitation":"P. L. Kessler, ‘Map of the British Isles in AD 43’, World History Encyclopedia, 2012 &lt;https://www.worldhistory.org/image/742/map-of-the-british-isles-in-ad-43/&gt; [accessed 15 December 2023].","noteIndex":2},"citationItems":[{"id":104,"uris":["http://zotero.org/users/local/VhgDsqkD/items/4LATQQ9C"],"itemData":{"id":104,"type":"webpage","abstract":"On the eve of the Roman Conquest, the south-east was dominated completely by the Catuvellauni. They, if any, could claim the legendary High Kingship of Britain.    As well as having conquered the Cantiaci...","container-title":"World History Encyclopedia","language":"en","title":"Map of the British Isles in AD 43","URL":"https://www.worldhistory.org/image/742/map-of-the-british-isles-in-ad-43/","author":[{"family":"Kessler","given":"P. L."}],"accessed":{"date-parts":[["2023",12,15]]},"issued":{"date-parts":[["2012",7,6]]}}}],"schema":"https://github.com/citation-style-language/schema/raw/master/csl-citation.json"} </w:instrText>
      </w:r>
      <w:r>
        <w:fldChar w:fldCharType="separate"/>
      </w:r>
      <w:r w:rsidRPr="00726C3A">
        <w:rPr>
          <w:rFonts w:ascii="Calibri" w:hAnsi="Calibri" w:cs="Calibri"/>
          <w:kern w:val="0"/>
          <w:szCs w:val="24"/>
        </w:rPr>
        <w:t xml:space="preserve">P. L. Kessler, </w:t>
      </w:r>
      <w:r w:rsidRPr="008B26AD">
        <w:rPr>
          <w:rFonts w:ascii="Calibri" w:hAnsi="Calibri" w:cs="Calibri"/>
          <w:i/>
          <w:iCs/>
          <w:kern w:val="0"/>
          <w:szCs w:val="24"/>
        </w:rPr>
        <w:t>Map of the British Isles in AD 43</w:t>
      </w:r>
      <w:r w:rsidR="008B26AD">
        <w:rPr>
          <w:rFonts w:ascii="Calibri" w:hAnsi="Calibri" w:cs="Calibri"/>
          <w:i/>
          <w:iCs/>
          <w:kern w:val="0"/>
          <w:szCs w:val="24"/>
        </w:rPr>
        <w:t xml:space="preserve">. </w:t>
      </w:r>
      <w:r w:rsidR="008B26AD">
        <w:rPr>
          <w:rFonts w:ascii="Calibri" w:hAnsi="Calibri" w:cs="Calibri"/>
          <w:kern w:val="0"/>
          <w:szCs w:val="24"/>
        </w:rPr>
        <w:t>(2012)</w:t>
      </w:r>
      <w:r w:rsidRPr="00726C3A">
        <w:rPr>
          <w:rFonts w:ascii="Calibri" w:hAnsi="Calibri" w:cs="Calibri"/>
          <w:kern w:val="0"/>
          <w:szCs w:val="24"/>
        </w:rPr>
        <w:t xml:space="preserve"> &lt;https://www.worldhistory.org/image/742/map-of-the-british-isles-in-ad-43/&gt; [accessed 15 December 2023].</w:t>
      </w:r>
      <w:r>
        <w:fldChar w:fldCharType="end"/>
      </w:r>
    </w:p>
  </w:footnote>
  <w:footnote w:id="3">
    <w:p w14:paraId="47C6C113" w14:textId="1AC82F26" w:rsidR="005D1AA5" w:rsidRDefault="005D1AA5">
      <w:pPr>
        <w:pStyle w:val="FootnoteText"/>
      </w:pPr>
      <w:r>
        <w:rPr>
          <w:rStyle w:val="FootnoteReference"/>
        </w:rPr>
        <w:footnoteRef/>
      </w:r>
      <w:r>
        <w:t xml:space="preserve"> </w:t>
      </w:r>
      <w:r>
        <w:fldChar w:fldCharType="begin"/>
      </w:r>
      <w:r w:rsidR="00262690">
        <w:instrText xml:space="preserve"> ADDIN ZOTERO_ITEM CSL_CITATION {"citationID":"jSsCSjBl","properties":{"formattedCitation":"I. A. Richmond, \\uc0\\u8216{}Queen Cartimandua\\uc0\\u8217{}, {\\i{}The Journal of Roman Studies}, 44 (1954), 43\\uc0\\u8211{}52 &lt;https://doi.org/10.2307/297554&gt;.","plainCitation":"I. A. Richmond, ‘Queen Cartimandua’, The Journal of Roman Studies, 44 (1954), 43–52 &lt;https://doi.org/10.2307/297554&gt;.","dontUpdate":true,"noteIndex":3},"citationItems":[{"id":84,"uris":["http://zotero.org/users/local/VhgDsqkD/items/GESQ3F3K"],"itemData":{"id":84,"type":"article-journal","container-title":"The Journal of Roman Studies","DOI":"10.2307/297554","ISSN":"0075-4358","note":"publisher: [Society for the Promotion of Roman Studies, Cambridge University Press]","page":"43-52","source":"JSTOR","title":"Queen Cartimandua","volume":"44","author":[{"family":"Richmond","given":"I. A."}],"issued":{"date-parts":[["1954"]]}}}],"schema":"https://github.com/citation-style-language/schema/raw/master/csl-citation.json"} </w:instrText>
      </w:r>
      <w:r>
        <w:fldChar w:fldCharType="separate"/>
      </w:r>
      <w:r w:rsidRPr="005D1AA5">
        <w:rPr>
          <w:rFonts w:ascii="Calibri" w:hAnsi="Calibri" w:cs="Calibri"/>
          <w:kern w:val="0"/>
          <w:szCs w:val="24"/>
        </w:rPr>
        <w:t xml:space="preserve">I. A. Richmond, ‘Queen Cartimandua’, </w:t>
      </w:r>
      <w:r w:rsidRPr="005D1AA5">
        <w:rPr>
          <w:rFonts w:ascii="Calibri" w:hAnsi="Calibri" w:cs="Calibri"/>
          <w:i/>
          <w:iCs/>
          <w:kern w:val="0"/>
          <w:szCs w:val="24"/>
        </w:rPr>
        <w:t>The Journal of Roman Studies</w:t>
      </w:r>
      <w:r w:rsidRPr="005D1AA5">
        <w:rPr>
          <w:rFonts w:ascii="Calibri" w:hAnsi="Calibri" w:cs="Calibri"/>
          <w:kern w:val="0"/>
          <w:szCs w:val="24"/>
        </w:rPr>
        <w:t>, 44 (1954), 43–52</w:t>
      </w:r>
      <w:r w:rsidR="00B80B58">
        <w:rPr>
          <w:rFonts w:ascii="Calibri" w:hAnsi="Calibri" w:cs="Calibri"/>
          <w:kern w:val="0"/>
          <w:szCs w:val="24"/>
        </w:rPr>
        <w:t xml:space="preserve">, </w:t>
      </w:r>
      <w:r w:rsidR="00C50B09">
        <w:rPr>
          <w:rFonts w:ascii="Calibri" w:hAnsi="Calibri" w:cs="Calibri"/>
          <w:kern w:val="0"/>
          <w:szCs w:val="24"/>
        </w:rPr>
        <w:t>(</w:t>
      </w:r>
      <w:r w:rsidR="00B80B58">
        <w:rPr>
          <w:rFonts w:ascii="Calibri" w:hAnsi="Calibri" w:cs="Calibri"/>
          <w:kern w:val="0"/>
          <w:szCs w:val="24"/>
        </w:rPr>
        <w:t>p</w:t>
      </w:r>
      <w:r w:rsidR="00C50B09">
        <w:rPr>
          <w:rFonts w:ascii="Calibri" w:hAnsi="Calibri" w:cs="Calibri"/>
          <w:kern w:val="0"/>
          <w:szCs w:val="24"/>
        </w:rPr>
        <w:t>.</w:t>
      </w:r>
      <w:r w:rsidR="00B80B58">
        <w:rPr>
          <w:rFonts w:ascii="Calibri" w:hAnsi="Calibri" w:cs="Calibri"/>
          <w:kern w:val="0"/>
          <w:szCs w:val="24"/>
        </w:rPr>
        <w:t xml:space="preserve"> 44</w:t>
      </w:r>
      <w:r w:rsidR="00C50B09">
        <w:rPr>
          <w:rFonts w:ascii="Calibri" w:hAnsi="Calibri" w:cs="Calibri"/>
          <w:kern w:val="0"/>
          <w:szCs w:val="24"/>
        </w:rPr>
        <w:t>)</w:t>
      </w:r>
      <w:r w:rsidRPr="005D1AA5">
        <w:rPr>
          <w:rFonts w:ascii="Calibri" w:hAnsi="Calibri" w:cs="Calibri"/>
          <w:kern w:val="0"/>
          <w:szCs w:val="24"/>
        </w:rPr>
        <w:t xml:space="preserve"> &lt;https://doi.org/10.2307/297554&gt;.</w:t>
      </w:r>
      <w:r>
        <w:fldChar w:fldCharType="end"/>
      </w:r>
    </w:p>
  </w:footnote>
  <w:footnote w:id="4">
    <w:p w14:paraId="4FF0460D" w14:textId="648CA5B3" w:rsidR="00B80B58" w:rsidRDefault="00B80B58">
      <w:pPr>
        <w:pStyle w:val="FootnoteText"/>
      </w:pPr>
      <w:r>
        <w:rPr>
          <w:rStyle w:val="FootnoteReference"/>
        </w:rPr>
        <w:footnoteRef/>
      </w:r>
      <w:r>
        <w:t xml:space="preserve"> </w:t>
      </w:r>
      <w:r>
        <w:fldChar w:fldCharType="begin"/>
      </w:r>
      <w:r w:rsidR="00262690">
        <w:instrText xml:space="preserve"> ADDIN ZOTERO_ITEM CSL_CITATION {"citationID":"T37fToBh","properties":{"formattedCitation":"Richmond.","plainCitation":"Richmond.","dontUpdate":true,"noteIndex":4},"citationItems":[{"id":84,"uris":["http://zotero.org/users/local/VhgDsqkD/items/GESQ3F3K"],"itemData":{"id":84,"type":"article-journal","container-title":"The Journal of Roman Studies","DOI":"10.2307/297554","ISSN":"0075-4358","note":"publisher: [Society for the Promotion of Roman Studies, Cambridge University Press]","page":"43-52","source":"JSTOR","title":"Queen Cartimandua","volume":"44","author":[{"family":"Richmond","given":"I. A."}],"issued":{"date-parts":[["1954"]]}}}],"schema":"https://github.com/citation-style-language/schema/raw/master/csl-citation.json"} </w:instrText>
      </w:r>
      <w:r>
        <w:fldChar w:fldCharType="separate"/>
      </w:r>
      <w:r w:rsidRPr="00B80B58">
        <w:rPr>
          <w:rFonts w:ascii="Calibri" w:hAnsi="Calibri" w:cs="Calibri"/>
        </w:rPr>
        <w:t>Richmond</w:t>
      </w:r>
      <w:r>
        <w:rPr>
          <w:rFonts w:ascii="Calibri" w:hAnsi="Calibri" w:cs="Calibri"/>
        </w:rPr>
        <w:t>,</w:t>
      </w:r>
      <w:r w:rsidR="00C50B09">
        <w:rPr>
          <w:rFonts w:ascii="Calibri" w:hAnsi="Calibri" w:cs="Calibri"/>
        </w:rPr>
        <w:t xml:space="preserve"> 'Queen Cartimandua'</w:t>
      </w:r>
      <w:r w:rsidR="000B7285">
        <w:rPr>
          <w:rFonts w:ascii="Calibri" w:hAnsi="Calibri" w:cs="Calibri"/>
        </w:rPr>
        <w:t>,</w:t>
      </w:r>
      <w:r>
        <w:rPr>
          <w:rFonts w:ascii="Calibri" w:hAnsi="Calibri" w:cs="Calibri"/>
        </w:rPr>
        <w:t xml:space="preserve"> p</w:t>
      </w:r>
      <w:r w:rsidR="00C50B09">
        <w:rPr>
          <w:rFonts w:ascii="Calibri" w:hAnsi="Calibri" w:cs="Calibri"/>
        </w:rPr>
        <w:t>.</w:t>
      </w:r>
      <w:r>
        <w:rPr>
          <w:rFonts w:ascii="Calibri" w:hAnsi="Calibri" w:cs="Calibri"/>
        </w:rPr>
        <w:t xml:space="preserve"> 47</w:t>
      </w:r>
      <w:r w:rsidRPr="00B80B58">
        <w:rPr>
          <w:rFonts w:ascii="Calibri" w:hAnsi="Calibri" w:cs="Calibri"/>
        </w:rPr>
        <w:t>.</w:t>
      </w:r>
      <w:r>
        <w:fldChar w:fldCharType="end"/>
      </w:r>
      <w:r w:rsidR="00C50B09">
        <w:t xml:space="preserve"> </w:t>
      </w:r>
    </w:p>
  </w:footnote>
  <w:footnote w:id="5">
    <w:p w14:paraId="3F1FCF07" w14:textId="59810BD9" w:rsidR="00040FAD" w:rsidRPr="00040FAD" w:rsidRDefault="00040FAD">
      <w:pPr>
        <w:pStyle w:val="FootnoteText"/>
      </w:pPr>
      <w:r>
        <w:rPr>
          <w:rStyle w:val="FootnoteReference"/>
        </w:rPr>
        <w:footnoteRef/>
      </w:r>
      <w:r>
        <w:t xml:space="preserve"> Tacitus, </w:t>
      </w:r>
      <w:r w:rsidRPr="000B7285">
        <w:rPr>
          <w:i/>
          <w:iCs/>
        </w:rPr>
        <w:t>Histories: Book 3</w:t>
      </w:r>
      <w:r>
        <w:t>, trans. by Clifford H. Moore (Loeb Classical Library 111. Cambridge, MA: Harvard University Press, 1925)</w:t>
      </w:r>
      <w:r w:rsidR="000B7285">
        <w:t>, p.</w:t>
      </w:r>
      <w:r w:rsidR="00C50B09">
        <w:t xml:space="preserve"> </w:t>
      </w:r>
      <w:r>
        <w:t>403</w:t>
      </w:r>
      <w:r w:rsidR="007F0CAE">
        <w:t xml:space="preserve">. </w:t>
      </w:r>
    </w:p>
  </w:footnote>
  <w:footnote w:id="6">
    <w:p w14:paraId="4E91DAD7" w14:textId="51197B85" w:rsidR="00B80B58" w:rsidRDefault="00B80B58">
      <w:pPr>
        <w:pStyle w:val="FootnoteText"/>
      </w:pPr>
      <w:r>
        <w:rPr>
          <w:rStyle w:val="FootnoteReference"/>
        </w:rPr>
        <w:footnoteRef/>
      </w:r>
      <w:r>
        <w:t xml:space="preserve"> </w:t>
      </w:r>
      <w:r>
        <w:fldChar w:fldCharType="begin"/>
      </w:r>
      <w:r w:rsidR="00262690">
        <w:instrText xml:space="preserve"> ADDIN ZOTERO_ITEM CSL_CITATION {"citationID":"CCcWmUbq","properties":{"formattedCitation":"\\uc0\\u8216{}Cartimandua and the Brigantes\\uc0\\u8217{} &lt;https://warwick.ac.uk/fac/arts/classics/warwickclassicsnetwork/romancoventry/resources/interactions/civitates/cartimandua/&gt; [accessed 17 December 2023].","plainCitation":"‘Cartimandua and the Brigantes’ &lt;https://warwick.ac.uk/fac/arts/classics/warwickclassicsnetwork/romancoventry/resources/interactions/civitates/cartimandua/&gt; [accessed 17 December 2023].","noteIndex":5},"citationItems":[{"id":105,"uris":["http://zotero.org/users/local/VhgDsqkD/items/W79W87XL"],"itemData":{"id":105,"type":"webpage","title":"Cartimandua and the Brigantes","URL":"https://warwick.ac.uk/fac/arts/classics/warwickclassicsnetwork/romancoventry/resources/interactions/civitates/cartimandua/","accessed":{"date-parts":[["2023",12,17]]}}}],"schema":"https://github.com/citation-style-language/schema/raw/master/csl-citation.json"} </w:instrText>
      </w:r>
      <w:r>
        <w:fldChar w:fldCharType="separate"/>
      </w:r>
      <w:r w:rsidR="007F0CAE">
        <w:rPr>
          <w:rFonts w:ascii="Calibri" w:hAnsi="Calibri" w:cs="Calibri"/>
          <w:kern w:val="0"/>
          <w:szCs w:val="24"/>
        </w:rPr>
        <w:t xml:space="preserve">University of Warwick, </w:t>
      </w:r>
      <w:r w:rsidR="007F0CAE">
        <w:rPr>
          <w:rFonts w:ascii="Calibri" w:hAnsi="Calibri" w:cs="Calibri"/>
          <w:i/>
          <w:iCs/>
          <w:kern w:val="0"/>
          <w:szCs w:val="24"/>
        </w:rPr>
        <w:t xml:space="preserve">Cartimandua and the Brigantes </w:t>
      </w:r>
      <w:r w:rsidRPr="00B80B58">
        <w:rPr>
          <w:rFonts w:ascii="Calibri" w:hAnsi="Calibri" w:cs="Calibri"/>
          <w:kern w:val="0"/>
          <w:szCs w:val="24"/>
        </w:rPr>
        <w:t>&lt;https://warwick.ac.uk/fac/arts/classics/warwickclassicsnetwork/romancoventry/resources/interactions/civitates/cartimandua/&gt; [accessed 17 December 2023].</w:t>
      </w:r>
      <w:r>
        <w:fldChar w:fldCharType="end"/>
      </w:r>
    </w:p>
  </w:footnote>
  <w:footnote w:id="7">
    <w:p w14:paraId="24811D3B" w14:textId="1F534476" w:rsidR="006D5339" w:rsidRDefault="006D5339">
      <w:pPr>
        <w:pStyle w:val="FootnoteText"/>
      </w:pPr>
      <w:r>
        <w:rPr>
          <w:rStyle w:val="FootnoteReference"/>
        </w:rPr>
        <w:footnoteRef/>
      </w:r>
      <w:r>
        <w:t xml:space="preserve"> Tacitus</w:t>
      </w:r>
      <w:r w:rsidRPr="000B7285">
        <w:rPr>
          <w:i/>
          <w:iCs/>
        </w:rPr>
        <w:t>, Histories: Book 3</w:t>
      </w:r>
      <w:r>
        <w:t>, trans. by Moore</w:t>
      </w:r>
      <w:r w:rsidR="000B7285">
        <w:t xml:space="preserve">, p. </w:t>
      </w:r>
      <w:r>
        <w:t>403</w:t>
      </w:r>
      <w:r w:rsidR="000B7285">
        <w:t xml:space="preserve">. </w:t>
      </w:r>
    </w:p>
  </w:footnote>
  <w:footnote w:id="8">
    <w:p w14:paraId="3FCAB3AD" w14:textId="323D0CB7" w:rsidR="002C125C" w:rsidRDefault="002C125C">
      <w:pPr>
        <w:pStyle w:val="FootnoteText"/>
      </w:pPr>
      <w:r>
        <w:rPr>
          <w:rStyle w:val="FootnoteReference"/>
        </w:rPr>
        <w:footnoteRef/>
      </w:r>
      <w:r>
        <w:t xml:space="preserve"> Tacitus, </w:t>
      </w:r>
      <w:r w:rsidRPr="000B7285">
        <w:rPr>
          <w:i/>
          <w:iCs/>
        </w:rPr>
        <w:t>Annals: Book 12</w:t>
      </w:r>
      <w:r>
        <w:t>, trans. by John Jackson (Loeb Classical Library 312. Cambridge, MA: Harvard University Press, 1937) p. 365</w:t>
      </w:r>
      <w:r w:rsidR="000B7285">
        <w:t xml:space="preserve">. </w:t>
      </w:r>
    </w:p>
  </w:footnote>
  <w:footnote w:id="9">
    <w:p w14:paraId="0F23F7D1" w14:textId="70AEF75C" w:rsidR="00262690" w:rsidRDefault="00262690">
      <w:pPr>
        <w:pStyle w:val="FootnoteText"/>
      </w:pPr>
      <w:r w:rsidRPr="00E643A2">
        <w:rPr>
          <w:rStyle w:val="FootnoteReference"/>
        </w:rPr>
        <w:footnoteRef/>
      </w:r>
      <w:r w:rsidRPr="00E643A2">
        <w:t xml:space="preserve"> </w:t>
      </w:r>
      <w:r w:rsidRPr="00E643A2">
        <w:fldChar w:fldCharType="begin"/>
      </w:r>
      <w:r w:rsidRPr="00E643A2">
        <w:instrText xml:space="preserve"> ADDIN ZOTERO_ITEM CSL_CITATION {"citationID":"Eq2WNFVQ","properties":{"formattedCitation":"\\uc0\\u8216{}Print | British Museum\\uc0\\u8217{} &lt;https://www.britishmuseum.org/collection/object/P_1868-0808-2826, https://www.britishmuseum.org/collection/object/P_1868-0808-2826&gt; [accessed 18 December 2023].","plainCitation":"‘Print | British Museum’ &lt;https://www.britishmuseum.org/collection/object/P_1868-0808-2826, https://www.britishmuseum.org/collection/object/P_1868-0808-2826&gt; [accessed 18 December 2023].","noteIndex":6},"citationItems":[{"id":107,"uris":["http://zotero.org/users/local/VhgDsqkD/items/Q3HXC7A9"],"itemData":{"id":107,"type":"webpage","language":"en","title":"print | British Museum","URL":"https://www.britishmuseum.org/collection/object/P_1868-0808-2826, https://www.britishmuseum.org/collection/object/P_1868-0808-2826","accessed":{"date-parts":[["2023",12,18]]}}}],"schema":"https://github.com/citation-style-language/schema/raw/master/csl-citation.json"} </w:instrText>
      </w:r>
      <w:r w:rsidRPr="00E643A2">
        <w:fldChar w:fldCharType="separate"/>
      </w:r>
      <w:r w:rsidR="00964537" w:rsidRPr="00E643A2">
        <w:rPr>
          <w:rFonts w:ascii="Calibri" w:hAnsi="Calibri" w:cs="Calibri"/>
          <w:kern w:val="0"/>
          <w:szCs w:val="24"/>
        </w:rPr>
        <w:t xml:space="preserve">Francesco Bartolozzi, after William Hamilton, </w:t>
      </w:r>
      <w:r w:rsidR="00964537" w:rsidRPr="00E643A2">
        <w:rPr>
          <w:rFonts w:ascii="Calibri" w:hAnsi="Calibri" w:cs="Calibri"/>
          <w:i/>
          <w:iCs/>
          <w:kern w:val="0"/>
          <w:szCs w:val="24"/>
        </w:rPr>
        <w:t xml:space="preserve">Caractacus, King of the Silures, deliver'd up to Ostorius, the Roman General, by Cartismandua, Queen of the Brigantes </w:t>
      </w:r>
      <w:r w:rsidR="00964537" w:rsidRPr="00E643A2">
        <w:rPr>
          <w:rFonts w:ascii="Calibri" w:hAnsi="Calibri" w:cs="Calibri"/>
          <w:kern w:val="0"/>
          <w:szCs w:val="24"/>
        </w:rPr>
        <w:t xml:space="preserve">[print, </w:t>
      </w:r>
      <w:r w:rsidR="00795282" w:rsidRPr="00E643A2">
        <w:rPr>
          <w:rFonts w:ascii="Calibri" w:hAnsi="Calibri" w:cs="Calibri"/>
          <w:kern w:val="0"/>
          <w:szCs w:val="24"/>
        </w:rPr>
        <w:t>etching] &lt;</w:t>
      </w:r>
      <w:r w:rsidRPr="00E643A2">
        <w:rPr>
          <w:rFonts w:ascii="Calibri" w:hAnsi="Calibri" w:cs="Calibri"/>
          <w:kern w:val="0"/>
          <w:szCs w:val="24"/>
        </w:rPr>
        <w:t>https://www.britishmuseum.org/collection/object/P_1868-0808-2826&gt; [accessed 18 December 2023].</w:t>
      </w:r>
      <w:r w:rsidRPr="00E643A2">
        <w:fldChar w:fldCharType="end"/>
      </w:r>
    </w:p>
  </w:footnote>
  <w:footnote w:id="10">
    <w:p w14:paraId="6FB8A2A9" w14:textId="2E05C5E5" w:rsidR="00726C3A" w:rsidRDefault="00726C3A">
      <w:pPr>
        <w:pStyle w:val="FootnoteText"/>
      </w:pPr>
      <w:r>
        <w:rPr>
          <w:rStyle w:val="FootnoteReference"/>
        </w:rPr>
        <w:footnoteRef/>
      </w:r>
      <w:r>
        <w:t xml:space="preserve"> Tacitus, </w:t>
      </w:r>
      <w:r w:rsidRPr="000B7285">
        <w:rPr>
          <w:i/>
          <w:iCs/>
        </w:rPr>
        <w:t>Annals: Book 12</w:t>
      </w:r>
      <w:r>
        <w:t>, trans. by</w:t>
      </w:r>
      <w:r w:rsidR="000B7285">
        <w:t xml:space="preserve"> </w:t>
      </w:r>
      <w:r>
        <w:t>Jackson</w:t>
      </w:r>
      <w:r w:rsidR="000B7285">
        <w:t xml:space="preserve">, </w:t>
      </w:r>
      <w:r>
        <w:t>p. 367</w:t>
      </w:r>
      <w:r w:rsidR="000B7285">
        <w:t>.</w:t>
      </w:r>
      <w:r>
        <w:t xml:space="preserve"> </w:t>
      </w:r>
    </w:p>
  </w:footnote>
  <w:footnote w:id="11">
    <w:p w14:paraId="2AE368A2" w14:textId="0DADB749" w:rsidR="006D5339" w:rsidRDefault="006D5339">
      <w:pPr>
        <w:pStyle w:val="FootnoteText"/>
      </w:pPr>
      <w:r>
        <w:rPr>
          <w:rStyle w:val="FootnoteReference"/>
        </w:rPr>
        <w:footnoteRef/>
      </w:r>
      <w:r>
        <w:t xml:space="preserve"> Tacitus, </w:t>
      </w:r>
      <w:r w:rsidRPr="000B7285">
        <w:rPr>
          <w:i/>
          <w:iCs/>
        </w:rPr>
        <w:t>Histories: Book 3</w:t>
      </w:r>
      <w:r>
        <w:t>, trans. by Moore</w:t>
      </w:r>
      <w:r w:rsidR="000B7285">
        <w:t xml:space="preserve">, </w:t>
      </w:r>
      <w:r>
        <w:t>p. 403</w:t>
      </w:r>
      <w:r w:rsidR="00C51D7A">
        <w:t xml:space="preserve">. </w:t>
      </w:r>
    </w:p>
  </w:footnote>
  <w:footnote w:id="12">
    <w:p w14:paraId="7A187BCD" w14:textId="14BDE6FF" w:rsidR="00DC2E0B" w:rsidRDefault="00DC2E0B">
      <w:pPr>
        <w:pStyle w:val="FootnoteText"/>
      </w:pPr>
      <w:r w:rsidRPr="00C51D7A">
        <w:rPr>
          <w:rStyle w:val="FootnoteReference"/>
        </w:rPr>
        <w:footnoteRef/>
      </w:r>
      <w:r w:rsidRPr="00C51D7A">
        <w:t xml:space="preserve"> </w:t>
      </w:r>
      <w:r w:rsidRPr="00C51D7A">
        <w:fldChar w:fldCharType="begin"/>
      </w:r>
      <w:r w:rsidR="00262690" w:rsidRPr="00C51D7A">
        <w:instrText xml:space="preserve"> ADDIN ZOTERO_ITEM CSL_CITATION {"citationID":"y9WOtqXs","properties":{"formattedCitation":"Jill Armitage, {\\i{}Celtic Queen: The World of Cartimandua} (Amberley Publishing Limited, 2020).","plainCitation":"Jill Armitage, Celtic Queen: The World of Cartimandua (Amberley Publishing Limited, 2020).","dontUpdate":true,"noteIndex":6},"citationItems":[{"id":77,"uris":["http://zotero.org/users/local/VhgDsqkD/items/5GM78JCB"],"itemData":{"id":77,"type":"book","abstract":"Queens Cartimandua and Boudica were both Celtic noblewomen, recorded by classical writers as part of a tradition of women who showed particular courage, ambition and political skill, and who were just as formidable in war as their husbands. They took on the status of Celtic goddesses and were central players in the struggle against the Roman annexation of Britain. Boudica led the rebellion against the Romans but her reputation may be largely symbolic. Using historical and archaeological evidence, Celtic Queen uncovers the arguably more impressive story of Queen Cartimandua, the independent ruler of the powerful Brigante tribe whose territory was the single largest Celtic kingdom in Britain. Cartimandua’s leadership in battle and political influence were probably much greater than Boudica’s. Unlike Boudica, wife of King Prasutagus of the Iceni tribe, Cartimandua was the regent of the Brigante tribe in her own right. Her tribe prospered in the new Imperial world because she cooperated with the invaders and she held her position as queen until AD69. Cartimandua's territory was considerable, covering most of modern Cheshire, South and North Yorkshire, Lancashire, North Humberside, Cumbria, County Durham and Tyne and Wear. But she was seen as a shameless adulteress after an open affair with her husband’s armour bearer. Such sexual liberation was normal for powerful Celtic women but it scandalised Roman society. With many references to popular Celtic culture, their gods, beliefs, art and symbolism, as well as living conditions and the hillforts that would have been Cartimandua’s headquarters, Celtic Queen offers an insight into the life of this fascinating woman and the Romano/Celtic world in which she lived.","ISBN":"978-1-4456-8416-1","language":"en","note":"Google-Books-ID: mD3KDwAAQBAJ","number-of-pages":"392","publisher":"Amberley Publishing Limited","source":"Google Books","title":"Celtic Queen: The World of Cartimandua","title-short":"Celtic Queen","author":[{"family":"Armitage","given":"Jill"}],"issued":{"date-parts":[["2020",1,15]]}}}],"schema":"https://github.com/citation-style-language/schema/raw/master/csl-citation.json"} </w:instrText>
      </w:r>
      <w:r w:rsidRPr="00C51D7A">
        <w:fldChar w:fldCharType="separate"/>
      </w:r>
      <w:r w:rsidRPr="00C51D7A">
        <w:rPr>
          <w:rFonts w:ascii="Calibri" w:hAnsi="Calibri" w:cs="Calibri"/>
          <w:kern w:val="0"/>
          <w:szCs w:val="24"/>
        </w:rPr>
        <w:t xml:space="preserve">Jill Armitage, </w:t>
      </w:r>
      <w:r w:rsidRPr="00C51D7A">
        <w:rPr>
          <w:rFonts w:ascii="Calibri" w:hAnsi="Calibri" w:cs="Calibri"/>
          <w:i/>
          <w:iCs/>
          <w:kern w:val="0"/>
          <w:szCs w:val="24"/>
        </w:rPr>
        <w:t>Celtic Queen: The World of Cartimandua</w:t>
      </w:r>
      <w:r w:rsidRPr="00C51D7A">
        <w:rPr>
          <w:rFonts w:ascii="Calibri" w:hAnsi="Calibri" w:cs="Calibri"/>
          <w:kern w:val="0"/>
          <w:szCs w:val="24"/>
        </w:rPr>
        <w:t xml:space="preserve"> (</w:t>
      </w:r>
      <w:r w:rsidR="00C51D7A">
        <w:rPr>
          <w:rFonts w:ascii="Calibri" w:hAnsi="Calibri" w:cs="Calibri"/>
          <w:kern w:val="0"/>
          <w:szCs w:val="24"/>
        </w:rPr>
        <w:t>Gloucestershire: Amberley Publishing, 2020)</w:t>
      </w:r>
      <w:r w:rsidRPr="00C51D7A">
        <w:rPr>
          <w:rFonts w:ascii="Calibri" w:hAnsi="Calibri" w:cs="Calibri"/>
          <w:kern w:val="0"/>
          <w:szCs w:val="24"/>
        </w:rPr>
        <w:t>, p</w:t>
      </w:r>
      <w:r w:rsidR="00C51D7A" w:rsidRPr="00C51D7A">
        <w:rPr>
          <w:rFonts w:ascii="Calibri" w:hAnsi="Calibri" w:cs="Calibri"/>
          <w:kern w:val="0"/>
          <w:szCs w:val="24"/>
        </w:rPr>
        <w:t>.</w:t>
      </w:r>
      <w:r w:rsidRPr="00C51D7A">
        <w:rPr>
          <w:rFonts w:ascii="Calibri" w:hAnsi="Calibri" w:cs="Calibri"/>
          <w:kern w:val="0"/>
          <w:szCs w:val="24"/>
        </w:rPr>
        <w:t xml:space="preserve"> 13.</w:t>
      </w:r>
      <w:r w:rsidRPr="00C51D7A">
        <w:fldChar w:fldCharType="end"/>
      </w:r>
    </w:p>
  </w:footnote>
  <w:footnote w:id="13">
    <w:p w14:paraId="03456D15" w14:textId="2389A74F" w:rsidR="006D5339" w:rsidRDefault="006D5339">
      <w:pPr>
        <w:pStyle w:val="FootnoteText"/>
      </w:pPr>
      <w:r>
        <w:rPr>
          <w:rStyle w:val="FootnoteReference"/>
        </w:rPr>
        <w:footnoteRef/>
      </w:r>
      <w:r>
        <w:t xml:space="preserve"> Tacitus, </w:t>
      </w:r>
      <w:r w:rsidRPr="000B7285">
        <w:rPr>
          <w:i/>
          <w:iCs/>
        </w:rPr>
        <w:t>Histories: Book 3</w:t>
      </w:r>
      <w:r>
        <w:t>, trans. by Moore</w:t>
      </w:r>
      <w:r w:rsidR="000B7285">
        <w:t xml:space="preserve">, </w:t>
      </w:r>
      <w:r>
        <w:t>p. 403</w:t>
      </w:r>
      <w:r w:rsidR="00C51D7A">
        <w:t xml:space="preserve">. </w:t>
      </w:r>
    </w:p>
  </w:footnote>
  <w:footnote w:id="14">
    <w:p w14:paraId="5FDD0532" w14:textId="3B8D6658" w:rsidR="006D5339" w:rsidRDefault="006D5339">
      <w:pPr>
        <w:pStyle w:val="FootnoteText"/>
      </w:pPr>
      <w:r>
        <w:rPr>
          <w:rStyle w:val="FootnoteReference"/>
        </w:rPr>
        <w:footnoteRef/>
      </w:r>
      <w:r>
        <w:t xml:space="preserve"> Tacitus, </w:t>
      </w:r>
      <w:r w:rsidRPr="000B7285">
        <w:rPr>
          <w:i/>
          <w:iCs/>
        </w:rPr>
        <w:t>Histories: Book 3,</w:t>
      </w:r>
      <w:r>
        <w:t xml:space="preserve"> trans. Moore</w:t>
      </w:r>
      <w:r w:rsidR="000B7285">
        <w:t xml:space="preserve">, </w:t>
      </w:r>
      <w:r>
        <w:t>p. 403</w:t>
      </w:r>
      <w:r w:rsidR="00C51D7A">
        <w:t xml:space="preserve">. </w:t>
      </w:r>
    </w:p>
  </w:footnote>
  <w:footnote w:id="15">
    <w:p w14:paraId="67D62A5C" w14:textId="773AF97A" w:rsidR="00172F17" w:rsidRDefault="00172F17">
      <w:pPr>
        <w:pStyle w:val="FootnoteText"/>
      </w:pPr>
      <w:r w:rsidRPr="00795282">
        <w:rPr>
          <w:rStyle w:val="FootnoteReference"/>
        </w:rPr>
        <w:footnoteRef/>
      </w:r>
      <w:r w:rsidRPr="00795282">
        <w:t xml:space="preserve"> </w:t>
      </w:r>
      <w:r w:rsidRPr="00795282">
        <w:fldChar w:fldCharType="begin"/>
      </w:r>
      <w:r w:rsidR="00262690" w:rsidRPr="00795282">
        <w:instrText xml:space="preserve"> ADDIN ZOTERO_ITEM CSL_CITATION {"citationID":"FXHbhqEB","properties":{"formattedCitation":"James J. Stewart, \\uc0\\u8216{}Venutius\\uc0\\u8217{} Role in Romano-British Affairs, AD 43-75\\uc0\\u8217{}, {\\i{}Latomus}, 60.2 (2001), 380\\uc0\\u8211{}86.","plainCitation":"James J. Stewart, ‘Venutius’ Role in Romano-British Affairs, AD 43-75’, Latomus, 60.2 (2001), 380–86.","noteIndex":7},"citationItems":[{"id":93,"uris":["http://zotero.org/users/local/VhgDsqkD/items/53TC3C3K"],"itemData":{"id":93,"type":"article-journal","container-title":"Latomus","ISSN":"0023-8856","issue":"2","note":"publisher: Societe d’Etudes Latines de Bruxelles","page":"380-386","source":"JSTOR","title":"Venutius’ Role in Romano-British Affairs, AD 43-75","volume":"60","author":[{"family":"Stewart","given":"James J."}],"issued":{"date-parts":[["2001"]]}}}],"schema":"https://github.com/citation-style-language/schema/raw/master/csl-citation.json"} </w:instrText>
      </w:r>
      <w:r w:rsidRPr="00795282">
        <w:fldChar w:fldCharType="separate"/>
      </w:r>
      <w:r w:rsidRPr="00795282">
        <w:rPr>
          <w:rFonts w:ascii="Calibri" w:hAnsi="Calibri" w:cs="Calibri"/>
          <w:kern w:val="0"/>
          <w:szCs w:val="24"/>
        </w:rPr>
        <w:t xml:space="preserve">James J. Stewart, ‘Venutius’ Role in Romano-British Affairs, AD 43-75’, </w:t>
      </w:r>
      <w:r w:rsidRPr="00795282">
        <w:rPr>
          <w:rFonts w:ascii="Calibri" w:hAnsi="Calibri" w:cs="Calibri"/>
          <w:i/>
          <w:iCs/>
          <w:kern w:val="0"/>
          <w:szCs w:val="24"/>
        </w:rPr>
        <w:t>Latomus</w:t>
      </w:r>
      <w:r w:rsidRPr="00795282">
        <w:rPr>
          <w:rFonts w:ascii="Calibri" w:hAnsi="Calibri" w:cs="Calibri"/>
          <w:kern w:val="0"/>
          <w:szCs w:val="24"/>
        </w:rPr>
        <w:t>, 60.2 (2001), 380–86</w:t>
      </w:r>
      <w:r w:rsidR="00C51D7A" w:rsidRPr="00795282">
        <w:rPr>
          <w:rFonts w:ascii="Calibri" w:hAnsi="Calibri" w:cs="Calibri"/>
          <w:kern w:val="0"/>
          <w:szCs w:val="24"/>
        </w:rPr>
        <w:t xml:space="preserve"> (p</w:t>
      </w:r>
      <w:r w:rsidR="00795282" w:rsidRPr="00795282">
        <w:rPr>
          <w:rFonts w:ascii="Calibri" w:hAnsi="Calibri" w:cs="Calibri"/>
          <w:kern w:val="0"/>
          <w:szCs w:val="24"/>
        </w:rPr>
        <w:t>. 383)</w:t>
      </w:r>
      <w:r w:rsidRPr="00795282">
        <w:rPr>
          <w:rFonts w:ascii="Calibri" w:hAnsi="Calibri" w:cs="Calibri"/>
          <w:kern w:val="0"/>
          <w:szCs w:val="24"/>
        </w:rPr>
        <w:t>.</w:t>
      </w:r>
      <w:r w:rsidRPr="00795282">
        <w:fldChar w:fldCharType="end"/>
      </w:r>
    </w:p>
  </w:footnote>
  <w:footnote w:id="16">
    <w:p w14:paraId="43CBB7A1" w14:textId="67CCB465" w:rsidR="009A30C7" w:rsidRDefault="009A30C7">
      <w:pPr>
        <w:pStyle w:val="FootnoteText"/>
      </w:pPr>
      <w:r w:rsidRPr="00795282">
        <w:rPr>
          <w:rStyle w:val="FootnoteReference"/>
        </w:rPr>
        <w:footnoteRef/>
      </w:r>
      <w:r w:rsidRPr="00795282">
        <w:t xml:space="preserve"> </w:t>
      </w:r>
      <w:r w:rsidRPr="00795282">
        <w:fldChar w:fldCharType="begin"/>
      </w:r>
      <w:r w:rsidRPr="00795282">
        <w:instrText xml:space="preserve"> ADDIN ZOTERO_ITEM CSL_CITATION {"citationID":"MfDesREc","properties":{"formattedCitation":"Mark Cartwright, \\uc0\\u8216{}The Role of Women in the Roman World\\uc0\\u8217{}, {\\i{}World History Encyclopedia} &lt;https://www.worldhistory.org/article/659/the-role-of-women-in-the-roman-world/&gt; [accessed 6 December 2023].","plainCitation":"Mark Cartwright, ‘The Role of Women in the Roman World’, World History Encyclopedia &lt;https://www.worldhistory.org/article/659/the-role-of-women-in-the-roman-world/&gt; [accessed 6 December 2023].","noteIndex":9},"citationItems":[{"id":90,"uris":["http://zotero.org/users/local/VhgDsqkD/items/MGIUIA97"],"itemData":{"id":90,"type":"webpage","abstract":"The exact role and status of women in the Roman world, and indeed in most ancient societies, has often been obscured by the biases of both ancient male writers and 19-20th century CE male scholars...","container-title":"World History Encyclopedia","language":"en","title":"The Role of Women in the Roman World","URL":"https://www.worldhistory.org/article/659/the-role-of-women-in-the-roman-world/","author":[{"family":"Cartwright","given":"Mark"}],"accessed":{"date-parts":[["2023",12,6]]}}}],"schema":"https://github.com/citation-style-language/schema/raw/master/csl-citation.json"} </w:instrText>
      </w:r>
      <w:r w:rsidRPr="00795282">
        <w:fldChar w:fldCharType="separate"/>
      </w:r>
      <w:r w:rsidRPr="00795282">
        <w:rPr>
          <w:rFonts w:ascii="Calibri" w:hAnsi="Calibri" w:cs="Calibri"/>
          <w:kern w:val="0"/>
          <w:szCs w:val="24"/>
        </w:rPr>
        <w:t xml:space="preserve">Mark Cartwright, </w:t>
      </w:r>
      <w:r w:rsidR="00795282" w:rsidRPr="00795282">
        <w:rPr>
          <w:rFonts w:ascii="Calibri" w:hAnsi="Calibri" w:cs="Calibri"/>
          <w:i/>
          <w:iCs/>
          <w:kern w:val="0"/>
          <w:szCs w:val="24"/>
        </w:rPr>
        <w:t xml:space="preserve">The Role of Women in the Roman World </w:t>
      </w:r>
      <w:r w:rsidR="00795282" w:rsidRPr="00795282">
        <w:rPr>
          <w:rFonts w:ascii="Calibri" w:hAnsi="Calibri" w:cs="Calibri"/>
          <w:kern w:val="0"/>
          <w:szCs w:val="24"/>
        </w:rPr>
        <w:t xml:space="preserve">(2014) </w:t>
      </w:r>
      <w:r w:rsidRPr="00795282">
        <w:rPr>
          <w:rFonts w:ascii="Calibri" w:hAnsi="Calibri" w:cs="Calibri"/>
          <w:kern w:val="0"/>
          <w:szCs w:val="24"/>
        </w:rPr>
        <w:t>&lt;https://www.worldhistory.org/article/659/the-role-of-women-in-the-roman-world/&gt; [accessed 6 December 2023].</w:t>
      </w:r>
      <w:r w:rsidRPr="00795282">
        <w:fldChar w:fldCharType="end"/>
      </w:r>
    </w:p>
  </w:footnote>
  <w:footnote w:id="17">
    <w:p w14:paraId="144781E0" w14:textId="3D7E7335" w:rsidR="00726C3A" w:rsidRDefault="00726C3A">
      <w:pPr>
        <w:pStyle w:val="FootnoteText"/>
      </w:pPr>
      <w:r>
        <w:rPr>
          <w:rStyle w:val="FootnoteReference"/>
        </w:rPr>
        <w:footnoteRef/>
      </w:r>
      <w:r>
        <w:t xml:space="preserve"> Tacitus, </w:t>
      </w:r>
      <w:r w:rsidRPr="000B7285">
        <w:rPr>
          <w:i/>
          <w:iCs/>
        </w:rPr>
        <w:t>Annals: Book 12</w:t>
      </w:r>
      <w:r>
        <w:t>, trans. by Jackson</w:t>
      </w:r>
      <w:r w:rsidR="000B7285">
        <w:t xml:space="preserve">, </w:t>
      </w:r>
      <w:r>
        <w:t>p. 371</w:t>
      </w:r>
      <w:r w:rsidR="00C51D7A">
        <w:t xml:space="preserve">. </w:t>
      </w:r>
    </w:p>
  </w:footnote>
  <w:footnote w:id="18">
    <w:p w14:paraId="4AA49C70" w14:textId="0CAC60E7" w:rsidR="006D5339" w:rsidRDefault="006D5339">
      <w:pPr>
        <w:pStyle w:val="FootnoteText"/>
      </w:pPr>
      <w:r>
        <w:rPr>
          <w:rStyle w:val="FootnoteReference"/>
        </w:rPr>
        <w:footnoteRef/>
      </w:r>
      <w:r>
        <w:t xml:space="preserve"> Tacitus, </w:t>
      </w:r>
      <w:r w:rsidRPr="000B7285">
        <w:rPr>
          <w:i/>
          <w:iCs/>
        </w:rPr>
        <w:t>Histories: Book 3</w:t>
      </w:r>
      <w:r>
        <w:t>, trans. by Moore</w:t>
      </w:r>
      <w:r w:rsidR="000B7285">
        <w:t xml:space="preserve">, </w:t>
      </w:r>
      <w:r>
        <w:t>p. 403</w:t>
      </w:r>
      <w:r w:rsidR="00795282">
        <w:t xml:space="preserve">. </w:t>
      </w:r>
    </w:p>
  </w:footnote>
  <w:footnote w:id="19">
    <w:p w14:paraId="0F15D614" w14:textId="53E50BC5" w:rsidR="00795282" w:rsidRDefault="00795282">
      <w:pPr>
        <w:pStyle w:val="FootnoteText"/>
      </w:pPr>
      <w:r>
        <w:rPr>
          <w:rStyle w:val="FootnoteReference"/>
        </w:rPr>
        <w:footnoteRef/>
      </w:r>
      <w:r>
        <w:t xml:space="preserve"> </w:t>
      </w:r>
      <w:r>
        <w:fldChar w:fldCharType="begin"/>
      </w:r>
      <w:r>
        <w:instrText xml:space="preserve"> ADDIN ZOTERO_ITEM CSL_CITATION {"citationID":"dvsP73Az","properties":{"formattedCitation":"W. S Hanson and D. B. Campbell, \\uc0\\u8216{}The Brigantes: From Clientage to Conquest\\uc0\\u8217{}, {\\i{}Britannia}, 17 (1986), 73\\uc0\\u8211{}89 &lt;https://doi.org/10.2307/526541&gt;.","plainCitation":"W. S Hanson and D. B. Campbell, ‘The Brigantes: From Clientage to Conquest’, Britannia, 17 (1986), 73–89 &lt;https://doi.org/10.2307/526541&gt;.","noteIndex":19},"citationItems":[{"id":75,"uris":["http://zotero.org/users/local/VhgDsqkD/items/W8H9EY2F"],"itemData":{"id":75,"type":"article-journal","container-title":"Britannia","DOI":"10.2307/526541","ISSN":"0068-113X","note":"publisher: [Society for the Promotion of Roman Studies, Cambridge University Press]","page":"73-89","source":"JSTOR","title":"The Brigantes: From Clientage to Conquest","title-short":"The Brigantes","volume":"17","author":[{"family":"Hanson","given":"W. S"},{"family":"Campbell","given":"D. B."}],"issued":{"date-parts":[["1986"]]}}}],"schema":"https://github.com/citation-style-language/schema/raw/master/csl-citation.json"} </w:instrText>
      </w:r>
      <w:r>
        <w:fldChar w:fldCharType="separate"/>
      </w:r>
      <w:r w:rsidRPr="00795282">
        <w:rPr>
          <w:rFonts w:ascii="Calibri" w:hAnsi="Calibri" w:cs="Calibri"/>
          <w:kern w:val="0"/>
          <w:szCs w:val="24"/>
        </w:rPr>
        <w:t xml:space="preserve">W. S Hanson and D. B. Campbell, ‘The Brigantes: From Clientage to Conquest’, </w:t>
      </w:r>
      <w:r w:rsidRPr="00795282">
        <w:rPr>
          <w:rFonts w:ascii="Calibri" w:hAnsi="Calibri" w:cs="Calibri"/>
          <w:i/>
          <w:iCs/>
          <w:kern w:val="0"/>
          <w:szCs w:val="24"/>
        </w:rPr>
        <w:t>Britannia</w:t>
      </w:r>
      <w:r w:rsidRPr="00795282">
        <w:rPr>
          <w:rFonts w:ascii="Calibri" w:hAnsi="Calibri" w:cs="Calibri"/>
          <w:kern w:val="0"/>
          <w:szCs w:val="24"/>
        </w:rPr>
        <w:t xml:space="preserve">, 17 (1986), 73–89 </w:t>
      </w:r>
      <w:r>
        <w:rPr>
          <w:rFonts w:ascii="Calibri" w:hAnsi="Calibri" w:cs="Calibri"/>
          <w:kern w:val="0"/>
          <w:szCs w:val="24"/>
        </w:rPr>
        <w:t xml:space="preserve">(pp. 73-74) </w:t>
      </w:r>
      <w:r w:rsidRPr="00795282">
        <w:rPr>
          <w:rFonts w:ascii="Calibri" w:hAnsi="Calibri" w:cs="Calibri"/>
          <w:kern w:val="0"/>
          <w:szCs w:val="24"/>
        </w:rPr>
        <w:t>&lt;https://doi.org/10.2307/526541&gt;.</w:t>
      </w:r>
      <w:r>
        <w:fldChar w:fldCharType="end"/>
      </w:r>
    </w:p>
  </w:footnote>
  <w:footnote w:id="20">
    <w:p w14:paraId="4E078C58" w14:textId="4C0E3D3B" w:rsidR="00726C3A" w:rsidRDefault="00726C3A">
      <w:pPr>
        <w:pStyle w:val="FootnoteText"/>
      </w:pPr>
      <w:r>
        <w:rPr>
          <w:rStyle w:val="FootnoteReference"/>
        </w:rPr>
        <w:footnoteRef/>
      </w:r>
      <w:r>
        <w:t xml:space="preserve"> Tacitus, </w:t>
      </w:r>
      <w:r w:rsidRPr="000B7285">
        <w:rPr>
          <w:i/>
          <w:iCs/>
        </w:rPr>
        <w:t>Annals: Book 12</w:t>
      </w:r>
      <w:r>
        <w:t>, trans. by Jackson</w:t>
      </w:r>
      <w:r w:rsidR="000B7285">
        <w:t xml:space="preserve">, </w:t>
      </w:r>
      <w:r>
        <w:t>p. 371</w:t>
      </w:r>
      <w:r w:rsidR="00795282">
        <w:t>.</w:t>
      </w:r>
      <w:r>
        <w:t xml:space="preserve"> </w:t>
      </w:r>
    </w:p>
  </w:footnote>
  <w:footnote w:id="21">
    <w:p w14:paraId="39E26A10" w14:textId="5C2F3174" w:rsidR="000B52B2" w:rsidRDefault="000B52B2">
      <w:pPr>
        <w:pStyle w:val="FootnoteText"/>
      </w:pPr>
      <w:r>
        <w:rPr>
          <w:rStyle w:val="FootnoteReference"/>
        </w:rPr>
        <w:footnoteRef/>
      </w:r>
      <w:r>
        <w:t xml:space="preserve"> Tacitus, </w:t>
      </w:r>
      <w:r w:rsidRPr="000B7285">
        <w:rPr>
          <w:i/>
          <w:iCs/>
        </w:rPr>
        <w:t>Histories: Book 3</w:t>
      </w:r>
      <w:r>
        <w:t>, trans. by Moore</w:t>
      </w:r>
      <w:r w:rsidR="000B7285">
        <w:t xml:space="preserve">, </w:t>
      </w:r>
      <w:r>
        <w:t>p. 403</w:t>
      </w:r>
      <w:r w:rsidR="00795282">
        <w:t xml:space="preserve">. </w:t>
      </w:r>
    </w:p>
  </w:footnote>
  <w:footnote w:id="22">
    <w:p w14:paraId="79E9AA0B" w14:textId="2B851F8B" w:rsidR="00726C3A" w:rsidRDefault="00726C3A">
      <w:pPr>
        <w:pStyle w:val="FootnoteText"/>
      </w:pPr>
      <w:r>
        <w:rPr>
          <w:rStyle w:val="FootnoteReference"/>
        </w:rPr>
        <w:footnoteRef/>
      </w:r>
      <w:r>
        <w:t xml:space="preserve"> Tacitus, </w:t>
      </w:r>
      <w:r w:rsidRPr="000B7285">
        <w:rPr>
          <w:i/>
          <w:iCs/>
        </w:rPr>
        <w:t>Annals: Book 12</w:t>
      </w:r>
      <w:r>
        <w:t>, trans. by J</w:t>
      </w:r>
      <w:r w:rsidR="000B7285">
        <w:t xml:space="preserve">ackson, </w:t>
      </w:r>
      <w:r>
        <w:t>p. 371</w:t>
      </w:r>
      <w:r w:rsidR="00795282">
        <w:t xml:space="preserve">. </w:t>
      </w:r>
    </w:p>
  </w:footnote>
  <w:footnote w:id="23">
    <w:p w14:paraId="08B5D18B" w14:textId="081F9E1C" w:rsidR="006D5339" w:rsidRDefault="006D5339">
      <w:pPr>
        <w:pStyle w:val="FootnoteText"/>
      </w:pPr>
      <w:r>
        <w:rPr>
          <w:rStyle w:val="FootnoteReference"/>
        </w:rPr>
        <w:footnoteRef/>
      </w:r>
      <w:r>
        <w:t xml:space="preserve"> Tacitus, </w:t>
      </w:r>
      <w:r w:rsidRPr="000B7285">
        <w:rPr>
          <w:i/>
          <w:iCs/>
        </w:rPr>
        <w:t>Histories: Book 3</w:t>
      </w:r>
      <w:r>
        <w:t>, trans. by Moore</w:t>
      </w:r>
      <w:r w:rsidR="000B7285">
        <w:t xml:space="preserve">, </w:t>
      </w:r>
      <w:r>
        <w:t>p. 403</w:t>
      </w:r>
      <w:r w:rsidR="00795282">
        <w:t xml:space="preserve">. </w:t>
      </w:r>
    </w:p>
  </w:footnote>
  <w:footnote w:id="24">
    <w:p w14:paraId="39674DA2" w14:textId="10C1DCE7" w:rsidR="009C0A0A" w:rsidRDefault="009C0A0A">
      <w:pPr>
        <w:pStyle w:val="FootnoteText"/>
      </w:pPr>
      <w:r w:rsidRPr="00795282">
        <w:rPr>
          <w:rStyle w:val="FootnoteReference"/>
        </w:rPr>
        <w:footnoteRef/>
      </w:r>
      <w:r w:rsidRPr="00795282">
        <w:t xml:space="preserve"> </w:t>
      </w:r>
      <w:r w:rsidRPr="00795282">
        <w:fldChar w:fldCharType="begin"/>
      </w:r>
      <w:r w:rsidR="00795282" w:rsidRPr="00795282">
        <w:instrText xml:space="preserve"> ADDIN ZOTERO_ITEM CSL_CITATION {"citationID":"KqH5p027","properties":{"formattedCitation":"Hanson and Campbell.","plainCitation":"Hanson and Campbell.","noteIndex":24},"citationItems":[{"id":75,"uris":["http://zotero.org/users/local/VhgDsqkD/items/W8H9EY2F"],"itemData":{"id":75,"type":"article-journal","container-title":"Britannia","DOI":"10.2307/526541","ISSN":"0068-113X","note":"publisher: [Society for the Promotion of Roman Studies, Cambridge University Press]","page":"73-89","source":"JSTOR","title":"The Brigantes: From Clientage to Conquest","title-short":"The Brigantes","volume":"17","author":[{"family":"Hanson","given":"W. S"},{"family":"Campbell","given":"D. B."}],"issued":{"date-parts":[["1986"]]}}}],"schema":"https://github.com/citation-style-language/schema/raw/master/csl-citation.json"} </w:instrText>
      </w:r>
      <w:r w:rsidRPr="00795282">
        <w:fldChar w:fldCharType="separate"/>
      </w:r>
      <w:r w:rsidR="00795282" w:rsidRPr="00795282">
        <w:rPr>
          <w:rFonts w:ascii="Calibri" w:hAnsi="Calibri" w:cs="Calibri"/>
        </w:rPr>
        <w:t>Hanson and Campbell, 'The Brigantes: From Clientage to Conquest' (pp. 74-82).</w:t>
      </w:r>
      <w:r w:rsidRPr="00795282">
        <w:fldChar w:fldCharType="end"/>
      </w:r>
    </w:p>
  </w:footnote>
  <w:footnote w:id="25">
    <w:p w14:paraId="6125AF91" w14:textId="20F181C4" w:rsidR="00570914" w:rsidRDefault="00570914">
      <w:pPr>
        <w:pStyle w:val="FootnoteText"/>
      </w:pPr>
      <w:r w:rsidRPr="00544890">
        <w:rPr>
          <w:rStyle w:val="FootnoteReference"/>
        </w:rPr>
        <w:footnoteRef/>
      </w:r>
      <w:r w:rsidRPr="00544890">
        <w:t xml:space="preserve"> </w:t>
      </w:r>
      <w:r w:rsidRPr="00544890">
        <w:fldChar w:fldCharType="begin"/>
      </w:r>
      <w:r w:rsidR="00795282" w:rsidRPr="00544890">
        <w:instrText xml:space="preserve"> ADDIN ZOTERO_ITEM CSL_CITATION {"citationID":"lT5Rf2oq","properties":{"formattedCitation":"David Braund, \\uc0\\u8216{}Observations on Cartimandua\\uc0\\u8217{}, {\\i{}Britannia}, 15 (1984), 1\\uc0\\u8211{}6 &lt;https://doi.org/10.2307/526580&gt;.","plainCitation":"David Braund, ‘Observations on Cartimandua’, Britannia, 15 (1984), 1–6 &lt;https://doi.org/10.2307/526580&gt;.","noteIndex":25},"citationItems":[{"id":82,"uris":["http://zotero.org/users/local/VhgDsqkD/items/Y6G2MPAH"],"itemData":{"id":82,"type":"article-journal","container-title":"Britannia","DOI":"10.2307/526580","ISSN":"0068-113X","note":"publisher: [Society for the Promotion of Roman Studies, Cambridge University Press]","page":"1-6","source":"JSTOR","title":"Observations on Cartimandua","volume":"15","author":[{"family":"Braund","given":"David"}],"issued":{"date-parts":[["1984"]]}}}],"schema":"https://github.com/citation-style-language/schema/raw/master/csl-citation.json"} </w:instrText>
      </w:r>
      <w:r w:rsidRPr="00544890">
        <w:fldChar w:fldCharType="separate"/>
      </w:r>
      <w:r w:rsidRPr="00544890">
        <w:rPr>
          <w:rFonts w:ascii="Calibri" w:hAnsi="Calibri" w:cs="Calibri"/>
          <w:kern w:val="0"/>
          <w:szCs w:val="24"/>
        </w:rPr>
        <w:t xml:space="preserve">David Braund, ‘Observations on Cartimandua’, </w:t>
      </w:r>
      <w:r w:rsidRPr="00544890">
        <w:rPr>
          <w:rFonts w:ascii="Calibri" w:hAnsi="Calibri" w:cs="Calibri"/>
          <w:i/>
          <w:iCs/>
          <w:kern w:val="0"/>
          <w:szCs w:val="24"/>
        </w:rPr>
        <w:t>Britannia</w:t>
      </w:r>
      <w:r w:rsidRPr="00544890">
        <w:rPr>
          <w:rFonts w:ascii="Calibri" w:hAnsi="Calibri" w:cs="Calibri"/>
          <w:kern w:val="0"/>
          <w:szCs w:val="24"/>
        </w:rPr>
        <w:t>, 15 (1984), 1–6</w:t>
      </w:r>
      <w:r w:rsidR="00544890" w:rsidRPr="00544890">
        <w:rPr>
          <w:rFonts w:ascii="Calibri" w:hAnsi="Calibri" w:cs="Calibri"/>
          <w:kern w:val="0"/>
          <w:szCs w:val="24"/>
        </w:rPr>
        <w:t xml:space="preserve"> (pp. 5-6)</w:t>
      </w:r>
      <w:r w:rsidRPr="00544890">
        <w:rPr>
          <w:rFonts w:ascii="Calibri" w:hAnsi="Calibri" w:cs="Calibri"/>
          <w:kern w:val="0"/>
          <w:szCs w:val="24"/>
        </w:rPr>
        <w:t xml:space="preserve"> &lt;https://doi.org/10.2307/526580&gt;.</w:t>
      </w:r>
      <w:r w:rsidRPr="00544890">
        <w:fldChar w:fldCharType="end"/>
      </w:r>
    </w:p>
  </w:footnote>
  <w:footnote w:id="26">
    <w:p w14:paraId="7BDC5E78" w14:textId="382F040C" w:rsidR="009C0A0A" w:rsidRPr="00CE5197" w:rsidRDefault="009C0A0A">
      <w:pPr>
        <w:pStyle w:val="FootnoteText"/>
      </w:pPr>
      <w:r w:rsidRPr="00CE5197">
        <w:rPr>
          <w:rStyle w:val="FootnoteReference"/>
        </w:rPr>
        <w:footnoteRef/>
      </w:r>
      <w:r w:rsidRPr="00CE5197">
        <w:t xml:space="preserve"> </w:t>
      </w:r>
      <w:r w:rsidRPr="00CE5197">
        <w:fldChar w:fldCharType="begin"/>
      </w:r>
      <w:r w:rsidR="00795282" w:rsidRPr="00CE5197">
        <w:instrText xml:space="preserve"> ADDIN ZOTERO_ITEM CSL_CITATION {"citationID":"VlZUVDcU","properties":{"formattedCitation":"Hanson and Campbell.","plainCitation":"Hanson and Campbell.","dontUpdate":true,"noteIndex":26},"citationItems":[{"id":75,"uris":["http://zotero.org/users/local/VhgDsqkD/items/W8H9EY2F"],"itemData":{"id":75,"type":"article-journal","container-title":"Britannia","DOI":"10.2307/526541","ISSN":"0068-113X","note":"publisher: [Society for the Promotion of Roman Studies, Cambridge University Press]","page":"73-89","source":"JSTOR","title":"The Brigantes: From Clientage to Conquest","title-short":"The Brigantes","volume":"17","author":[{"family":"Hanson","given":"W. S"},{"family":"Campbell","given":"D. B."}],"issued":{"date-parts":[["1986"]]}}}],"schema":"https://github.com/citation-style-language/schema/raw/master/csl-citation.json"} </w:instrText>
      </w:r>
      <w:r w:rsidRPr="00CE5197">
        <w:fldChar w:fldCharType="separate"/>
      </w:r>
      <w:r w:rsidRPr="00CE5197">
        <w:rPr>
          <w:rFonts w:ascii="Calibri" w:hAnsi="Calibri" w:cs="Calibri"/>
        </w:rPr>
        <w:t>Hanson and Campbell</w:t>
      </w:r>
      <w:r w:rsidR="00570914" w:rsidRPr="00CE5197">
        <w:rPr>
          <w:rFonts w:ascii="Calibri" w:hAnsi="Calibri" w:cs="Calibri"/>
        </w:rPr>
        <w:t>,</w:t>
      </w:r>
      <w:r w:rsidR="00544890" w:rsidRPr="00CE5197">
        <w:rPr>
          <w:rFonts w:ascii="Calibri" w:hAnsi="Calibri" w:cs="Calibri"/>
        </w:rPr>
        <w:t xml:space="preserve"> 'The Brigantes: From Clientage to Conquest',</w:t>
      </w:r>
      <w:r w:rsidR="00570914" w:rsidRPr="00CE5197">
        <w:rPr>
          <w:rFonts w:ascii="Calibri" w:hAnsi="Calibri" w:cs="Calibri"/>
        </w:rPr>
        <w:t xml:space="preserve"> p</w:t>
      </w:r>
      <w:r w:rsidR="00544890" w:rsidRPr="00CE5197">
        <w:rPr>
          <w:rFonts w:ascii="Calibri" w:hAnsi="Calibri" w:cs="Calibri"/>
        </w:rPr>
        <w:t>.</w:t>
      </w:r>
      <w:r w:rsidR="00570914" w:rsidRPr="00CE5197">
        <w:rPr>
          <w:rFonts w:ascii="Calibri" w:hAnsi="Calibri" w:cs="Calibri"/>
        </w:rPr>
        <w:t xml:space="preserve"> 75</w:t>
      </w:r>
      <w:r w:rsidRPr="00CE5197">
        <w:rPr>
          <w:rFonts w:ascii="Calibri" w:hAnsi="Calibri" w:cs="Calibri"/>
        </w:rPr>
        <w:t>.</w:t>
      </w:r>
      <w:r w:rsidRPr="00CE5197">
        <w:fldChar w:fldCharType="end"/>
      </w:r>
    </w:p>
  </w:footnote>
  <w:footnote w:id="27">
    <w:p w14:paraId="6612095A" w14:textId="798059E3" w:rsidR="00570914" w:rsidRPr="00CE5197" w:rsidRDefault="00570914">
      <w:pPr>
        <w:pStyle w:val="FootnoteText"/>
      </w:pPr>
      <w:r w:rsidRPr="00CE5197">
        <w:rPr>
          <w:rStyle w:val="FootnoteReference"/>
        </w:rPr>
        <w:footnoteRef/>
      </w:r>
      <w:r w:rsidRPr="00CE5197">
        <w:t xml:space="preserve"> </w:t>
      </w:r>
      <w:r w:rsidRPr="00CE5197">
        <w:fldChar w:fldCharType="begin"/>
      </w:r>
      <w:r w:rsidR="00795282" w:rsidRPr="00CE5197">
        <w:instrText xml:space="preserve"> ADDIN ZOTERO_ITEM CSL_CITATION {"citationID":"kSJW95Yh","properties":{"formattedCitation":"Hanson and Campbell.","plainCitation":"Hanson and Campbell.","dontUpdate":true,"noteIndex":27},"citationItems":[{"id":75,"uris":["http://zotero.org/users/local/VhgDsqkD/items/W8H9EY2F"],"itemData":{"id":75,"type":"article-journal","container-title":"Britannia","DOI":"10.2307/526541","ISSN":"0068-113X","note":"publisher: [Society for the Promotion of Roman Studies, Cambridge University Press]","page":"73-89","source":"JSTOR","title":"The Brigantes: From Clientage to Conquest","title-short":"The Brigantes","volume":"17","author":[{"family":"Hanson","given":"W. S"},{"family":"Campbell","given":"D. B."}],"issued":{"date-parts":[["1986"]]}}}],"schema":"https://github.com/citation-style-language/schema/raw/master/csl-citation.json"} </w:instrText>
      </w:r>
      <w:r w:rsidRPr="00CE5197">
        <w:fldChar w:fldCharType="separate"/>
      </w:r>
      <w:r w:rsidR="00544890" w:rsidRPr="00CE5197">
        <w:rPr>
          <w:rFonts w:ascii="Calibri" w:hAnsi="Calibri" w:cs="Calibri"/>
        </w:rPr>
        <w:t xml:space="preserve">Ibid. </w:t>
      </w:r>
      <w:r w:rsidRPr="00CE5197">
        <w:rPr>
          <w:rFonts w:ascii="Calibri" w:hAnsi="Calibri" w:cs="Calibri"/>
        </w:rPr>
        <w:t>p</w:t>
      </w:r>
      <w:r w:rsidR="00544890" w:rsidRPr="00CE5197">
        <w:rPr>
          <w:rFonts w:ascii="Calibri" w:hAnsi="Calibri" w:cs="Calibri"/>
        </w:rPr>
        <w:t>.</w:t>
      </w:r>
      <w:r w:rsidRPr="00CE5197">
        <w:rPr>
          <w:rFonts w:ascii="Calibri" w:hAnsi="Calibri" w:cs="Calibri"/>
        </w:rPr>
        <w:t xml:space="preserve"> 78.</w:t>
      </w:r>
      <w:r w:rsidRPr="00CE5197">
        <w:fldChar w:fldCharType="end"/>
      </w:r>
    </w:p>
  </w:footnote>
  <w:footnote w:id="28">
    <w:p w14:paraId="70DED176" w14:textId="5B650625" w:rsidR="00570914" w:rsidRDefault="00570914">
      <w:pPr>
        <w:pStyle w:val="FootnoteText"/>
      </w:pPr>
      <w:r w:rsidRPr="00CE5197">
        <w:rPr>
          <w:rStyle w:val="FootnoteReference"/>
        </w:rPr>
        <w:footnoteRef/>
      </w:r>
      <w:r w:rsidRPr="00CE5197">
        <w:t xml:space="preserve"> </w:t>
      </w:r>
      <w:r w:rsidRPr="00CE5197">
        <w:fldChar w:fldCharType="begin"/>
      </w:r>
      <w:r w:rsidR="00795282" w:rsidRPr="00CE5197">
        <w:instrText xml:space="preserve"> ADDIN ZOTERO_ITEM CSL_CITATION {"citationID":"wn0Xg7U4","properties":{"formattedCitation":"Braund.","plainCitation":"Braund.","noteIndex":28},"citationItems":[{"id":82,"uris":["http://zotero.org/users/local/VhgDsqkD/items/Y6G2MPAH"],"itemData":{"id":82,"type":"article-journal","container-title":"Britannia","DOI":"10.2307/526580","ISSN":"0068-113X","note":"publisher: [Society for the Promotion of Roman Studies, Cambridge University Press]","page":"1-6","source":"JSTOR","title":"Observations on Cartimandua","volume":"15","author":[{"family":"Braund","given":"David"}],"issued":{"date-parts":[["1984"]]}}}],"schema":"https://github.com/citation-style-language/schema/raw/master/csl-citation.json"} </w:instrText>
      </w:r>
      <w:r w:rsidRPr="00CE5197">
        <w:fldChar w:fldCharType="separate"/>
      </w:r>
      <w:r w:rsidRPr="00CE5197">
        <w:rPr>
          <w:rFonts w:ascii="Calibri" w:hAnsi="Calibri" w:cs="Calibri"/>
        </w:rPr>
        <w:t>Braund</w:t>
      </w:r>
      <w:r w:rsidR="00544890" w:rsidRPr="00CE5197">
        <w:rPr>
          <w:rFonts w:ascii="Calibri" w:hAnsi="Calibri" w:cs="Calibri"/>
        </w:rPr>
        <w:t>, 'Observations on Cartimandua', pp. 1-5</w:t>
      </w:r>
      <w:r w:rsidRPr="00CE5197">
        <w:rPr>
          <w:rFonts w:ascii="Calibri" w:hAnsi="Calibri" w:cs="Calibri"/>
        </w:rPr>
        <w:t>.</w:t>
      </w:r>
      <w:r w:rsidRPr="00CE5197">
        <w:fldChar w:fldCharType="end"/>
      </w:r>
    </w:p>
  </w:footnote>
  <w:footnote w:id="29">
    <w:p w14:paraId="1EF81A08" w14:textId="4BF0E3FA" w:rsidR="006D5339" w:rsidRDefault="006D5339">
      <w:pPr>
        <w:pStyle w:val="FootnoteText"/>
      </w:pPr>
      <w:r>
        <w:rPr>
          <w:rStyle w:val="FootnoteReference"/>
        </w:rPr>
        <w:footnoteRef/>
      </w:r>
      <w:r>
        <w:t xml:space="preserve"> Tacitus, </w:t>
      </w:r>
      <w:r w:rsidRPr="000B7285">
        <w:rPr>
          <w:i/>
          <w:iCs/>
        </w:rPr>
        <w:t>Histories: Book 3</w:t>
      </w:r>
      <w:r>
        <w:t>, trans. by Moore</w:t>
      </w:r>
      <w:r w:rsidR="000B7285">
        <w:t xml:space="preserve">, </w:t>
      </w:r>
      <w:r>
        <w:t>p. 403</w:t>
      </w:r>
      <w:r w:rsidR="00544890">
        <w:t xml:space="preserve">. </w:t>
      </w:r>
    </w:p>
  </w:footnote>
  <w:footnote w:id="30">
    <w:p w14:paraId="2B003221" w14:textId="4102F6D9" w:rsidR="004D1F35" w:rsidRDefault="004D1F35">
      <w:pPr>
        <w:pStyle w:val="FootnoteText"/>
      </w:pPr>
      <w:r>
        <w:rPr>
          <w:rStyle w:val="FootnoteReference"/>
        </w:rPr>
        <w:footnoteRef/>
      </w:r>
      <w:r>
        <w:t xml:space="preserve"> </w:t>
      </w:r>
      <w:r>
        <w:fldChar w:fldCharType="begin"/>
      </w:r>
      <w:r w:rsidR="00795282">
        <w:instrText xml:space="preserve"> ADDIN ZOTERO_ITEM CSL_CITATION {"citationID":"ZsBHPUJm","properties":{"formattedCitation":"Anthony J. Marshall, \\uc0\\u8216{}Ladies in Waiting: The Role of Women in Tacitus\\uc0\\u8217{} Histories\\uc0\\u8217{}, {\\i{}Ancient Society}, 15/17 (1984), 167\\uc0\\u8211{}84.","plainCitation":"Anthony J. Marshall, ‘Ladies in Waiting: The Role of Women in Tacitus’ Histories’, Ancient Society, 15/17 (1984), 167–84.","noteIndex":30},"citationItems":[{"id":102,"uris":["http://zotero.org/users/local/VhgDsqkD/items/T4RVEJV3"],"itemData":{"id":102,"type":"article-journal","container-title":"Ancient Society","ISSN":"0066-1619","note":"publisher: Peeters Publishers","page":"167-184","source":"JSTOR","title":"Ladies in Waiting: The Role of Women in Tacitus' Histories","title-short":"Ladies in Waiting","volume":"15/17","author":[{"family":"Marshall","given":"Anthony J."}],"issued":{"date-parts":[["1984"]]}}}],"schema":"https://github.com/citation-style-language/schema/raw/master/csl-citation.json"} </w:instrText>
      </w:r>
      <w:r>
        <w:fldChar w:fldCharType="separate"/>
      </w:r>
      <w:r w:rsidRPr="004D1F35">
        <w:rPr>
          <w:rFonts w:ascii="Calibri" w:hAnsi="Calibri" w:cs="Calibri"/>
          <w:kern w:val="0"/>
          <w:szCs w:val="24"/>
        </w:rPr>
        <w:t xml:space="preserve">Anthony J. Marshall, ‘Ladies in Waiting: The Role of Women in Tacitus’ Histories’, </w:t>
      </w:r>
      <w:r w:rsidRPr="004D1F35">
        <w:rPr>
          <w:rFonts w:ascii="Calibri" w:hAnsi="Calibri" w:cs="Calibri"/>
          <w:i/>
          <w:iCs/>
          <w:kern w:val="0"/>
          <w:szCs w:val="24"/>
        </w:rPr>
        <w:t>Ancient Society</w:t>
      </w:r>
      <w:r w:rsidRPr="004D1F35">
        <w:rPr>
          <w:rFonts w:ascii="Calibri" w:hAnsi="Calibri" w:cs="Calibri"/>
          <w:kern w:val="0"/>
          <w:szCs w:val="24"/>
        </w:rPr>
        <w:t>, 15</w:t>
      </w:r>
      <w:r w:rsidR="00CE5197">
        <w:rPr>
          <w:rFonts w:ascii="Calibri" w:hAnsi="Calibri" w:cs="Calibri"/>
          <w:kern w:val="0"/>
          <w:szCs w:val="24"/>
        </w:rPr>
        <w:t>.</w:t>
      </w:r>
      <w:r w:rsidRPr="004D1F35">
        <w:rPr>
          <w:rFonts w:ascii="Calibri" w:hAnsi="Calibri" w:cs="Calibri"/>
          <w:kern w:val="0"/>
          <w:szCs w:val="24"/>
        </w:rPr>
        <w:t>17 (1984), 167–84</w:t>
      </w:r>
      <w:r w:rsidR="00CE5197">
        <w:rPr>
          <w:rFonts w:ascii="Calibri" w:hAnsi="Calibri" w:cs="Calibri"/>
          <w:kern w:val="0"/>
          <w:szCs w:val="24"/>
        </w:rPr>
        <w:t xml:space="preserve"> (pp. 171-173)</w:t>
      </w:r>
      <w:r w:rsidRPr="004D1F35">
        <w:rPr>
          <w:rFonts w:ascii="Calibri" w:hAnsi="Calibri" w:cs="Calibri"/>
          <w:kern w:val="0"/>
          <w:szCs w:val="24"/>
        </w:rPr>
        <w:t>.</w:t>
      </w:r>
      <w:r>
        <w:fldChar w:fldCharType="end"/>
      </w:r>
    </w:p>
  </w:footnote>
  <w:footnote w:id="31">
    <w:p w14:paraId="4EE4038C" w14:textId="27EB19C9" w:rsidR="00710FB3" w:rsidRDefault="00710FB3">
      <w:pPr>
        <w:pStyle w:val="FootnoteText"/>
      </w:pPr>
      <w:r w:rsidRPr="00CE5197">
        <w:rPr>
          <w:rStyle w:val="FootnoteReference"/>
        </w:rPr>
        <w:footnoteRef/>
      </w:r>
      <w:r w:rsidRPr="00CE5197">
        <w:t xml:space="preserve"> </w:t>
      </w:r>
      <w:r w:rsidRPr="00CE5197">
        <w:fldChar w:fldCharType="begin"/>
      </w:r>
      <w:r w:rsidR="00795282" w:rsidRPr="00CE5197">
        <w:instrText xml:space="preserve"> ADDIN ZOTERO_ITEM CSL_CITATION {"citationID":"mH4xNYzQ","properties":{"formattedCitation":"Marshall.","plainCitation":"Marshall.","noteIndex":31},"citationItems":[{"id":102,"uris":["http://zotero.org/users/local/VhgDsqkD/items/T4RVEJV3"],"itemData":{"id":102,"type":"article-journal","container-title":"Ancient Society","ISSN":"0066-1619","note":"publisher: Peeters Publishers","page":"167-184","source":"JSTOR","title":"Ladies in Waiting: The Role of Women in Tacitus' Histories","title-short":"Ladies in Waiting","volume":"15/17","author":[{"family":"Marshall","given":"Anthony J."}],"issued":{"date-parts":[["1984"]]}}}],"schema":"https://github.com/citation-style-language/schema/raw/master/csl-citation.json"} </w:instrText>
      </w:r>
      <w:r w:rsidRPr="00CE5197">
        <w:fldChar w:fldCharType="separate"/>
      </w:r>
      <w:r w:rsidR="00CE5197" w:rsidRPr="00CE5197">
        <w:rPr>
          <w:rFonts w:ascii="Calibri" w:hAnsi="Calibri" w:cs="Calibri"/>
        </w:rPr>
        <w:t>Ibid. pp. 171-173</w:t>
      </w:r>
      <w:r w:rsidRPr="00CE5197">
        <w:rPr>
          <w:rFonts w:ascii="Calibri" w:hAnsi="Calibri" w:cs="Calibri"/>
        </w:rPr>
        <w:t>.</w:t>
      </w:r>
      <w:r w:rsidRPr="00CE5197">
        <w:fldChar w:fldCharType="end"/>
      </w:r>
      <w:r w:rsidR="00CE5197">
        <w:t xml:space="preserve"> </w:t>
      </w:r>
    </w:p>
  </w:footnote>
  <w:footnote w:id="32">
    <w:p w14:paraId="5D206682" w14:textId="49F026B0" w:rsidR="00076853" w:rsidRDefault="00076853">
      <w:pPr>
        <w:pStyle w:val="FootnoteText"/>
      </w:pPr>
      <w:r w:rsidRPr="00CE5197">
        <w:rPr>
          <w:rStyle w:val="FootnoteReference"/>
        </w:rPr>
        <w:footnoteRef/>
      </w:r>
      <w:r w:rsidRPr="00CE5197">
        <w:t xml:space="preserve"> </w:t>
      </w:r>
      <w:r w:rsidRPr="00CE5197">
        <w:fldChar w:fldCharType="begin"/>
      </w:r>
      <w:r w:rsidR="00262690" w:rsidRPr="00CE5197">
        <w:instrText xml:space="preserve"> ADDIN ZOTERO_ITEM CSL_CITATION {"citationID":"zzhWwCog","properties":{"formattedCitation":"Rachel Pope and Ian Ralston, \\uc0\\u8216{}Approaching Sex and Status in Iron Age Britain with Reference to the Nearer Continent\\uc0\\u8217{}, in {\\i{}Atlantic Europe in the First Millennium BC: Crossing the Divide}, ed. by Tom Moore and Xos\\uc0\\u234{}-Lois Armada (Oxford University Press, 2012), p. 0 &lt;https://doi.org/10.1093/acprof:osobl/9780199567959.003.0017&gt;.","plainCitation":"Rachel Pope and Ian Ralston, ‘Approaching Sex and Status in Iron Age Britain with Reference to the Nearer Continent’, in Atlantic Europe in the First Millennium BC: Crossing the Divide, ed. by Tom Moore and Xosê-Lois Armada (Oxford University Press, 2012), p. 0 &lt;https://doi.org/10.1093/acprof:osobl/9780199567959.003.0017&gt;.","dontUpdate":true,"noteIndex":11},"citationItems":[{"id":79,"uris":["http://zotero.org/users/local/VhgDsqkD/items/LBSV9AZA"],"itemData":{"id":79,"type":"chapter","abstract":"This chapter attempts to provide an archaeological understanding of Iron Age societies: one that takes neither power-structure nor sex-class for granted; and one that prioritizes the archaeological data. It does so by selectively addressing the ‘woman question’ in West European Iron Age studies, with a review of recent work in non-Mediterranean France providing context for the British material. It examines what the burial record of Hallstatt D to La Tène C France (c.600–150 bc) and early to middle Iron Age Britain (out of necessity focused on the latter: c.350–100 bc) says about sex and status in Iron Age societies.","container-title":"Atlantic Europe in the First Millennium BC: Crossing the Divide","ISBN":"978-0-19-956795-9","note":"DOI: 10.1093/acprof:osobl/9780199567959.003.0017","page":"0","publisher":"Oxford University Press","source":"Silverchair","title":"Approaching Sex and Status in Iron Age Britain with Reference to the Nearer Continent","URL":"https://doi.org/10.1093/acprof:osobl/9780199567959.003.0017","author":[{"family":"Pope","given":"Rachel"},{"family":"Ralston","given":"Ian"}],"editor":[{"family":"Moore","given":"Tom"},{"family":"Armada","given":"Xosê-Lois"}],"accessed":{"date-parts":[["2023",12,6]]},"issued":{"date-parts":[["2012",1,5]]}}}],"schema":"https://github.com/citation-style-language/schema/raw/master/csl-citation.json"} </w:instrText>
      </w:r>
      <w:r w:rsidRPr="00CE5197">
        <w:fldChar w:fldCharType="separate"/>
      </w:r>
      <w:r w:rsidRPr="00CE5197">
        <w:rPr>
          <w:rFonts w:ascii="Calibri" w:hAnsi="Calibri" w:cs="Calibri"/>
          <w:kern w:val="0"/>
          <w:szCs w:val="24"/>
        </w:rPr>
        <w:t xml:space="preserve">Rachel Pope and Ian Ralston, ‘Approaching Sex and Status in Iron Age Britain with Reference to the Nearer Continent’, </w:t>
      </w:r>
      <w:r w:rsidR="00CE5197" w:rsidRPr="00CE5197">
        <w:rPr>
          <w:rFonts w:ascii="Calibri" w:hAnsi="Calibri" w:cs="Calibri"/>
          <w:kern w:val="0"/>
          <w:szCs w:val="24"/>
        </w:rPr>
        <w:t xml:space="preserve">in </w:t>
      </w:r>
      <w:r w:rsidRPr="00CE5197">
        <w:rPr>
          <w:rFonts w:ascii="Calibri" w:hAnsi="Calibri" w:cs="Calibri"/>
          <w:i/>
          <w:iCs/>
          <w:kern w:val="0"/>
          <w:szCs w:val="24"/>
        </w:rPr>
        <w:t>Atlantic Europe in the First Millennium BC: Crossing the Divide</w:t>
      </w:r>
      <w:r w:rsidRPr="00CE5197">
        <w:rPr>
          <w:rFonts w:ascii="Calibri" w:hAnsi="Calibri" w:cs="Calibri"/>
          <w:kern w:val="0"/>
          <w:szCs w:val="24"/>
        </w:rPr>
        <w:t>, ed. by Tom Moore and Xosê-Lois Armada (Oxford University Press, 2012),</w:t>
      </w:r>
      <w:r w:rsidR="00D73CF4" w:rsidRPr="00CE5197">
        <w:rPr>
          <w:rFonts w:ascii="Calibri" w:hAnsi="Calibri" w:cs="Calibri"/>
          <w:kern w:val="0"/>
          <w:szCs w:val="24"/>
        </w:rPr>
        <w:t xml:space="preserve"> </w:t>
      </w:r>
      <w:r w:rsidRPr="00CE5197">
        <w:rPr>
          <w:rFonts w:ascii="Calibri" w:hAnsi="Calibri" w:cs="Calibri"/>
          <w:kern w:val="0"/>
          <w:szCs w:val="24"/>
        </w:rPr>
        <w:t>&lt;https://doi.org/10.1093/acprof:osobl/9780199567959.003.0017&gt;.</w:t>
      </w:r>
      <w:r w:rsidRPr="00CE5197">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43915"/>
    <w:multiLevelType w:val="hybridMultilevel"/>
    <w:tmpl w:val="D4C66916"/>
    <w:lvl w:ilvl="0" w:tplc="D382A9AC">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3087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BCC"/>
    <w:rsid w:val="00013423"/>
    <w:rsid w:val="00017F0D"/>
    <w:rsid w:val="00040FAD"/>
    <w:rsid w:val="000511F3"/>
    <w:rsid w:val="00051ACB"/>
    <w:rsid w:val="00051F03"/>
    <w:rsid w:val="00064EB0"/>
    <w:rsid w:val="00076853"/>
    <w:rsid w:val="000B52B2"/>
    <w:rsid w:val="000B6BCC"/>
    <w:rsid w:val="000B7285"/>
    <w:rsid w:val="000C4803"/>
    <w:rsid w:val="0010297D"/>
    <w:rsid w:val="001045CB"/>
    <w:rsid w:val="001072E1"/>
    <w:rsid w:val="00141B0B"/>
    <w:rsid w:val="0014332D"/>
    <w:rsid w:val="001477F8"/>
    <w:rsid w:val="00172F17"/>
    <w:rsid w:val="0018310F"/>
    <w:rsid w:val="001A3613"/>
    <w:rsid w:val="001A46B2"/>
    <w:rsid w:val="001F2EC2"/>
    <w:rsid w:val="002173D6"/>
    <w:rsid w:val="00217992"/>
    <w:rsid w:val="00260D06"/>
    <w:rsid w:val="00262690"/>
    <w:rsid w:val="002704CE"/>
    <w:rsid w:val="0029514B"/>
    <w:rsid w:val="002A7113"/>
    <w:rsid w:val="002C125C"/>
    <w:rsid w:val="002F33CE"/>
    <w:rsid w:val="002F627A"/>
    <w:rsid w:val="003A7153"/>
    <w:rsid w:val="003B56D5"/>
    <w:rsid w:val="003C42B0"/>
    <w:rsid w:val="003F1EF0"/>
    <w:rsid w:val="00433DF1"/>
    <w:rsid w:val="004348FF"/>
    <w:rsid w:val="004405FD"/>
    <w:rsid w:val="004445DF"/>
    <w:rsid w:val="0045353D"/>
    <w:rsid w:val="004563BA"/>
    <w:rsid w:val="004B50A2"/>
    <w:rsid w:val="004D180A"/>
    <w:rsid w:val="004D1F35"/>
    <w:rsid w:val="00544890"/>
    <w:rsid w:val="00570914"/>
    <w:rsid w:val="00577554"/>
    <w:rsid w:val="005D1AA5"/>
    <w:rsid w:val="005D6CD3"/>
    <w:rsid w:val="005F2E24"/>
    <w:rsid w:val="00601318"/>
    <w:rsid w:val="00612026"/>
    <w:rsid w:val="00640D82"/>
    <w:rsid w:val="00661B44"/>
    <w:rsid w:val="00671A22"/>
    <w:rsid w:val="00676A4E"/>
    <w:rsid w:val="006908FD"/>
    <w:rsid w:val="006B376B"/>
    <w:rsid w:val="006D5339"/>
    <w:rsid w:val="00710FB3"/>
    <w:rsid w:val="00726C3A"/>
    <w:rsid w:val="007822C4"/>
    <w:rsid w:val="00787232"/>
    <w:rsid w:val="00795282"/>
    <w:rsid w:val="007A2902"/>
    <w:rsid w:val="007E624E"/>
    <w:rsid w:val="007F0CAE"/>
    <w:rsid w:val="007F58EE"/>
    <w:rsid w:val="00810DBF"/>
    <w:rsid w:val="00812189"/>
    <w:rsid w:val="00814F89"/>
    <w:rsid w:val="008236B0"/>
    <w:rsid w:val="008357C0"/>
    <w:rsid w:val="0084701F"/>
    <w:rsid w:val="0089709F"/>
    <w:rsid w:val="008A1765"/>
    <w:rsid w:val="008B26AD"/>
    <w:rsid w:val="008B4A73"/>
    <w:rsid w:val="00941834"/>
    <w:rsid w:val="00961765"/>
    <w:rsid w:val="00964537"/>
    <w:rsid w:val="009A30C7"/>
    <w:rsid w:val="009B1D84"/>
    <w:rsid w:val="009C0A0A"/>
    <w:rsid w:val="009C4813"/>
    <w:rsid w:val="009E2FCA"/>
    <w:rsid w:val="009E7CC5"/>
    <w:rsid w:val="00A16294"/>
    <w:rsid w:val="00A4705C"/>
    <w:rsid w:val="00B01A54"/>
    <w:rsid w:val="00B02440"/>
    <w:rsid w:val="00B43A16"/>
    <w:rsid w:val="00B80B58"/>
    <w:rsid w:val="00B964B1"/>
    <w:rsid w:val="00BE5E62"/>
    <w:rsid w:val="00BF4C05"/>
    <w:rsid w:val="00C27091"/>
    <w:rsid w:val="00C30E56"/>
    <w:rsid w:val="00C50B09"/>
    <w:rsid w:val="00C51D7A"/>
    <w:rsid w:val="00C74F4D"/>
    <w:rsid w:val="00CA0E5C"/>
    <w:rsid w:val="00CE5197"/>
    <w:rsid w:val="00CF232F"/>
    <w:rsid w:val="00D32E43"/>
    <w:rsid w:val="00D40664"/>
    <w:rsid w:val="00D467E8"/>
    <w:rsid w:val="00D73CF4"/>
    <w:rsid w:val="00D838A0"/>
    <w:rsid w:val="00DC2E0B"/>
    <w:rsid w:val="00E43F04"/>
    <w:rsid w:val="00E643A2"/>
    <w:rsid w:val="00E85D2E"/>
    <w:rsid w:val="00F00B9D"/>
    <w:rsid w:val="00F07104"/>
    <w:rsid w:val="00F07931"/>
    <w:rsid w:val="00F45138"/>
    <w:rsid w:val="00F828E1"/>
    <w:rsid w:val="00FC66FF"/>
    <w:rsid w:val="00FD4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FDD965"/>
  <w15:chartTrackingRefBased/>
  <w15:docId w15:val="{0B7E374D-45E4-456D-9BE6-8778FDA3F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40664"/>
    <w:rPr>
      <w:sz w:val="16"/>
      <w:szCs w:val="16"/>
    </w:rPr>
  </w:style>
  <w:style w:type="paragraph" w:styleId="CommentText">
    <w:name w:val="annotation text"/>
    <w:basedOn w:val="Normal"/>
    <w:link w:val="CommentTextChar"/>
    <w:uiPriority w:val="99"/>
    <w:unhideWhenUsed/>
    <w:rsid w:val="00D40664"/>
    <w:pPr>
      <w:spacing w:line="240" w:lineRule="auto"/>
    </w:pPr>
    <w:rPr>
      <w:sz w:val="20"/>
      <w:szCs w:val="20"/>
    </w:rPr>
  </w:style>
  <w:style w:type="character" w:customStyle="1" w:styleId="CommentTextChar">
    <w:name w:val="Comment Text Char"/>
    <w:basedOn w:val="DefaultParagraphFont"/>
    <w:link w:val="CommentText"/>
    <w:uiPriority w:val="99"/>
    <w:rsid w:val="00D40664"/>
    <w:rPr>
      <w:sz w:val="20"/>
      <w:szCs w:val="20"/>
    </w:rPr>
  </w:style>
  <w:style w:type="paragraph" w:styleId="CommentSubject">
    <w:name w:val="annotation subject"/>
    <w:basedOn w:val="CommentText"/>
    <w:next w:val="CommentText"/>
    <w:link w:val="CommentSubjectChar"/>
    <w:uiPriority w:val="99"/>
    <w:semiHidden/>
    <w:unhideWhenUsed/>
    <w:rsid w:val="00D40664"/>
    <w:rPr>
      <w:b/>
      <w:bCs/>
    </w:rPr>
  </w:style>
  <w:style w:type="character" w:customStyle="1" w:styleId="CommentSubjectChar">
    <w:name w:val="Comment Subject Char"/>
    <w:basedOn w:val="CommentTextChar"/>
    <w:link w:val="CommentSubject"/>
    <w:uiPriority w:val="99"/>
    <w:semiHidden/>
    <w:rsid w:val="00D40664"/>
    <w:rPr>
      <w:b/>
      <w:bCs/>
      <w:sz w:val="20"/>
      <w:szCs w:val="20"/>
    </w:rPr>
  </w:style>
  <w:style w:type="paragraph" w:styleId="Caption">
    <w:name w:val="caption"/>
    <w:basedOn w:val="Normal"/>
    <w:next w:val="Normal"/>
    <w:uiPriority w:val="35"/>
    <w:unhideWhenUsed/>
    <w:qFormat/>
    <w:rsid w:val="004D180A"/>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1433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4332D"/>
    <w:rPr>
      <w:sz w:val="20"/>
      <w:szCs w:val="20"/>
    </w:rPr>
  </w:style>
  <w:style w:type="character" w:styleId="FootnoteReference">
    <w:name w:val="footnote reference"/>
    <w:basedOn w:val="DefaultParagraphFont"/>
    <w:uiPriority w:val="99"/>
    <w:semiHidden/>
    <w:unhideWhenUsed/>
    <w:rsid w:val="0014332D"/>
    <w:rPr>
      <w:vertAlign w:val="superscript"/>
    </w:rPr>
  </w:style>
  <w:style w:type="character" w:customStyle="1" w:styleId="bibliographicauthorname">
    <w:name w:val="bibliographicauthorname"/>
    <w:basedOn w:val="DefaultParagraphFont"/>
    <w:rsid w:val="00710FB3"/>
  </w:style>
  <w:style w:type="character" w:customStyle="1" w:styleId="translators">
    <w:name w:val="translators"/>
    <w:basedOn w:val="DefaultParagraphFont"/>
    <w:rsid w:val="00710FB3"/>
  </w:style>
  <w:style w:type="character" w:customStyle="1" w:styleId="contributorname">
    <w:name w:val="contributorname"/>
    <w:basedOn w:val="DefaultParagraphFont"/>
    <w:rsid w:val="00710FB3"/>
  </w:style>
  <w:style w:type="paragraph" w:styleId="z-TopofForm">
    <w:name w:val="HTML Top of Form"/>
    <w:basedOn w:val="Normal"/>
    <w:next w:val="Normal"/>
    <w:link w:val="z-TopofFormChar"/>
    <w:hidden/>
    <w:uiPriority w:val="99"/>
    <w:semiHidden/>
    <w:unhideWhenUsed/>
    <w:rsid w:val="00710FB3"/>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10FB3"/>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710FB3"/>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710FB3"/>
    <w:rPr>
      <w:rFonts w:ascii="Arial" w:eastAsia="Times New Roman" w:hAnsi="Arial" w:cs="Arial"/>
      <w:vanish/>
      <w:kern w:val="0"/>
      <w:sz w:val="16"/>
      <w:szCs w:val="16"/>
      <w:lang w:eastAsia="en-GB"/>
      <w14:ligatures w14:val="none"/>
    </w:rPr>
  </w:style>
  <w:style w:type="paragraph" w:styleId="ListParagraph">
    <w:name w:val="List Paragraph"/>
    <w:basedOn w:val="Normal"/>
    <w:uiPriority w:val="34"/>
    <w:qFormat/>
    <w:rsid w:val="008236B0"/>
    <w:pPr>
      <w:ind w:left="720"/>
      <w:contextualSpacing/>
    </w:pPr>
  </w:style>
  <w:style w:type="paragraph" w:styleId="EndnoteText">
    <w:name w:val="endnote text"/>
    <w:basedOn w:val="Normal"/>
    <w:link w:val="EndnoteTextChar"/>
    <w:uiPriority w:val="99"/>
    <w:semiHidden/>
    <w:unhideWhenUsed/>
    <w:rsid w:val="00040FA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40FAD"/>
    <w:rPr>
      <w:sz w:val="20"/>
      <w:szCs w:val="20"/>
    </w:rPr>
  </w:style>
  <w:style w:type="character" w:styleId="EndnoteReference">
    <w:name w:val="endnote reference"/>
    <w:basedOn w:val="DefaultParagraphFont"/>
    <w:uiPriority w:val="99"/>
    <w:semiHidden/>
    <w:unhideWhenUsed/>
    <w:rsid w:val="00040FAD"/>
    <w:rPr>
      <w:vertAlign w:val="superscript"/>
    </w:rPr>
  </w:style>
  <w:style w:type="paragraph" w:styleId="Bibliography">
    <w:name w:val="Bibliography"/>
    <w:basedOn w:val="Normal"/>
    <w:next w:val="Normal"/>
    <w:uiPriority w:val="37"/>
    <w:unhideWhenUsed/>
    <w:rsid w:val="004B50A2"/>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977685">
      <w:bodyDiv w:val="1"/>
      <w:marLeft w:val="0"/>
      <w:marRight w:val="0"/>
      <w:marTop w:val="0"/>
      <w:marBottom w:val="0"/>
      <w:divBdr>
        <w:top w:val="none" w:sz="0" w:space="0" w:color="auto"/>
        <w:left w:val="none" w:sz="0" w:space="0" w:color="auto"/>
        <w:bottom w:val="none" w:sz="0" w:space="0" w:color="auto"/>
        <w:right w:val="none" w:sz="0" w:space="0" w:color="auto"/>
      </w:divBdr>
      <w:divsChild>
        <w:div w:id="1543785742">
          <w:marLeft w:val="3600"/>
          <w:marRight w:val="0"/>
          <w:marTop w:val="0"/>
          <w:marBottom w:val="0"/>
          <w:divBdr>
            <w:top w:val="none" w:sz="0" w:space="0" w:color="auto"/>
            <w:left w:val="none" w:sz="0" w:space="0" w:color="auto"/>
            <w:bottom w:val="none" w:sz="0" w:space="0" w:color="auto"/>
            <w:right w:val="none" w:sz="0" w:space="0" w:color="auto"/>
          </w:divBdr>
          <w:divsChild>
            <w:div w:id="759374536">
              <w:marLeft w:val="0"/>
              <w:marRight w:val="0"/>
              <w:marTop w:val="0"/>
              <w:marBottom w:val="240"/>
              <w:divBdr>
                <w:top w:val="single" w:sz="12" w:space="0" w:color="DFDFDF"/>
                <w:left w:val="single" w:sz="2" w:space="0" w:color="DFDFDF"/>
                <w:bottom w:val="single" w:sz="12" w:space="0" w:color="DFDFDF"/>
                <w:right w:val="single" w:sz="2" w:space="0" w:color="DFDFDF"/>
              </w:divBdr>
              <w:divsChild>
                <w:div w:id="1880163579">
                  <w:marLeft w:val="0"/>
                  <w:marRight w:val="0"/>
                  <w:marTop w:val="0"/>
                  <w:marBottom w:val="0"/>
                  <w:divBdr>
                    <w:top w:val="single" w:sz="6" w:space="22" w:color="EAEAEA"/>
                    <w:left w:val="none" w:sz="0" w:space="0" w:color="auto"/>
                    <w:bottom w:val="none" w:sz="0" w:space="0" w:color="auto"/>
                    <w:right w:val="none" w:sz="0" w:space="0" w:color="auto"/>
                  </w:divBdr>
                </w:div>
              </w:divsChild>
            </w:div>
          </w:divsChild>
        </w:div>
        <w:div w:id="1986856064">
          <w:marLeft w:val="-15300"/>
          <w:marRight w:val="0"/>
          <w:marTop w:val="0"/>
          <w:marBottom w:val="0"/>
          <w:divBdr>
            <w:top w:val="none" w:sz="0" w:space="0" w:color="auto"/>
            <w:left w:val="none" w:sz="0" w:space="0" w:color="auto"/>
            <w:bottom w:val="none" w:sz="0" w:space="0" w:color="auto"/>
            <w:right w:val="none" w:sz="0" w:space="0" w:color="auto"/>
          </w:divBdr>
          <w:divsChild>
            <w:div w:id="687292824">
              <w:marLeft w:val="0"/>
              <w:marRight w:val="0"/>
              <w:marTop w:val="0"/>
              <w:marBottom w:val="195"/>
              <w:divBdr>
                <w:top w:val="single" w:sz="2" w:space="0" w:color="E3E9EB"/>
                <w:left w:val="single" w:sz="2" w:space="0" w:color="E3E9EB"/>
                <w:bottom w:val="single" w:sz="2" w:space="0" w:color="E3E9EB"/>
                <w:right w:val="single" w:sz="2" w:space="0" w:color="E3E9EB"/>
              </w:divBdr>
            </w:div>
          </w:divsChild>
        </w:div>
      </w:divsChild>
    </w:div>
    <w:div w:id="981538758">
      <w:bodyDiv w:val="1"/>
      <w:marLeft w:val="0"/>
      <w:marRight w:val="0"/>
      <w:marTop w:val="0"/>
      <w:marBottom w:val="0"/>
      <w:divBdr>
        <w:top w:val="none" w:sz="0" w:space="0" w:color="auto"/>
        <w:left w:val="none" w:sz="0" w:space="0" w:color="auto"/>
        <w:bottom w:val="none" w:sz="0" w:space="0" w:color="auto"/>
        <w:right w:val="none" w:sz="0" w:space="0" w:color="auto"/>
      </w:divBdr>
      <w:divsChild>
        <w:div w:id="1365861762">
          <w:marLeft w:val="3600"/>
          <w:marRight w:val="0"/>
          <w:marTop w:val="0"/>
          <w:marBottom w:val="0"/>
          <w:divBdr>
            <w:top w:val="none" w:sz="0" w:space="0" w:color="auto"/>
            <w:left w:val="none" w:sz="0" w:space="0" w:color="auto"/>
            <w:bottom w:val="none" w:sz="0" w:space="0" w:color="auto"/>
            <w:right w:val="none" w:sz="0" w:space="0" w:color="auto"/>
          </w:divBdr>
          <w:divsChild>
            <w:div w:id="622467236">
              <w:marLeft w:val="0"/>
              <w:marRight w:val="0"/>
              <w:marTop w:val="0"/>
              <w:marBottom w:val="240"/>
              <w:divBdr>
                <w:top w:val="single" w:sz="12" w:space="0" w:color="DFDFDF"/>
                <w:left w:val="single" w:sz="2" w:space="0" w:color="DFDFDF"/>
                <w:bottom w:val="single" w:sz="12" w:space="0" w:color="DFDFDF"/>
                <w:right w:val="single" w:sz="2" w:space="0" w:color="DFDFDF"/>
              </w:divBdr>
              <w:divsChild>
                <w:div w:id="116264034">
                  <w:marLeft w:val="0"/>
                  <w:marRight w:val="0"/>
                  <w:marTop w:val="0"/>
                  <w:marBottom w:val="0"/>
                  <w:divBdr>
                    <w:top w:val="single" w:sz="6" w:space="22" w:color="EAEAEA"/>
                    <w:left w:val="none" w:sz="0" w:space="0" w:color="auto"/>
                    <w:bottom w:val="none" w:sz="0" w:space="0" w:color="auto"/>
                    <w:right w:val="none" w:sz="0" w:space="0" w:color="auto"/>
                  </w:divBdr>
                </w:div>
              </w:divsChild>
            </w:div>
          </w:divsChild>
        </w:div>
        <w:div w:id="1168861703">
          <w:marLeft w:val="-15300"/>
          <w:marRight w:val="0"/>
          <w:marTop w:val="0"/>
          <w:marBottom w:val="0"/>
          <w:divBdr>
            <w:top w:val="none" w:sz="0" w:space="0" w:color="auto"/>
            <w:left w:val="none" w:sz="0" w:space="0" w:color="auto"/>
            <w:bottom w:val="none" w:sz="0" w:space="0" w:color="auto"/>
            <w:right w:val="none" w:sz="0" w:space="0" w:color="auto"/>
          </w:divBdr>
          <w:divsChild>
            <w:div w:id="1096514400">
              <w:marLeft w:val="0"/>
              <w:marRight w:val="0"/>
              <w:marTop w:val="0"/>
              <w:marBottom w:val="195"/>
              <w:divBdr>
                <w:top w:val="single" w:sz="2" w:space="0" w:color="E3E9EB"/>
                <w:left w:val="single" w:sz="2" w:space="0" w:color="E3E9EB"/>
                <w:bottom w:val="single" w:sz="2" w:space="0" w:color="E3E9EB"/>
                <w:right w:val="single" w:sz="2" w:space="0" w:color="E3E9EB"/>
              </w:divBdr>
            </w:div>
          </w:divsChild>
        </w:div>
      </w:divsChild>
    </w:div>
    <w:div w:id="1536961743">
      <w:bodyDiv w:val="1"/>
      <w:marLeft w:val="0"/>
      <w:marRight w:val="0"/>
      <w:marTop w:val="0"/>
      <w:marBottom w:val="0"/>
      <w:divBdr>
        <w:top w:val="none" w:sz="0" w:space="0" w:color="auto"/>
        <w:left w:val="none" w:sz="0" w:space="0" w:color="auto"/>
        <w:bottom w:val="none" w:sz="0" w:space="0" w:color="auto"/>
        <w:right w:val="none" w:sz="0" w:space="0" w:color="auto"/>
      </w:divBdr>
      <w:divsChild>
        <w:div w:id="2105950207">
          <w:marLeft w:val="3600"/>
          <w:marRight w:val="0"/>
          <w:marTop w:val="0"/>
          <w:marBottom w:val="0"/>
          <w:divBdr>
            <w:top w:val="none" w:sz="0" w:space="0" w:color="auto"/>
            <w:left w:val="none" w:sz="0" w:space="0" w:color="auto"/>
            <w:bottom w:val="none" w:sz="0" w:space="0" w:color="auto"/>
            <w:right w:val="none" w:sz="0" w:space="0" w:color="auto"/>
          </w:divBdr>
          <w:divsChild>
            <w:div w:id="1006902551">
              <w:marLeft w:val="0"/>
              <w:marRight w:val="0"/>
              <w:marTop w:val="0"/>
              <w:marBottom w:val="240"/>
              <w:divBdr>
                <w:top w:val="single" w:sz="12" w:space="0" w:color="DFDFDF"/>
                <w:left w:val="single" w:sz="2" w:space="0" w:color="DFDFDF"/>
                <w:bottom w:val="single" w:sz="12" w:space="0" w:color="DFDFDF"/>
                <w:right w:val="single" w:sz="2" w:space="0" w:color="DFDFDF"/>
              </w:divBdr>
              <w:divsChild>
                <w:div w:id="258484785">
                  <w:marLeft w:val="0"/>
                  <w:marRight w:val="0"/>
                  <w:marTop w:val="0"/>
                  <w:marBottom w:val="0"/>
                  <w:divBdr>
                    <w:top w:val="single" w:sz="6" w:space="22" w:color="EAEAEA"/>
                    <w:left w:val="none" w:sz="0" w:space="0" w:color="auto"/>
                    <w:bottom w:val="none" w:sz="0" w:space="0" w:color="auto"/>
                    <w:right w:val="none" w:sz="0" w:space="0" w:color="auto"/>
                  </w:divBdr>
                </w:div>
              </w:divsChild>
            </w:div>
          </w:divsChild>
        </w:div>
        <w:div w:id="1971398718">
          <w:marLeft w:val="-15300"/>
          <w:marRight w:val="0"/>
          <w:marTop w:val="0"/>
          <w:marBottom w:val="0"/>
          <w:divBdr>
            <w:top w:val="none" w:sz="0" w:space="0" w:color="auto"/>
            <w:left w:val="none" w:sz="0" w:space="0" w:color="auto"/>
            <w:bottom w:val="none" w:sz="0" w:space="0" w:color="auto"/>
            <w:right w:val="none" w:sz="0" w:space="0" w:color="auto"/>
          </w:divBdr>
          <w:divsChild>
            <w:div w:id="682164961">
              <w:marLeft w:val="0"/>
              <w:marRight w:val="0"/>
              <w:marTop w:val="0"/>
              <w:marBottom w:val="195"/>
              <w:divBdr>
                <w:top w:val="single" w:sz="2" w:space="0" w:color="E3E9EB"/>
                <w:left w:val="single" w:sz="2" w:space="0" w:color="E3E9EB"/>
                <w:bottom w:val="single" w:sz="2" w:space="0" w:color="E3E9EB"/>
                <w:right w:val="single" w:sz="2" w:space="0" w:color="E3E9EB"/>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E08CA0-4B1B-402A-8C1F-FADAD6BB5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11030</TotalTime>
  <Pages>8</Pages>
  <Words>1791</Words>
  <Characters>10210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Webb</dc:creator>
  <cp:keywords/>
  <dc:description/>
  <cp:lastModifiedBy>Kira Webb</cp:lastModifiedBy>
  <cp:revision>34</cp:revision>
  <dcterms:created xsi:type="dcterms:W3CDTF">2023-12-06T12:27:00Z</dcterms:created>
  <dcterms:modified xsi:type="dcterms:W3CDTF">2023-12-20T23:16:00Z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id="XaoCNRrp"/&gt;&lt;style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