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B46CA" w14:textId="4B5E417A" w:rsidR="00280DC9" w:rsidRPr="00280DC9" w:rsidRDefault="00280DC9" w:rsidP="00280DC9">
      <w:pPr>
        <w:spacing w:line="360" w:lineRule="auto"/>
        <w:jc w:val="both"/>
        <w:rPr>
          <w:rFonts w:ascii="Times New Roman" w:hAnsi="Times New Roman" w:cs="Times New Roman"/>
          <w:sz w:val="24"/>
          <w:szCs w:val="24"/>
        </w:rPr>
      </w:pPr>
      <w:bookmarkStart w:id="0" w:name="_Hlk133694580"/>
      <w:bookmarkEnd w:id="0"/>
      <w:r w:rsidRPr="00280DC9">
        <w:rPr>
          <w:rFonts w:ascii="Times New Roman" w:hAnsi="Times New Roman" w:cs="Times New Roman"/>
          <w:noProof/>
          <w:sz w:val="24"/>
          <w:szCs w:val="24"/>
          <w:lang w:eastAsia="en-GB"/>
        </w:rPr>
        <w:drawing>
          <wp:inline distT="0" distB="0" distL="0" distR="0" wp14:anchorId="7A02C440" wp14:editId="572FD0C5">
            <wp:extent cx="4026220" cy="1514902"/>
            <wp:effectExtent l="1905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a:blip r:embed="rId8" cstate="print"/>
                    <a:srcRect/>
                    <a:stretch>
                      <a:fillRect/>
                    </a:stretch>
                  </pic:blipFill>
                  <pic:spPr bwMode="auto">
                    <a:xfrm>
                      <a:off x="0" y="0"/>
                      <a:ext cx="4034884" cy="1518162"/>
                    </a:xfrm>
                    <a:prstGeom prst="rect">
                      <a:avLst/>
                    </a:prstGeom>
                    <a:noFill/>
                    <a:ln w="9525">
                      <a:noFill/>
                      <a:miter lim="800000"/>
                      <a:headEnd/>
                      <a:tailEnd/>
                    </a:ln>
                  </pic:spPr>
                </pic:pic>
              </a:graphicData>
            </a:graphic>
          </wp:inline>
        </w:drawing>
      </w:r>
    </w:p>
    <w:p w14:paraId="78F7A2DF" w14:textId="4CC216C6" w:rsidR="00280DC9" w:rsidRPr="00280DC9" w:rsidRDefault="00280DC9" w:rsidP="00280DC9">
      <w:pPr>
        <w:spacing w:line="360" w:lineRule="auto"/>
        <w:jc w:val="both"/>
        <w:rPr>
          <w:rFonts w:ascii="Times New Roman" w:hAnsi="Times New Roman" w:cs="Times New Roman"/>
          <w:sz w:val="24"/>
          <w:szCs w:val="24"/>
          <w:lang w:val="en-US"/>
        </w:rPr>
      </w:pPr>
    </w:p>
    <w:p w14:paraId="4F305001" w14:textId="77777777" w:rsidR="00280DC9" w:rsidRPr="00280DC9" w:rsidRDefault="00280DC9" w:rsidP="00280DC9">
      <w:pPr>
        <w:spacing w:line="360" w:lineRule="auto"/>
        <w:jc w:val="both"/>
        <w:rPr>
          <w:rFonts w:ascii="Times New Roman" w:hAnsi="Times New Roman" w:cs="Times New Roman"/>
          <w:sz w:val="24"/>
          <w:szCs w:val="24"/>
          <w:lang w:val="en-US"/>
        </w:rPr>
      </w:pPr>
    </w:p>
    <w:p w14:paraId="01BA14C4" w14:textId="77777777" w:rsidR="00280DC9" w:rsidRPr="00280DC9" w:rsidRDefault="00280DC9" w:rsidP="00280DC9">
      <w:pPr>
        <w:spacing w:line="360" w:lineRule="auto"/>
        <w:jc w:val="both"/>
        <w:rPr>
          <w:rFonts w:ascii="Times New Roman" w:hAnsi="Times New Roman" w:cs="Times New Roman"/>
          <w:sz w:val="24"/>
          <w:szCs w:val="24"/>
          <w:lang w:val="en-US"/>
        </w:rPr>
      </w:pPr>
    </w:p>
    <w:p w14:paraId="5ABB66F0" w14:textId="77777777" w:rsidR="00280DC9" w:rsidRPr="00280DC9" w:rsidRDefault="00280DC9" w:rsidP="00280DC9">
      <w:pPr>
        <w:spacing w:line="360" w:lineRule="auto"/>
        <w:jc w:val="both"/>
        <w:rPr>
          <w:rFonts w:ascii="Times New Roman" w:hAnsi="Times New Roman" w:cs="Times New Roman"/>
          <w:sz w:val="24"/>
          <w:szCs w:val="24"/>
          <w:lang w:val="en-US"/>
        </w:rPr>
      </w:pPr>
    </w:p>
    <w:p w14:paraId="6268E6D2" w14:textId="77777777" w:rsidR="00280DC9" w:rsidRPr="00280DC9" w:rsidRDefault="00280DC9" w:rsidP="00280DC9">
      <w:pPr>
        <w:spacing w:line="360" w:lineRule="auto"/>
        <w:jc w:val="center"/>
        <w:rPr>
          <w:rFonts w:ascii="Times New Roman" w:hAnsi="Times New Roman" w:cs="Times New Roman"/>
          <w:b/>
          <w:sz w:val="24"/>
          <w:szCs w:val="24"/>
        </w:rPr>
      </w:pPr>
      <w:r w:rsidRPr="00280DC9">
        <w:rPr>
          <w:rFonts w:ascii="Times New Roman" w:hAnsi="Times New Roman" w:cs="Times New Roman"/>
          <w:b/>
          <w:sz w:val="24"/>
          <w:szCs w:val="24"/>
        </w:rPr>
        <w:t>PROGRAM NAME: BA BUSINESS MANAGEMENT</w:t>
      </w:r>
    </w:p>
    <w:p w14:paraId="6D6BEAC4" w14:textId="24F0E0F5" w:rsidR="00280DC9" w:rsidRPr="00280DC9" w:rsidRDefault="00280DC9" w:rsidP="00280DC9">
      <w:pPr>
        <w:spacing w:line="360" w:lineRule="auto"/>
        <w:jc w:val="center"/>
        <w:rPr>
          <w:rFonts w:ascii="Times New Roman" w:hAnsi="Times New Roman" w:cs="Times New Roman"/>
          <w:b/>
          <w:sz w:val="24"/>
          <w:szCs w:val="24"/>
        </w:rPr>
      </w:pPr>
      <w:r w:rsidRPr="00280DC9">
        <w:rPr>
          <w:rFonts w:ascii="Times New Roman" w:hAnsi="Times New Roman" w:cs="Times New Roman"/>
          <w:b/>
          <w:sz w:val="24"/>
          <w:szCs w:val="24"/>
        </w:rPr>
        <w:t xml:space="preserve">MODULE NAME &amp; CODE: </w:t>
      </w:r>
      <w:r>
        <w:rPr>
          <w:rFonts w:ascii="Times New Roman" w:hAnsi="Times New Roman" w:cs="Times New Roman"/>
          <w:b/>
          <w:sz w:val="24"/>
          <w:szCs w:val="24"/>
        </w:rPr>
        <w:t xml:space="preserve">INTERNATIONAL FINANCIAL MANAGEMENT </w:t>
      </w:r>
      <w:r w:rsidRPr="00280DC9">
        <w:rPr>
          <w:rFonts w:ascii="Times New Roman" w:hAnsi="Times New Roman" w:cs="Times New Roman"/>
          <w:b/>
          <w:sz w:val="24"/>
          <w:szCs w:val="24"/>
        </w:rPr>
        <w:t>(LCBB600</w:t>
      </w:r>
      <w:r>
        <w:rPr>
          <w:rFonts w:ascii="Times New Roman" w:hAnsi="Times New Roman" w:cs="Times New Roman"/>
          <w:b/>
          <w:sz w:val="24"/>
          <w:szCs w:val="24"/>
        </w:rPr>
        <w:t>2</w:t>
      </w:r>
      <w:r w:rsidRPr="00280DC9">
        <w:rPr>
          <w:rFonts w:ascii="Times New Roman" w:hAnsi="Times New Roman" w:cs="Times New Roman"/>
          <w:b/>
          <w:sz w:val="24"/>
          <w:szCs w:val="24"/>
        </w:rPr>
        <w:t>)</w:t>
      </w:r>
    </w:p>
    <w:p w14:paraId="601A514B" w14:textId="55B8E38B" w:rsidR="00280DC9" w:rsidRPr="00280DC9" w:rsidRDefault="00280DC9" w:rsidP="00280DC9">
      <w:pPr>
        <w:spacing w:line="360" w:lineRule="auto"/>
        <w:jc w:val="center"/>
        <w:rPr>
          <w:rFonts w:ascii="Times New Roman" w:hAnsi="Times New Roman" w:cs="Times New Roman"/>
          <w:b/>
          <w:sz w:val="24"/>
          <w:szCs w:val="24"/>
        </w:rPr>
      </w:pPr>
      <w:r w:rsidRPr="00280DC9">
        <w:rPr>
          <w:rFonts w:ascii="Times New Roman" w:hAnsi="Times New Roman" w:cs="Times New Roman"/>
          <w:b/>
          <w:sz w:val="24"/>
          <w:szCs w:val="24"/>
        </w:rPr>
        <w:t>ASSIGNMENT TITLE: ASSESSMENT 1</w:t>
      </w:r>
      <w:r w:rsidR="00CA0C94">
        <w:rPr>
          <w:rFonts w:ascii="Times New Roman" w:hAnsi="Times New Roman" w:cs="Times New Roman"/>
          <w:b/>
          <w:sz w:val="24"/>
          <w:szCs w:val="24"/>
        </w:rPr>
        <w:t xml:space="preserve"> WRITTEN REPORT</w:t>
      </w:r>
    </w:p>
    <w:p w14:paraId="6CADA041" w14:textId="77777777" w:rsidR="00280DC9" w:rsidRPr="00280DC9" w:rsidRDefault="00280DC9" w:rsidP="00280DC9">
      <w:pPr>
        <w:spacing w:line="360" w:lineRule="auto"/>
        <w:jc w:val="both"/>
        <w:rPr>
          <w:rFonts w:ascii="Times New Roman" w:hAnsi="Times New Roman" w:cs="Times New Roman"/>
          <w:sz w:val="24"/>
          <w:szCs w:val="24"/>
        </w:rPr>
      </w:pPr>
    </w:p>
    <w:p w14:paraId="42FF8C03" w14:textId="10D872A2" w:rsidR="00280DC9" w:rsidRDefault="00280DC9" w:rsidP="00280DC9">
      <w:pPr>
        <w:spacing w:line="360" w:lineRule="auto"/>
        <w:jc w:val="both"/>
        <w:rPr>
          <w:rFonts w:ascii="Times New Roman" w:hAnsi="Times New Roman" w:cs="Times New Roman"/>
          <w:sz w:val="24"/>
          <w:szCs w:val="24"/>
        </w:rPr>
      </w:pPr>
    </w:p>
    <w:p w14:paraId="7174460B" w14:textId="77777777" w:rsidR="00280DC9" w:rsidRDefault="00280DC9" w:rsidP="00280DC9">
      <w:pPr>
        <w:spacing w:line="360" w:lineRule="auto"/>
        <w:jc w:val="both"/>
        <w:rPr>
          <w:rFonts w:ascii="Times New Roman" w:hAnsi="Times New Roman" w:cs="Times New Roman"/>
          <w:sz w:val="24"/>
          <w:szCs w:val="24"/>
        </w:rPr>
      </w:pPr>
    </w:p>
    <w:p w14:paraId="414602CF" w14:textId="77777777" w:rsidR="00280DC9" w:rsidRPr="00280DC9" w:rsidRDefault="00280DC9" w:rsidP="00280DC9">
      <w:pPr>
        <w:spacing w:line="360" w:lineRule="auto"/>
        <w:jc w:val="both"/>
        <w:rPr>
          <w:rFonts w:ascii="Times New Roman" w:hAnsi="Times New Roman" w:cs="Times New Roman"/>
          <w:sz w:val="24"/>
          <w:szCs w:val="24"/>
        </w:rPr>
      </w:pPr>
    </w:p>
    <w:p w14:paraId="60AB252E" w14:textId="3F5F73DB" w:rsidR="00280DC9" w:rsidRPr="00280DC9" w:rsidRDefault="00280DC9" w:rsidP="00280DC9">
      <w:pPr>
        <w:spacing w:line="360" w:lineRule="auto"/>
        <w:jc w:val="both"/>
        <w:rPr>
          <w:rFonts w:ascii="Times New Roman" w:hAnsi="Times New Roman" w:cs="Times New Roman"/>
          <w:sz w:val="24"/>
          <w:szCs w:val="24"/>
        </w:rPr>
      </w:pPr>
      <w:r w:rsidRPr="00280DC9">
        <w:rPr>
          <w:rFonts w:ascii="Times New Roman" w:hAnsi="Times New Roman" w:cs="Times New Roman"/>
          <w:sz w:val="24"/>
          <w:szCs w:val="24"/>
        </w:rPr>
        <w:t xml:space="preserve">NAME OF LECTURER: </w:t>
      </w:r>
      <w:r w:rsidR="00CA0C94">
        <w:rPr>
          <w:rFonts w:ascii="Times New Roman" w:hAnsi="Times New Roman" w:cs="Times New Roman"/>
          <w:sz w:val="24"/>
          <w:szCs w:val="24"/>
        </w:rPr>
        <w:t>DR KONSTANTINA MA</w:t>
      </w:r>
      <w:r w:rsidR="002E3454">
        <w:rPr>
          <w:rFonts w:ascii="Times New Roman" w:hAnsi="Times New Roman" w:cs="Times New Roman"/>
          <w:sz w:val="24"/>
          <w:szCs w:val="24"/>
        </w:rPr>
        <w:t>RI</w:t>
      </w:r>
      <w:r w:rsidRPr="00280DC9">
        <w:rPr>
          <w:rFonts w:ascii="Times New Roman" w:hAnsi="Times New Roman" w:cs="Times New Roman"/>
          <w:sz w:val="24"/>
          <w:szCs w:val="24"/>
        </w:rPr>
        <w:t xml:space="preserve"> </w:t>
      </w:r>
    </w:p>
    <w:p w14:paraId="20BE4A9A" w14:textId="77777777" w:rsidR="00280DC9" w:rsidRPr="00280DC9" w:rsidRDefault="00280DC9" w:rsidP="00280DC9">
      <w:pPr>
        <w:spacing w:line="360" w:lineRule="auto"/>
        <w:jc w:val="both"/>
        <w:rPr>
          <w:rFonts w:ascii="Times New Roman" w:hAnsi="Times New Roman" w:cs="Times New Roman"/>
          <w:sz w:val="24"/>
          <w:szCs w:val="24"/>
        </w:rPr>
      </w:pPr>
      <w:r w:rsidRPr="00280DC9">
        <w:rPr>
          <w:rFonts w:ascii="Times New Roman" w:hAnsi="Times New Roman" w:cs="Times New Roman"/>
          <w:sz w:val="24"/>
          <w:szCs w:val="24"/>
        </w:rPr>
        <w:t>STUDENT NAME AND NUMBER: PAVEL BODUSHKI (2023711)</w:t>
      </w:r>
    </w:p>
    <w:p w14:paraId="3F40B735" w14:textId="77777777" w:rsidR="00280DC9" w:rsidRPr="00280DC9" w:rsidRDefault="00280DC9" w:rsidP="00280DC9">
      <w:pPr>
        <w:spacing w:line="360" w:lineRule="auto"/>
        <w:jc w:val="both"/>
        <w:rPr>
          <w:rFonts w:ascii="Times New Roman" w:hAnsi="Times New Roman" w:cs="Times New Roman"/>
          <w:sz w:val="24"/>
          <w:szCs w:val="24"/>
        </w:rPr>
      </w:pPr>
    </w:p>
    <w:p w14:paraId="30C14E1D" w14:textId="77777777" w:rsidR="00280DC9" w:rsidRPr="00280DC9" w:rsidRDefault="00280DC9" w:rsidP="00280DC9">
      <w:pPr>
        <w:spacing w:line="360" w:lineRule="auto"/>
        <w:jc w:val="both"/>
        <w:rPr>
          <w:rFonts w:ascii="Times New Roman" w:hAnsi="Times New Roman" w:cs="Times New Roman"/>
          <w:sz w:val="24"/>
          <w:szCs w:val="24"/>
        </w:rPr>
      </w:pPr>
    </w:p>
    <w:p w14:paraId="29AA9005" w14:textId="77777777" w:rsidR="00280DC9" w:rsidRPr="00280DC9" w:rsidRDefault="00280DC9" w:rsidP="00280DC9">
      <w:pPr>
        <w:spacing w:line="360" w:lineRule="auto"/>
        <w:jc w:val="both"/>
        <w:rPr>
          <w:rFonts w:ascii="Times New Roman" w:hAnsi="Times New Roman" w:cs="Times New Roman"/>
          <w:sz w:val="24"/>
          <w:szCs w:val="24"/>
        </w:rPr>
      </w:pPr>
    </w:p>
    <w:p w14:paraId="0F63DFC5" w14:textId="77777777" w:rsidR="00280DC9" w:rsidRPr="00280DC9" w:rsidRDefault="00280DC9" w:rsidP="00280DC9">
      <w:pPr>
        <w:spacing w:line="360" w:lineRule="auto"/>
        <w:jc w:val="both"/>
        <w:rPr>
          <w:rFonts w:ascii="Times New Roman" w:hAnsi="Times New Roman" w:cs="Times New Roman"/>
          <w:sz w:val="24"/>
          <w:szCs w:val="24"/>
        </w:rPr>
      </w:pPr>
    </w:p>
    <w:p w14:paraId="058C4BC8" w14:textId="62203838" w:rsidR="00280DC9" w:rsidRPr="00280DC9" w:rsidRDefault="00280DC9" w:rsidP="00280DC9">
      <w:pPr>
        <w:spacing w:line="360" w:lineRule="auto"/>
        <w:jc w:val="both"/>
        <w:rPr>
          <w:rFonts w:ascii="Times New Roman" w:hAnsi="Times New Roman" w:cs="Times New Roman"/>
          <w:sz w:val="24"/>
          <w:szCs w:val="24"/>
        </w:rPr>
      </w:pPr>
      <w:r w:rsidRPr="00280DC9">
        <w:rPr>
          <w:rFonts w:ascii="Times New Roman" w:hAnsi="Times New Roman" w:cs="Times New Roman"/>
          <w:sz w:val="24"/>
          <w:szCs w:val="24"/>
        </w:rPr>
        <w:t xml:space="preserve">WORD COUNT: </w:t>
      </w:r>
      <w:r w:rsidR="00CA0C94">
        <w:rPr>
          <w:rFonts w:ascii="Times New Roman" w:hAnsi="Times New Roman" w:cs="Times New Roman"/>
          <w:sz w:val="24"/>
          <w:szCs w:val="24"/>
        </w:rPr>
        <w:t>1,511</w:t>
      </w:r>
    </w:p>
    <w:p w14:paraId="0C1B2944" w14:textId="74ED6240" w:rsidR="00280DC9" w:rsidRPr="00280DC9" w:rsidRDefault="00280DC9" w:rsidP="006D299A">
      <w:pPr>
        <w:spacing w:line="360" w:lineRule="auto"/>
        <w:jc w:val="both"/>
        <w:rPr>
          <w:rFonts w:ascii="Times New Roman" w:hAnsi="Times New Roman" w:cs="Times New Roman"/>
          <w:sz w:val="24"/>
          <w:szCs w:val="24"/>
        </w:rPr>
      </w:pPr>
      <w:r w:rsidRPr="00280DC9">
        <w:rPr>
          <w:rFonts w:ascii="Times New Roman" w:hAnsi="Times New Roman" w:cs="Times New Roman"/>
          <w:sz w:val="24"/>
          <w:szCs w:val="24"/>
        </w:rPr>
        <w:t xml:space="preserve">SUBMISSION DATE: </w:t>
      </w:r>
      <w:r w:rsidR="0064436A">
        <w:rPr>
          <w:rFonts w:ascii="Times New Roman" w:hAnsi="Times New Roman" w:cs="Times New Roman"/>
          <w:sz w:val="24"/>
          <w:szCs w:val="24"/>
        </w:rPr>
        <w:t>03-05</w:t>
      </w:r>
      <w:bookmarkStart w:id="1" w:name="_GoBack"/>
      <w:bookmarkEnd w:id="1"/>
      <w:r w:rsidRPr="00280DC9">
        <w:rPr>
          <w:rFonts w:ascii="Times New Roman" w:hAnsi="Times New Roman" w:cs="Times New Roman"/>
          <w:sz w:val="24"/>
          <w:szCs w:val="24"/>
        </w:rPr>
        <w:t>-2023</w:t>
      </w:r>
    </w:p>
    <w:sdt>
      <w:sdtPr>
        <w:rPr>
          <w:rFonts w:asciiTheme="minorHAnsi" w:eastAsiaTheme="minorHAnsi" w:hAnsiTheme="minorHAnsi" w:cstheme="minorBidi"/>
          <w:color w:val="auto"/>
          <w:kern w:val="2"/>
          <w:sz w:val="22"/>
          <w:szCs w:val="22"/>
          <w:lang w:val="en-GB"/>
          <w14:ligatures w14:val="standardContextual"/>
        </w:rPr>
        <w:id w:val="1934859135"/>
        <w:docPartObj>
          <w:docPartGallery w:val="Table of Contents"/>
          <w:docPartUnique/>
        </w:docPartObj>
      </w:sdtPr>
      <w:sdtEndPr>
        <w:rPr>
          <w:b/>
          <w:bCs/>
          <w:noProof/>
        </w:rPr>
      </w:sdtEndPr>
      <w:sdtContent>
        <w:p w14:paraId="10AC7428" w14:textId="219E2AD8" w:rsidR="00280DC9" w:rsidRPr="00280DC9" w:rsidRDefault="00280DC9" w:rsidP="00280DC9">
          <w:pPr>
            <w:pStyle w:val="TOCHeading"/>
            <w:spacing w:after="240" w:line="480" w:lineRule="auto"/>
            <w:jc w:val="both"/>
            <w:rPr>
              <w:rFonts w:ascii="Times New Roman" w:hAnsi="Times New Roman" w:cs="Times New Roman"/>
              <w:b/>
              <w:bCs/>
              <w:sz w:val="28"/>
              <w:szCs w:val="28"/>
            </w:rPr>
          </w:pPr>
          <w:r w:rsidRPr="00280DC9">
            <w:rPr>
              <w:rFonts w:ascii="Times New Roman" w:hAnsi="Times New Roman" w:cs="Times New Roman"/>
              <w:b/>
              <w:bCs/>
              <w:sz w:val="28"/>
              <w:szCs w:val="28"/>
            </w:rPr>
            <w:t>Table of Contents</w:t>
          </w:r>
        </w:p>
        <w:p w14:paraId="5143FE4F" w14:textId="334B2BD3" w:rsidR="00280DC9" w:rsidRPr="00280DC9" w:rsidRDefault="00280DC9" w:rsidP="00280DC9">
          <w:pPr>
            <w:pStyle w:val="TOC1"/>
            <w:tabs>
              <w:tab w:val="right" w:leader="dot" w:pos="9062"/>
            </w:tabs>
            <w:spacing w:after="240" w:line="480" w:lineRule="auto"/>
            <w:jc w:val="both"/>
            <w:rPr>
              <w:rFonts w:ascii="Times New Roman" w:hAnsi="Times New Roman" w:cs="Times New Roman"/>
              <w:noProof/>
              <w:sz w:val="24"/>
              <w:szCs w:val="24"/>
            </w:rPr>
          </w:pPr>
          <w:r w:rsidRPr="00280DC9">
            <w:rPr>
              <w:rFonts w:ascii="Times New Roman" w:hAnsi="Times New Roman" w:cs="Times New Roman"/>
              <w:sz w:val="24"/>
              <w:szCs w:val="24"/>
            </w:rPr>
            <w:fldChar w:fldCharType="begin"/>
          </w:r>
          <w:r w:rsidRPr="00280DC9">
            <w:rPr>
              <w:rFonts w:ascii="Times New Roman" w:hAnsi="Times New Roman" w:cs="Times New Roman"/>
              <w:sz w:val="24"/>
              <w:szCs w:val="24"/>
            </w:rPr>
            <w:instrText xml:space="preserve"> TOC \o "1-3" \h \z \u </w:instrText>
          </w:r>
          <w:r w:rsidRPr="00280DC9">
            <w:rPr>
              <w:rFonts w:ascii="Times New Roman" w:hAnsi="Times New Roman" w:cs="Times New Roman"/>
              <w:sz w:val="24"/>
              <w:szCs w:val="24"/>
            </w:rPr>
            <w:fldChar w:fldCharType="separate"/>
          </w:r>
          <w:hyperlink w:anchor="_Toc133694455" w:history="1">
            <w:r w:rsidRPr="00280DC9">
              <w:rPr>
                <w:rStyle w:val="Hyperlink"/>
                <w:rFonts w:ascii="Times New Roman" w:hAnsi="Times New Roman" w:cs="Times New Roman"/>
                <w:noProof/>
                <w:sz w:val="24"/>
                <w:szCs w:val="24"/>
              </w:rPr>
              <w:t>Introduction</w:t>
            </w:r>
            <w:r w:rsidRPr="00280DC9">
              <w:rPr>
                <w:rFonts w:ascii="Times New Roman" w:hAnsi="Times New Roman" w:cs="Times New Roman"/>
                <w:noProof/>
                <w:webHidden/>
                <w:sz w:val="24"/>
                <w:szCs w:val="24"/>
              </w:rPr>
              <w:tab/>
            </w:r>
            <w:r w:rsidRPr="00280DC9">
              <w:rPr>
                <w:rFonts w:ascii="Times New Roman" w:hAnsi="Times New Roman" w:cs="Times New Roman"/>
                <w:noProof/>
                <w:webHidden/>
                <w:sz w:val="24"/>
                <w:szCs w:val="24"/>
              </w:rPr>
              <w:fldChar w:fldCharType="begin"/>
            </w:r>
            <w:r w:rsidRPr="00280DC9">
              <w:rPr>
                <w:rFonts w:ascii="Times New Roman" w:hAnsi="Times New Roman" w:cs="Times New Roman"/>
                <w:noProof/>
                <w:webHidden/>
                <w:sz w:val="24"/>
                <w:szCs w:val="24"/>
              </w:rPr>
              <w:instrText xml:space="preserve"> PAGEREF _Toc133694455 \h </w:instrText>
            </w:r>
            <w:r w:rsidRPr="00280DC9">
              <w:rPr>
                <w:rFonts w:ascii="Times New Roman" w:hAnsi="Times New Roman" w:cs="Times New Roman"/>
                <w:noProof/>
                <w:webHidden/>
                <w:sz w:val="24"/>
                <w:szCs w:val="24"/>
              </w:rPr>
            </w:r>
            <w:r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3</w:t>
            </w:r>
            <w:r w:rsidRPr="00280DC9">
              <w:rPr>
                <w:rFonts w:ascii="Times New Roman" w:hAnsi="Times New Roman" w:cs="Times New Roman"/>
                <w:noProof/>
                <w:webHidden/>
                <w:sz w:val="24"/>
                <w:szCs w:val="24"/>
              </w:rPr>
              <w:fldChar w:fldCharType="end"/>
            </w:r>
          </w:hyperlink>
        </w:p>
        <w:p w14:paraId="38800EAA" w14:textId="6A26791F" w:rsidR="00280DC9" w:rsidRPr="00280DC9" w:rsidRDefault="00E019F2" w:rsidP="00280DC9">
          <w:pPr>
            <w:pStyle w:val="TOC1"/>
            <w:tabs>
              <w:tab w:val="right" w:leader="dot" w:pos="9062"/>
            </w:tabs>
            <w:spacing w:after="240" w:line="480" w:lineRule="auto"/>
            <w:jc w:val="both"/>
            <w:rPr>
              <w:rFonts w:ascii="Times New Roman" w:hAnsi="Times New Roman" w:cs="Times New Roman"/>
              <w:noProof/>
              <w:sz w:val="24"/>
              <w:szCs w:val="24"/>
            </w:rPr>
          </w:pPr>
          <w:hyperlink w:anchor="_Toc133694456" w:history="1">
            <w:r w:rsidR="00280DC9" w:rsidRPr="00280DC9">
              <w:rPr>
                <w:rStyle w:val="Hyperlink"/>
                <w:rFonts w:ascii="Times New Roman" w:hAnsi="Times New Roman" w:cs="Times New Roman"/>
                <w:noProof/>
                <w:sz w:val="24"/>
                <w:szCs w:val="24"/>
              </w:rPr>
              <w:t>Main body</w:t>
            </w:r>
            <w:r w:rsidR="00280DC9" w:rsidRPr="00280DC9">
              <w:rPr>
                <w:rFonts w:ascii="Times New Roman" w:hAnsi="Times New Roman" w:cs="Times New Roman"/>
                <w:noProof/>
                <w:webHidden/>
                <w:sz w:val="24"/>
                <w:szCs w:val="24"/>
              </w:rPr>
              <w:tab/>
            </w:r>
            <w:r w:rsidR="00280DC9" w:rsidRPr="00280DC9">
              <w:rPr>
                <w:rFonts w:ascii="Times New Roman" w:hAnsi="Times New Roman" w:cs="Times New Roman"/>
                <w:noProof/>
                <w:webHidden/>
                <w:sz w:val="24"/>
                <w:szCs w:val="24"/>
              </w:rPr>
              <w:fldChar w:fldCharType="begin"/>
            </w:r>
            <w:r w:rsidR="00280DC9" w:rsidRPr="00280DC9">
              <w:rPr>
                <w:rFonts w:ascii="Times New Roman" w:hAnsi="Times New Roman" w:cs="Times New Roman"/>
                <w:noProof/>
                <w:webHidden/>
                <w:sz w:val="24"/>
                <w:szCs w:val="24"/>
              </w:rPr>
              <w:instrText xml:space="preserve"> PAGEREF _Toc133694456 \h </w:instrText>
            </w:r>
            <w:r w:rsidR="00280DC9" w:rsidRPr="00280DC9">
              <w:rPr>
                <w:rFonts w:ascii="Times New Roman" w:hAnsi="Times New Roman" w:cs="Times New Roman"/>
                <w:noProof/>
                <w:webHidden/>
                <w:sz w:val="24"/>
                <w:szCs w:val="24"/>
              </w:rPr>
            </w:r>
            <w:r w:rsidR="00280DC9"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3</w:t>
            </w:r>
            <w:r w:rsidR="00280DC9" w:rsidRPr="00280DC9">
              <w:rPr>
                <w:rFonts w:ascii="Times New Roman" w:hAnsi="Times New Roman" w:cs="Times New Roman"/>
                <w:noProof/>
                <w:webHidden/>
                <w:sz w:val="24"/>
                <w:szCs w:val="24"/>
              </w:rPr>
              <w:fldChar w:fldCharType="end"/>
            </w:r>
          </w:hyperlink>
        </w:p>
        <w:p w14:paraId="23BF742A" w14:textId="1253BE27" w:rsidR="00280DC9" w:rsidRPr="00280DC9" w:rsidRDefault="00E019F2" w:rsidP="00280DC9">
          <w:pPr>
            <w:pStyle w:val="TOC2"/>
            <w:tabs>
              <w:tab w:val="right" w:leader="dot" w:pos="9062"/>
            </w:tabs>
            <w:spacing w:after="240" w:line="480" w:lineRule="auto"/>
            <w:jc w:val="both"/>
            <w:rPr>
              <w:rFonts w:ascii="Times New Roman" w:hAnsi="Times New Roman" w:cs="Times New Roman"/>
              <w:noProof/>
              <w:sz w:val="24"/>
              <w:szCs w:val="24"/>
            </w:rPr>
          </w:pPr>
          <w:hyperlink w:anchor="_Toc133694457" w:history="1">
            <w:r w:rsidR="00280DC9" w:rsidRPr="00280DC9">
              <w:rPr>
                <w:rStyle w:val="Hyperlink"/>
                <w:rFonts w:ascii="Times New Roman" w:hAnsi="Times New Roman" w:cs="Times New Roman"/>
                <w:noProof/>
                <w:sz w:val="24"/>
                <w:szCs w:val="24"/>
              </w:rPr>
              <w:t>Dividend distribution policy</w:t>
            </w:r>
            <w:r w:rsidR="00280DC9" w:rsidRPr="00280DC9">
              <w:rPr>
                <w:rFonts w:ascii="Times New Roman" w:hAnsi="Times New Roman" w:cs="Times New Roman"/>
                <w:noProof/>
                <w:webHidden/>
                <w:sz w:val="24"/>
                <w:szCs w:val="24"/>
              </w:rPr>
              <w:tab/>
            </w:r>
            <w:r w:rsidR="00280DC9" w:rsidRPr="00280DC9">
              <w:rPr>
                <w:rFonts w:ascii="Times New Roman" w:hAnsi="Times New Roman" w:cs="Times New Roman"/>
                <w:noProof/>
                <w:webHidden/>
                <w:sz w:val="24"/>
                <w:szCs w:val="24"/>
              </w:rPr>
              <w:fldChar w:fldCharType="begin"/>
            </w:r>
            <w:r w:rsidR="00280DC9" w:rsidRPr="00280DC9">
              <w:rPr>
                <w:rFonts w:ascii="Times New Roman" w:hAnsi="Times New Roman" w:cs="Times New Roman"/>
                <w:noProof/>
                <w:webHidden/>
                <w:sz w:val="24"/>
                <w:szCs w:val="24"/>
              </w:rPr>
              <w:instrText xml:space="preserve"> PAGEREF _Toc133694457 \h </w:instrText>
            </w:r>
            <w:r w:rsidR="00280DC9" w:rsidRPr="00280DC9">
              <w:rPr>
                <w:rFonts w:ascii="Times New Roman" w:hAnsi="Times New Roman" w:cs="Times New Roman"/>
                <w:noProof/>
                <w:webHidden/>
                <w:sz w:val="24"/>
                <w:szCs w:val="24"/>
              </w:rPr>
            </w:r>
            <w:r w:rsidR="00280DC9"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3</w:t>
            </w:r>
            <w:r w:rsidR="00280DC9" w:rsidRPr="00280DC9">
              <w:rPr>
                <w:rFonts w:ascii="Times New Roman" w:hAnsi="Times New Roman" w:cs="Times New Roman"/>
                <w:noProof/>
                <w:webHidden/>
                <w:sz w:val="24"/>
                <w:szCs w:val="24"/>
              </w:rPr>
              <w:fldChar w:fldCharType="end"/>
            </w:r>
          </w:hyperlink>
        </w:p>
        <w:p w14:paraId="02D83206" w14:textId="2A1CFD87" w:rsidR="00280DC9" w:rsidRPr="00280DC9" w:rsidRDefault="00E019F2" w:rsidP="00280DC9">
          <w:pPr>
            <w:pStyle w:val="TOC2"/>
            <w:tabs>
              <w:tab w:val="right" w:leader="dot" w:pos="9062"/>
            </w:tabs>
            <w:spacing w:after="240" w:line="480" w:lineRule="auto"/>
            <w:jc w:val="both"/>
            <w:rPr>
              <w:rFonts w:ascii="Times New Roman" w:hAnsi="Times New Roman" w:cs="Times New Roman"/>
              <w:noProof/>
              <w:sz w:val="24"/>
              <w:szCs w:val="24"/>
            </w:rPr>
          </w:pPr>
          <w:hyperlink w:anchor="_Toc133694458" w:history="1">
            <w:r w:rsidR="00280DC9" w:rsidRPr="00280DC9">
              <w:rPr>
                <w:rStyle w:val="Hyperlink"/>
                <w:rFonts w:ascii="Times New Roman" w:hAnsi="Times New Roman" w:cs="Times New Roman"/>
                <w:noProof/>
                <w:sz w:val="24"/>
                <w:szCs w:val="24"/>
              </w:rPr>
              <w:t>Efficient market hypothesis (EMH)</w:t>
            </w:r>
            <w:r w:rsidR="00280DC9" w:rsidRPr="00280DC9">
              <w:rPr>
                <w:rFonts w:ascii="Times New Roman" w:hAnsi="Times New Roman" w:cs="Times New Roman"/>
                <w:noProof/>
                <w:webHidden/>
                <w:sz w:val="24"/>
                <w:szCs w:val="24"/>
              </w:rPr>
              <w:tab/>
            </w:r>
            <w:r w:rsidR="00280DC9" w:rsidRPr="00280DC9">
              <w:rPr>
                <w:rFonts w:ascii="Times New Roman" w:hAnsi="Times New Roman" w:cs="Times New Roman"/>
                <w:noProof/>
                <w:webHidden/>
                <w:sz w:val="24"/>
                <w:szCs w:val="24"/>
              </w:rPr>
              <w:fldChar w:fldCharType="begin"/>
            </w:r>
            <w:r w:rsidR="00280DC9" w:rsidRPr="00280DC9">
              <w:rPr>
                <w:rFonts w:ascii="Times New Roman" w:hAnsi="Times New Roman" w:cs="Times New Roman"/>
                <w:noProof/>
                <w:webHidden/>
                <w:sz w:val="24"/>
                <w:szCs w:val="24"/>
              </w:rPr>
              <w:instrText xml:space="preserve"> PAGEREF _Toc133694458 \h </w:instrText>
            </w:r>
            <w:r w:rsidR="00280DC9" w:rsidRPr="00280DC9">
              <w:rPr>
                <w:rFonts w:ascii="Times New Roman" w:hAnsi="Times New Roman" w:cs="Times New Roman"/>
                <w:noProof/>
                <w:webHidden/>
                <w:sz w:val="24"/>
                <w:szCs w:val="24"/>
              </w:rPr>
            </w:r>
            <w:r w:rsidR="00280DC9"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4</w:t>
            </w:r>
            <w:r w:rsidR="00280DC9" w:rsidRPr="00280DC9">
              <w:rPr>
                <w:rFonts w:ascii="Times New Roman" w:hAnsi="Times New Roman" w:cs="Times New Roman"/>
                <w:noProof/>
                <w:webHidden/>
                <w:sz w:val="24"/>
                <w:szCs w:val="24"/>
              </w:rPr>
              <w:fldChar w:fldCharType="end"/>
            </w:r>
          </w:hyperlink>
        </w:p>
        <w:p w14:paraId="3B03BD96" w14:textId="1A1E141F" w:rsidR="00280DC9" w:rsidRPr="00280DC9" w:rsidRDefault="00E019F2" w:rsidP="00280DC9">
          <w:pPr>
            <w:pStyle w:val="TOC2"/>
            <w:tabs>
              <w:tab w:val="right" w:leader="dot" w:pos="9062"/>
            </w:tabs>
            <w:spacing w:after="240" w:line="480" w:lineRule="auto"/>
            <w:jc w:val="both"/>
            <w:rPr>
              <w:rFonts w:ascii="Times New Roman" w:hAnsi="Times New Roman" w:cs="Times New Roman"/>
              <w:noProof/>
              <w:sz w:val="24"/>
              <w:szCs w:val="24"/>
            </w:rPr>
          </w:pPr>
          <w:hyperlink w:anchor="_Toc133694459" w:history="1">
            <w:r w:rsidR="00280DC9" w:rsidRPr="00280DC9">
              <w:rPr>
                <w:rStyle w:val="Hyperlink"/>
                <w:rFonts w:ascii="Times New Roman" w:hAnsi="Times New Roman" w:cs="Times New Roman"/>
                <w:noProof/>
                <w:sz w:val="24"/>
                <w:szCs w:val="24"/>
              </w:rPr>
              <w:t>Project appraisal</w:t>
            </w:r>
            <w:r w:rsidR="00280DC9" w:rsidRPr="00280DC9">
              <w:rPr>
                <w:rFonts w:ascii="Times New Roman" w:hAnsi="Times New Roman" w:cs="Times New Roman"/>
                <w:noProof/>
                <w:webHidden/>
                <w:sz w:val="24"/>
                <w:szCs w:val="24"/>
              </w:rPr>
              <w:tab/>
            </w:r>
            <w:r w:rsidR="00280DC9" w:rsidRPr="00280DC9">
              <w:rPr>
                <w:rFonts w:ascii="Times New Roman" w:hAnsi="Times New Roman" w:cs="Times New Roman"/>
                <w:noProof/>
                <w:webHidden/>
                <w:sz w:val="24"/>
                <w:szCs w:val="24"/>
              </w:rPr>
              <w:fldChar w:fldCharType="begin"/>
            </w:r>
            <w:r w:rsidR="00280DC9" w:rsidRPr="00280DC9">
              <w:rPr>
                <w:rFonts w:ascii="Times New Roman" w:hAnsi="Times New Roman" w:cs="Times New Roman"/>
                <w:noProof/>
                <w:webHidden/>
                <w:sz w:val="24"/>
                <w:szCs w:val="24"/>
              </w:rPr>
              <w:instrText xml:space="preserve"> PAGEREF _Toc133694459 \h </w:instrText>
            </w:r>
            <w:r w:rsidR="00280DC9" w:rsidRPr="00280DC9">
              <w:rPr>
                <w:rFonts w:ascii="Times New Roman" w:hAnsi="Times New Roman" w:cs="Times New Roman"/>
                <w:noProof/>
                <w:webHidden/>
                <w:sz w:val="24"/>
                <w:szCs w:val="24"/>
              </w:rPr>
            </w:r>
            <w:r w:rsidR="00280DC9"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6</w:t>
            </w:r>
            <w:r w:rsidR="00280DC9" w:rsidRPr="00280DC9">
              <w:rPr>
                <w:rFonts w:ascii="Times New Roman" w:hAnsi="Times New Roman" w:cs="Times New Roman"/>
                <w:noProof/>
                <w:webHidden/>
                <w:sz w:val="24"/>
                <w:szCs w:val="24"/>
              </w:rPr>
              <w:fldChar w:fldCharType="end"/>
            </w:r>
          </w:hyperlink>
        </w:p>
        <w:p w14:paraId="198D002F" w14:textId="269A0851" w:rsidR="00280DC9" w:rsidRPr="00280DC9" w:rsidRDefault="00E019F2" w:rsidP="00280DC9">
          <w:pPr>
            <w:pStyle w:val="TOC1"/>
            <w:tabs>
              <w:tab w:val="right" w:leader="dot" w:pos="9062"/>
            </w:tabs>
            <w:spacing w:after="240" w:line="480" w:lineRule="auto"/>
            <w:jc w:val="both"/>
            <w:rPr>
              <w:rFonts w:ascii="Times New Roman" w:hAnsi="Times New Roman" w:cs="Times New Roman"/>
              <w:noProof/>
              <w:sz w:val="24"/>
              <w:szCs w:val="24"/>
            </w:rPr>
          </w:pPr>
          <w:hyperlink w:anchor="_Toc133694460" w:history="1">
            <w:r w:rsidR="00280DC9" w:rsidRPr="00280DC9">
              <w:rPr>
                <w:rStyle w:val="Hyperlink"/>
                <w:rFonts w:ascii="Times New Roman" w:hAnsi="Times New Roman" w:cs="Times New Roman"/>
                <w:noProof/>
                <w:sz w:val="24"/>
                <w:szCs w:val="24"/>
                <w:lang w:val="en-US"/>
              </w:rPr>
              <w:t>Conclusion</w:t>
            </w:r>
            <w:r w:rsidR="00280DC9" w:rsidRPr="00280DC9">
              <w:rPr>
                <w:rFonts w:ascii="Times New Roman" w:hAnsi="Times New Roman" w:cs="Times New Roman"/>
                <w:noProof/>
                <w:webHidden/>
                <w:sz w:val="24"/>
                <w:szCs w:val="24"/>
              </w:rPr>
              <w:tab/>
            </w:r>
            <w:r w:rsidR="00280DC9" w:rsidRPr="00280DC9">
              <w:rPr>
                <w:rFonts w:ascii="Times New Roman" w:hAnsi="Times New Roman" w:cs="Times New Roman"/>
                <w:noProof/>
                <w:webHidden/>
                <w:sz w:val="24"/>
                <w:szCs w:val="24"/>
              </w:rPr>
              <w:fldChar w:fldCharType="begin"/>
            </w:r>
            <w:r w:rsidR="00280DC9" w:rsidRPr="00280DC9">
              <w:rPr>
                <w:rFonts w:ascii="Times New Roman" w:hAnsi="Times New Roman" w:cs="Times New Roman"/>
                <w:noProof/>
                <w:webHidden/>
                <w:sz w:val="24"/>
                <w:szCs w:val="24"/>
              </w:rPr>
              <w:instrText xml:space="preserve"> PAGEREF _Toc133694460 \h </w:instrText>
            </w:r>
            <w:r w:rsidR="00280DC9" w:rsidRPr="00280DC9">
              <w:rPr>
                <w:rFonts w:ascii="Times New Roman" w:hAnsi="Times New Roman" w:cs="Times New Roman"/>
                <w:noProof/>
                <w:webHidden/>
                <w:sz w:val="24"/>
                <w:szCs w:val="24"/>
              </w:rPr>
            </w:r>
            <w:r w:rsidR="00280DC9"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7</w:t>
            </w:r>
            <w:r w:rsidR="00280DC9" w:rsidRPr="00280DC9">
              <w:rPr>
                <w:rFonts w:ascii="Times New Roman" w:hAnsi="Times New Roman" w:cs="Times New Roman"/>
                <w:noProof/>
                <w:webHidden/>
                <w:sz w:val="24"/>
                <w:szCs w:val="24"/>
              </w:rPr>
              <w:fldChar w:fldCharType="end"/>
            </w:r>
          </w:hyperlink>
        </w:p>
        <w:p w14:paraId="514CC9A3" w14:textId="23B45FDD" w:rsidR="00280DC9" w:rsidRPr="00280DC9" w:rsidRDefault="00E019F2" w:rsidP="00280DC9">
          <w:pPr>
            <w:pStyle w:val="TOC1"/>
            <w:tabs>
              <w:tab w:val="right" w:leader="dot" w:pos="9062"/>
            </w:tabs>
            <w:spacing w:after="240" w:line="480" w:lineRule="auto"/>
            <w:jc w:val="both"/>
            <w:rPr>
              <w:rFonts w:ascii="Times New Roman" w:hAnsi="Times New Roman" w:cs="Times New Roman"/>
              <w:noProof/>
              <w:sz w:val="24"/>
              <w:szCs w:val="24"/>
            </w:rPr>
          </w:pPr>
          <w:hyperlink w:anchor="_Toc133694461" w:history="1">
            <w:r w:rsidR="00280DC9" w:rsidRPr="00280DC9">
              <w:rPr>
                <w:rStyle w:val="Hyperlink"/>
                <w:rFonts w:ascii="Times New Roman" w:hAnsi="Times New Roman" w:cs="Times New Roman"/>
                <w:noProof/>
                <w:sz w:val="24"/>
                <w:szCs w:val="24"/>
              </w:rPr>
              <w:t>References</w:t>
            </w:r>
            <w:r w:rsidR="00280DC9" w:rsidRPr="00280DC9">
              <w:rPr>
                <w:rFonts w:ascii="Times New Roman" w:hAnsi="Times New Roman" w:cs="Times New Roman"/>
                <w:noProof/>
                <w:webHidden/>
                <w:sz w:val="24"/>
                <w:szCs w:val="24"/>
              </w:rPr>
              <w:tab/>
            </w:r>
            <w:r w:rsidR="00280DC9" w:rsidRPr="00280DC9">
              <w:rPr>
                <w:rFonts w:ascii="Times New Roman" w:hAnsi="Times New Roman" w:cs="Times New Roman"/>
                <w:noProof/>
                <w:webHidden/>
                <w:sz w:val="24"/>
                <w:szCs w:val="24"/>
              </w:rPr>
              <w:fldChar w:fldCharType="begin"/>
            </w:r>
            <w:r w:rsidR="00280DC9" w:rsidRPr="00280DC9">
              <w:rPr>
                <w:rFonts w:ascii="Times New Roman" w:hAnsi="Times New Roman" w:cs="Times New Roman"/>
                <w:noProof/>
                <w:webHidden/>
                <w:sz w:val="24"/>
                <w:szCs w:val="24"/>
              </w:rPr>
              <w:instrText xml:space="preserve"> PAGEREF _Toc133694461 \h </w:instrText>
            </w:r>
            <w:r w:rsidR="00280DC9" w:rsidRPr="00280DC9">
              <w:rPr>
                <w:rFonts w:ascii="Times New Roman" w:hAnsi="Times New Roman" w:cs="Times New Roman"/>
                <w:noProof/>
                <w:webHidden/>
                <w:sz w:val="24"/>
                <w:szCs w:val="24"/>
              </w:rPr>
            </w:r>
            <w:r w:rsidR="00280DC9" w:rsidRPr="00280DC9">
              <w:rPr>
                <w:rFonts w:ascii="Times New Roman" w:hAnsi="Times New Roman" w:cs="Times New Roman"/>
                <w:noProof/>
                <w:webHidden/>
                <w:sz w:val="24"/>
                <w:szCs w:val="24"/>
              </w:rPr>
              <w:fldChar w:fldCharType="separate"/>
            </w:r>
            <w:r w:rsidR="001C6538">
              <w:rPr>
                <w:rFonts w:ascii="Times New Roman" w:hAnsi="Times New Roman" w:cs="Times New Roman"/>
                <w:noProof/>
                <w:webHidden/>
                <w:sz w:val="24"/>
                <w:szCs w:val="24"/>
              </w:rPr>
              <w:t>8</w:t>
            </w:r>
            <w:r w:rsidR="00280DC9" w:rsidRPr="00280DC9">
              <w:rPr>
                <w:rFonts w:ascii="Times New Roman" w:hAnsi="Times New Roman" w:cs="Times New Roman"/>
                <w:noProof/>
                <w:webHidden/>
                <w:sz w:val="24"/>
                <w:szCs w:val="24"/>
              </w:rPr>
              <w:fldChar w:fldCharType="end"/>
            </w:r>
          </w:hyperlink>
        </w:p>
        <w:p w14:paraId="42F0CB98" w14:textId="5E59444D" w:rsidR="00280DC9" w:rsidRDefault="00280DC9" w:rsidP="00280DC9">
          <w:pPr>
            <w:spacing w:after="240" w:line="480" w:lineRule="auto"/>
            <w:jc w:val="both"/>
          </w:pPr>
          <w:r w:rsidRPr="00280DC9">
            <w:rPr>
              <w:rFonts w:ascii="Times New Roman" w:hAnsi="Times New Roman" w:cs="Times New Roman"/>
              <w:b/>
              <w:bCs/>
              <w:noProof/>
              <w:sz w:val="24"/>
              <w:szCs w:val="24"/>
            </w:rPr>
            <w:fldChar w:fldCharType="end"/>
          </w:r>
        </w:p>
      </w:sdtContent>
    </w:sdt>
    <w:p w14:paraId="7FF12311" w14:textId="77777777" w:rsidR="00280DC9" w:rsidRPr="00280DC9" w:rsidRDefault="00280DC9" w:rsidP="006D299A">
      <w:pPr>
        <w:spacing w:line="360" w:lineRule="auto"/>
        <w:jc w:val="both"/>
        <w:rPr>
          <w:rFonts w:ascii="Times New Roman" w:hAnsi="Times New Roman" w:cs="Times New Roman"/>
          <w:sz w:val="24"/>
          <w:szCs w:val="24"/>
        </w:rPr>
      </w:pPr>
    </w:p>
    <w:p w14:paraId="5583FFB1" w14:textId="77777777" w:rsidR="00280DC9" w:rsidRPr="00280DC9" w:rsidRDefault="00280DC9" w:rsidP="006D299A">
      <w:pPr>
        <w:spacing w:line="360" w:lineRule="auto"/>
        <w:jc w:val="both"/>
        <w:rPr>
          <w:rFonts w:ascii="Times New Roman" w:hAnsi="Times New Roman" w:cs="Times New Roman"/>
          <w:sz w:val="24"/>
          <w:szCs w:val="24"/>
        </w:rPr>
      </w:pPr>
    </w:p>
    <w:p w14:paraId="2CB988E5" w14:textId="77777777" w:rsidR="00280DC9" w:rsidRDefault="00280DC9" w:rsidP="006D299A">
      <w:pPr>
        <w:spacing w:line="360" w:lineRule="auto"/>
        <w:jc w:val="both"/>
        <w:rPr>
          <w:rFonts w:ascii="Times New Roman" w:hAnsi="Times New Roman" w:cs="Times New Roman"/>
          <w:b/>
          <w:bCs/>
          <w:sz w:val="28"/>
          <w:szCs w:val="28"/>
        </w:rPr>
      </w:pPr>
    </w:p>
    <w:p w14:paraId="00E651C7" w14:textId="77777777" w:rsidR="00280DC9" w:rsidRDefault="00280DC9" w:rsidP="006D299A">
      <w:pPr>
        <w:spacing w:line="360" w:lineRule="auto"/>
        <w:jc w:val="both"/>
        <w:rPr>
          <w:rFonts w:ascii="Times New Roman" w:hAnsi="Times New Roman" w:cs="Times New Roman"/>
          <w:b/>
          <w:bCs/>
          <w:sz w:val="28"/>
          <w:szCs w:val="28"/>
        </w:rPr>
      </w:pPr>
    </w:p>
    <w:p w14:paraId="73CCE5F7" w14:textId="77777777" w:rsidR="00280DC9" w:rsidRDefault="00280DC9" w:rsidP="006D299A">
      <w:pPr>
        <w:spacing w:line="360" w:lineRule="auto"/>
        <w:jc w:val="both"/>
        <w:rPr>
          <w:rFonts w:ascii="Times New Roman" w:hAnsi="Times New Roman" w:cs="Times New Roman"/>
          <w:b/>
          <w:bCs/>
          <w:sz w:val="28"/>
          <w:szCs w:val="28"/>
        </w:rPr>
      </w:pPr>
    </w:p>
    <w:p w14:paraId="0A63DDEB" w14:textId="77777777" w:rsidR="00280DC9" w:rsidRDefault="00280DC9" w:rsidP="006D299A">
      <w:pPr>
        <w:spacing w:line="360" w:lineRule="auto"/>
        <w:jc w:val="both"/>
        <w:rPr>
          <w:rFonts w:ascii="Times New Roman" w:hAnsi="Times New Roman" w:cs="Times New Roman"/>
          <w:b/>
          <w:bCs/>
          <w:sz w:val="28"/>
          <w:szCs w:val="28"/>
        </w:rPr>
      </w:pPr>
    </w:p>
    <w:p w14:paraId="698E4FC7" w14:textId="77777777" w:rsidR="00280DC9" w:rsidRDefault="00280DC9" w:rsidP="006D299A">
      <w:pPr>
        <w:spacing w:line="360" w:lineRule="auto"/>
        <w:jc w:val="both"/>
        <w:rPr>
          <w:rFonts w:ascii="Times New Roman" w:hAnsi="Times New Roman" w:cs="Times New Roman"/>
          <w:b/>
          <w:bCs/>
          <w:sz w:val="28"/>
          <w:szCs w:val="28"/>
        </w:rPr>
      </w:pPr>
    </w:p>
    <w:p w14:paraId="3CA57AC0" w14:textId="77777777" w:rsidR="00280DC9" w:rsidRDefault="00280DC9" w:rsidP="006D299A">
      <w:pPr>
        <w:spacing w:line="360" w:lineRule="auto"/>
        <w:jc w:val="both"/>
        <w:rPr>
          <w:rFonts w:ascii="Times New Roman" w:hAnsi="Times New Roman" w:cs="Times New Roman"/>
          <w:b/>
          <w:bCs/>
          <w:sz w:val="28"/>
          <w:szCs w:val="28"/>
        </w:rPr>
      </w:pPr>
    </w:p>
    <w:p w14:paraId="01B9FF05" w14:textId="77777777" w:rsidR="00280DC9" w:rsidRDefault="00280DC9" w:rsidP="006D299A">
      <w:pPr>
        <w:spacing w:line="360" w:lineRule="auto"/>
        <w:jc w:val="both"/>
        <w:rPr>
          <w:rFonts w:ascii="Times New Roman" w:hAnsi="Times New Roman" w:cs="Times New Roman"/>
          <w:b/>
          <w:bCs/>
          <w:sz w:val="28"/>
          <w:szCs w:val="28"/>
        </w:rPr>
      </w:pPr>
    </w:p>
    <w:p w14:paraId="1CB64C61" w14:textId="77777777" w:rsidR="00280DC9" w:rsidRDefault="00280DC9" w:rsidP="006D299A">
      <w:pPr>
        <w:spacing w:line="360" w:lineRule="auto"/>
        <w:jc w:val="both"/>
        <w:rPr>
          <w:rFonts w:ascii="Times New Roman" w:hAnsi="Times New Roman" w:cs="Times New Roman"/>
          <w:b/>
          <w:bCs/>
          <w:sz w:val="28"/>
          <w:szCs w:val="28"/>
        </w:rPr>
      </w:pPr>
    </w:p>
    <w:p w14:paraId="22E0F66A" w14:textId="77777777" w:rsidR="00280DC9" w:rsidRDefault="006D299A" w:rsidP="00280DC9">
      <w:pPr>
        <w:pStyle w:val="Heading1"/>
        <w:spacing w:after="240"/>
      </w:pPr>
      <w:bookmarkStart w:id="2" w:name="_Toc133694455"/>
      <w:r w:rsidRPr="006D299A">
        <w:lastRenderedPageBreak/>
        <w:t>Introduction</w:t>
      </w:r>
      <w:bookmarkEnd w:id="2"/>
    </w:p>
    <w:p w14:paraId="31AE3807" w14:textId="3CB5BB58" w:rsidR="006D299A" w:rsidRPr="00280DC9" w:rsidRDefault="00985D0C" w:rsidP="00280DC9">
      <w:pPr>
        <w:spacing w:line="360" w:lineRule="auto"/>
        <w:jc w:val="both"/>
        <w:rPr>
          <w:rFonts w:ascii="Times New Roman" w:hAnsi="Times New Roman" w:cs="Times New Roman"/>
          <w:sz w:val="24"/>
          <w:szCs w:val="24"/>
        </w:rPr>
      </w:pPr>
      <w:r w:rsidRPr="00280DC9">
        <w:rPr>
          <w:rFonts w:ascii="Times New Roman" w:hAnsi="Times New Roman" w:cs="Times New Roman"/>
          <w:sz w:val="24"/>
          <w:szCs w:val="24"/>
        </w:rPr>
        <w:t xml:space="preserve">The essay considers the case of Tesco – a public retail company with more than a century of </w:t>
      </w:r>
      <w:r w:rsidR="00330122" w:rsidRPr="00280DC9">
        <w:rPr>
          <w:rFonts w:ascii="Times New Roman" w:hAnsi="Times New Roman" w:cs="Times New Roman"/>
          <w:sz w:val="24"/>
          <w:szCs w:val="24"/>
        </w:rPr>
        <w:t>existence</w:t>
      </w:r>
      <w:r w:rsidR="00127FFB" w:rsidRPr="00280DC9">
        <w:rPr>
          <w:rFonts w:ascii="Times New Roman" w:hAnsi="Times New Roman" w:cs="Times New Roman"/>
          <w:sz w:val="24"/>
          <w:szCs w:val="24"/>
        </w:rPr>
        <w:t xml:space="preserve"> </w:t>
      </w:r>
      <w:r w:rsidRPr="00280DC9">
        <w:rPr>
          <w:rFonts w:ascii="Times New Roman" w:hAnsi="Times New Roman" w:cs="Times New Roman"/>
          <w:sz w:val="24"/>
          <w:szCs w:val="24"/>
        </w:rPr>
        <w:t xml:space="preserve">(Reuters, 2023; BSH, 2023). Tesco is the market leader with more than 27% in market share; hence, its performance could be indicative of the entire sector (Marketing Week, 2023). </w:t>
      </w:r>
      <w:r w:rsidR="002438A1" w:rsidRPr="00280DC9">
        <w:rPr>
          <w:rFonts w:ascii="Times New Roman" w:hAnsi="Times New Roman" w:cs="Times New Roman"/>
          <w:sz w:val="24"/>
          <w:szCs w:val="24"/>
        </w:rPr>
        <w:t xml:space="preserve">With annual revenue of £65.8 billion and </w:t>
      </w:r>
      <w:r w:rsidRPr="00280DC9">
        <w:rPr>
          <w:rFonts w:ascii="Times New Roman" w:hAnsi="Times New Roman" w:cs="Times New Roman"/>
          <w:sz w:val="24"/>
          <w:szCs w:val="24"/>
        </w:rPr>
        <w:t>market capitalisation of £20.4 billion, as of April 2023</w:t>
      </w:r>
      <w:r w:rsidR="002438A1" w:rsidRPr="00280DC9">
        <w:rPr>
          <w:rFonts w:ascii="Times New Roman" w:hAnsi="Times New Roman" w:cs="Times New Roman"/>
          <w:sz w:val="24"/>
          <w:szCs w:val="24"/>
        </w:rPr>
        <w:t xml:space="preserve">, Tesco is a structurally important retailer </w:t>
      </w:r>
      <w:r w:rsidRPr="00280DC9">
        <w:rPr>
          <w:rFonts w:ascii="Times New Roman" w:hAnsi="Times New Roman" w:cs="Times New Roman"/>
          <w:sz w:val="24"/>
          <w:szCs w:val="24"/>
        </w:rPr>
        <w:t>(Reuters, 2023). The essay provides a critical discussion of dividend policies, investment appraisal methods and efficient market hypothesis.</w:t>
      </w:r>
    </w:p>
    <w:p w14:paraId="6734B55E" w14:textId="3AAA046D" w:rsidR="006D299A" w:rsidRPr="006D299A" w:rsidRDefault="006D299A" w:rsidP="00280DC9">
      <w:pPr>
        <w:pStyle w:val="Heading1"/>
        <w:spacing w:before="0" w:after="240"/>
      </w:pPr>
      <w:bookmarkStart w:id="3" w:name="_Toc133694456"/>
      <w:r w:rsidRPr="006D299A">
        <w:t>Main body</w:t>
      </w:r>
      <w:bookmarkEnd w:id="3"/>
    </w:p>
    <w:p w14:paraId="5679BB85" w14:textId="75F36AFC" w:rsidR="006D299A" w:rsidRPr="006D299A" w:rsidRDefault="006D299A" w:rsidP="00280DC9">
      <w:pPr>
        <w:pStyle w:val="Heading2"/>
        <w:spacing w:before="0"/>
      </w:pPr>
      <w:bookmarkStart w:id="4" w:name="_Toc133694457"/>
      <w:r w:rsidRPr="006D299A">
        <w:t>Dividend distribution policy</w:t>
      </w:r>
      <w:bookmarkEnd w:id="4"/>
    </w:p>
    <w:p w14:paraId="330A8D1F" w14:textId="50AE68AA" w:rsidR="00C37CCF" w:rsidRDefault="00C37CCF"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Dividends are money paid to shareholders usually once per year as a part of the realised profits (Arnold, 2012). Tesco has a strategy of gradually increasing the level of dividends on a consistent basis. Currently, the company aims at distributing 50% of its earnings as dividends to shareholders (Tesco, 2023). </w:t>
      </w:r>
      <w:r w:rsidR="00F33DA1">
        <w:rPr>
          <w:rFonts w:ascii="Times New Roman" w:hAnsi="Times New Roman" w:cs="Times New Roman"/>
          <w:sz w:val="24"/>
          <w:szCs w:val="24"/>
        </w:rPr>
        <w:t>In 2022, Tesco had a net profit of £2.2 billion (Tesco, 2023). In total, the company paid £7</w:t>
      </w:r>
      <w:r w:rsidR="0068015C">
        <w:rPr>
          <w:rFonts w:ascii="Times New Roman" w:hAnsi="Times New Roman" w:cs="Times New Roman"/>
          <w:sz w:val="24"/>
          <w:szCs w:val="24"/>
        </w:rPr>
        <w:t>31</w:t>
      </w:r>
      <w:r w:rsidR="00F33DA1">
        <w:rPr>
          <w:rFonts w:ascii="Times New Roman" w:hAnsi="Times New Roman" w:cs="Times New Roman"/>
          <w:sz w:val="24"/>
          <w:szCs w:val="24"/>
        </w:rPr>
        <w:t xml:space="preserve"> million to shareholders for the same period (Tesco, 2023). This means that Tesco distributed </w:t>
      </w:r>
      <w:r w:rsidR="0044337B">
        <w:rPr>
          <w:rFonts w:ascii="Times New Roman" w:hAnsi="Times New Roman" w:cs="Times New Roman"/>
          <w:sz w:val="24"/>
          <w:szCs w:val="24"/>
        </w:rPr>
        <w:t>3</w:t>
      </w:r>
      <w:r w:rsidR="0068015C">
        <w:rPr>
          <w:rFonts w:ascii="Times New Roman" w:hAnsi="Times New Roman" w:cs="Times New Roman"/>
          <w:sz w:val="24"/>
          <w:szCs w:val="24"/>
        </w:rPr>
        <w:t>3.2</w:t>
      </w:r>
      <w:r w:rsidR="0044337B">
        <w:rPr>
          <w:rFonts w:ascii="Times New Roman" w:hAnsi="Times New Roman" w:cs="Times New Roman"/>
          <w:sz w:val="24"/>
          <w:szCs w:val="24"/>
        </w:rPr>
        <w:t>% of its profit to shareholders – below the objective</w:t>
      </w:r>
      <w:r w:rsidR="0068015C">
        <w:rPr>
          <w:rFonts w:ascii="Times New Roman" w:hAnsi="Times New Roman" w:cs="Times New Roman"/>
          <w:sz w:val="24"/>
          <w:szCs w:val="24"/>
        </w:rPr>
        <w:t xml:space="preserve"> of 50%</w:t>
      </w:r>
      <w:r w:rsidR="0044337B">
        <w:rPr>
          <w:rFonts w:ascii="Times New Roman" w:hAnsi="Times New Roman" w:cs="Times New Roman"/>
          <w:sz w:val="24"/>
          <w:szCs w:val="24"/>
        </w:rPr>
        <w:t xml:space="preserve">. </w:t>
      </w:r>
    </w:p>
    <w:p w14:paraId="5F1CCB2B" w14:textId="2BC8099E" w:rsidR="00F33DA1" w:rsidRDefault="00C37CCF"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distributed 10.9 pence per share as dividend in 2022 (Tesco, 2023). This is an increase by 19.1% in comparison to 2021 (Tesco, 2023). </w:t>
      </w:r>
      <w:r w:rsidR="0044337B">
        <w:rPr>
          <w:rFonts w:ascii="Times New Roman" w:hAnsi="Times New Roman" w:cs="Times New Roman"/>
          <w:sz w:val="24"/>
          <w:szCs w:val="24"/>
        </w:rPr>
        <w:t>The following chart shows the distributed dividend in the last five years. It is worth noting that Tesco has managed to consistently increase the size of its dividends in real terms (Tesco, 2023).</w:t>
      </w:r>
    </w:p>
    <w:p w14:paraId="28611A1C" w14:textId="0A42CABB" w:rsidR="0044337B" w:rsidRPr="0044337B" w:rsidRDefault="0044337B" w:rsidP="00330122">
      <w:pPr>
        <w:spacing w:after="0" w:line="360" w:lineRule="auto"/>
        <w:jc w:val="both"/>
        <w:rPr>
          <w:rFonts w:ascii="Times New Roman" w:hAnsi="Times New Roman" w:cs="Times New Roman"/>
          <w:b/>
          <w:bCs/>
          <w:sz w:val="24"/>
          <w:szCs w:val="24"/>
        </w:rPr>
      </w:pPr>
      <w:r w:rsidRPr="0044337B">
        <w:rPr>
          <w:rFonts w:ascii="Times New Roman" w:hAnsi="Times New Roman" w:cs="Times New Roman"/>
          <w:b/>
          <w:bCs/>
          <w:sz w:val="24"/>
          <w:szCs w:val="24"/>
        </w:rPr>
        <w:t>Figure 1 – Paid dividend per share</w:t>
      </w:r>
      <w:r w:rsidR="00C41CDF">
        <w:rPr>
          <w:rFonts w:ascii="Times New Roman" w:hAnsi="Times New Roman" w:cs="Times New Roman"/>
          <w:b/>
          <w:bCs/>
          <w:sz w:val="24"/>
          <w:szCs w:val="24"/>
        </w:rPr>
        <w:t xml:space="preserve"> (pence)</w:t>
      </w:r>
    </w:p>
    <w:p w14:paraId="64847A64" w14:textId="37EAB583" w:rsidR="0044337B" w:rsidRDefault="00C41CDF" w:rsidP="00330122">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DEDB50F" wp14:editId="6749EC08">
            <wp:extent cx="4361802" cy="2571750"/>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5066" cy="2591363"/>
                    </a:xfrm>
                    <a:prstGeom prst="rect">
                      <a:avLst/>
                    </a:prstGeom>
                    <a:noFill/>
                  </pic:spPr>
                </pic:pic>
              </a:graphicData>
            </a:graphic>
          </wp:inline>
        </w:drawing>
      </w:r>
    </w:p>
    <w:p w14:paraId="7CF812F6" w14:textId="6ACB03EF" w:rsidR="00F33DA1" w:rsidRPr="00330122" w:rsidRDefault="0044337B" w:rsidP="006D299A">
      <w:pPr>
        <w:spacing w:line="360" w:lineRule="auto"/>
        <w:jc w:val="both"/>
        <w:rPr>
          <w:rFonts w:ascii="Times New Roman" w:hAnsi="Times New Roman" w:cs="Times New Roman"/>
          <w:i/>
          <w:iCs/>
          <w:sz w:val="24"/>
          <w:szCs w:val="24"/>
        </w:rPr>
      </w:pPr>
      <w:r w:rsidRPr="0044337B">
        <w:rPr>
          <w:rFonts w:ascii="Times New Roman" w:hAnsi="Times New Roman" w:cs="Times New Roman"/>
          <w:i/>
          <w:iCs/>
          <w:sz w:val="24"/>
          <w:szCs w:val="24"/>
        </w:rPr>
        <w:t>Source: Tesco (2023)</w:t>
      </w:r>
    </w:p>
    <w:p w14:paraId="2F14B258" w14:textId="5C8D9D7F" w:rsidR="00C37CCF" w:rsidRDefault="00C37CCF"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terms of dividend yield, a value of 4.</w:t>
      </w:r>
      <w:r w:rsidR="007B3B09">
        <w:rPr>
          <w:rFonts w:ascii="Times New Roman" w:hAnsi="Times New Roman" w:cs="Times New Roman"/>
          <w:sz w:val="24"/>
          <w:szCs w:val="24"/>
        </w:rPr>
        <w:t>0</w:t>
      </w:r>
      <w:r>
        <w:rPr>
          <w:rFonts w:ascii="Times New Roman" w:hAnsi="Times New Roman" w:cs="Times New Roman"/>
          <w:sz w:val="24"/>
          <w:szCs w:val="24"/>
        </w:rPr>
        <w:t xml:space="preserve">5% </w:t>
      </w:r>
      <w:r w:rsidR="007B3B09">
        <w:rPr>
          <w:rFonts w:ascii="Times New Roman" w:hAnsi="Times New Roman" w:cs="Times New Roman"/>
          <w:sz w:val="24"/>
          <w:szCs w:val="24"/>
        </w:rPr>
        <w:t>was achieved (Tesco, 2023). The yield is calculated by considering the average share price of 268.5 pence for 2022 (Tesco, 2023). The dividend yield is higher than the risk-free rate of 1.38%</w:t>
      </w:r>
      <w:r w:rsidR="000C2CDA">
        <w:rPr>
          <w:rFonts w:ascii="Times New Roman" w:hAnsi="Times New Roman" w:cs="Times New Roman"/>
          <w:sz w:val="24"/>
          <w:szCs w:val="24"/>
        </w:rPr>
        <w:t>,</w:t>
      </w:r>
      <w:r w:rsidR="007B3B09">
        <w:rPr>
          <w:rFonts w:ascii="Times New Roman" w:hAnsi="Times New Roman" w:cs="Times New Roman"/>
          <w:sz w:val="24"/>
          <w:szCs w:val="24"/>
        </w:rPr>
        <w:t xml:space="preserve"> applicable for year 2022 (Tesco, 2023). This is a positive development because Tesco’s share is more volatile and the premium return on company’s dividend adequately reflects the level of risk for shareholders. </w:t>
      </w:r>
    </w:p>
    <w:p w14:paraId="59ACFAC7" w14:textId="1F1F4A52" w:rsidR="00C37CCF" w:rsidRDefault="00BF4C47"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chart compares the value of Tesco’s share and distributed dividends vis-à-vis the performance of the FTSE 100 index. This comparison is relevant because Tesco is a constituent of the index. Findings indicated that the FTSE 100 index increased by 85% during the analysed 10-year period (Tesco, 2023). In contrast, Tesco managed to add only 17% to the value of shareholders – considerably lagging the index (Tesco, 2023). The negative impact of the accounting scandal in 2014-2015 is also evident due to the considerable decline in Tesco’s value in this period (Tesco, 2023). It is also worth noting that Tesco has performed relatively well in the last several years when compared to the FTSE 100 value (Tesco, 2023). </w:t>
      </w:r>
    </w:p>
    <w:p w14:paraId="753A1077" w14:textId="15EBEBB3" w:rsidR="00C37CCF" w:rsidRPr="00837CBF" w:rsidRDefault="000C2CDA" w:rsidP="009C2D2D">
      <w:pPr>
        <w:spacing w:after="0" w:line="360" w:lineRule="auto"/>
        <w:jc w:val="both"/>
        <w:rPr>
          <w:rFonts w:ascii="Times New Roman" w:hAnsi="Times New Roman" w:cs="Times New Roman"/>
          <w:b/>
          <w:bCs/>
          <w:sz w:val="24"/>
          <w:szCs w:val="24"/>
        </w:rPr>
      </w:pPr>
      <w:r w:rsidRPr="00837CBF">
        <w:rPr>
          <w:rFonts w:ascii="Times New Roman" w:hAnsi="Times New Roman" w:cs="Times New Roman"/>
          <w:b/>
          <w:bCs/>
          <w:sz w:val="24"/>
          <w:szCs w:val="24"/>
        </w:rPr>
        <w:t xml:space="preserve">Figure 2 – Comparison of </w:t>
      </w:r>
      <w:r w:rsidR="00132A5B">
        <w:rPr>
          <w:rFonts w:ascii="Times New Roman" w:hAnsi="Times New Roman" w:cs="Times New Roman"/>
          <w:b/>
          <w:bCs/>
          <w:sz w:val="24"/>
          <w:szCs w:val="24"/>
        </w:rPr>
        <w:t xml:space="preserve">returns: </w:t>
      </w:r>
      <w:r w:rsidRPr="00837CBF">
        <w:rPr>
          <w:rFonts w:ascii="Times New Roman" w:hAnsi="Times New Roman" w:cs="Times New Roman"/>
          <w:b/>
          <w:bCs/>
          <w:sz w:val="24"/>
          <w:szCs w:val="24"/>
        </w:rPr>
        <w:t xml:space="preserve">Tesco’s share vis-à-vis </w:t>
      </w:r>
      <w:r w:rsidR="00132A5B">
        <w:rPr>
          <w:rFonts w:ascii="Times New Roman" w:hAnsi="Times New Roman" w:cs="Times New Roman"/>
          <w:b/>
          <w:bCs/>
          <w:sz w:val="24"/>
          <w:szCs w:val="24"/>
        </w:rPr>
        <w:t xml:space="preserve">the </w:t>
      </w:r>
      <w:r w:rsidRPr="00837CBF">
        <w:rPr>
          <w:rFonts w:ascii="Times New Roman" w:hAnsi="Times New Roman" w:cs="Times New Roman"/>
          <w:b/>
          <w:bCs/>
          <w:sz w:val="24"/>
          <w:szCs w:val="24"/>
        </w:rPr>
        <w:t>FTSE 100</w:t>
      </w:r>
      <w:r w:rsidR="00837CBF" w:rsidRPr="00837CBF">
        <w:rPr>
          <w:rFonts w:ascii="Times New Roman" w:hAnsi="Times New Roman" w:cs="Times New Roman"/>
          <w:b/>
          <w:bCs/>
          <w:sz w:val="24"/>
          <w:szCs w:val="24"/>
        </w:rPr>
        <w:t xml:space="preserve"> index</w:t>
      </w:r>
    </w:p>
    <w:p w14:paraId="17816328" w14:textId="13509371" w:rsidR="006D299A" w:rsidRPr="006D299A" w:rsidRDefault="00C37CCF" w:rsidP="009C2D2D">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2616BF5" wp14:editId="7DC17B7B">
            <wp:extent cx="5753100" cy="1619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1619250"/>
                    </a:xfrm>
                    <a:prstGeom prst="rect">
                      <a:avLst/>
                    </a:prstGeom>
                    <a:noFill/>
                    <a:ln>
                      <a:noFill/>
                    </a:ln>
                  </pic:spPr>
                </pic:pic>
              </a:graphicData>
            </a:graphic>
          </wp:inline>
        </w:drawing>
      </w:r>
    </w:p>
    <w:p w14:paraId="1183C5C9" w14:textId="6F8FB029" w:rsidR="006D299A" w:rsidRPr="00837CBF" w:rsidRDefault="00837CBF" w:rsidP="006D299A">
      <w:pPr>
        <w:spacing w:line="360" w:lineRule="auto"/>
        <w:jc w:val="both"/>
        <w:rPr>
          <w:rFonts w:ascii="Times New Roman" w:hAnsi="Times New Roman" w:cs="Times New Roman"/>
          <w:i/>
          <w:iCs/>
          <w:sz w:val="24"/>
          <w:szCs w:val="24"/>
        </w:rPr>
      </w:pPr>
      <w:r w:rsidRPr="00837CBF">
        <w:rPr>
          <w:rFonts w:ascii="Times New Roman" w:hAnsi="Times New Roman" w:cs="Times New Roman"/>
          <w:i/>
          <w:iCs/>
          <w:sz w:val="24"/>
          <w:szCs w:val="24"/>
        </w:rPr>
        <w:t>Source: Tesco (2023)</w:t>
      </w:r>
    </w:p>
    <w:p w14:paraId="55500566" w14:textId="69EDB73D" w:rsidR="001C3C51" w:rsidRPr="006D299A" w:rsidRDefault="003A292C"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dividend distribution policy of Tesco is relatively adequate. Findings shows the ability of Tesco to consistently increase dividend payments per share, as well as offer returns higher than the risk-free rate. Nevertheless, Tesco must further strengthen its performance and meet its 50% profit distribution objective. This may also stimulate the share price growth prospects, so that Tesco meets the performance of the general index.  </w:t>
      </w:r>
    </w:p>
    <w:p w14:paraId="6AD8F6CB" w14:textId="5C923B07" w:rsidR="001C3C51" w:rsidRPr="004902B0" w:rsidRDefault="004902B0" w:rsidP="00280DC9">
      <w:pPr>
        <w:pStyle w:val="Heading2"/>
        <w:spacing w:before="0"/>
      </w:pPr>
      <w:bookmarkStart w:id="5" w:name="_Toc133694458"/>
      <w:r w:rsidRPr="004902B0">
        <w:t xml:space="preserve">Efficient market hypothesis </w:t>
      </w:r>
      <w:r>
        <w:t>(EMH)</w:t>
      </w:r>
      <w:bookmarkEnd w:id="5"/>
    </w:p>
    <w:p w14:paraId="42FFB109" w14:textId="37D23ABE" w:rsidR="004902B0" w:rsidRDefault="006E0DEA"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EMH emphasises on the efficiency of capital markets (Fama, 1970). The theory assumes that all securities have a fair price which accurately reflects all available information to market participants (Fama, 1970). </w:t>
      </w:r>
      <w:r w:rsidR="00BF628F">
        <w:rPr>
          <w:rFonts w:ascii="Times New Roman" w:hAnsi="Times New Roman" w:cs="Times New Roman"/>
          <w:sz w:val="24"/>
          <w:szCs w:val="24"/>
        </w:rPr>
        <w:t xml:space="preserve">Information availability and instantaneous access to information are two main pillars of EMH supporting market the argument for market efficiency. Based on this, </w:t>
      </w:r>
      <w:r w:rsidR="00BF628F">
        <w:rPr>
          <w:rFonts w:ascii="Times New Roman" w:hAnsi="Times New Roman" w:cs="Times New Roman"/>
          <w:sz w:val="24"/>
          <w:szCs w:val="24"/>
        </w:rPr>
        <w:lastRenderedPageBreak/>
        <w:t xml:space="preserve">EMH suggests that asset prices are fairly determined and any discrepancies between the fair and actual values are quickly removed in efficient markets (Fama, 1970). It is also worth noting that asset prices tend to engage in a “random walk” </w:t>
      </w:r>
      <w:r w:rsidR="00F65DF0">
        <w:rPr>
          <w:rFonts w:ascii="Times New Roman" w:hAnsi="Times New Roman" w:cs="Times New Roman"/>
          <w:sz w:val="24"/>
          <w:szCs w:val="24"/>
        </w:rPr>
        <w:t xml:space="preserve">type of </w:t>
      </w:r>
      <w:r w:rsidR="00BF628F">
        <w:rPr>
          <w:rFonts w:ascii="Times New Roman" w:hAnsi="Times New Roman" w:cs="Times New Roman"/>
          <w:sz w:val="24"/>
          <w:szCs w:val="24"/>
        </w:rPr>
        <w:t xml:space="preserve">movement </w:t>
      </w:r>
      <w:r w:rsidR="00F65DF0">
        <w:rPr>
          <w:rFonts w:ascii="Times New Roman" w:hAnsi="Times New Roman" w:cs="Times New Roman"/>
          <w:sz w:val="24"/>
          <w:szCs w:val="24"/>
        </w:rPr>
        <w:t xml:space="preserve">over time </w:t>
      </w:r>
      <w:r w:rsidR="00BF628F">
        <w:rPr>
          <w:rFonts w:ascii="Times New Roman" w:hAnsi="Times New Roman" w:cs="Times New Roman"/>
          <w:sz w:val="24"/>
          <w:szCs w:val="24"/>
        </w:rPr>
        <w:t xml:space="preserve">(Fama, 1970). </w:t>
      </w:r>
    </w:p>
    <w:p w14:paraId="6595FB6A" w14:textId="48A1B37A" w:rsidR="00BF628F" w:rsidRPr="006D299A" w:rsidRDefault="00BF628F"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key propositions of EMH have considerable implications on investors and decision makers at capital markets. The existence of fair price means that investment decisions are based on rationality. Moreover, all information is available to market participants, and no one can gain competitive edge and generate excessive returns (Fama, 1970). In a random walk environment, any form of additional analysis – fundamental or technical – is irrelevant for predicting asset prices under the EMH propositions. </w:t>
      </w:r>
    </w:p>
    <w:p w14:paraId="7AF729F2" w14:textId="6C32C79E" w:rsidR="00451619" w:rsidRDefault="00A55DA8"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Overreliance on EMH should be avoided by Tesco’s decision makers in real-life. There are certain assumptions behind EMH which do not reflect the actual situation in the marketplace. First, there are transaction costs which make markets less efficient than proposed in the mod</w:t>
      </w:r>
      <w:r w:rsidR="00280DC9">
        <w:rPr>
          <w:rFonts w:ascii="Times New Roman" w:hAnsi="Times New Roman" w:cs="Times New Roman"/>
          <w:sz w:val="24"/>
          <w:szCs w:val="24"/>
        </w:rPr>
        <w:t>el</w:t>
      </w:r>
      <w:r>
        <w:rPr>
          <w:rFonts w:ascii="Times New Roman" w:hAnsi="Times New Roman" w:cs="Times New Roman"/>
          <w:sz w:val="24"/>
          <w:szCs w:val="24"/>
        </w:rPr>
        <w:t xml:space="preserve">. Second, there may be insiders in real life who have more information than ordinary investors. </w:t>
      </w:r>
      <w:r w:rsidR="00451619">
        <w:rPr>
          <w:rFonts w:ascii="Times New Roman" w:hAnsi="Times New Roman" w:cs="Times New Roman"/>
          <w:sz w:val="24"/>
          <w:szCs w:val="24"/>
        </w:rPr>
        <w:t xml:space="preserve">In general, insider trading continues to happen in some cases, </w:t>
      </w:r>
      <w:r w:rsidR="00280DC9">
        <w:rPr>
          <w:rFonts w:ascii="Times New Roman" w:hAnsi="Times New Roman" w:cs="Times New Roman"/>
          <w:sz w:val="24"/>
          <w:szCs w:val="24"/>
        </w:rPr>
        <w:t>even though</w:t>
      </w:r>
      <w:r w:rsidR="00451619">
        <w:rPr>
          <w:rFonts w:ascii="Times New Roman" w:hAnsi="Times New Roman" w:cs="Times New Roman"/>
          <w:sz w:val="24"/>
          <w:szCs w:val="24"/>
        </w:rPr>
        <w:t xml:space="preserve"> it is illegal (</w:t>
      </w:r>
      <w:r w:rsidR="00280DC9">
        <w:rPr>
          <w:rFonts w:ascii="Times New Roman" w:hAnsi="Times New Roman" w:cs="Times New Roman"/>
          <w:sz w:val="24"/>
          <w:szCs w:val="24"/>
        </w:rPr>
        <w:t>CLS, 2023</w:t>
      </w:r>
      <w:r w:rsidR="00451619">
        <w:rPr>
          <w:rFonts w:ascii="Times New Roman" w:hAnsi="Times New Roman" w:cs="Times New Roman"/>
          <w:sz w:val="24"/>
          <w:szCs w:val="24"/>
        </w:rPr>
        <w:t>).</w:t>
      </w:r>
    </w:p>
    <w:p w14:paraId="0649529E" w14:textId="7C237ECA" w:rsidR="001C3C51" w:rsidRDefault="00A55DA8"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it is worth mentioning that investors are human beings and have emotions. It is argued that there is herding at markets and emotional decision-making based on fear, greed and other emotions – key postulates of behavioural finance (</w:t>
      </w:r>
      <w:r w:rsidR="00280DC9">
        <w:rPr>
          <w:rFonts w:ascii="Times New Roman" w:hAnsi="Times New Roman" w:cs="Times New Roman"/>
          <w:sz w:val="24"/>
          <w:szCs w:val="24"/>
        </w:rPr>
        <w:t>Kumar, 2017</w:t>
      </w:r>
      <w:r>
        <w:rPr>
          <w:rFonts w:ascii="Times New Roman" w:hAnsi="Times New Roman" w:cs="Times New Roman"/>
          <w:sz w:val="24"/>
          <w:szCs w:val="24"/>
        </w:rPr>
        <w:t xml:space="preserve">). Therefore, asset prices may diverge from their fair value based on the dominant market sentiment. </w:t>
      </w:r>
    </w:p>
    <w:p w14:paraId="00F3C54A" w14:textId="4FE3FE04" w:rsidR="00A55DA8" w:rsidRDefault="00A55DA8"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following chart about the share price of Tesco in the last 12 months is presented. </w:t>
      </w:r>
      <w:r w:rsidR="009C2D2D">
        <w:rPr>
          <w:rFonts w:ascii="Times New Roman" w:hAnsi="Times New Roman" w:cs="Times New Roman"/>
          <w:sz w:val="24"/>
          <w:szCs w:val="24"/>
        </w:rPr>
        <w:t>The price is trending: decline between May and October 2022, followed by an uptrend (Reuters, 2023). Such price changes are far from being categorised as random walk. Apparently, there are patterns which violate the EMH’s propositions for random walk.</w:t>
      </w:r>
    </w:p>
    <w:p w14:paraId="0FB0F2E7" w14:textId="77777777" w:rsidR="009C2D2D" w:rsidRDefault="009C2D2D" w:rsidP="006D299A">
      <w:pPr>
        <w:spacing w:line="360" w:lineRule="auto"/>
        <w:jc w:val="both"/>
        <w:rPr>
          <w:rFonts w:ascii="Times New Roman" w:hAnsi="Times New Roman" w:cs="Times New Roman"/>
          <w:sz w:val="24"/>
          <w:szCs w:val="24"/>
        </w:rPr>
      </w:pPr>
    </w:p>
    <w:p w14:paraId="0255159A" w14:textId="77777777" w:rsidR="009C2D2D" w:rsidRDefault="009C2D2D" w:rsidP="006D299A">
      <w:pPr>
        <w:spacing w:line="360" w:lineRule="auto"/>
        <w:jc w:val="both"/>
        <w:rPr>
          <w:rFonts w:ascii="Times New Roman" w:hAnsi="Times New Roman" w:cs="Times New Roman"/>
          <w:sz w:val="24"/>
          <w:szCs w:val="24"/>
        </w:rPr>
      </w:pPr>
    </w:p>
    <w:p w14:paraId="17BB1FFD" w14:textId="77777777" w:rsidR="009C2D2D" w:rsidRDefault="009C2D2D" w:rsidP="006D299A">
      <w:pPr>
        <w:spacing w:line="360" w:lineRule="auto"/>
        <w:jc w:val="both"/>
        <w:rPr>
          <w:rFonts w:ascii="Times New Roman" w:hAnsi="Times New Roman" w:cs="Times New Roman"/>
          <w:sz w:val="24"/>
          <w:szCs w:val="24"/>
        </w:rPr>
      </w:pPr>
    </w:p>
    <w:p w14:paraId="699DBBFF" w14:textId="77777777" w:rsidR="009C2D2D" w:rsidRDefault="009C2D2D" w:rsidP="006D299A">
      <w:pPr>
        <w:spacing w:line="360" w:lineRule="auto"/>
        <w:jc w:val="both"/>
        <w:rPr>
          <w:rFonts w:ascii="Times New Roman" w:hAnsi="Times New Roman" w:cs="Times New Roman"/>
          <w:sz w:val="24"/>
          <w:szCs w:val="24"/>
        </w:rPr>
      </w:pPr>
    </w:p>
    <w:p w14:paraId="55E4162C" w14:textId="77777777" w:rsidR="009C2D2D" w:rsidRDefault="009C2D2D" w:rsidP="006D299A">
      <w:pPr>
        <w:spacing w:line="360" w:lineRule="auto"/>
        <w:jc w:val="both"/>
        <w:rPr>
          <w:rFonts w:ascii="Times New Roman" w:hAnsi="Times New Roman" w:cs="Times New Roman"/>
          <w:sz w:val="24"/>
          <w:szCs w:val="24"/>
        </w:rPr>
      </w:pPr>
    </w:p>
    <w:p w14:paraId="1D79601C" w14:textId="77777777" w:rsidR="00451619" w:rsidRDefault="00451619" w:rsidP="006D299A">
      <w:pPr>
        <w:spacing w:line="360" w:lineRule="auto"/>
        <w:jc w:val="both"/>
        <w:rPr>
          <w:rFonts w:ascii="Times New Roman" w:hAnsi="Times New Roman" w:cs="Times New Roman"/>
          <w:sz w:val="24"/>
          <w:szCs w:val="24"/>
        </w:rPr>
      </w:pPr>
    </w:p>
    <w:p w14:paraId="7DFC93C0" w14:textId="63477D4D" w:rsidR="009C2D2D" w:rsidRPr="009C2D2D" w:rsidRDefault="009C2D2D" w:rsidP="006D299A">
      <w:pPr>
        <w:spacing w:line="360" w:lineRule="auto"/>
        <w:jc w:val="both"/>
        <w:rPr>
          <w:rFonts w:ascii="Times New Roman" w:hAnsi="Times New Roman" w:cs="Times New Roman"/>
          <w:b/>
          <w:bCs/>
          <w:sz w:val="24"/>
          <w:szCs w:val="24"/>
        </w:rPr>
      </w:pPr>
      <w:r w:rsidRPr="009C2D2D">
        <w:rPr>
          <w:rFonts w:ascii="Times New Roman" w:hAnsi="Times New Roman" w:cs="Times New Roman"/>
          <w:b/>
          <w:bCs/>
          <w:sz w:val="24"/>
          <w:szCs w:val="24"/>
        </w:rPr>
        <w:lastRenderedPageBreak/>
        <w:t xml:space="preserve">Figure 3 – Tesco’s share price change </w:t>
      </w:r>
      <w:r>
        <w:rPr>
          <w:rFonts w:ascii="Times New Roman" w:hAnsi="Times New Roman" w:cs="Times New Roman"/>
          <w:b/>
          <w:bCs/>
          <w:sz w:val="24"/>
          <w:szCs w:val="24"/>
        </w:rPr>
        <w:t>(pence)</w:t>
      </w:r>
    </w:p>
    <w:p w14:paraId="1B7BD3AA" w14:textId="235BD5D8" w:rsidR="001C3C51" w:rsidRDefault="009C2D2D" w:rsidP="006D299A">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96D998E" wp14:editId="516ED715">
            <wp:extent cx="5665736" cy="3057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71700" cy="3060744"/>
                    </a:xfrm>
                    <a:prstGeom prst="rect">
                      <a:avLst/>
                    </a:prstGeom>
                    <a:noFill/>
                    <a:ln>
                      <a:noFill/>
                    </a:ln>
                  </pic:spPr>
                </pic:pic>
              </a:graphicData>
            </a:graphic>
          </wp:inline>
        </w:drawing>
      </w:r>
    </w:p>
    <w:p w14:paraId="298D9041" w14:textId="63053B14" w:rsidR="009C2D2D" w:rsidRPr="009C2D2D" w:rsidRDefault="009C2D2D" w:rsidP="006D299A">
      <w:pPr>
        <w:spacing w:line="360" w:lineRule="auto"/>
        <w:jc w:val="both"/>
        <w:rPr>
          <w:rFonts w:ascii="Times New Roman" w:hAnsi="Times New Roman" w:cs="Times New Roman"/>
          <w:i/>
          <w:iCs/>
          <w:sz w:val="24"/>
          <w:szCs w:val="24"/>
        </w:rPr>
      </w:pPr>
      <w:r w:rsidRPr="009C2D2D">
        <w:rPr>
          <w:rFonts w:ascii="Times New Roman" w:hAnsi="Times New Roman" w:cs="Times New Roman"/>
          <w:i/>
          <w:iCs/>
          <w:sz w:val="24"/>
          <w:szCs w:val="24"/>
        </w:rPr>
        <w:t>Source: Reuters (2023)</w:t>
      </w:r>
    </w:p>
    <w:p w14:paraId="7932438C" w14:textId="3FA7B583" w:rsidR="009C2D2D" w:rsidRPr="006D299A" w:rsidRDefault="00451619"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Considering all, financial markets appear to be quite complex. Hence, reliance on EMH alone cannot fully explain the developments of asset prices. Objective analysis requires an assessment of prevailing sentiment, whereas market efficiency also depends on low transaction costs and elimination of insider trading. </w:t>
      </w:r>
    </w:p>
    <w:p w14:paraId="0F5CAB11" w14:textId="18429650" w:rsidR="001C3C51" w:rsidRPr="005A2953" w:rsidRDefault="005A2953" w:rsidP="00280DC9">
      <w:pPr>
        <w:pStyle w:val="Heading2"/>
        <w:spacing w:before="0"/>
      </w:pPr>
      <w:bookmarkStart w:id="6" w:name="_Toc133694459"/>
      <w:r w:rsidRPr="005A2953">
        <w:t>Project appraisal</w:t>
      </w:r>
      <w:bookmarkEnd w:id="6"/>
    </w:p>
    <w:p w14:paraId="3C0B7822" w14:textId="2773915E" w:rsidR="005A2953" w:rsidRDefault="002F681B"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popular investment/project appraisal methods are critically evaluated in this part of the essay. </w:t>
      </w:r>
      <w:r w:rsidR="005C737E">
        <w:rPr>
          <w:rFonts w:ascii="Times New Roman" w:hAnsi="Times New Roman" w:cs="Times New Roman"/>
          <w:sz w:val="24"/>
          <w:szCs w:val="24"/>
        </w:rPr>
        <w:t>The payback period is simple to use and delivers quick results showing the necessary time to repay an investment (Afonso and Cunha, 2009). While repayment period is one of the most relevant pieces of information for investors</w:t>
      </w:r>
      <w:r w:rsidR="00D60A36">
        <w:rPr>
          <w:rFonts w:ascii="Times New Roman" w:hAnsi="Times New Roman" w:cs="Times New Roman"/>
          <w:sz w:val="24"/>
          <w:szCs w:val="24"/>
        </w:rPr>
        <w:t xml:space="preserve"> and decision makers at Tesco</w:t>
      </w:r>
      <w:r w:rsidR="005C737E">
        <w:rPr>
          <w:rFonts w:ascii="Times New Roman" w:hAnsi="Times New Roman" w:cs="Times New Roman"/>
          <w:sz w:val="24"/>
          <w:szCs w:val="24"/>
        </w:rPr>
        <w:t xml:space="preserve">, the method has key disadvantages. It may include unrealistic projections regarding future cash flows (Broadman et al., 2006). Moreover, the method ignores any relevant events beyond the repayment point of time (Broadman et al., 2006). As argued by Atril (2011), ignoring the time value of money is the most important disadvantage of the payback method. Thus, the actual real-term value of future proceedings is usually overestimated (Atril, 2011). </w:t>
      </w:r>
    </w:p>
    <w:p w14:paraId="028C3174" w14:textId="5F861189" w:rsidR="005C737E" w:rsidRDefault="005C737E"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Decision makers also apply the accounting rate of return (ARR) – a method of measuring the average level of profitability (Pike and Neale, 2012). ARR can quickly assess the average profitability by assessing the annual levels of profitability based on expected net profit and initially invested amount (Pike and Neale, 2012). ARR delivers straightforward and quick </w:t>
      </w:r>
      <w:r>
        <w:rPr>
          <w:rFonts w:ascii="Times New Roman" w:hAnsi="Times New Roman" w:cs="Times New Roman"/>
          <w:sz w:val="24"/>
          <w:szCs w:val="24"/>
        </w:rPr>
        <w:lastRenderedPageBreak/>
        <w:t xml:space="preserve">information to decision makers but is also lacks a recognition of the time value of money concept (Berk et al., 2012). The focus on profitability also ignores the information regarding cash flows. The average profitability level based on ARR also ignores performance fluctuations in each of the respective years of a project.  </w:t>
      </w:r>
    </w:p>
    <w:p w14:paraId="23E3A8D2" w14:textId="2BBDF9B2" w:rsidR="00307009" w:rsidRDefault="00D60A36"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Both previously mentioned methods ignore time value of money. Given the current high rate of inflation of 10.1%, the time value of money is quite relevant in real-life (Trading Economics, 2023). The makes the use of net present value (NPV) quite relevant because the method discounts the nominal value of future cash flows to find the real one; thereby, reflecting changes in inflation (Berk et al., 2012). Nevertheless, Tesco’s decision makers should avoid unrealistic assumptions regarding the discount rate, as this is a risk for inaccurate measurements of a project’s performance (Berk et al., 2012). Moreover, NPV ignores other contextual factors which may reflect the financial performance of a project (Zizlavsky, 2014).  </w:t>
      </w:r>
    </w:p>
    <w:p w14:paraId="08258241" w14:textId="1F822F27" w:rsidR="0096518D" w:rsidRDefault="0096518D"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Decision makers at Tesco also have extensive information needs which makes the use of internal rate of return (IRR) quite relevant. By showing the discount factor, which makes a project have a NPV </w:t>
      </w:r>
      <w:r w:rsidR="00335E20">
        <w:rPr>
          <w:rFonts w:ascii="Times New Roman" w:hAnsi="Times New Roman" w:cs="Times New Roman"/>
          <w:sz w:val="24"/>
          <w:szCs w:val="24"/>
        </w:rPr>
        <w:t xml:space="preserve">value </w:t>
      </w:r>
      <w:r>
        <w:rPr>
          <w:rFonts w:ascii="Times New Roman" w:hAnsi="Times New Roman" w:cs="Times New Roman"/>
          <w:sz w:val="24"/>
          <w:szCs w:val="24"/>
        </w:rPr>
        <w:t xml:space="preserve">of zero, </w:t>
      </w:r>
      <w:r w:rsidR="00335E20">
        <w:rPr>
          <w:rFonts w:ascii="Times New Roman" w:hAnsi="Times New Roman" w:cs="Times New Roman"/>
          <w:sz w:val="24"/>
          <w:szCs w:val="24"/>
        </w:rPr>
        <w:t xml:space="preserve">decision makers are informed about the risk and profit potential of an investment (Berk et al., 2012). Thus, they can compare the different between the actual discount factor and the IRR value to assess the buffer prior to start losing money on a project. In practice, IRR is complex to calculate and require time and focus. </w:t>
      </w:r>
      <w:r w:rsidR="0066718D">
        <w:rPr>
          <w:rFonts w:ascii="Times New Roman" w:hAnsi="Times New Roman" w:cs="Times New Roman"/>
          <w:sz w:val="24"/>
          <w:szCs w:val="24"/>
        </w:rPr>
        <w:t>Similarly,</w:t>
      </w:r>
      <w:r w:rsidR="00335E20">
        <w:rPr>
          <w:rFonts w:ascii="Times New Roman" w:hAnsi="Times New Roman" w:cs="Times New Roman"/>
          <w:sz w:val="24"/>
          <w:szCs w:val="24"/>
        </w:rPr>
        <w:t xml:space="preserve"> to NPV, IRR also ignores some relevant contextual factors affecting the actual performance of a project (Magni, 2010). </w:t>
      </w:r>
    </w:p>
    <w:p w14:paraId="2116DBF2" w14:textId="3FC63090" w:rsidR="0066718D" w:rsidRDefault="0066718D" w:rsidP="006D29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Each of the discussed project appraisal methods has advantages and disadvantages; hence, decision makers at Tesco should use multiple methods. Methods, which incorporate the time value of money, should be preferred given the actual loss of money value in the recent inflationary environment. </w:t>
      </w:r>
    </w:p>
    <w:p w14:paraId="52848D6A" w14:textId="57EA4025" w:rsidR="001C3C51" w:rsidRPr="0066718D" w:rsidRDefault="0066718D" w:rsidP="00280DC9">
      <w:pPr>
        <w:pStyle w:val="Heading1"/>
        <w:spacing w:before="0" w:after="240"/>
        <w:rPr>
          <w:lang w:val="en-US"/>
        </w:rPr>
      </w:pPr>
      <w:bookmarkStart w:id="7" w:name="_Toc133694460"/>
      <w:r w:rsidRPr="0066718D">
        <w:rPr>
          <w:lang w:val="en-US"/>
        </w:rPr>
        <w:t>Conclusion</w:t>
      </w:r>
      <w:bookmarkEnd w:id="7"/>
      <w:r w:rsidRPr="0066718D">
        <w:rPr>
          <w:lang w:val="en-US"/>
        </w:rPr>
        <w:t xml:space="preserve"> </w:t>
      </w:r>
    </w:p>
    <w:p w14:paraId="6CEA88B3" w14:textId="679C60D0" w:rsidR="008C216D" w:rsidRPr="00EE2C27" w:rsidRDefault="00EE2C27" w:rsidP="00EE2C2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the essay explored important concepts in finance. Decision makers at Tesco can further improve the dividend policy, as well as apply a range of project appraisal methods. In terms of EMH, the evidence shows that it is not the most optimal way of determining the fair value of Tesco’s share price. Various types of valuation methods can be explored as a part of future research in the field. </w:t>
      </w:r>
    </w:p>
    <w:p w14:paraId="2DBB6E14" w14:textId="7FB6F7CA" w:rsidR="006D299A" w:rsidRPr="006D299A" w:rsidRDefault="006D299A" w:rsidP="00280DC9">
      <w:pPr>
        <w:pStyle w:val="Heading1"/>
        <w:spacing w:before="0" w:after="240"/>
      </w:pPr>
      <w:bookmarkStart w:id="8" w:name="_Toc133694461"/>
      <w:r w:rsidRPr="006D299A">
        <w:lastRenderedPageBreak/>
        <w:t>References</w:t>
      </w:r>
      <w:bookmarkEnd w:id="8"/>
    </w:p>
    <w:p w14:paraId="34AD3ECF"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Afonso, P. and Cunha, J. (2009) </w:t>
      </w:r>
      <w:r w:rsidRPr="00280DC9">
        <w:rPr>
          <w:rFonts w:ascii="Times New Roman" w:hAnsi="Times New Roman" w:cs="Times New Roman"/>
          <w:i/>
          <w:iCs/>
          <w:sz w:val="24"/>
          <w:szCs w:val="24"/>
        </w:rPr>
        <w:t>Determinants of the Use of Capital Investment Appraisal Methods: Evidence from the Field</w:t>
      </w:r>
      <w:r w:rsidRPr="00280DC9">
        <w:rPr>
          <w:rFonts w:ascii="Times New Roman" w:hAnsi="Times New Roman" w:cs="Times New Roman"/>
          <w:sz w:val="24"/>
          <w:szCs w:val="24"/>
        </w:rPr>
        <w:t xml:space="preserve">, [online] Available: </w:t>
      </w:r>
      <w:hyperlink r:id="rId12" w:history="1">
        <w:r w:rsidRPr="00280DC9">
          <w:rPr>
            <w:rStyle w:val="Hyperlink"/>
            <w:rFonts w:ascii="Times New Roman" w:hAnsi="Times New Roman" w:cs="Times New Roman"/>
            <w:sz w:val="24"/>
            <w:szCs w:val="24"/>
          </w:rPr>
          <w:t>https://core.ac.uk/download/pdf/55617649.pdf</w:t>
        </w:r>
      </w:hyperlink>
      <w:r w:rsidRPr="00280DC9">
        <w:rPr>
          <w:rFonts w:ascii="Times New Roman" w:hAnsi="Times New Roman" w:cs="Times New Roman"/>
          <w:sz w:val="24"/>
          <w:szCs w:val="24"/>
        </w:rPr>
        <w:t xml:space="preserve"> [Accessed: 22 April 2023]</w:t>
      </w:r>
    </w:p>
    <w:p w14:paraId="754F6436"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Arnold, G. (2012) </w:t>
      </w:r>
      <w:r w:rsidRPr="00280DC9">
        <w:rPr>
          <w:rFonts w:ascii="Times New Roman" w:hAnsi="Times New Roman" w:cs="Times New Roman"/>
          <w:i/>
          <w:iCs/>
          <w:sz w:val="24"/>
          <w:szCs w:val="24"/>
        </w:rPr>
        <w:t>Corporate Financial Management</w:t>
      </w:r>
      <w:r w:rsidRPr="00280DC9">
        <w:rPr>
          <w:rFonts w:ascii="Times New Roman" w:hAnsi="Times New Roman" w:cs="Times New Roman"/>
          <w:sz w:val="24"/>
          <w:szCs w:val="24"/>
        </w:rPr>
        <w:t>. Aston: Financial Times Prentice Hall</w:t>
      </w:r>
    </w:p>
    <w:p w14:paraId="01C463BB"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Atril, P. (2011) </w:t>
      </w:r>
      <w:r w:rsidRPr="00280DC9">
        <w:rPr>
          <w:rFonts w:ascii="Times New Roman" w:hAnsi="Times New Roman" w:cs="Times New Roman"/>
          <w:i/>
          <w:iCs/>
          <w:sz w:val="24"/>
          <w:szCs w:val="24"/>
        </w:rPr>
        <w:t>Financial Management for Decision Makers</w:t>
      </w:r>
      <w:r w:rsidRPr="00280DC9">
        <w:rPr>
          <w:rFonts w:ascii="Times New Roman" w:hAnsi="Times New Roman" w:cs="Times New Roman"/>
          <w:sz w:val="24"/>
          <w:szCs w:val="24"/>
        </w:rPr>
        <w:t>. 4</w:t>
      </w:r>
      <w:r w:rsidRPr="00280DC9">
        <w:rPr>
          <w:rFonts w:ascii="Times New Roman" w:hAnsi="Times New Roman" w:cs="Times New Roman"/>
          <w:sz w:val="24"/>
          <w:szCs w:val="24"/>
          <w:vertAlign w:val="superscript"/>
        </w:rPr>
        <w:t>th</w:t>
      </w:r>
      <w:r w:rsidRPr="00280DC9">
        <w:rPr>
          <w:rFonts w:ascii="Times New Roman" w:hAnsi="Times New Roman" w:cs="Times New Roman"/>
          <w:sz w:val="24"/>
          <w:szCs w:val="24"/>
        </w:rPr>
        <w:t xml:space="preserve"> edition, Financial Times Prentice Hall</w:t>
      </w:r>
    </w:p>
    <w:p w14:paraId="6632B700"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Berk, J. DeMarzo, P. and Harford, J. (2012) </w:t>
      </w:r>
      <w:r w:rsidRPr="00280DC9">
        <w:rPr>
          <w:rFonts w:ascii="Times New Roman" w:hAnsi="Times New Roman" w:cs="Times New Roman"/>
          <w:i/>
          <w:sz w:val="24"/>
          <w:szCs w:val="24"/>
        </w:rPr>
        <w:t>Fundamentals of Corporate Finance</w:t>
      </w:r>
      <w:r w:rsidRPr="00280DC9">
        <w:rPr>
          <w:rFonts w:ascii="Times New Roman" w:hAnsi="Times New Roman" w:cs="Times New Roman"/>
          <w:sz w:val="24"/>
          <w:szCs w:val="24"/>
        </w:rPr>
        <w:t>. 2</w:t>
      </w:r>
      <w:r w:rsidRPr="00280DC9">
        <w:rPr>
          <w:rFonts w:ascii="Times New Roman" w:hAnsi="Times New Roman" w:cs="Times New Roman"/>
          <w:sz w:val="24"/>
          <w:szCs w:val="24"/>
          <w:vertAlign w:val="superscript"/>
        </w:rPr>
        <w:t>nd</w:t>
      </w:r>
      <w:r w:rsidRPr="00280DC9">
        <w:rPr>
          <w:rFonts w:ascii="Times New Roman" w:hAnsi="Times New Roman" w:cs="Times New Roman"/>
          <w:sz w:val="24"/>
          <w:szCs w:val="24"/>
        </w:rPr>
        <w:t xml:space="preserve"> edition, Boston, Massachusetts: Prentice Hall</w:t>
      </w:r>
    </w:p>
    <w:p w14:paraId="42A37270" w14:textId="77777777" w:rsidR="00280DC9" w:rsidRPr="00280DC9" w:rsidRDefault="00280DC9" w:rsidP="00280DC9">
      <w:pPr>
        <w:spacing w:line="360" w:lineRule="auto"/>
        <w:rPr>
          <w:rFonts w:ascii="Times New Roman" w:hAnsi="Times New Roman" w:cs="Times New Roman"/>
          <w:sz w:val="24"/>
          <w:szCs w:val="24"/>
          <w:lang w:val="en-US"/>
        </w:rPr>
      </w:pPr>
      <w:r w:rsidRPr="00280DC9">
        <w:rPr>
          <w:rFonts w:ascii="Times New Roman" w:hAnsi="Times New Roman" w:cs="Times New Roman"/>
          <w:sz w:val="24"/>
          <w:szCs w:val="24"/>
          <w:lang w:val="en-US"/>
        </w:rPr>
        <w:t xml:space="preserve">Boardman, C., Reinhart, W. and Celec, S. (2006) The Role of the Payback Period in the Theory and Application of Duration to Capital Budgeting, </w:t>
      </w:r>
      <w:r w:rsidRPr="00280DC9">
        <w:rPr>
          <w:rFonts w:ascii="Times New Roman" w:hAnsi="Times New Roman" w:cs="Times New Roman"/>
          <w:i/>
          <w:sz w:val="24"/>
          <w:szCs w:val="24"/>
          <w:lang w:val="en-US"/>
        </w:rPr>
        <w:t>Journal of Business Finance &amp; Accounting</w:t>
      </w:r>
      <w:r w:rsidRPr="00280DC9">
        <w:rPr>
          <w:rFonts w:ascii="Times New Roman" w:hAnsi="Times New Roman" w:cs="Times New Roman"/>
          <w:sz w:val="24"/>
          <w:szCs w:val="24"/>
          <w:lang w:val="en-US"/>
        </w:rPr>
        <w:t xml:space="preserve">, Vol. 9, pp. 511 - 522. </w:t>
      </w:r>
    </w:p>
    <w:p w14:paraId="136A11B3" w14:textId="77777777" w:rsidR="00280DC9" w:rsidRPr="00280DC9" w:rsidRDefault="00280DC9" w:rsidP="00280DC9">
      <w:pPr>
        <w:spacing w:line="360" w:lineRule="auto"/>
        <w:rPr>
          <w:rFonts w:ascii="Times New Roman" w:hAnsi="Times New Roman" w:cs="Times New Roman"/>
          <w:sz w:val="24"/>
          <w:szCs w:val="24"/>
          <w:lang w:val="en-US"/>
        </w:rPr>
      </w:pPr>
      <w:r w:rsidRPr="00280DC9">
        <w:rPr>
          <w:rFonts w:ascii="Times New Roman" w:hAnsi="Times New Roman" w:cs="Times New Roman"/>
          <w:sz w:val="24"/>
          <w:szCs w:val="24"/>
          <w:lang w:val="en-US"/>
        </w:rPr>
        <w:t xml:space="preserve">Business Strategy Hub (BSH) (2023) </w:t>
      </w:r>
      <w:r w:rsidRPr="00280DC9">
        <w:rPr>
          <w:rFonts w:ascii="Times New Roman" w:hAnsi="Times New Roman" w:cs="Times New Roman"/>
          <w:i/>
          <w:iCs/>
          <w:sz w:val="24"/>
          <w:szCs w:val="24"/>
          <w:lang w:val="bg-BG"/>
        </w:rPr>
        <w:t>TESCO SWOT Analysis 2023 | SWOT analysis of TESCO</w:t>
      </w:r>
      <w:r w:rsidRPr="00280DC9">
        <w:rPr>
          <w:rFonts w:ascii="Times New Roman" w:hAnsi="Times New Roman" w:cs="Times New Roman"/>
          <w:sz w:val="24"/>
          <w:szCs w:val="24"/>
          <w:lang w:val="en-US"/>
        </w:rPr>
        <w:t xml:space="preserve">, [online] Available: </w:t>
      </w:r>
      <w:hyperlink r:id="rId13" w:history="1">
        <w:r w:rsidRPr="00280DC9">
          <w:rPr>
            <w:rStyle w:val="Hyperlink"/>
            <w:rFonts w:ascii="Times New Roman" w:hAnsi="Times New Roman" w:cs="Times New Roman"/>
            <w:sz w:val="24"/>
            <w:szCs w:val="24"/>
            <w:lang w:val="en-US"/>
          </w:rPr>
          <w:t>https://bstrategyhub.com/tesco-swot-analysis-2019swot-analysis-of-tesco/</w:t>
        </w:r>
      </w:hyperlink>
      <w:r w:rsidRPr="00280DC9">
        <w:rPr>
          <w:rFonts w:ascii="Times New Roman" w:hAnsi="Times New Roman" w:cs="Times New Roman"/>
          <w:sz w:val="24"/>
          <w:szCs w:val="24"/>
          <w:lang w:val="en-US"/>
        </w:rPr>
        <w:t xml:space="preserve"> [Accessed: 25 April 2023]</w:t>
      </w:r>
    </w:p>
    <w:p w14:paraId="6735BFCA"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Cornell Law School (CLS) </w:t>
      </w:r>
      <w:r w:rsidRPr="00280DC9">
        <w:rPr>
          <w:rFonts w:ascii="Times New Roman" w:hAnsi="Times New Roman" w:cs="Times New Roman"/>
          <w:i/>
          <w:iCs/>
          <w:sz w:val="24"/>
          <w:szCs w:val="24"/>
        </w:rPr>
        <w:t>Insider trading</w:t>
      </w:r>
      <w:r w:rsidRPr="00280DC9">
        <w:rPr>
          <w:rFonts w:ascii="Times New Roman" w:hAnsi="Times New Roman" w:cs="Times New Roman"/>
          <w:sz w:val="24"/>
          <w:szCs w:val="24"/>
        </w:rPr>
        <w:t xml:space="preserve">, [online] Available: </w:t>
      </w:r>
      <w:hyperlink r:id="rId14" w:anchor=":~:text=Congress%20has%20criminalized%20these%20insiders,trading%20and%2C%20since%20U.S.%20v" w:history="1">
        <w:r w:rsidRPr="00280DC9">
          <w:rPr>
            <w:rStyle w:val="Hyperlink"/>
            <w:rFonts w:ascii="Times New Roman" w:hAnsi="Times New Roman" w:cs="Times New Roman"/>
            <w:sz w:val="24"/>
            <w:szCs w:val="24"/>
          </w:rPr>
          <w:t>https://www.law.cornell.edu/wex/insider_trading#:~:text=Congress%20has%20criminalized%20these%20insiders,trading%20and%2C%20since%20U.S.%20v</w:t>
        </w:r>
      </w:hyperlink>
      <w:r w:rsidRPr="00280DC9">
        <w:rPr>
          <w:rFonts w:ascii="Times New Roman" w:hAnsi="Times New Roman" w:cs="Times New Roman"/>
          <w:sz w:val="24"/>
          <w:szCs w:val="24"/>
        </w:rPr>
        <w:t xml:space="preserve"> [Accessed: 28 April 2023]</w:t>
      </w:r>
    </w:p>
    <w:p w14:paraId="140B9854" w14:textId="77777777" w:rsidR="00280DC9" w:rsidRPr="00280DC9" w:rsidRDefault="00280DC9" w:rsidP="00280DC9">
      <w:pPr>
        <w:spacing w:line="360" w:lineRule="auto"/>
        <w:rPr>
          <w:rFonts w:ascii="Times New Roman" w:hAnsi="Times New Roman" w:cs="Times New Roman"/>
          <w:sz w:val="24"/>
          <w:szCs w:val="24"/>
          <w:lang w:val="en-US"/>
        </w:rPr>
      </w:pPr>
      <w:r w:rsidRPr="00280DC9">
        <w:rPr>
          <w:rFonts w:ascii="Times New Roman" w:hAnsi="Times New Roman" w:cs="Times New Roman"/>
          <w:sz w:val="24"/>
          <w:szCs w:val="24"/>
          <w:lang w:val="en-US"/>
        </w:rPr>
        <w:t xml:space="preserve">Fama, E. (1970) Efficient Capital Markets: A Review of Theory and Empirical Work, </w:t>
      </w:r>
      <w:r w:rsidRPr="00280DC9">
        <w:rPr>
          <w:rFonts w:ascii="Times New Roman" w:hAnsi="Times New Roman" w:cs="Times New Roman"/>
          <w:i/>
          <w:sz w:val="24"/>
          <w:szCs w:val="24"/>
          <w:lang w:val="en-US"/>
        </w:rPr>
        <w:t>Journal of Finance</w:t>
      </w:r>
      <w:r w:rsidRPr="00280DC9">
        <w:rPr>
          <w:rFonts w:ascii="Times New Roman" w:hAnsi="Times New Roman" w:cs="Times New Roman"/>
          <w:sz w:val="24"/>
          <w:szCs w:val="24"/>
          <w:lang w:val="en-US"/>
        </w:rPr>
        <w:t xml:space="preserve">, Vol. 25(2), pp. 383-417. </w:t>
      </w:r>
    </w:p>
    <w:p w14:paraId="1BDF903B"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Kumar, R. (2017) Perspectives of strategic finance. In </w:t>
      </w:r>
      <w:r w:rsidRPr="00280DC9">
        <w:rPr>
          <w:rFonts w:ascii="Times New Roman" w:hAnsi="Times New Roman" w:cs="Times New Roman"/>
          <w:i/>
          <w:iCs/>
          <w:sz w:val="24"/>
          <w:szCs w:val="24"/>
        </w:rPr>
        <w:t>Strategic Financial Management Casebook</w:t>
      </w:r>
      <w:r w:rsidRPr="00280DC9">
        <w:rPr>
          <w:rFonts w:ascii="Times New Roman" w:hAnsi="Times New Roman" w:cs="Times New Roman"/>
          <w:sz w:val="24"/>
          <w:szCs w:val="24"/>
        </w:rPr>
        <w:t xml:space="preserve">, [online] Available: </w:t>
      </w:r>
      <w:hyperlink r:id="rId15" w:anchor=":~:text=Behavioral%20finance%20theory%20suggests%20that,price%20from%20reflecting%20economic%20fundamentals" w:history="1">
        <w:r w:rsidRPr="00280DC9">
          <w:rPr>
            <w:rStyle w:val="Hyperlink"/>
            <w:rFonts w:ascii="Times New Roman" w:hAnsi="Times New Roman" w:cs="Times New Roman"/>
            <w:sz w:val="24"/>
            <w:szCs w:val="24"/>
          </w:rPr>
          <w:t>https://www.sciencedirect.com/topics/social-sciences/behavioral-finance#:~:text=Behavioral%20finance%20theory%20suggests%20that,price%20from%20reflecting%20economic%20fundamentals</w:t>
        </w:r>
      </w:hyperlink>
      <w:r w:rsidRPr="00280DC9">
        <w:rPr>
          <w:rFonts w:ascii="Times New Roman" w:hAnsi="Times New Roman" w:cs="Times New Roman"/>
          <w:sz w:val="24"/>
          <w:szCs w:val="24"/>
        </w:rPr>
        <w:t xml:space="preserve"> [Accessed: 28 April 2023]</w:t>
      </w:r>
    </w:p>
    <w:p w14:paraId="6AACE65F" w14:textId="77777777" w:rsidR="00280DC9" w:rsidRPr="00280DC9" w:rsidRDefault="00280DC9" w:rsidP="00280DC9">
      <w:pPr>
        <w:spacing w:line="360" w:lineRule="auto"/>
        <w:rPr>
          <w:rFonts w:ascii="Times New Roman" w:hAnsi="Times New Roman" w:cs="Times New Roman"/>
          <w:sz w:val="24"/>
          <w:szCs w:val="24"/>
          <w:lang w:val="en-US"/>
        </w:rPr>
      </w:pPr>
      <w:r w:rsidRPr="00280DC9">
        <w:rPr>
          <w:rFonts w:ascii="Times New Roman" w:hAnsi="Times New Roman" w:cs="Times New Roman"/>
          <w:sz w:val="24"/>
          <w:szCs w:val="24"/>
          <w:lang w:val="en-US"/>
        </w:rPr>
        <w:t xml:space="preserve">Magni, C. (2010) Average Internal Rate of Return and Investment Decisions: A New Perspective, </w:t>
      </w:r>
      <w:r w:rsidRPr="00280DC9">
        <w:rPr>
          <w:rFonts w:ascii="Times New Roman" w:hAnsi="Times New Roman" w:cs="Times New Roman"/>
          <w:i/>
          <w:sz w:val="24"/>
          <w:szCs w:val="24"/>
          <w:lang w:val="en-US"/>
        </w:rPr>
        <w:t>The Engineering Economist</w:t>
      </w:r>
      <w:r w:rsidRPr="00280DC9">
        <w:rPr>
          <w:rFonts w:ascii="Times New Roman" w:hAnsi="Times New Roman" w:cs="Times New Roman"/>
          <w:sz w:val="24"/>
          <w:szCs w:val="24"/>
          <w:lang w:val="en-US"/>
        </w:rPr>
        <w:t xml:space="preserve">, Vol. 55. </w:t>
      </w:r>
      <w:r w:rsidRPr="00280DC9">
        <w:rPr>
          <w:rFonts w:ascii="Times New Roman" w:hAnsi="Times New Roman" w:cs="Times New Roman"/>
          <w:sz w:val="24"/>
          <w:szCs w:val="24"/>
        </w:rPr>
        <w:t>DOI:10.1080/00137911003791856</w:t>
      </w:r>
    </w:p>
    <w:p w14:paraId="060EBA89" w14:textId="77777777" w:rsidR="00280DC9" w:rsidRPr="00280DC9" w:rsidRDefault="00280DC9" w:rsidP="00280DC9">
      <w:pPr>
        <w:spacing w:line="360" w:lineRule="auto"/>
        <w:rPr>
          <w:rFonts w:ascii="Times New Roman" w:hAnsi="Times New Roman" w:cs="Times New Roman"/>
          <w:sz w:val="24"/>
          <w:szCs w:val="24"/>
          <w:lang w:val="en-US"/>
        </w:rPr>
      </w:pPr>
      <w:r w:rsidRPr="00280DC9">
        <w:rPr>
          <w:rFonts w:ascii="Times New Roman" w:hAnsi="Times New Roman" w:cs="Times New Roman"/>
          <w:sz w:val="24"/>
          <w:szCs w:val="24"/>
        </w:rPr>
        <w:lastRenderedPageBreak/>
        <w:t xml:space="preserve">Marketing Week (2023) </w:t>
      </w:r>
      <w:r w:rsidRPr="00280DC9">
        <w:rPr>
          <w:rFonts w:ascii="Times New Roman" w:hAnsi="Times New Roman" w:cs="Times New Roman"/>
          <w:i/>
          <w:iCs/>
          <w:sz w:val="24"/>
          <w:szCs w:val="24"/>
          <w:lang w:val="bg-BG"/>
        </w:rPr>
        <w:t>Market share, top UK ads, diversity: 5 interesting stats to start your week</w:t>
      </w:r>
      <w:r w:rsidRPr="00280DC9">
        <w:rPr>
          <w:rFonts w:ascii="Times New Roman" w:hAnsi="Times New Roman" w:cs="Times New Roman"/>
          <w:sz w:val="24"/>
          <w:szCs w:val="24"/>
          <w:lang w:val="en-US"/>
        </w:rPr>
        <w:t xml:space="preserve">, [online] Available: </w:t>
      </w:r>
      <w:hyperlink r:id="rId16" w:history="1">
        <w:r w:rsidRPr="00280DC9">
          <w:rPr>
            <w:rStyle w:val="Hyperlink"/>
            <w:rFonts w:ascii="Times New Roman" w:hAnsi="Times New Roman" w:cs="Times New Roman"/>
            <w:sz w:val="24"/>
            <w:szCs w:val="24"/>
            <w:lang w:val="en-US"/>
          </w:rPr>
          <w:t>https://www.marketingweek.com/grocery-market-share-top-uk-ads-agency-diversity-5-interesting-stats/</w:t>
        </w:r>
      </w:hyperlink>
      <w:r w:rsidRPr="00280DC9">
        <w:rPr>
          <w:rFonts w:ascii="Times New Roman" w:hAnsi="Times New Roman" w:cs="Times New Roman"/>
          <w:sz w:val="24"/>
          <w:szCs w:val="24"/>
          <w:lang w:val="en-US"/>
        </w:rPr>
        <w:t xml:space="preserve"> [Accessed: 25 April 2023]</w:t>
      </w:r>
    </w:p>
    <w:p w14:paraId="7E16BC15"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Pike, R. and Neale, B. (2012) </w:t>
      </w:r>
      <w:r w:rsidRPr="00280DC9">
        <w:rPr>
          <w:rFonts w:ascii="Times New Roman" w:hAnsi="Times New Roman" w:cs="Times New Roman"/>
          <w:i/>
          <w:iCs/>
          <w:sz w:val="24"/>
          <w:szCs w:val="24"/>
        </w:rPr>
        <w:t>Corporate Finance and Investment</w:t>
      </w:r>
      <w:r w:rsidRPr="00280DC9">
        <w:rPr>
          <w:rFonts w:ascii="Times New Roman" w:hAnsi="Times New Roman" w:cs="Times New Roman"/>
          <w:sz w:val="24"/>
          <w:szCs w:val="24"/>
        </w:rPr>
        <w:t>. 5</w:t>
      </w:r>
      <w:r w:rsidRPr="00280DC9">
        <w:rPr>
          <w:rFonts w:ascii="Times New Roman" w:hAnsi="Times New Roman" w:cs="Times New Roman"/>
          <w:sz w:val="24"/>
          <w:szCs w:val="24"/>
          <w:vertAlign w:val="superscript"/>
        </w:rPr>
        <w:t>th</w:t>
      </w:r>
      <w:r w:rsidRPr="00280DC9">
        <w:rPr>
          <w:rFonts w:ascii="Times New Roman" w:hAnsi="Times New Roman" w:cs="Times New Roman"/>
          <w:sz w:val="24"/>
          <w:szCs w:val="24"/>
        </w:rPr>
        <w:t xml:space="preserve"> edition, Financial Times Prentice Hall </w:t>
      </w:r>
    </w:p>
    <w:p w14:paraId="493A792D"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Reuters (2023) </w:t>
      </w:r>
      <w:r w:rsidRPr="00280DC9">
        <w:rPr>
          <w:rFonts w:ascii="Times New Roman" w:hAnsi="Times New Roman" w:cs="Times New Roman"/>
          <w:i/>
          <w:iCs/>
          <w:sz w:val="24"/>
          <w:szCs w:val="24"/>
        </w:rPr>
        <w:t>Tesco PLC</w:t>
      </w:r>
      <w:r w:rsidRPr="00280DC9">
        <w:rPr>
          <w:rFonts w:ascii="Times New Roman" w:hAnsi="Times New Roman" w:cs="Times New Roman"/>
          <w:sz w:val="24"/>
          <w:szCs w:val="24"/>
        </w:rPr>
        <w:t xml:space="preserve">, [online] Available: </w:t>
      </w:r>
      <w:hyperlink r:id="rId17" w:history="1">
        <w:r w:rsidRPr="00280DC9">
          <w:rPr>
            <w:rStyle w:val="Hyperlink"/>
            <w:rFonts w:ascii="Times New Roman" w:hAnsi="Times New Roman" w:cs="Times New Roman"/>
            <w:sz w:val="24"/>
            <w:szCs w:val="24"/>
          </w:rPr>
          <w:t>https://www.reuters.com/markets/companies/TSCO.L/</w:t>
        </w:r>
      </w:hyperlink>
      <w:r w:rsidRPr="00280DC9">
        <w:rPr>
          <w:rFonts w:ascii="Times New Roman" w:hAnsi="Times New Roman" w:cs="Times New Roman"/>
          <w:sz w:val="24"/>
          <w:szCs w:val="24"/>
        </w:rPr>
        <w:t xml:space="preserve"> [Accessed: 25 April 2023]</w:t>
      </w:r>
    </w:p>
    <w:p w14:paraId="63477D73"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Tesco (2023) </w:t>
      </w:r>
      <w:r w:rsidRPr="00280DC9">
        <w:rPr>
          <w:rFonts w:ascii="Times New Roman" w:hAnsi="Times New Roman" w:cs="Times New Roman"/>
          <w:i/>
          <w:iCs/>
          <w:sz w:val="24"/>
          <w:szCs w:val="24"/>
        </w:rPr>
        <w:t>Annual Report and Financial Statements 2022</w:t>
      </w:r>
      <w:r w:rsidRPr="00280DC9">
        <w:rPr>
          <w:rFonts w:ascii="Times New Roman" w:hAnsi="Times New Roman" w:cs="Times New Roman"/>
          <w:sz w:val="24"/>
          <w:szCs w:val="24"/>
        </w:rPr>
        <w:t xml:space="preserve">, [online] Available: </w:t>
      </w:r>
      <w:hyperlink r:id="rId18" w:history="1">
        <w:r w:rsidRPr="00280DC9">
          <w:rPr>
            <w:rStyle w:val="Hyperlink"/>
            <w:rFonts w:ascii="Times New Roman" w:hAnsi="Times New Roman" w:cs="Times New Roman"/>
            <w:sz w:val="24"/>
            <w:szCs w:val="24"/>
          </w:rPr>
          <w:t>https://www.tescoplc.com/media/an0cp1co/tesco-annual-report-2022.pdf</w:t>
        </w:r>
      </w:hyperlink>
      <w:r w:rsidRPr="00280DC9">
        <w:rPr>
          <w:rFonts w:ascii="Times New Roman" w:hAnsi="Times New Roman" w:cs="Times New Roman"/>
          <w:sz w:val="24"/>
          <w:szCs w:val="24"/>
        </w:rPr>
        <w:t xml:space="preserve"> [Accessed: 25 April 2023]</w:t>
      </w:r>
    </w:p>
    <w:p w14:paraId="48A49744" w14:textId="77777777" w:rsidR="00280DC9" w:rsidRPr="00280DC9" w:rsidRDefault="00280DC9" w:rsidP="00280DC9">
      <w:pPr>
        <w:spacing w:line="360" w:lineRule="auto"/>
        <w:rPr>
          <w:rFonts w:ascii="Times New Roman" w:hAnsi="Times New Roman" w:cs="Times New Roman"/>
          <w:sz w:val="24"/>
          <w:szCs w:val="24"/>
        </w:rPr>
      </w:pPr>
      <w:r w:rsidRPr="00280DC9">
        <w:rPr>
          <w:rFonts w:ascii="Times New Roman" w:hAnsi="Times New Roman" w:cs="Times New Roman"/>
          <w:sz w:val="24"/>
          <w:szCs w:val="24"/>
        </w:rPr>
        <w:t xml:space="preserve">Zizlavsky, O. (2014) Net Present Value Approach: Method for Economic Assessment of Innovation Projects, </w:t>
      </w:r>
      <w:r w:rsidRPr="00280DC9">
        <w:rPr>
          <w:rFonts w:ascii="Times New Roman" w:hAnsi="Times New Roman" w:cs="Times New Roman"/>
          <w:i/>
          <w:iCs/>
          <w:sz w:val="24"/>
          <w:szCs w:val="24"/>
        </w:rPr>
        <w:t>Procedia – Social and Behavioural Sciences</w:t>
      </w:r>
      <w:r w:rsidRPr="00280DC9">
        <w:rPr>
          <w:rFonts w:ascii="Times New Roman" w:hAnsi="Times New Roman" w:cs="Times New Roman"/>
          <w:sz w:val="24"/>
          <w:szCs w:val="24"/>
        </w:rPr>
        <w:t>, Vol. 156(1), pp. 506-512.</w:t>
      </w:r>
    </w:p>
    <w:p w14:paraId="21E5FDD9" w14:textId="77777777" w:rsidR="00280DC9" w:rsidRDefault="00280DC9" w:rsidP="006E0DEA">
      <w:pPr>
        <w:spacing w:line="360" w:lineRule="auto"/>
        <w:rPr>
          <w:rFonts w:ascii="Times New Roman" w:hAnsi="Times New Roman" w:cs="Times New Roman"/>
          <w:sz w:val="24"/>
          <w:szCs w:val="24"/>
        </w:rPr>
      </w:pPr>
    </w:p>
    <w:p w14:paraId="0867C52A" w14:textId="77777777" w:rsidR="00280DC9" w:rsidRPr="006E0DEA" w:rsidRDefault="00280DC9" w:rsidP="006E0DEA">
      <w:pPr>
        <w:spacing w:line="360" w:lineRule="auto"/>
        <w:rPr>
          <w:rFonts w:ascii="Times New Roman" w:hAnsi="Times New Roman" w:cs="Times New Roman"/>
          <w:sz w:val="24"/>
          <w:szCs w:val="24"/>
        </w:rPr>
      </w:pPr>
    </w:p>
    <w:sectPr w:rsidR="00280DC9" w:rsidRPr="006E0DEA">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2CB16" w14:textId="77777777" w:rsidR="00E019F2" w:rsidRDefault="00E019F2" w:rsidP="006D299A">
      <w:pPr>
        <w:spacing w:after="0" w:line="240" w:lineRule="auto"/>
      </w:pPr>
      <w:r>
        <w:separator/>
      </w:r>
    </w:p>
  </w:endnote>
  <w:endnote w:type="continuationSeparator" w:id="0">
    <w:p w14:paraId="4CB37D73" w14:textId="77777777" w:rsidR="00E019F2" w:rsidRDefault="00E019F2" w:rsidP="006D29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450197"/>
      <w:docPartObj>
        <w:docPartGallery w:val="Page Numbers (Bottom of Page)"/>
        <w:docPartUnique/>
      </w:docPartObj>
    </w:sdtPr>
    <w:sdtEndPr>
      <w:rPr>
        <w:noProof/>
      </w:rPr>
    </w:sdtEndPr>
    <w:sdtContent>
      <w:p w14:paraId="2C20760D" w14:textId="681B2049" w:rsidR="006D299A" w:rsidRDefault="006D299A">
        <w:pPr>
          <w:pStyle w:val="Footer"/>
          <w:jc w:val="right"/>
        </w:pPr>
        <w:r>
          <w:fldChar w:fldCharType="begin"/>
        </w:r>
        <w:r>
          <w:instrText xml:space="preserve"> PAGE   \* MERGEFORMAT </w:instrText>
        </w:r>
        <w:r>
          <w:fldChar w:fldCharType="separate"/>
        </w:r>
        <w:r w:rsidR="0064436A">
          <w:rPr>
            <w:noProof/>
          </w:rPr>
          <w:t>2</w:t>
        </w:r>
        <w:r>
          <w:rPr>
            <w:noProof/>
          </w:rPr>
          <w:fldChar w:fldCharType="end"/>
        </w:r>
      </w:p>
    </w:sdtContent>
  </w:sdt>
  <w:p w14:paraId="028C3CA5" w14:textId="77777777" w:rsidR="006D299A" w:rsidRDefault="006D299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B1EA8F" w14:textId="77777777" w:rsidR="00E019F2" w:rsidRDefault="00E019F2" w:rsidP="006D299A">
      <w:pPr>
        <w:spacing w:after="0" w:line="240" w:lineRule="auto"/>
      </w:pPr>
      <w:r>
        <w:separator/>
      </w:r>
    </w:p>
  </w:footnote>
  <w:footnote w:type="continuationSeparator" w:id="0">
    <w:p w14:paraId="5DC15164" w14:textId="77777777" w:rsidR="00E019F2" w:rsidRDefault="00E019F2" w:rsidP="006D29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86E0E"/>
    <w:multiLevelType w:val="hybridMultilevel"/>
    <w:tmpl w:val="A912B52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7FFD4F1C"/>
    <w:multiLevelType w:val="hybridMultilevel"/>
    <w:tmpl w:val="67CEDEE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345"/>
    <w:rsid w:val="000C2CDA"/>
    <w:rsid w:val="000F4B1B"/>
    <w:rsid w:val="00127FFB"/>
    <w:rsid w:val="00132A5B"/>
    <w:rsid w:val="001C3C51"/>
    <w:rsid w:val="001C6538"/>
    <w:rsid w:val="00220DB4"/>
    <w:rsid w:val="002438A1"/>
    <w:rsid w:val="002646C2"/>
    <w:rsid w:val="00280DC9"/>
    <w:rsid w:val="002E3454"/>
    <w:rsid w:val="002F681B"/>
    <w:rsid w:val="00307009"/>
    <w:rsid w:val="00330122"/>
    <w:rsid w:val="00335E20"/>
    <w:rsid w:val="003A292C"/>
    <w:rsid w:val="003A3509"/>
    <w:rsid w:val="003B231F"/>
    <w:rsid w:val="0044337B"/>
    <w:rsid w:val="00451619"/>
    <w:rsid w:val="004902B0"/>
    <w:rsid w:val="005A2953"/>
    <w:rsid w:val="005C737E"/>
    <w:rsid w:val="0064436A"/>
    <w:rsid w:val="0066718D"/>
    <w:rsid w:val="0068015C"/>
    <w:rsid w:val="006936A0"/>
    <w:rsid w:val="006D299A"/>
    <w:rsid w:val="006E0DEA"/>
    <w:rsid w:val="007B3B09"/>
    <w:rsid w:val="008108AF"/>
    <w:rsid w:val="00837CBF"/>
    <w:rsid w:val="008C216D"/>
    <w:rsid w:val="0096518D"/>
    <w:rsid w:val="00985D0C"/>
    <w:rsid w:val="009C2D2D"/>
    <w:rsid w:val="00A55DA8"/>
    <w:rsid w:val="00A9012F"/>
    <w:rsid w:val="00BD7345"/>
    <w:rsid w:val="00BF4C47"/>
    <w:rsid w:val="00BF628F"/>
    <w:rsid w:val="00BF7760"/>
    <w:rsid w:val="00C37CCF"/>
    <w:rsid w:val="00C41CDF"/>
    <w:rsid w:val="00CA0C94"/>
    <w:rsid w:val="00CF52EF"/>
    <w:rsid w:val="00D60A36"/>
    <w:rsid w:val="00D81A9C"/>
    <w:rsid w:val="00E019F2"/>
    <w:rsid w:val="00E9170F"/>
    <w:rsid w:val="00EE2C27"/>
    <w:rsid w:val="00F33DA1"/>
    <w:rsid w:val="00F65DF0"/>
    <w:rsid w:val="00F66D11"/>
    <w:rsid w:val="00FA35D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44C0"/>
  <w15:chartTrackingRefBased/>
  <w15:docId w15:val="{D5A25FB7-83E5-488E-A52C-6FB0440F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3A350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3B231F"/>
    <w:pPr>
      <w:keepNext/>
      <w:keepLines/>
      <w:spacing w:before="360" w:after="80" w:line="360" w:lineRule="auto"/>
      <w:jc w:val="both"/>
      <w:outlineLvl w:val="1"/>
    </w:pPr>
    <w:rPr>
      <w:rFonts w:ascii="Times New Roman" w:eastAsia="Calibri" w:hAnsi="Times New Roman" w:cs="Calibri"/>
      <w:b/>
      <w:sz w:val="24"/>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231F"/>
    <w:rPr>
      <w:rFonts w:ascii="Times New Roman" w:eastAsia="Calibri" w:hAnsi="Times New Roman" w:cs="Calibri"/>
      <w:b/>
      <w:sz w:val="24"/>
      <w:szCs w:val="36"/>
      <w:lang w:val="en-GB" w:eastAsia="en-GB"/>
    </w:rPr>
  </w:style>
  <w:style w:type="character" w:customStyle="1" w:styleId="Heading1Char">
    <w:name w:val="Heading 1 Char"/>
    <w:basedOn w:val="DefaultParagraphFont"/>
    <w:link w:val="Heading1"/>
    <w:uiPriority w:val="9"/>
    <w:rsid w:val="003A3509"/>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6D29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6D299A"/>
    <w:rPr>
      <w:lang w:val="en-GB"/>
    </w:rPr>
  </w:style>
  <w:style w:type="paragraph" w:styleId="Footer">
    <w:name w:val="footer"/>
    <w:basedOn w:val="Normal"/>
    <w:link w:val="FooterChar"/>
    <w:uiPriority w:val="99"/>
    <w:unhideWhenUsed/>
    <w:rsid w:val="006D29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D299A"/>
    <w:rPr>
      <w:lang w:val="en-GB"/>
    </w:rPr>
  </w:style>
  <w:style w:type="character" w:styleId="Hyperlink">
    <w:name w:val="Hyperlink"/>
    <w:basedOn w:val="DefaultParagraphFont"/>
    <w:uiPriority w:val="99"/>
    <w:unhideWhenUsed/>
    <w:rsid w:val="000F4B1B"/>
    <w:rPr>
      <w:color w:val="0563C1" w:themeColor="hyperlink"/>
      <w:u w:val="single"/>
    </w:rPr>
  </w:style>
  <w:style w:type="character" w:customStyle="1" w:styleId="UnresolvedMention">
    <w:name w:val="Unresolved Mention"/>
    <w:basedOn w:val="DefaultParagraphFont"/>
    <w:uiPriority w:val="99"/>
    <w:semiHidden/>
    <w:unhideWhenUsed/>
    <w:rsid w:val="000F4B1B"/>
    <w:rPr>
      <w:color w:val="605E5C"/>
      <w:shd w:val="clear" w:color="auto" w:fill="E1DFDD"/>
    </w:rPr>
  </w:style>
  <w:style w:type="character" w:styleId="PlaceholderText">
    <w:name w:val="Placeholder Text"/>
    <w:basedOn w:val="DefaultParagraphFont"/>
    <w:uiPriority w:val="99"/>
    <w:semiHidden/>
    <w:rsid w:val="00985D0C"/>
    <w:rPr>
      <w:color w:val="808080"/>
    </w:rPr>
  </w:style>
  <w:style w:type="paragraph" w:styleId="ListParagraph">
    <w:name w:val="List Paragraph"/>
    <w:basedOn w:val="Normal"/>
    <w:uiPriority w:val="34"/>
    <w:qFormat/>
    <w:rsid w:val="006E0DEA"/>
    <w:pPr>
      <w:ind w:left="720"/>
      <w:contextualSpacing/>
    </w:pPr>
  </w:style>
  <w:style w:type="paragraph" w:styleId="TOCHeading">
    <w:name w:val="TOC Heading"/>
    <w:basedOn w:val="Heading1"/>
    <w:next w:val="Normal"/>
    <w:uiPriority w:val="39"/>
    <w:unhideWhenUsed/>
    <w:qFormat/>
    <w:rsid w:val="00280DC9"/>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80DC9"/>
    <w:pPr>
      <w:spacing w:after="100"/>
    </w:pPr>
  </w:style>
  <w:style w:type="paragraph" w:styleId="TOC2">
    <w:name w:val="toc 2"/>
    <w:basedOn w:val="Normal"/>
    <w:next w:val="Normal"/>
    <w:autoRedefine/>
    <w:uiPriority w:val="39"/>
    <w:unhideWhenUsed/>
    <w:rsid w:val="00280D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strategyhub.com/tesco-swot-analysis-2019swot-analysis-of-tesco/" TargetMode="External"/><Relationship Id="rId18" Type="http://schemas.openxmlformats.org/officeDocument/2006/relationships/hyperlink" Target="https://www.tescoplc.com/media/an0cp1co/tesco-annual-report-2022.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re.ac.uk/download/pdf/55617649.pdf" TargetMode="External"/><Relationship Id="rId17" Type="http://schemas.openxmlformats.org/officeDocument/2006/relationships/hyperlink" Target="https://www.reuters.com/markets/companies/TSCO.L/" TargetMode="External"/><Relationship Id="rId2" Type="http://schemas.openxmlformats.org/officeDocument/2006/relationships/numbering" Target="numbering.xml"/><Relationship Id="rId16" Type="http://schemas.openxmlformats.org/officeDocument/2006/relationships/hyperlink" Target="https://www.marketingweek.com/grocery-market-share-top-uk-ads-agency-diversity-5-interesting-sta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ciencedirect.com/topics/social-sciences/behavioral-financ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aw.cornell.edu/wex/insider_tra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C0611-6A0E-4212-B8F9-F84CD1FFD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9</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4</cp:revision>
  <dcterms:created xsi:type="dcterms:W3CDTF">2023-04-29T11:33:00Z</dcterms:created>
  <dcterms:modified xsi:type="dcterms:W3CDTF">2023-05-03T07:36:00Z</dcterms:modified>
</cp:coreProperties>
</file>