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F4034" w14:textId="77777777" w:rsidR="0063362D" w:rsidRPr="0063362D" w:rsidRDefault="0063362D" w:rsidP="0063362D">
      <w:pPr>
        <w:spacing w:after="120" w:line="264" w:lineRule="auto"/>
        <w:jc w:val="center"/>
        <w:rPr>
          <w:rFonts w:eastAsia="Times New Roman" w:cs="Arial"/>
          <w:szCs w:val="24"/>
          <w:lang w:val="en-IN" w:eastAsia="en-IN"/>
        </w:rPr>
      </w:pPr>
      <w:r w:rsidRPr="0063362D">
        <w:rPr>
          <w:rFonts w:eastAsia="Times New Roman" w:cs="Arial"/>
          <w:noProof/>
          <w:szCs w:val="24"/>
          <w:lang w:val="en-IN" w:eastAsia="en-IN"/>
        </w:rPr>
        <w:drawing>
          <wp:inline distT="0" distB="0" distL="0" distR="0" wp14:anchorId="404820C0" wp14:editId="2A1D3148">
            <wp:extent cx="2286000" cy="828675"/>
            <wp:effectExtent l="0" t="0" r="0" b="0"/>
            <wp:docPr id="262006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651" cy="828911"/>
                    </a:xfrm>
                    <a:prstGeom prst="rect">
                      <a:avLst/>
                    </a:prstGeom>
                    <a:noFill/>
                  </pic:spPr>
                </pic:pic>
              </a:graphicData>
            </a:graphic>
          </wp:inline>
        </w:drawing>
      </w:r>
    </w:p>
    <w:p w14:paraId="2FBEB2AE" w14:textId="77777777" w:rsidR="0063362D" w:rsidRPr="0063362D" w:rsidRDefault="0063362D" w:rsidP="0063362D">
      <w:pPr>
        <w:spacing w:after="120" w:line="264" w:lineRule="auto"/>
        <w:jc w:val="center"/>
        <w:rPr>
          <w:rFonts w:eastAsia="Times New Roman" w:cs="Arial"/>
          <w:szCs w:val="24"/>
          <w:lang w:val="en-IN" w:eastAsia="en-IN"/>
        </w:rPr>
      </w:pPr>
    </w:p>
    <w:p w14:paraId="41D981FF" w14:textId="77777777" w:rsidR="0063362D" w:rsidRPr="0063362D" w:rsidRDefault="0063362D" w:rsidP="0063362D">
      <w:pPr>
        <w:spacing w:after="120" w:line="264" w:lineRule="auto"/>
        <w:jc w:val="center"/>
        <w:rPr>
          <w:rFonts w:eastAsia="Times New Roman" w:cs="Arial"/>
          <w:szCs w:val="24"/>
          <w:lang w:val="en-IN" w:eastAsia="en-IN"/>
        </w:rPr>
      </w:pPr>
    </w:p>
    <w:p w14:paraId="505CF21F" w14:textId="77777777" w:rsidR="0063362D" w:rsidRPr="0063362D" w:rsidRDefault="0063362D" w:rsidP="0063362D">
      <w:pPr>
        <w:spacing w:after="120" w:line="264" w:lineRule="auto"/>
        <w:jc w:val="center"/>
        <w:rPr>
          <w:rFonts w:eastAsia="Times New Roman" w:cs="Arial"/>
          <w:b/>
          <w:bCs/>
          <w:szCs w:val="24"/>
          <w:lang w:val="en-IN" w:eastAsia="en-IN"/>
        </w:rPr>
      </w:pPr>
      <w:r w:rsidRPr="0063362D">
        <w:rPr>
          <w:rFonts w:eastAsia="Times New Roman" w:cs="Arial"/>
          <w:b/>
          <w:bCs/>
          <w:szCs w:val="24"/>
          <w:lang w:val="en-IN" w:eastAsia="en-IN"/>
        </w:rPr>
        <w:t>University of Wales Trinity Saint David</w:t>
      </w:r>
    </w:p>
    <w:p w14:paraId="18C16AFA" w14:textId="77777777" w:rsidR="0063362D" w:rsidRPr="0063362D" w:rsidRDefault="0063362D" w:rsidP="0063362D">
      <w:pPr>
        <w:spacing w:after="120" w:line="264" w:lineRule="auto"/>
        <w:jc w:val="center"/>
        <w:rPr>
          <w:rFonts w:eastAsia="Times New Roman" w:cs="Arial"/>
          <w:szCs w:val="24"/>
          <w:lang w:val="en-IN" w:eastAsia="en-IN"/>
        </w:rPr>
      </w:pPr>
    </w:p>
    <w:p w14:paraId="4F31B8E2" w14:textId="77777777" w:rsidR="0063362D" w:rsidRPr="0063362D" w:rsidRDefault="0063362D" w:rsidP="0063362D">
      <w:pPr>
        <w:spacing w:after="120" w:line="264" w:lineRule="auto"/>
        <w:jc w:val="center"/>
        <w:rPr>
          <w:rFonts w:eastAsia="Times New Roman" w:cs="Arial"/>
          <w:b/>
          <w:bCs/>
          <w:szCs w:val="24"/>
          <w:lang w:val="en-IN" w:eastAsia="en-IN"/>
        </w:rPr>
      </w:pPr>
      <w:r w:rsidRPr="0063362D">
        <w:rPr>
          <w:rFonts w:eastAsia="Times New Roman" w:cs="Arial"/>
          <w:b/>
          <w:bCs/>
          <w:szCs w:val="24"/>
          <w:lang w:val="en-IN" w:eastAsia="en-IN"/>
        </w:rPr>
        <w:t>Programme: Master of Business Administration (MBA)</w:t>
      </w:r>
    </w:p>
    <w:p w14:paraId="418E9B8E" w14:textId="77777777" w:rsidR="0063362D" w:rsidRPr="0063362D" w:rsidRDefault="0063362D" w:rsidP="0063362D">
      <w:pPr>
        <w:spacing w:after="120" w:line="264" w:lineRule="auto"/>
        <w:jc w:val="center"/>
        <w:rPr>
          <w:rFonts w:eastAsia="Times New Roman" w:cs="Arial"/>
          <w:b/>
          <w:bCs/>
          <w:szCs w:val="24"/>
          <w:lang w:val="en-IN" w:eastAsia="en-IN"/>
        </w:rPr>
      </w:pPr>
    </w:p>
    <w:p w14:paraId="16F26E2E" w14:textId="77777777" w:rsidR="0063362D" w:rsidRPr="0063362D" w:rsidRDefault="0063362D" w:rsidP="0063362D">
      <w:pPr>
        <w:spacing w:after="120" w:line="264" w:lineRule="auto"/>
        <w:jc w:val="center"/>
        <w:rPr>
          <w:rFonts w:eastAsia="Times New Roman" w:cs="Arial"/>
          <w:szCs w:val="24"/>
          <w:lang w:val="en-IN" w:eastAsia="en-IN"/>
        </w:rPr>
      </w:pPr>
    </w:p>
    <w:p w14:paraId="6D799B26" w14:textId="63F425E9" w:rsidR="0063362D" w:rsidRPr="0063362D" w:rsidRDefault="0063362D" w:rsidP="0063362D">
      <w:pPr>
        <w:spacing w:after="120" w:line="264" w:lineRule="auto"/>
        <w:jc w:val="center"/>
        <w:rPr>
          <w:rFonts w:eastAsia="Times New Roman" w:cs="Arial"/>
          <w:szCs w:val="24"/>
          <w:lang w:val="en-IN" w:eastAsia="en-IN"/>
        </w:rPr>
      </w:pPr>
      <w:r w:rsidRPr="0063362D">
        <w:rPr>
          <w:rFonts w:eastAsia="Times New Roman" w:cs="Arial"/>
          <w:b/>
          <w:bCs/>
          <w:szCs w:val="24"/>
          <w:lang w:val="en-IN" w:eastAsia="en-IN"/>
        </w:rPr>
        <w:t>Module Name:</w:t>
      </w:r>
      <w:r w:rsidRPr="0063362D">
        <w:rPr>
          <w:rFonts w:eastAsia="Times New Roman" w:cs="Arial"/>
          <w:szCs w:val="24"/>
          <w:lang w:val="en-IN" w:eastAsia="en-IN"/>
        </w:rPr>
        <w:t xml:space="preserve"> </w:t>
      </w:r>
      <w:r w:rsidRPr="00A906E2">
        <w:rPr>
          <w:rFonts w:cs="Arial"/>
          <w:b/>
          <w:bCs/>
        </w:rPr>
        <w:t>Strategic Management</w:t>
      </w:r>
    </w:p>
    <w:p w14:paraId="6D41E2BC" w14:textId="77777777" w:rsidR="0063362D" w:rsidRPr="0063362D" w:rsidRDefault="0063362D" w:rsidP="0063362D">
      <w:pPr>
        <w:spacing w:after="120" w:line="264" w:lineRule="auto"/>
        <w:jc w:val="center"/>
        <w:rPr>
          <w:rFonts w:eastAsia="Times New Roman" w:cs="Arial"/>
          <w:szCs w:val="24"/>
          <w:lang w:val="en-IN" w:eastAsia="en-IN"/>
        </w:rPr>
      </w:pPr>
    </w:p>
    <w:p w14:paraId="13A42FB9" w14:textId="1F540108" w:rsidR="0063362D" w:rsidRPr="0063362D" w:rsidRDefault="0063362D" w:rsidP="0063362D">
      <w:pPr>
        <w:spacing w:after="120" w:line="264" w:lineRule="auto"/>
        <w:jc w:val="center"/>
        <w:rPr>
          <w:rFonts w:eastAsia="Times New Roman" w:cs="Arial"/>
          <w:szCs w:val="24"/>
          <w:lang w:val="en-IN" w:eastAsia="en-IN"/>
        </w:rPr>
      </w:pPr>
      <w:r w:rsidRPr="0063362D">
        <w:rPr>
          <w:rFonts w:eastAsia="Times New Roman" w:cs="Arial"/>
          <w:szCs w:val="24"/>
          <w:lang w:val="en-IN" w:eastAsia="en-IN"/>
        </w:rPr>
        <w:br/>
      </w:r>
      <w:r w:rsidRPr="0063362D">
        <w:rPr>
          <w:rFonts w:eastAsia="Times New Roman" w:cs="Arial"/>
          <w:b/>
          <w:bCs/>
          <w:szCs w:val="24"/>
          <w:lang w:val="en-IN" w:eastAsia="en-IN"/>
        </w:rPr>
        <w:t>Module Code:</w:t>
      </w:r>
      <w:r w:rsidRPr="0063362D">
        <w:rPr>
          <w:rFonts w:eastAsia="Times New Roman" w:cs="Arial"/>
          <w:szCs w:val="24"/>
          <w:lang w:val="en-IN" w:eastAsia="en-IN"/>
        </w:rPr>
        <w:t xml:space="preserve"> </w:t>
      </w:r>
      <w:r w:rsidRPr="00A906E2">
        <w:rPr>
          <w:rFonts w:cs="Arial"/>
          <w:b/>
          <w:bCs/>
        </w:rPr>
        <w:t>LCMB7003</w:t>
      </w:r>
    </w:p>
    <w:p w14:paraId="1CC79590" w14:textId="77777777" w:rsidR="0063362D" w:rsidRPr="0063362D" w:rsidRDefault="0063362D" w:rsidP="0063362D">
      <w:pPr>
        <w:spacing w:after="120" w:line="264" w:lineRule="auto"/>
        <w:jc w:val="center"/>
        <w:rPr>
          <w:rFonts w:eastAsia="Times New Roman" w:cs="Arial"/>
          <w:szCs w:val="24"/>
          <w:lang w:val="en-IN" w:eastAsia="en-IN"/>
        </w:rPr>
      </w:pPr>
    </w:p>
    <w:p w14:paraId="2FC1887C" w14:textId="77777777" w:rsidR="0063362D" w:rsidRPr="0063362D" w:rsidRDefault="0063362D" w:rsidP="0063362D">
      <w:pPr>
        <w:spacing w:after="120" w:line="264" w:lineRule="auto"/>
        <w:jc w:val="center"/>
        <w:rPr>
          <w:rFonts w:eastAsia="Times New Roman" w:cs="Arial"/>
          <w:szCs w:val="24"/>
          <w:lang w:val="en-IN" w:eastAsia="en-IN"/>
        </w:rPr>
      </w:pPr>
    </w:p>
    <w:p w14:paraId="761BED39" w14:textId="2746E0E3" w:rsidR="0063362D" w:rsidRPr="0063362D" w:rsidRDefault="0063362D" w:rsidP="0063362D">
      <w:pPr>
        <w:spacing w:after="120" w:line="264" w:lineRule="auto"/>
        <w:jc w:val="center"/>
        <w:rPr>
          <w:rFonts w:eastAsia="Times New Roman" w:cs="Arial"/>
          <w:szCs w:val="24"/>
          <w:lang w:val="en-IN" w:eastAsia="en-IN"/>
        </w:rPr>
      </w:pPr>
      <w:r w:rsidRPr="008803DF">
        <w:rPr>
          <w:rFonts w:cs="Arial"/>
        </w:rPr>
        <w:t>Strategic Management Report: Tesla, Inc.</w:t>
      </w:r>
    </w:p>
    <w:p w14:paraId="28689D51" w14:textId="77777777" w:rsidR="0063362D" w:rsidRPr="0063362D" w:rsidRDefault="0063362D" w:rsidP="0063362D">
      <w:pPr>
        <w:spacing w:after="120" w:line="264" w:lineRule="auto"/>
        <w:jc w:val="center"/>
        <w:rPr>
          <w:rFonts w:eastAsia="Times New Roman" w:cs="Arial"/>
          <w:szCs w:val="24"/>
          <w:lang w:val="en-IN" w:eastAsia="en-IN"/>
        </w:rPr>
      </w:pPr>
    </w:p>
    <w:p w14:paraId="5067FEC5" w14:textId="77777777" w:rsidR="0063362D" w:rsidRPr="0063362D" w:rsidRDefault="0063362D" w:rsidP="0063362D">
      <w:pPr>
        <w:spacing w:after="120" w:line="264" w:lineRule="auto"/>
        <w:jc w:val="center"/>
        <w:rPr>
          <w:rFonts w:eastAsia="Times New Roman" w:cs="Arial"/>
          <w:szCs w:val="24"/>
          <w:lang w:val="en-IN" w:eastAsia="en-IN"/>
        </w:rPr>
      </w:pPr>
    </w:p>
    <w:p w14:paraId="40A5BD4F" w14:textId="6F7A4295" w:rsidR="0063362D" w:rsidRPr="0063362D" w:rsidRDefault="0063362D" w:rsidP="0063362D">
      <w:pPr>
        <w:spacing w:after="120" w:line="264" w:lineRule="auto"/>
        <w:jc w:val="center"/>
        <w:rPr>
          <w:rFonts w:eastAsia="Times New Roman" w:cs="Arial"/>
          <w:szCs w:val="24"/>
          <w:lang w:val="en-IN" w:eastAsia="en-IN"/>
        </w:rPr>
      </w:pPr>
      <w:r w:rsidRPr="0063362D">
        <w:rPr>
          <w:rFonts w:eastAsia="Times New Roman" w:cs="Arial"/>
          <w:b/>
          <w:bCs/>
          <w:szCs w:val="24"/>
          <w:lang w:val="en-IN" w:eastAsia="en-IN"/>
        </w:rPr>
        <w:t>Student Name:</w:t>
      </w:r>
      <w:r w:rsidR="00A906E2">
        <w:rPr>
          <w:rFonts w:eastAsia="Times New Roman" w:cs="Arial"/>
          <w:szCs w:val="24"/>
          <w:lang w:val="en-IN" w:eastAsia="en-IN"/>
        </w:rPr>
        <w:t xml:space="preserve"> </w:t>
      </w:r>
      <w:r w:rsidR="00A906E2" w:rsidRPr="00A906E2">
        <w:rPr>
          <w:rFonts w:eastAsia="Times New Roman" w:cs="Arial"/>
          <w:b/>
          <w:bCs/>
          <w:szCs w:val="24"/>
          <w:lang w:val="en-IN" w:eastAsia="en-IN"/>
        </w:rPr>
        <w:t>Farhan Shekh</w:t>
      </w:r>
      <w:r w:rsidRPr="0063362D">
        <w:rPr>
          <w:rFonts w:eastAsia="Times New Roman" w:cs="Arial"/>
          <w:szCs w:val="24"/>
          <w:lang w:val="en-IN" w:eastAsia="en-IN"/>
        </w:rPr>
        <w:br/>
      </w:r>
      <w:r w:rsidRPr="0063362D">
        <w:rPr>
          <w:rFonts w:eastAsia="Times New Roman" w:cs="Arial"/>
          <w:b/>
          <w:bCs/>
          <w:szCs w:val="24"/>
          <w:lang w:val="en-IN" w:eastAsia="en-IN"/>
        </w:rPr>
        <w:t>Student ID:</w:t>
      </w:r>
      <w:r w:rsidRPr="0063362D">
        <w:rPr>
          <w:rFonts w:eastAsia="Times New Roman" w:cs="Arial"/>
          <w:szCs w:val="24"/>
          <w:lang w:val="en-IN" w:eastAsia="en-IN"/>
        </w:rPr>
        <w:t xml:space="preserve"> </w:t>
      </w:r>
      <w:r w:rsidR="00A906E2" w:rsidRPr="00A906E2">
        <w:rPr>
          <w:rFonts w:eastAsia="Times New Roman" w:cs="Arial"/>
          <w:b/>
          <w:bCs/>
          <w:szCs w:val="24"/>
          <w:lang w:val="en-IN" w:eastAsia="en-IN"/>
        </w:rPr>
        <w:t>2417893</w:t>
      </w:r>
    </w:p>
    <w:p w14:paraId="315C4F33" w14:textId="77777777" w:rsidR="0063362D" w:rsidRPr="0063362D" w:rsidRDefault="0063362D" w:rsidP="0063362D">
      <w:pPr>
        <w:spacing w:after="120" w:line="264" w:lineRule="auto"/>
        <w:jc w:val="center"/>
        <w:rPr>
          <w:rFonts w:eastAsia="Times New Roman" w:cs="Arial"/>
          <w:szCs w:val="24"/>
          <w:lang w:val="en-IN" w:eastAsia="en-IN"/>
        </w:rPr>
      </w:pPr>
    </w:p>
    <w:p w14:paraId="3D5726A7" w14:textId="77777777" w:rsidR="0063362D" w:rsidRPr="0063362D" w:rsidRDefault="0063362D" w:rsidP="0063362D">
      <w:pPr>
        <w:spacing w:after="120" w:line="264" w:lineRule="auto"/>
        <w:jc w:val="center"/>
        <w:rPr>
          <w:rFonts w:eastAsia="Times New Roman" w:cs="Arial"/>
          <w:szCs w:val="24"/>
          <w:lang w:val="en-IN" w:eastAsia="en-IN"/>
        </w:rPr>
      </w:pPr>
    </w:p>
    <w:p w14:paraId="5372A750" w14:textId="77777777" w:rsidR="0063362D" w:rsidRPr="0063362D" w:rsidRDefault="0063362D" w:rsidP="0063362D">
      <w:pPr>
        <w:spacing w:after="120" w:line="264" w:lineRule="auto"/>
        <w:jc w:val="center"/>
        <w:rPr>
          <w:rFonts w:eastAsia="Times New Roman" w:cs="Arial"/>
          <w:szCs w:val="24"/>
          <w:lang w:val="en-IN" w:eastAsia="en-IN"/>
        </w:rPr>
      </w:pPr>
    </w:p>
    <w:p w14:paraId="70898F50" w14:textId="77777777" w:rsidR="0063362D" w:rsidRPr="0063362D" w:rsidRDefault="0063362D" w:rsidP="0063362D">
      <w:pPr>
        <w:spacing w:after="120" w:line="264" w:lineRule="auto"/>
        <w:jc w:val="center"/>
        <w:rPr>
          <w:rFonts w:eastAsia="Times New Roman" w:cs="Arial"/>
          <w:szCs w:val="24"/>
          <w:lang w:val="en-IN" w:eastAsia="en-IN"/>
        </w:rPr>
      </w:pPr>
    </w:p>
    <w:p w14:paraId="684BD570" w14:textId="3D66A05A" w:rsidR="0063362D" w:rsidRPr="0063362D" w:rsidRDefault="0063362D" w:rsidP="0063362D">
      <w:pPr>
        <w:spacing w:after="120" w:line="264" w:lineRule="auto"/>
        <w:jc w:val="center"/>
        <w:rPr>
          <w:rFonts w:eastAsia="Times New Roman" w:cs="Arial"/>
          <w:szCs w:val="24"/>
          <w:lang w:val="en-IN" w:eastAsia="en-IN"/>
        </w:rPr>
      </w:pPr>
      <w:r w:rsidRPr="0063362D">
        <w:rPr>
          <w:rFonts w:eastAsia="Times New Roman" w:cs="Arial"/>
          <w:b/>
          <w:bCs/>
          <w:szCs w:val="24"/>
          <w:lang w:val="en-IN" w:eastAsia="en-IN"/>
        </w:rPr>
        <w:t>Word Count:</w:t>
      </w:r>
      <w:r w:rsidRPr="0063362D">
        <w:rPr>
          <w:rFonts w:eastAsia="Times New Roman" w:cs="Arial"/>
          <w:szCs w:val="24"/>
          <w:lang w:val="en-IN" w:eastAsia="en-IN"/>
        </w:rPr>
        <w:t xml:space="preserve"> </w:t>
      </w:r>
      <w:r w:rsidR="00A906E2">
        <w:rPr>
          <w:rFonts w:eastAsia="Times New Roman" w:cs="Arial"/>
          <w:szCs w:val="24"/>
          <w:lang w:val="en-IN" w:eastAsia="en-IN"/>
        </w:rPr>
        <w:t>5105</w:t>
      </w:r>
      <w:r w:rsidRPr="0063362D">
        <w:rPr>
          <w:rFonts w:eastAsia="Times New Roman" w:cs="Arial"/>
          <w:szCs w:val="24"/>
          <w:lang w:val="en-IN" w:eastAsia="en-IN"/>
        </w:rPr>
        <w:br/>
      </w:r>
      <w:r w:rsidRPr="0063362D">
        <w:rPr>
          <w:rFonts w:eastAsia="Times New Roman" w:cs="Arial"/>
          <w:b/>
          <w:bCs/>
          <w:szCs w:val="24"/>
          <w:lang w:val="en-IN" w:eastAsia="en-IN"/>
        </w:rPr>
        <w:t>Submission Date:</w:t>
      </w:r>
      <w:r w:rsidR="00A906E2">
        <w:rPr>
          <w:rFonts w:eastAsia="Times New Roman" w:cs="Arial"/>
          <w:szCs w:val="24"/>
          <w:lang w:val="en-IN" w:eastAsia="en-IN"/>
        </w:rPr>
        <w:t xml:space="preserve"> 31/03/2026</w:t>
      </w:r>
    </w:p>
    <w:p w14:paraId="1379B298" w14:textId="77777777" w:rsidR="00C5414C" w:rsidRDefault="00C5414C">
      <w:pPr>
        <w:spacing w:after="480"/>
        <w:jc w:val="center"/>
        <w:rPr>
          <w:rFonts w:cs="Arial"/>
          <w:b/>
          <w:sz w:val="36"/>
        </w:rPr>
      </w:pPr>
    </w:p>
    <w:p w14:paraId="7ADCA2B4" w14:textId="77777777" w:rsidR="0063362D" w:rsidRDefault="0063362D">
      <w:pPr>
        <w:spacing w:after="480"/>
        <w:jc w:val="center"/>
        <w:rPr>
          <w:rFonts w:cs="Arial"/>
          <w:b/>
          <w:sz w:val="36"/>
        </w:rPr>
      </w:pPr>
    </w:p>
    <w:sdt>
      <w:sdtPr>
        <w:rPr>
          <w:rFonts w:ascii="Arial" w:eastAsiaTheme="minorEastAsia" w:hAnsi="Arial" w:cstheme="minorBidi"/>
          <w:b w:val="0"/>
          <w:bCs w:val="0"/>
          <w:color w:val="auto"/>
          <w:sz w:val="24"/>
          <w:szCs w:val="22"/>
        </w:rPr>
        <w:id w:val="-292668118"/>
        <w:docPartObj>
          <w:docPartGallery w:val="Table of Contents"/>
          <w:docPartUnique/>
        </w:docPartObj>
      </w:sdtPr>
      <w:sdtEndPr>
        <w:rPr>
          <w:noProof/>
        </w:rPr>
      </w:sdtEndPr>
      <w:sdtContent>
        <w:p w14:paraId="47C4F326" w14:textId="37236039" w:rsidR="004B3400" w:rsidRDefault="004B3400">
          <w:pPr>
            <w:pStyle w:val="TOCHeading"/>
          </w:pPr>
          <w:r>
            <w:t>Contents</w:t>
          </w:r>
        </w:p>
        <w:p w14:paraId="3D7B01EB" w14:textId="64D83539" w:rsidR="00582099" w:rsidRDefault="004B3400">
          <w:pPr>
            <w:pStyle w:val="TOC1"/>
            <w:tabs>
              <w:tab w:val="right" w:leader="dot" w:pos="9350"/>
            </w:tabs>
            <w:rPr>
              <w:rFonts w:asciiTheme="minorHAnsi" w:hAnsiTheme="minorHAnsi"/>
              <w:noProof/>
              <w:kern w:val="2"/>
              <w:szCs w:val="24"/>
              <w:lang w:val="en-AU" w:eastAsia="en-AU"/>
              <w14:ligatures w14:val="standardContextual"/>
            </w:rPr>
          </w:pPr>
          <w:r>
            <w:fldChar w:fldCharType="begin"/>
          </w:r>
          <w:r>
            <w:instrText xml:space="preserve"> TOC \o "1-3" \h \z \u </w:instrText>
          </w:r>
          <w:r>
            <w:fldChar w:fldCharType="separate"/>
          </w:r>
          <w:hyperlink w:anchor="_Toc225644581" w:history="1">
            <w:r w:rsidR="00582099" w:rsidRPr="008363FD">
              <w:rPr>
                <w:rStyle w:val="Hyperlink"/>
                <w:noProof/>
              </w:rPr>
              <w:t>1. Organisational Context and Overview</w:t>
            </w:r>
            <w:r w:rsidR="00582099">
              <w:rPr>
                <w:noProof/>
                <w:webHidden/>
              </w:rPr>
              <w:tab/>
            </w:r>
            <w:r w:rsidR="00582099">
              <w:rPr>
                <w:noProof/>
                <w:webHidden/>
              </w:rPr>
              <w:fldChar w:fldCharType="begin"/>
            </w:r>
            <w:r w:rsidR="00582099">
              <w:rPr>
                <w:noProof/>
                <w:webHidden/>
              </w:rPr>
              <w:instrText xml:space="preserve"> PAGEREF _Toc225644581 \h </w:instrText>
            </w:r>
            <w:r w:rsidR="00582099">
              <w:rPr>
                <w:noProof/>
                <w:webHidden/>
              </w:rPr>
            </w:r>
            <w:r w:rsidR="00582099">
              <w:rPr>
                <w:noProof/>
                <w:webHidden/>
              </w:rPr>
              <w:fldChar w:fldCharType="separate"/>
            </w:r>
            <w:r w:rsidR="00DB0574">
              <w:rPr>
                <w:noProof/>
                <w:webHidden/>
              </w:rPr>
              <w:t>3</w:t>
            </w:r>
            <w:r w:rsidR="00582099">
              <w:rPr>
                <w:noProof/>
                <w:webHidden/>
              </w:rPr>
              <w:fldChar w:fldCharType="end"/>
            </w:r>
          </w:hyperlink>
        </w:p>
        <w:p w14:paraId="33055855" w14:textId="4B94FBDA"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82" w:history="1">
            <w:r w:rsidRPr="008363FD">
              <w:rPr>
                <w:rStyle w:val="Hyperlink"/>
                <w:noProof/>
              </w:rPr>
              <w:t>2. External and Internal Environment Analysis</w:t>
            </w:r>
            <w:r>
              <w:rPr>
                <w:noProof/>
                <w:webHidden/>
              </w:rPr>
              <w:tab/>
            </w:r>
            <w:r>
              <w:rPr>
                <w:noProof/>
                <w:webHidden/>
              </w:rPr>
              <w:fldChar w:fldCharType="begin"/>
            </w:r>
            <w:r>
              <w:rPr>
                <w:noProof/>
                <w:webHidden/>
              </w:rPr>
              <w:instrText xml:space="preserve"> PAGEREF _Toc225644582 \h </w:instrText>
            </w:r>
            <w:r>
              <w:rPr>
                <w:noProof/>
                <w:webHidden/>
              </w:rPr>
            </w:r>
            <w:r>
              <w:rPr>
                <w:noProof/>
                <w:webHidden/>
              </w:rPr>
              <w:fldChar w:fldCharType="separate"/>
            </w:r>
            <w:r w:rsidR="00DB0574">
              <w:rPr>
                <w:noProof/>
                <w:webHidden/>
              </w:rPr>
              <w:t>3</w:t>
            </w:r>
            <w:r>
              <w:rPr>
                <w:noProof/>
                <w:webHidden/>
              </w:rPr>
              <w:fldChar w:fldCharType="end"/>
            </w:r>
          </w:hyperlink>
        </w:p>
        <w:p w14:paraId="6F1A850D" w14:textId="1545E8FA"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83" w:history="1">
            <w:r w:rsidRPr="008363FD">
              <w:rPr>
                <w:rStyle w:val="Hyperlink"/>
                <w:noProof/>
              </w:rPr>
              <w:t>2.1 External Environment: PESTEL Analysis</w:t>
            </w:r>
            <w:r>
              <w:rPr>
                <w:noProof/>
                <w:webHidden/>
              </w:rPr>
              <w:tab/>
            </w:r>
            <w:r>
              <w:rPr>
                <w:noProof/>
                <w:webHidden/>
              </w:rPr>
              <w:fldChar w:fldCharType="begin"/>
            </w:r>
            <w:r>
              <w:rPr>
                <w:noProof/>
                <w:webHidden/>
              </w:rPr>
              <w:instrText xml:space="preserve"> PAGEREF _Toc225644583 \h </w:instrText>
            </w:r>
            <w:r>
              <w:rPr>
                <w:noProof/>
                <w:webHidden/>
              </w:rPr>
            </w:r>
            <w:r>
              <w:rPr>
                <w:noProof/>
                <w:webHidden/>
              </w:rPr>
              <w:fldChar w:fldCharType="separate"/>
            </w:r>
            <w:r w:rsidR="00DB0574">
              <w:rPr>
                <w:noProof/>
                <w:webHidden/>
              </w:rPr>
              <w:t>4</w:t>
            </w:r>
            <w:r>
              <w:rPr>
                <w:noProof/>
                <w:webHidden/>
              </w:rPr>
              <w:fldChar w:fldCharType="end"/>
            </w:r>
          </w:hyperlink>
        </w:p>
        <w:p w14:paraId="676F2B32" w14:textId="2E3B69C2"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84" w:history="1">
            <w:r w:rsidRPr="008363FD">
              <w:rPr>
                <w:rStyle w:val="Hyperlink"/>
                <w:noProof/>
              </w:rPr>
              <w:t>2.2 Industry Analysis: Porter's Five Forces</w:t>
            </w:r>
            <w:r>
              <w:rPr>
                <w:noProof/>
                <w:webHidden/>
              </w:rPr>
              <w:tab/>
            </w:r>
            <w:r>
              <w:rPr>
                <w:noProof/>
                <w:webHidden/>
              </w:rPr>
              <w:fldChar w:fldCharType="begin"/>
            </w:r>
            <w:r>
              <w:rPr>
                <w:noProof/>
                <w:webHidden/>
              </w:rPr>
              <w:instrText xml:space="preserve"> PAGEREF _Toc225644584 \h </w:instrText>
            </w:r>
            <w:r>
              <w:rPr>
                <w:noProof/>
                <w:webHidden/>
              </w:rPr>
            </w:r>
            <w:r>
              <w:rPr>
                <w:noProof/>
                <w:webHidden/>
              </w:rPr>
              <w:fldChar w:fldCharType="separate"/>
            </w:r>
            <w:r w:rsidR="00DB0574">
              <w:rPr>
                <w:noProof/>
                <w:webHidden/>
              </w:rPr>
              <w:t>6</w:t>
            </w:r>
            <w:r>
              <w:rPr>
                <w:noProof/>
                <w:webHidden/>
              </w:rPr>
              <w:fldChar w:fldCharType="end"/>
            </w:r>
          </w:hyperlink>
        </w:p>
        <w:p w14:paraId="2ED91786" w14:textId="0A4A837F"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85" w:history="1">
            <w:r w:rsidRPr="008363FD">
              <w:rPr>
                <w:rStyle w:val="Hyperlink"/>
                <w:noProof/>
              </w:rPr>
              <w:t>3. CSR and Sustainability Objectives</w:t>
            </w:r>
            <w:r>
              <w:rPr>
                <w:noProof/>
                <w:webHidden/>
              </w:rPr>
              <w:tab/>
            </w:r>
            <w:r>
              <w:rPr>
                <w:noProof/>
                <w:webHidden/>
              </w:rPr>
              <w:fldChar w:fldCharType="begin"/>
            </w:r>
            <w:r>
              <w:rPr>
                <w:noProof/>
                <w:webHidden/>
              </w:rPr>
              <w:instrText xml:space="preserve"> PAGEREF _Toc225644585 \h </w:instrText>
            </w:r>
            <w:r>
              <w:rPr>
                <w:noProof/>
                <w:webHidden/>
              </w:rPr>
            </w:r>
            <w:r>
              <w:rPr>
                <w:noProof/>
                <w:webHidden/>
              </w:rPr>
              <w:fldChar w:fldCharType="separate"/>
            </w:r>
            <w:r w:rsidR="00DB0574">
              <w:rPr>
                <w:noProof/>
                <w:webHidden/>
              </w:rPr>
              <w:t>9</w:t>
            </w:r>
            <w:r>
              <w:rPr>
                <w:noProof/>
                <w:webHidden/>
              </w:rPr>
              <w:fldChar w:fldCharType="end"/>
            </w:r>
          </w:hyperlink>
        </w:p>
        <w:p w14:paraId="59683AE8" w14:textId="2DBD4D97"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86" w:history="1">
            <w:r w:rsidRPr="008363FD">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_Toc225644586 \h </w:instrText>
            </w:r>
            <w:r>
              <w:rPr>
                <w:noProof/>
                <w:webHidden/>
              </w:rPr>
            </w:r>
            <w:r>
              <w:rPr>
                <w:noProof/>
                <w:webHidden/>
              </w:rPr>
              <w:fldChar w:fldCharType="separate"/>
            </w:r>
            <w:r w:rsidR="00DB0574">
              <w:rPr>
                <w:noProof/>
                <w:webHidden/>
              </w:rPr>
              <w:t>11</w:t>
            </w:r>
            <w:r>
              <w:rPr>
                <w:noProof/>
                <w:webHidden/>
              </w:rPr>
              <w:fldChar w:fldCharType="end"/>
            </w:r>
          </w:hyperlink>
        </w:p>
        <w:p w14:paraId="0EA8BE36" w14:textId="7E08DBCA"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87" w:history="1">
            <w:r w:rsidRPr="008363FD">
              <w:rPr>
                <w:rStyle w:val="Hyperlink"/>
                <w:noProof/>
              </w:rPr>
              <w:t>5. Strategic Choices and Implementation</w:t>
            </w:r>
            <w:r>
              <w:rPr>
                <w:noProof/>
                <w:webHidden/>
              </w:rPr>
              <w:tab/>
            </w:r>
            <w:r>
              <w:rPr>
                <w:noProof/>
                <w:webHidden/>
              </w:rPr>
              <w:fldChar w:fldCharType="begin"/>
            </w:r>
            <w:r>
              <w:rPr>
                <w:noProof/>
                <w:webHidden/>
              </w:rPr>
              <w:instrText xml:space="preserve"> PAGEREF _Toc225644587 \h </w:instrText>
            </w:r>
            <w:r>
              <w:rPr>
                <w:noProof/>
                <w:webHidden/>
              </w:rPr>
            </w:r>
            <w:r>
              <w:rPr>
                <w:noProof/>
                <w:webHidden/>
              </w:rPr>
              <w:fldChar w:fldCharType="separate"/>
            </w:r>
            <w:r w:rsidR="00DB0574">
              <w:rPr>
                <w:noProof/>
                <w:webHidden/>
              </w:rPr>
              <w:t>13</w:t>
            </w:r>
            <w:r>
              <w:rPr>
                <w:noProof/>
                <w:webHidden/>
              </w:rPr>
              <w:fldChar w:fldCharType="end"/>
            </w:r>
          </w:hyperlink>
        </w:p>
        <w:p w14:paraId="7A95CE9E" w14:textId="5AD27DF8"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88" w:history="1">
            <w:r w:rsidRPr="008363FD">
              <w:rPr>
                <w:rStyle w:val="Hyperlink"/>
                <w:noProof/>
              </w:rPr>
              <w:t>5.1 Business-Level Strategy: The Porter vs. Mintzberg Debate</w:t>
            </w:r>
            <w:r>
              <w:rPr>
                <w:noProof/>
                <w:webHidden/>
              </w:rPr>
              <w:tab/>
            </w:r>
            <w:r>
              <w:rPr>
                <w:noProof/>
                <w:webHidden/>
              </w:rPr>
              <w:fldChar w:fldCharType="begin"/>
            </w:r>
            <w:r>
              <w:rPr>
                <w:noProof/>
                <w:webHidden/>
              </w:rPr>
              <w:instrText xml:space="preserve"> PAGEREF _Toc225644588 \h </w:instrText>
            </w:r>
            <w:r>
              <w:rPr>
                <w:noProof/>
                <w:webHidden/>
              </w:rPr>
            </w:r>
            <w:r>
              <w:rPr>
                <w:noProof/>
                <w:webHidden/>
              </w:rPr>
              <w:fldChar w:fldCharType="separate"/>
            </w:r>
            <w:r w:rsidR="00DB0574">
              <w:rPr>
                <w:noProof/>
                <w:webHidden/>
              </w:rPr>
              <w:t>13</w:t>
            </w:r>
            <w:r>
              <w:rPr>
                <w:noProof/>
                <w:webHidden/>
              </w:rPr>
              <w:fldChar w:fldCharType="end"/>
            </w:r>
          </w:hyperlink>
        </w:p>
        <w:p w14:paraId="60247BA8" w14:textId="4B889B8C"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89" w:history="1">
            <w:r w:rsidRPr="008363FD">
              <w:rPr>
                <w:rStyle w:val="Hyperlink"/>
                <w:noProof/>
              </w:rPr>
              <w:t>5.2 Corporate-Level Strategy and Change Management</w:t>
            </w:r>
            <w:r>
              <w:rPr>
                <w:noProof/>
                <w:webHidden/>
              </w:rPr>
              <w:tab/>
            </w:r>
            <w:r>
              <w:rPr>
                <w:noProof/>
                <w:webHidden/>
              </w:rPr>
              <w:fldChar w:fldCharType="begin"/>
            </w:r>
            <w:r>
              <w:rPr>
                <w:noProof/>
                <w:webHidden/>
              </w:rPr>
              <w:instrText xml:space="preserve"> PAGEREF _Toc225644589 \h </w:instrText>
            </w:r>
            <w:r>
              <w:rPr>
                <w:noProof/>
                <w:webHidden/>
              </w:rPr>
            </w:r>
            <w:r>
              <w:rPr>
                <w:noProof/>
                <w:webHidden/>
              </w:rPr>
              <w:fldChar w:fldCharType="separate"/>
            </w:r>
            <w:r w:rsidR="00DB0574">
              <w:rPr>
                <w:noProof/>
                <w:webHidden/>
              </w:rPr>
              <w:t>13</w:t>
            </w:r>
            <w:r>
              <w:rPr>
                <w:noProof/>
                <w:webHidden/>
              </w:rPr>
              <w:fldChar w:fldCharType="end"/>
            </w:r>
          </w:hyperlink>
        </w:p>
        <w:p w14:paraId="72A8CA66" w14:textId="57442285"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90" w:history="1">
            <w:r w:rsidRPr="008363FD">
              <w:rPr>
                <w:rStyle w:val="Hyperlink"/>
                <w:noProof/>
              </w:rPr>
              <w:t>6. Strategic Evaluation and Recommendations</w:t>
            </w:r>
            <w:r>
              <w:rPr>
                <w:noProof/>
                <w:webHidden/>
              </w:rPr>
              <w:tab/>
            </w:r>
            <w:r>
              <w:rPr>
                <w:noProof/>
                <w:webHidden/>
              </w:rPr>
              <w:fldChar w:fldCharType="begin"/>
            </w:r>
            <w:r>
              <w:rPr>
                <w:noProof/>
                <w:webHidden/>
              </w:rPr>
              <w:instrText xml:space="preserve"> PAGEREF _Toc225644590 \h </w:instrText>
            </w:r>
            <w:r>
              <w:rPr>
                <w:noProof/>
                <w:webHidden/>
              </w:rPr>
            </w:r>
            <w:r>
              <w:rPr>
                <w:noProof/>
                <w:webHidden/>
              </w:rPr>
              <w:fldChar w:fldCharType="separate"/>
            </w:r>
            <w:r w:rsidR="00DB0574">
              <w:rPr>
                <w:noProof/>
                <w:webHidden/>
              </w:rPr>
              <w:t>14</w:t>
            </w:r>
            <w:r>
              <w:rPr>
                <w:noProof/>
                <w:webHidden/>
              </w:rPr>
              <w:fldChar w:fldCharType="end"/>
            </w:r>
          </w:hyperlink>
        </w:p>
        <w:p w14:paraId="50699A3F" w14:textId="0FCAA32D"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1" w:history="1">
            <w:r w:rsidRPr="008363FD">
              <w:rPr>
                <w:rStyle w:val="Hyperlink"/>
                <w:noProof/>
              </w:rPr>
              <w:t>6.1 Strategic Evaluation: SWOT and BCG Matrix</w:t>
            </w:r>
            <w:r>
              <w:rPr>
                <w:noProof/>
                <w:webHidden/>
              </w:rPr>
              <w:tab/>
            </w:r>
            <w:r>
              <w:rPr>
                <w:noProof/>
                <w:webHidden/>
              </w:rPr>
              <w:fldChar w:fldCharType="begin"/>
            </w:r>
            <w:r>
              <w:rPr>
                <w:noProof/>
                <w:webHidden/>
              </w:rPr>
              <w:instrText xml:space="preserve"> PAGEREF _Toc225644591 \h </w:instrText>
            </w:r>
            <w:r>
              <w:rPr>
                <w:noProof/>
                <w:webHidden/>
              </w:rPr>
            </w:r>
            <w:r>
              <w:rPr>
                <w:noProof/>
                <w:webHidden/>
              </w:rPr>
              <w:fldChar w:fldCharType="separate"/>
            </w:r>
            <w:r w:rsidR="00DB0574">
              <w:rPr>
                <w:noProof/>
                <w:webHidden/>
              </w:rPr>
              <w:t>15</w:t>
            </w:r>
            <w:r>
              <w:rPr>
                <w:noProof/>
                <w:webHidden/>
              </w:rPr>
              <w:fldChar w:fldCharType="end"/>
            </w:r>
          </w:hyperlink>
        </w:p>
        <w:p w14:paraId="7E4F5200" w14:textId="00A03DD9"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2" w:history="1">
            <w:r w:rsidRPr="008363FD">
              <w:rPr>
                <w:rStyle w:val="Hyperlink"/>
                <w:noProof/>
              </w:rPr>
              <w:t>6.2 Strategic Recommendations</w:t>
            </w:r>
            <w:r>
              <w:rPr>
                <w:noProof/>
                <w:webHidden/>
              </w:rPr>
              <w:tab/>
            </w:r>
            <w:r>
              <w:rPr>
                <w:noProof/>
                <w:webHidden/>
              </w:rPr>
              <w:fldChar w:fldCharType="begin"/>
            </w:r>
            <w:r>
              <w:rPr>
                <w:noProof/>
                <w:webHidden/>
              </w:rPr>
              <w:instrText xml:space="preserve"> PAGEREF _Toc225644592 \h </w:instrText>
            </w:r>
            <w:r>
              <w:rPr>
                <w:noProof/>
                <w:webHidden/>
              </w:rPr>
            </w:r>
            <w:r>
              <w:rPr>
                <w:noProof/>
                <w:webHidden/>
              </w:rPr>
              <w:fldChar w:fldCharType="separate"/>
            </w:r>
            <w:r w:rsidR="00DB0574">
              <w:rPr>
                <w:noProof/>
                <w:webHidden/>
              </w:rPr>
              <w:t>15</w:t>
            </w:r>
            <w:r>
              <w:rPr>
                <w:noProof/>
                <w:webHidden/>
              </w:rPr>
              <w:fldChar w:fldCharType="end"/>
            </w:r>
          </w:hyperlink>
        </w:p>
        <w:p w14:paraId="4409D884" w14:textId="1B37E9BE"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593" w:history="1">
            <w:r w:rsidRPr="008363FD">
              <w:rPr>
                <w:rStyle w:val="Hyperlink"/>
                <w:noProof/>
              </w:rPr>
              <w:t>Section 2: Reflective Account</w:t>
            </w:r>
            <w:r>
              <w:rPr>
                <w:noProof/>
                <w:webHidden/>
              </w:rPr>
              <w:tab/>
            </w:r>
            <w:r>
              <w:rPr>
                <w:noProof/>
                <w:webHidden/>
              </w:rPr>
              <w:fldChar w:fldCharType="begin"/>
            </w:r>
            <w:r>
              <w:rPr>
                <w:noProof/>
                <w:webHidden/>
              </w:rPr>
              <w:instrText xml:space="preserve"> PAGEREF _Toc225644593 \h </w:instrText>
            </w:r>
            <w:r>
              <w:rPr>
                <w:noProof/>
                <w:webHidden/>
              </w:rPr>
            </w:r>
            <w:r>
              <w:rPr>
                <w:noProof/>
                <w:webHidden/>
              </w:rPr>
              <w:fldChar w:fldCharType="separate"/>
            </w:r>
            <w:r w:rsidR="00DB0574">
              <w:rPr>
                <w:noProof/>
                <w:webHidden/>
              </w:rPr>
              <w:t>16</w:t>
            </w:r>
            <w:r>
              <w:rPr>
                <w:noProof/>
                <w:webHidden/>
              </w:rPr>
              <w:fldChar w:fldCharType="end"/>
            </w:r>
          </w:hyperlink>
        </w:p>
        <w:p w14:paraId="48C40603" w14:textId="39C3D58D"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4" w:history="1">
            <w:r w:rsidRPr="008363FD">
              <w:rPr>
                <w:rStyle w:val="Hyperlink"/>
                <w:noProof/>
              </w:rPr>
              <w:t>Description</w:t>
            </w:r>
            <w:r>
              <w:rPr>
                <w:noProof/>
                <w:webHidden/>
              </w:rPr>
              <w:tab/>
            </w:r>
            <w:r>
              <w:rPr>
                <w:noProof/>
                <w:webHidden/>
              </w:rPr>
              <w:fldChar w:fldCharType="begin"/>
            </w:r>
            <w:r>
              <w:rPr>
                <w:noProof/>
                <w:webHidden/>
              </w:rPr>
              <w:instrText xml:space="preserve"> PAGEREF _Toc225644594 \h </w:instrText>
            </w:r>
            <w:r>
              <w:rPr>
                <w:noProof/>
                <w:webHidden/>
              </w:rPr>
            </w:r>
            <w:r>
              <w:rPr>
                <w:noProof/>
                <w:webHidden/>
              </w:rPr>
              <w:fldChar w:fldCharType="separate"/>
            </w:r>
            <w:r w:rsidR="00DB0574">
              <w:rPr>
                <w:noProof/>
                <w:webHidden/>
              </w:rPr>
              <w:t>18</w:t>
            </w:r>
            <w:r>
              <w:rPr>
                <w:noProof/>
                <w:webHidden/>
              </w:rPr>
              <w:fldChar w:fldCharType="end"/>
            </w:r>
          </w:hyperlink>
        </w:p>
        <w:p w14:paraId="23277490" w14:textId="036054EA"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5" w:history="1">
            <w:r w:rsidRPr="008363FD">
              <w:rPr>
                <w:rStyle w:val="Hyperlink"/>
                <w:noProof/>
              </w:rPr>
              <w:t>Feelings</w:t>
            </w:r>
            <w:r>
              <w:rPr>
                <w:noProof/>
                <w:webHidden/>
              </w:rPr>
              <w:tab/>
            </w:r>
            <w:r>
              <w:rPr>
                <w:noProof/>
                <w:webHidden/>
              </w:rPr>
              <w:fldChar w:fldCharType="begin"/>
            </w:r>
            <w:r>
              <w:rPr>
                <w:noProof/>
                <w:webHidden/>
              </w:rPr>
              <w:instrText xml:space="preserve"> PAGEREF _Toc225644595 \h </w:instrText>
            </w:r>
            <w:r>
              <w:rPr>
                <w:noProof/>
                <w:webHidden/>
              </w:rPr>
            </w:r>
            <w:r>
              <w:rPr>
                <w:noProof/>
                <w:webHidden/>
              </w:rPr>
              <w:fldChar w:fldCharType="separate"/>
            </w:r>
            <w:r w:rsidR="00DB0574">
              <w:rPr>
                <w:noProof/>
                <w:webHidden/>
              </w:rPr>
              <w:t>18</w:t>
            </w:r>
            <w:r>
              <w:rPr>
                <w:noProof/>
                <w:webHidden/>
              </w:rPr>
              <w:fldChar w:fldCharType="end"/>
            </w:r>
          </w:hyperlink>
        </w:p>
        <w:p w14:paraId="3BAF7920" w14:textId="32D642BA"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6" w:history="1">
            <w:r w:rsidRPr="008363FD">
              <w:rPr>
                <w:rStyle w:val="Hyperlink"/>
                <w:noProof/>
              </w:rPr>
              <w:t>Evaluation</w:t>
            </w:r>
            <w:r>
              <w:rPr>
                <w:noProof/>
                <w:webHidden/>
              </w:rPr>
              <w:tab/>
            </w:r>
            <w:r>
              <w:rPr>
                <w:noProof/>
                <w:webHidden/>
              </w:rPr>
              <w:fldChar w:fldCharType="begin"/>
            </w:r>
            <w:r>
              <w:rPr>
                <w:noProof/>
                <w:webHidden/>
              </w:rPr>
              <w:instrText xml:space="preserve"> PAGEREF _Toc225644596 \h </w:instrText>
            </w:r>
            <w:r>
              <w:rPr>
                <w:noProof/>
                <w:webHidden/>
              </w:rPr>
            </w:r>
            <w:r>
              <w:rPr>
                <w:noProof/>
                <w:webHidden/>
              </w:rPr>
              <w:fldChar w:fldCharType="separate"/>
            </w:r>
            <w:r w:rsidR="00DB0574">
              <w:rPr>
                <w:noProof/>
                <w:webHidden/>
              </w:rPr>
              <w:t>19</w:t>
            </w:r>
            <w:r>
              <w:rPr>
                <w:noProof/>
                <w:webHidden/>
              </w:rPr>
              <w:fldChar w:fldCharType="end"/>
            </w:r>
          </w:hyperlink>
        </w:p>
        <w:p w14:paraId="55C69F09" w14:textId="0F0E783E"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7" w:history="1">
            <w:r w:rsidRPr="008363FD">
              <w:rPr>
                <w:rStyle w:val="Hyperlink"/>
                <w:noProof/>
              </w:rPr>
              <w:t>Analysis</w:t>
            </w:r>
            <w:r>
              <w:rPr>
                <w:noProof/>
                <w:webHidden/>
              </w:rPr>
              <w:tab/>
            </w:r>
            <w:r>
              <w:rPr>
                <w:noProof/>
                <w:webHidden/>
              </w:rPr>
              <w:fldChar w:fldCharType="begin"/>
            </w:r>
            <w:r>
              <w:rPr>
                <w:noProof/>
                <w:webHidden/>
              </w:rPr>
              <w:instrText xml:space="preserve"> PAGEREF _Toc225644597 \h </w:instrText>
            </w:r>
            <w:r>
              <w:rPr>
                <w:noProof/>
                <w:webHidden/>
              </w:rPr>
            </w:r>
            <w:r>
              <w:rPr>
                <w:noProof/>
                <w:webHidden/>
              </w:rPr>
              <w:fldChar w:fldCharType="separate"/>
            </w:r>
            <w:r w:rsidR="00DB0574">
              <w:rPr>
                <w:noProof/>
                <w:webHidden/>
              </w:rPr>
              <w:t>19</w:t>
            </w:r>
            <w:r>
              <w:rPr>
                <w:noProof/>
                <w:webHidden/>
              </w:rPr>
              <w:fldChar w:fldCharType="end"/>
            </w:r>
          </w:hyperlink>
        </w:p>
        <w:p w14:paraId="3FCFF104" w14:textId="542B5630"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8" w:history="1">
            <w:r w:rsidRPr="008363FD">
              <w:rPr>
                <w:rStyle w:val="Hyperlink"/>
                <w:noProof/>
              </w:rPr>
              <w:t>Conclusion</w:t>
            </w:r>
            <w:r>
              <w:rPr>
                <w:noProof/>
                <w:webHidden/>
              </w:rPr>
              <w:tab/>
            </w:r>
            <w:r>
              <w:rPr>
                <w:noProof/>
                <w:webHidden/>
              </w:rPr>
              <w:fldChar w:fldCharType="begin"/>
            </w:r>
            <w:r>
              <w:rPr>
                <w:noProof/>
                <w:webHidden/>
              </w:rPr>
              <w:instrText xml:space="preserve"> PAGEREF _Toc225644598 \h </w:instrText>
            </w:r>
            <w:r>
              <w:rPr>
                <w:noProof/>
                <w:webHidden/>
              </w:rPr>
            </w:r>
            <w:r>
              <w:rPr>
                <w:noProof/>
                <w:webHidden/>
              </w:rPr>
              <w:fldChar w:fldCharType="separate"/>
            </w:r>
            <w:r w:rsidR="00DB0574">
              <w:rPr>
                <w:noProof/>
                <w:webHidden/>
              </w:rPr>
              <w:t>20</w:t>
            </w:r>
            <w:r>
              <w:rPr>
                <w:noProof/>
                <w:webHidden/>
              </w:rPr>
              <w:fldChar w:fldCharType="end"/>
            </w:r>
          </w:hyperlink>
        </w:p>
        <w:p w14:paraId="275DEAA4" w14:textId="191BB991" w:rsidR="00582099" w:rsidRDefault="00582099">
          <w:pPr>
            <w:pStyle w:val="TOC2"/>
            <w:tabs>
              <w:tab w:val="right" w:leader="dot" w:pos="9350"/>
            </w:tabs>
            <w:rPr>
              <w:rFonts w:asciiTheme="minorHAnsi" w:hAnsiTheme="minorHAnsi"/>
              <w:noProof/>
              <w:kern w:val="2"/>
              <w:szCs w:val="24"/>
              <w:lang w:val="en-AU" w:eastAsia="en-AU"/>
              <w14:ligatures w14:val="standardContextual"/>
            </w:rPr>
          </w:pPr>
          <w:hyperlink w:anchor="_Toc225644599" w:history="1">
            <w:r w:rsidRPr="008363FD">
              <w:rPr>
                <w:rStyle w:val="Hyperlink"/>
                <w:noProof/>
              </w:rPr>
              <w:t>Action Plan</w:t>
            </w:r>
            <w:r>
              <w:rPr>
                <w:noProof/>
                <w:webHidden/>
              </w:rPr>
              <w:tab/>
            </w:r>
            <w:r>
              <w:rPr>
                <w:noProof/>
                <w:webHidden/>
              </w:rPr>
              <w:fldChar w:fldCharType="begin"/>
            </w:r>
            <w:r>
              <w:rPr>
                <w:noProof/>
                <w:webHidden/>
              </w:rPr>
              <w:instrText xml:space="preserve"> PAGEREF _Toc225644599 \h </w:instrText>
            </w:r>
            <w:r>
              <w:rPr>
                <w:noProof/>
                <w:webHidden/>
              </w:rPr>
            </w:r>
            <w:r>
              <w:rPr>
                <w:noProof/>
                <w:webHidden/>
              </w:rPr>
              <w:fldChar w:fldCharType="separate"/>
            </w:r>
            <w:r w:rsidR="00DB0574">
              <w:rPr>
                <w:noProof/>
                <w:webHidden/>
              </w:rPr>
              <w:t>20</w:t>
            </w:r>
            <w:r>
              <w:rPr>
                <w:noProof/>
                <w:webHidden/>
              </w:rPr>
              <w:fldChar w:fldCharType="end"/>
            </w:r>
          </w:hyperlink>
        </w:p>
        <w:p w14:paraId="58FF544B" w14:textId="2AFE8B16" w:rsidR="00582099" w:rsidRDefault="00582099">
          <w:pPr>
            <w:pStyle w:val="TOC1"/>
            <w:tabs>
              <w:tab w:val="right" w:leader="dot" w:pos="9350"/>
            </w:tabs>
            <w:rPr>
              <w:rFonts w:asciiTheme="minorHAnsi" w:hAnsiTheme="minorHAnsi"/>
              <w:noProof/>
              <w:kern w:val="2"/>
              <w:szCs w:val="24"/>
              <w:lang w:val="en-AU" w:eastAsia="en-AU"/>
              <w14:ligatures w14:val="standardContextual"/>
            </w:rPr>
          </w:pPr>
          <w:hyperlink w:anchor="_Toc225644600" w:history="1">
            <w:r w:rsidRPr="008363FD">
              <w:rPr>
                <w:rStyle w:val="Hyperlink"/>
                <w:noProof/>
              </w:rPr>
              <w:t>References</w:t>
            </w:r>
            <w:r>
              <w:rPr>
                <w:noProof/>
                <w:webHidden/>
              </w:rPr>
              <w:tab/>
            </w:r>
            <w:r>
              <w:rPr>
                <w:noProof/>
                <w:webHidden/>
              </w:rPr>
              <w:fldChar w:fldCharType="begin"/>
            </w:r>
            <w:r>
              <w:rPr>
                <w:noProof/>
                <w:webHidden/>
              </w:rPr>
              <w:instrText xml:space="preserve"> PAGEREF _Toc225644600 \h </w:instrText>
            </w:r>
            <w:r>
              <w:rPr>
                <w:noProof/>
                <w:webHidden/>
              </w:rPr>
            </w:r>
            <w:r>
              <w:rPr>
                <w:noProof/>
                <w:webHidden/>
              </w:rPr>
              <w:fldChar w:fldCharType="separate"/>
            </w:r>
            <w:r w:rsidR="00DB0574">
              <w:rPr>
                <w:noProof/>
                <w:webHidden/>
              </w:rPr>
              <w:t>22</w:t>
            </w:r>
            <w:r>
              <w:rPr>
                <w:noProof/>
                <w:webHidden/>
              </w:rPr>
              <w:fldChar w:fldCharType="end"/>
            </w:r>
          </w:hyperlink>
        </w:p>
        <w:p w14:paraId="69B0DE55" w14:textId="56519C5C" w:rsidR="004B3400" w:rsidRDefault="004B3400">
          <w:r>
            <w:rPr>
              <w:b/>
              <w:bCs/>
              <w:noProof/>
            </w:rPr>
            <w:fldChar w:fldCharType="end"/>
          </w:r>
        </w:p>
      </w:sdtContent>
    </w:sdt>
    <w:p w14:paraId="27F413DA" w14:textId="39F21369" w:rsidR="0063362D" w:rsidRDefault="00000000" w:rsidP="0063362D">
      <w:pPr>
        <w:rPr>
          <w:rFonts w:cs="Arial"/>
          <w:b/>
          <w:sz w:val="32"/>
        </w:rPr>
      </w:pPr>
      <w:r w:rsidRPr="008803DF">
        <w:rPr>
          <w:rFonts w:cs="Arial"/>
        </w:rPr>
        <w:br w:type="page"/>
      </w:r>
    </w:p>
    <w:p w14:paraId="17C4B5F8" w14:textId="375808E8" w:rsidR="0063362D" w:rsidRPr="0063362D" w:rsidRDefault="0063362D" w:rsidP="004B3400">
      <w:pPr>
        <w:pStyle w:val="Heading1"/>
        <w:rPr>
          <w:color w:val="000000" w:themeColor="text1"/>
        </w:rPr>
      </w:pPr>
      <w:bookmarkStart w:id="0" w:name="_Toc225644581"/>
      <w:r w:rsidRPr="0063362D">
        <w:rPr>
          <w:color w:val="000000" w:themeColor="text1"/>
        </w:rPr>
        <w:lastRenderedPageBreak/>
        <w:t>Section 1: Strategic Analysis of Tesla, Inc.</w:t>
      </w:r>
    </w:p>
    <w:p w14:paraId="72034067" w14:textId="16DF8381" w:rsidR="002A7F24" w:rsidRPr="008803DF" w:rsidRDefault="00000000" w:rsidP="004B3400">
      <w:pPr>
        <w:pStyle w:val="Heading1"/>
      </w:pPr>
      <w:r w:rsidRPr="008803DF">
        <w:t xml:space="preserve">1. </w:t>
      </w:r>
      <w:r w:rsidR="00B1766A" w:rsidRPr="008803DF">
        <w:t>Organizational</w:t>
      </w:r>
      <w:r w:rsidRPr="008803DF">
        <w:t xml:space="preserve"> Context and Overview</w:t>
      </w:r>
      <w:bookmarkEnd w:id="0"/>
    </w:p>
    <w:p w14:paraId="58FA6F3D" w14:textId="77777777" w:rsidR="0063362D" w:rsidRDefault="00AE3CE2" w:rsidP="0063362D">
      <w:pPr>
        <w:pStyle w:val="Heading1"/>
        <w:jc w:val="both"/>
        <w:rPr>
          <w:rFonts w:ascii="Arial" w:eastAsiaTheme="minorEastAsia" w:hAnsi="Arial" w:cs="Arial"/>
          <w:b w:val="0"/>
          <w:bCs w:val="0"/>
          <w:color w:val="auto"/>
          <w:sz w:val="24"/>
          <w:szCs w:val="22"/>
        </w:rPr>
      </w:pPr>
      <w:bookmarkStart w:id="1" w:name="_Toc225644582"/>
      <w:r w:rsidRPr="00AE3CE2">
        <w:rPr>
          <w:rFonts w:ascii="Arial" w:eastAsiaTheme="minorEastAsia" w:hAnsi="Arial" w:cs="Arial"/>
          <w:b w:val="0"/>
          <w:bCs w:val="0"/>
          <w:color w:val="auto"/>
          <w:sz w:val="24"/>
          <w:szCs w:val="22"/>
        </w:rPr>
        <w:t>Tesla is a global company that deals in automotive, energy, and technology industries, and has a defined mission of hastening the process towards sustainable energy in the</w:t>
      </w:r>
      <w:r>
        <w:rPr>
          <w:rFonts w:ascii="Arial" w:eastAsiaTheme="minorEastAsia" w:hAnsi="Arial" w:cs="Arial"/>
          <w:b w:val="0"/>
          <w:bCs w:val="0"/>
          <w:color w:val="auto"/>
          <w:sz w:val="24"/>
          <w:szCs w:val="22"/>
        </w:rPr>
        <w:t xml:space="preserve"> world. It </w:t>
      </w:r>
      <w:r w:rsidRPr="00AE3CE2">
        <w:rPr>
          <w:rFonts w:ascii="Arial" w:eastAsiaTheme="minorEastAsia" w:hAnsi="Arial" w:cs="Arial"/>
          <w:b w:val="0"/>
          <w:bCs w:val="0"/>
          <w:color w:val="auto"/>
          <w:sz w:val="24"/>
          <w:szCs w:val="22"/>
        </w:rPr>
        <w:t>also has a different business model than other traditional automakers wherein it produces and sells electric cars with software and energy storage as well as direct-to-consumer sales.</w:t>
      </w:r>
      <w:r>
        <w:rPr>
          <w:rFonts w:ascii="Arial" w:eastAsiaTheme="minorEastAsia" w:hAnsi="Arial" w:cs="Arial"/>
          <w:b w:val="0"/>
          <w:bCs w:val="0"/>
          <w:color w:val="auto"/>
          <w:sz w:val="24"/>
          <w:szCs w:val="22"/>
        </w:rPr>
        <w:t xml:space="preserve"> </w:t>
      </w:r>
      <w:r w:rsidR="00C5414C" w:rsidRPr="00C5414C">
        <w:rPr>
          <w:rFonts w:ascii="Arial" w:eastAsiaTheme="minorEastAsia" w:hAnsi="Arial" w:cs="Arial"/>
          <w:b w:val="0"/>
          <w:bCs w:val="0"/>
          <w:color w:val="auto"/>
          <w:sz w:val="24"/>
          <w:szCs w:val="22"/>
        </w:rPr>
        <w:t xml:space="preserve">Wang (2026) believes the Tesla strategic position is based on disruptive innovation that transforms industry value chains through fusion of hardware production and proprietary software systems, energy storage facilities, and direct to consumer sales model. </w:t>
      </w:r>
      <w:r w:rsidRPr="00AE3CE2">
        <w:rPr>
          <w:rFonts w:ascii="Arial" w:eastAsiaTheme="minorEastAsia" w:hAnsi="Arial" w:cs="Arial"/>
          <w:b w:val="0"/>
          <w:bCs w:val="0"/>
          <w:color w:val="auto"/>
          <w:sz w:val="24"/>
          <w:szCs w:val="22"/>
        </w:rPr>
        <w:t>Tesla has implemented a verticalized business model in contrast with more traditional manufacturers, who are dependent on dealership, the so-called disjointed chain of supply, which enables faster innovation and increased control over supply chains.</w:t>
      </w:r>
      <w:r w:rsidR="00C5414C" w:rsidRPr="00C5414C">
        <w:rPr>
          <w:rFonts w:ascii="Arial" w:eastAsiaTheme="minorEastAsia" w:hAnsi="Arial" w:cs="Arial"/>
          <w:b w:val="0"/>
          <w:bCs w:val="0"/>
          <w:color w:val="auto"/>
          <w:sz w:val="24"/>
          <w:szCs w:val="22"/>
        </w:rPr>
        <w:tab/>
      </w:r>
    </w:p>
    <w:p w14:paraId="1B4914C9" w14:textId="305EBECC" w:rsidR="0063362D" w:rsidRPr="0063362D" w:rsidRDefault="0063362D" w:rsidP="0063362D">
      <w:r w:rsidRPr="0063362D">
        <w:t>One of the arguments has been whether Tesla can be considered a technological firm or a car manufacturing company. According to Erpenbach (2024), Certain people say that the Tesla software and artificial intelligence capabilities cannot be overlooked by viewing Tesla as a car company alone. However, most of its revenue still comes from selling vehicles, which ties it to the realities of manufacturing. This is the critical stressing point of the Tesla strategic situation because it tries to dictate the valuation multiples of a software company but has to contend with the realities of the heavy industry business</w:t>
      </w:r>
      <w:r>
        <w:t>.</w:t>
      </w:r>
    </w:p>
    <w:p w14:paraId="40E4A927" w14:textId="1E0E6948" w:rsidR="0063362D" w:rsidRPr="0063362D" w:rsidRDefault="0063362D" w:rsidP="0063362D">
      <w:pPr>
        <w:jc w:val="both"/>
      </w:pPr>
      <w:r w:rsidRPr="0063362D">
        <w:t>Tesla now operates in a highly competitive market. It is currently competing in a very competitive market. Although it had a robust first-mover advantage in the past, the position is deteriorating with the emergence of new players in the EVs sector.  That is why the organizational environment Tesla faces today cannot be characterized by uncontested leadership, but with the dire strategic need to protect its market share against not only agile, low-cost entrants, but also well-capitalized revitalized incumbents.</w:t>
      </w:r>
    </w:p>
    <w:p w14:paraId="348248A5" w14:textId="71CD32E0" w:rsidR="002A7F24" w:rsidRPr="008803DF" w:rsidRDefault="00000000" w:rsidP="00C5414C">
      <w:pPr>
        <w:pStyle w:val="Heading1"/>
      </w:pPr>
      <w:r w:rsidRPr="008803DF">
        <w:lastRenderedPageBreak/>
        <w:t>2. External and Internal Environment Analysis</w:t>
      </w:r>
      <w:bookmarkEnd w:id="1"/>
    </w:p>
    <w:p w14:paraId="0529C1C7" w14:textId="77777777" w:rsidR="002A7F24" w:rsidRPr="008803DF" w:rsidRDefault="00000000" w:rsidP="004B3400">
      <w:pPr>
        <w:pStyle w:val="Heading2"/>
      </w:pPr>
      <w:bookmarkStart w:id="2" w:name="_Toc225644583"/>
      <w:r w:rsidRPr="008803DF">
        <w:t>2.1 External Environment: PESTEL Analysis</w:t>
      </w:r>
      <w:bookmarkEnd w:id="2"/>
    </w:p>
    <w:p w14:paraId="2DFBAEFC" w14:textId="1F01C292" w:rsidR="002A7F24" w:rsidRPr="008803DF" w:rsidRDefault="004C757D" w:rsidP="004C757D">
      <w:pPr>
        <w:jc w:val="center"/>
        <w:rPr>
          <w:rFonts w:cs="Arial"/>
        </w:rPr>
      </w:pPr>
      <w:r>
        <w:rPr>
          <w:noProof/>
        </w:rPr>
        <w:drawing>
          <wp:inline distT="0" distB="0" distL="0" distR="0" wp14:anchorId="2192121D" wp14:editId="02FDEC5C">
            <wp:extent cx="3543300" cy="363234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_market_share_real.png"/>
                    <pic:cNvPicPr/>
                  </pic:nvPicPr>
                  <pic:blipFill>
                    <a:blip r:embed="rId9"/>
                    <a:stretch>
                      <a:fillRect/>
                    </a:stretch>
                  </pic:blipFill>
                  <pic:spPr>
                    <a:xfrm>
                      <a:off x="0" y="0"/>
                      <a:ext cx="3546339" cy="3635456"/>
                    </a:xfrm>
                    <a:prstGeom prst="rect">
                      <a:avLst/>
                    </a:prstGeom>
                  </pic:spPr>
                </pic:pic>
              </a:graphicData>
            </a:graphic>
          </wp:inline>
        </w:drawing>
      </w:r>
    </w:p>
    <w:p w14:paraId="39159B9D" w14:textId="77777777" w:rsidR="004C757D" w:rsidRPr="004C757D" w:rsidRDefault="004C757D" w:rsidP="004C757D">
      <w:pPr>
        <w:spacing w:after="240"/>
        <w:jc w:val="both"/>
        <w:rPr>
          <w:rFonts w:cs="Arial"/>
          <w:i/>
          <w:sz w:val="20"/>
        </w:rPr>
      </w:pPr>
      <w:r w:rsidRPr="004C757D">
        <w:rPr>
          <w:rFonts w:cs="Arial"/>
          <w:i/>
          <w:sz w:val="20"/>
        </w:rPr>
        <w:t>Figure 1: Global BEV Market Share by Brand, 2024 (Source: Counterpoint Research; Autovista24, 2025)</w:t>
      </w:r>
    </w:p>
    <w:p w14:paraId="6ED83681" w14:textId="5B257F26" w:rsidR="00C5414C" w:rsidRPr="00C5414C" w:rsidRDefault="00260291" w:rsidP="00C5414C">
      <w:pPr>
        <w:spacing w:after="240"/>
        <w:jc w:val="both"/>
        <w:rPr>
          <w:rFonts w:cs="Arial"/>
        </w:rPr>
      </w:pPr>
      <w:r w:rsidRPr="00260291">
        <w:rPr>
          <w:rFonts w:cs="Arial"/>
        </w:rPr>
        <w:t>Political, economic, social, technological, environmental factors, and legal factors transpire in the EV industry that interact to formulate the strategic choices of Tesla</w:t>
      </w:r>
      <w:r w:rsidR="00C5414C" w:rsidRPr="00C5414C">
        <w:rPr>
          <w:rFonts w:cs="Arial"/>
        </w:rPr>
        <w:t>. Although in the past, the traditional PESTEL analysis would have analyzed political, economic, social, technological, environmental, and legal factors separately, the modern strategic scholars warn about such value-cutting treatment. In particular, according to de Sousa et al. (2022), in the EV industry, all these aspects are directly connected to each other to create a "policy-technology nexus," as the government policy directly determines the technological path and the feasibility of the market. Thus, a serious PESTEL analysis should look at the points of intersection of these forces and not regard them as silos.</w:t>
      </w:r>
    </w:p>
    <w:p w14:paraId="77AFF4DC" w14:textId="0C273034" w:rsidR="00C5414C" w:rsidRPr="00C5414C" w:rsidRDefault="00C5414C" w:rsidP="00C5414C">
      <w:pPr>
        <w:spacing w:after="240"/>
        <w:jc w:val="both"/>
        <w:rPr>
          <w:rFonts w:cs="Arial"/>
        </w:rPr>
      </w:pPr>
      <w:r w:rsidRPr="00C5414C">
        <w:rPr>
          <w:rFonts w:cs="Arial"/>
        </w:rPr>
        <w:t xml:space="preserve">The EV industry exists in an artificially accelerated state, politically, as well as legally, with the involvement of the government. Tesla has regulatory tailwinds of enormous </w:t>
      </w:r>
      <w:r w:rsidRPr="00C5414C">
        <w:rPr>
          <w:rFonts w:cs="Arial"/>
        </w:rPr>
        <w:lastRenderedPageBreak/>
        <w:t xml:space="preserve">proportions in the form of the European Union imminent ban on sale of new internal combustion engine (ICE) vehicles in 2035 and the massive structural tailwind of the Inflation Reduction Act in the United States. Nonetheless, such excessive dependence on political goodwill puts the organization into deep regulatory danger. The removal of consumer EV subsidy in major markets such as Germany has shown how the demand can be rapidly drained once artificial subsidies are eliminated. Also, the intense trade conflict involving the US, the EU, and China, which are continually fragmented individually on geopolitical and industrial grounds </w:t>
      </w:r>
      <w:r w:rsidR="002C297E" w:rsidRPr="00C5414C">
        <w:rPr>
          <w:rFonts w:cs="Arial"/>
        </w:rPr>
        <w:t>jeopardies</w:t>
      </w:r>
      <w:r w:rsidRPr="00C5414C">
        <w:rPr>
          <w:rFonts w:cs="Arial"/>
        </w:rPr>
        <w:t xml:space="preserve"> Tesla, that has over globalized its supply chain largely depending on the Shanghai Gigafactory as its source of export goods (Lu, 2025).</w:t>
      </w:r>
    </w:p>
    <w:p w14:paraId="3451A1D2" w14:textId="5C205F06" w:rsidR="00C5414C" w:rsidRPr="00C5414C" w:rsidRDefault="00C5414C" w:rsidP="00C5414C">
      <w:pPr>
        <w:spacing w:after="240"/>
        <w:jc w:val="both"/>
        <w:rPr>
          <w:rFonts w:cs="Arial"/>
        </w:rPr>
      </w:pPr>
      <w:r w:rsidRPr="00C5414C">
        <w:rPr>
          <w:rFonts w:cs="Arial"/>
        </w:rPr>
        <w:t xml:space="preserve">Macroeconomically, the economic environment has changed to an era of high inflation and high interest rates instead of it being a low-cost capital investment that ensured Tesla its initial growth. This shift has been a huge burden on vehicle </w:t>
      </w:r>
      <w:r w:rsidR="0040339A" w:rsidRPr="00C5414C">
        <w:rPr>
          <w:rFonts w:cs="Arial"/>
        </w:rPr>
        <w:t>financing,</w:t>
      </w:r>
      <w:r w:rsidRPr="00C5414C">
        <w:rPr>
          <w:rFonts w:cs="Arial"/>
        </w:rPr>
        <w:t xml:space="preserve"> bringing down consumer purchasing capabilities and straining demand of </w:t>
      </w:r>
      <w:r w:rsidR="002C297E" w:rsidRPr="00C5414C">
        <w:rPr>
          <w:rFonts w:cs="Arial"/>
        </w:rPr>
        <w:t>high</w:t>
      </w:r>
      <w:r w:rsidRPr="00C5414C">
        <w:rPr>
          <w:rFonts w:cs="Arial"/>
        </w:rPr>
        <w:t>-end discretionary goods. Tesla began a program of ambitious global price cuts in an effort to respond to these economic head winds and rising competition, both in 2023 and in 2024. Although this approach was able to keep sales volumes at par with the industry, it caused the gross margins of the company to shrink drastically, which made the company acutely aware of the economic weakness of the existing product portfolio (</w:t>
      </w:r>
      <w:proofErr w:type="spellStart"/>
      <w:r w:rsidRPr="00C5414C">
        <w:rPr>
          <w:rFonts w:cs="Arial"/>
        </w:rPr>
        <w:t>Eppenbach</w:t>
      </w:r>
      <w:proofErr w:type="spellEnd"/>
      <w:r w:rsidRPr="00C5414C">
        <w:rPr>
          <w:rFonts w:cs="Arial"/>
        </w:rPr>
        <w:t>, 2024).</w:t>
      </w:r>
    </w:p>
    <w:p w14:paraId="3AB9BF8B" w14:textId="262FAE94" w:rsidR="00C5414C" w:rsidRPr="00C5414C" w:rsidRDefault="00C5414C" w:rsidP="00C5414C">
      <w:pPr>
        <w:spacing w:after="240"/>
        <w:jc w:val="both"/>
        <w:rPr>
          <w:rFonts w:cs="Arial"/>
        </w:rPr>
      </w:pPr>
      <w:r w:rsidRPr="00C5414C">
        <w:rPr>
          <w:rFonts w:cs="Arial"/>
        </w:rPr>
        <w:t>Tesla can take advantage of a generational paradigm shift in sociocultural approaches to environmentally friendly consumption and mounting social prestige of sustainable technologies.</w:t>
      </w:r>
      <w:r w:rsidR="007070A8">
        <w:rPr>
          <w:rFonts w:cs="Arial"/>
        </w:rPr>
        <w:t xml:space="preserve"> Still</w:t>
      </w:r>
      <w:r w:rsidRPr="00C5414C">
        <w:rPr>
          <w:rFonts w:cs="Arial"/>
        </w:rPr>
        <w:t xml:space="preserve">, the same positive tendency is neutralized by the presence of </w:t>
      </w:r>
      <w:r w:rsidR="002C297E" w:rsidRPr="00C5414C">
        <w:rPr>
          <w:rFonts w:cs="Arial"/>
        </w:rPr>
        <w:t>barriers</w:t>
      </w:r>
      <w:r w:rsidRPr="00C5414C">
        <w:rPr>
          <w:rFonts w:cs="Arial"/>
        </w:rPr>
        <w:t xml:space="preserve"> in </w:t>
      </w:r>
      <w:r w:rsidR="00AE3CE2" w:rsidRPr="00C5414C">
        <w:rPr>
          <w:rFonts w:cs="Arial"/>
        </w:rPr>
        <w:t>consumer</w:t>
      </w:r>
      <w:r w:rsidRPr="00C5414C">
        <w:rPr>
          <w:rFonts w:cs="Arial"/>
        </w:rPr>
        <w:t xml:space="preserve"> psychology, most pronounced amongst the range anxiety and the reluctance towards the </w:t>
      </w:r>
      <w:r w:rsidR="002C297E" w:rsidRPr="00C5414C">
        <w:rPr>
          <w:rFonts w:cs="Arial"/>
        </w:rPr>
        <w:t>behavior</w:t>
      </w:r>
      <w:r w:rsidRPr="00C5414C">
        <w:rPr>
          <w:rFonts w:cs="Arial"/>
        </w:rPr>
        <w:t xml:space="preserve"> changes that an EV charging necessitates. The environment is full of hyper-competition and has a high level of obsolescence in terms of technology. The move to solid-state batteries with liquid lithium-ion in place and the quest to attain Level 5 autonomous driving demand unremitting and expensive capital-intensive research and development. Companies that are unable to keep up with the </w:t>
      </w:r>
      <w:r w:rsidR="002C297E" w:rsidRPr="00C5414C">
        <w:rPr>
          <w:rFonts w:cs="Arial"/>
        </w:rPr>
        <w:t>technological</w:t>
      </w:r>
      <w:r w:rsidRPr="00C5414C">
        <w:rPr>
          <w:rFonts w:cs="Arial"/>
        </w:rPr>
        <w:t xml:space="preserve"> innovations are likely to become obsolete in the market within a short period (Huang et al., 2023).</w:t>
      </w:r>
    </w:p>
    <w:p w14:paraId="083556AA" w14:textId="09470E51" w:rsidR="002A7F24" w:rsidRPr="008803DF" w:rsidRDefault="00C5414C" w:rsidP="00C5414C">
      <w:pPr>
        <w:spacing w:after="240"/>
        <w:jc w:val="both"/>
        <w:rPr>
          <w:rFonts w:cs="Arial"/>
        </w:rPr>
      </w:pPr>
      <w:r w:rsidRPr="00C5414C">
        <w:rPr>
          <w:rFonts w:cs="Arial"/>
        </w:rPr>
        <w:lastRenderedPageBreak/>
        <w:t>The EV industry has a paradox of complexity as far as the environment is concerned. Although EVs are praised as minimizing the tailpipe emission of greenhouse gases and alleviating the air pollution of cities, the industry experiences strong and increasing criticism as to the supply chain impact on the environment. The carbon intensity, depletion of water, and ecological degradation of the mining and refining of important battery minerals including lithium, nickel, and cobalt become a major ordeal to the overall sustainability narrative of Tesla, subjecting the company to negative trust and activism (Yang, 2025)</w:t>
      </w:r>
      <w:r>
        <w:rPr>
          <w:rFonts w:cs="Arial"/>
        </w:rPr>
        <w:t>.</w:t>
      </w:r>
    </w:p>
    <w:p w14:paraId="014A6D09" w14:textId="77777777" w:rsidR="002A7F24" w:rsidRPr="008803DF" w:rsidRDefault="00000000" w:rsidP="004B3400">
      <w:pPr>
        <w:pStyle w:val="Heading2"/>
      </w:pPr>
      <w:bookmarkStart w:id="3" w:name="_Toc225644584"/>
      <w:r w:rsidRPr="008803DF">
        <w:t>2.2 Industry Analysis: Porter's Five Forces</w:t>
      </w:r>
      <w:bookmarkEnd w:id="3"/>
    </w:p>
    <w:p w14:paraId="3652161C" w14:textId="0626FD47" w:rsidR="004C757D" w:rsidRDefault="004C757D" w:rsidP="004C757D">
      <w:pPr>
        <w:spacing w:before="240" w:after="120"/>
        <w:jc w:val="center"/>
        <w:rPr>
          <w:rFonts w:cs="Arial"/>
        </w:rPr>
      </w:pPr>
      <w:r>
        <w:rPr>
          <w:noProof/>
        </w:rPr>
        <w:drawing>
          <wp:inline distT="0" distB="0" distL="0" distR="0" wp14:anchorId="20CF3CC0" wp14:editId="495A4ED1">
            <wp:extent cx="4572000" cy="4560374"/>
            <wp:effectExtent l="0" t="0" r="0" b="0"/>
            <wp:docPr id="54836880" name="Picture 5483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_five_forces.png"/>
                    <pic:cNvPicPr/>
                  </pic:nvPicPr>
                  <pic:blipFill>
                    <a:blip r:embed="rId10"/>
                    <a:stretch>
                      <a:fillRect/>
                    </a:stretch>
                  </pic:blipFill>
                  <pic:spPr>
                    <a:xfrm>
                      <a:off x="0" y="0"/>
                      <a:ext cx="4572000" cy="4560374"/>
                    </a:xfrm>
                    <a:prstGeom prst="rect">
                      <a:avLst/>
                    </a:prstGeom>
                  </pic:spPr>
                </pic:pic>
              </a:graphicData>
            </a:graphic>
          </wp:inline>
        </w:drawing>
      </w:r>
    </w:p>
    <w:p w14:paraId="0BC8B96D" w14:textId="77777777" w:rsidR="004C757D" w:rsidRPr="004C757D" w:rsidRDefault="004C757D" w:rsidP="004C757D">
      <w:pPr>
        <w:spacing w:before="240" w:after="120"/>
        <w:jc w:val="center"/>
        <w:rPr>
          <w:rFonts w:cs="Arial"/>
        </w:rPr>
      </w:pPr>
      <w:r w:rsidRPr="004C757D">
        <w:rPr>
          <w:rFonts w:cs="Arial"/>
          <w:i/>
        </w:rPr>
        <w:t>Figure 2: Porter's Five Forces Analysis of the Global EV Industry (Source: Author's analysis based on Porter, 1980)</w:t>
      </w:r>
    </w:p>
    <w:p w14:paraId="2E9BD4A7" w14:textId="4C8B3FDD" w:rsidR="002C297E" w:rsidRPr="002C297E" w:rsidRDefault="004C757D" w:rsidP="002C297E">
      <w:pPr>
        <w:spacing w:before="240" w:after="120"/>
        <w:jc w:val="both"/>
        <w:rPr>
          <w:rFonts w:cs="Arial"/>
        </w:rPr>
      </w:pPr>
      <w:r>
        <w:rPr>
          <w:rFonts w:cs="Arial"/>
        </w:rPr>
        <w:lastRenderedPageBreak/>
        <w:t xml:space="preserve"> </w:t>
      </w:r>
      <w:r w:rsidR="002C297E" w:rsidRPr="002C297E">
        <w:rPr>
          <w:rFonts w:cs="Arial"/>
        </w:rPr>
        <w:t xml:space="preserve">The Five Forces model by Porter (1980) indicates that </w:t>
      </w:r>
      <w:r w:rsidR="00F55FFB" w:rsidRPr="00F55FFB">
        <w:rPr>
          <w:rFonts w:cs="Arial"/>
        </w:rPr>
        <w:t>the competitive structure of the electric vehicle industry</w:t>
      </w:r>
      <w:r w:rsidR="00F55FFB">
        <w:rPr>
          <w:rFonts w:cs="Arial"/>
        </w:rPr>
        <w:t xml:space="preserve"> </w:t>
      </w:r>
      <w:r w:rsidR="002C297E" w:rsidRPr="002C297E">
        <w:rPr>
          <w:rFonts w:cs="Arial"/>
        </w:rPr>
        <w:t xml:space="preserve">is rather unpleasant and steadily growing in terms of morale. It is imperative </w:t>
      </w:r>
      <w:r w:rsidR="00F55FFB" w:rsidRPr="002C297E">
        <w:rPr>
          <w:rFonts w:cs="Arial"/>
        </w:rPr>
        <w:t>to,</w:t>
      </w:r>
      <w:r w:rsidR="002C297E" w:rsidRPr="002C297E">
        <w:rPr>
          <w:rFonts w:cs="Arial"/>
        </w:rPr>
        <w:t xml:space="preserve"> however, mention that the Porters statistic model has been criticized because it fails to present the dynamic and ecosystem type of competitiveness that can be found in contemporary technological based industries. As Huang et al. (2023) stipulate, the rivalry within the EV industry does not only concern the rivalry between separate companies, but the rivalry within technological systems and supply chains.</w:t>
      </w:r>
    </w:p>
    <w:p w14:paraId="2B39D2E7" w14:textId="482C37B1" w:rsidR="002C297E" w:rsidRPr="002C297E" w:rsidRDefault="002C297E" w:rsidP="002C297E">
      <w:pPr>
        <w:spacing w:before="240" w:after="120"/>
        <w:jc w:val="both"/>
        <w:rPr>
          <w:rFonts w:cs="Arial"/>
        </w:rPr>
      </w:pPr>
      <w:r w:rsidRPr="002C297E">
        <w:rPr>
          <w:rFonts w:cs="Arial"/>
        </w:rPr>
        <w:t xml:space="preserve">New entrants Threat of new entrants is paradoxical. In the past, the automotive market was extremely difficult to penetrate because of huge capital demands with complicated manufacturing knowledge and extensive dealership systems. The reduced complexity of the EV-driven propulsion system, however, substitution of thousands of moving components of an ICE by a battery and motors has greatly reduced technological barriers. This transition in architecture has involved less conventional participants, such as consumer electronics companies such as Xiaomi and Sony, and a large number of strongly subsidized Chinese startups (e.g. NIO, </w:t>
      </w:r>
      <w:proofErr w:type="spellStart"/>
      <w:r w:rsidRPr="002C297E">
        <w:rPr>
          <w:rFonts w:cs="Arial"/>
        </w:rPr>
        <w:t>Xpeng</w:t>
      </w:r>
      <w:proofErr w:type="spellEnd"/>
      <w:r w:rsidRPr="002C297E">
        <w:rPr>
          <w:rFonts w:cs="Arial"/>
        </w:rPr>
        <w:t>) to enter the market with comparative ease (Loder, 2024). Although Tesla has had a strong brand name and Supercharger network as moats, they are not such moats anymore.</w:t>
      </w:r>
    </w:p>
    <w:p w14:paraId="645C9F4A" w14:textId="11187B5E" w:rsidR="002C297E" w:rsidRPr="002C297E" w:rsidRDefault="002C297E" w:rsidP="002C297E">
      <w:pPr>
        <w:spacing w:before="240" w:after="120"/>
        <w:jc w:val="both"/>
        <w:rPr>
          <w:rFonts w:cs="Arial"/>
        </w:rPr>
      </w:pPr>
      <w:r w:rsidRPr="002C297E">
        <w:rPr>
          <w:rFonts w:cs="Arial"/>
        </w:rPr>
        <w:t xml:space="preserve">The supplier bargaining power is also a strategic weakness. The EV supply chain is highly concentrated upstream unlike the traditional automotive supply chain, which is highly fragmented and commoditized. The worldwide refining capacity of vital battery minerals, namely the lithium, cobalt and nickel are largely wielded by limited few Chinese companies. This level of concentration gives suppliers unfair advantage in terms of bargaining power and supply. Tesla has tried to counter this power in a strategic manner by becoming vertically integrated itself by coming up with self-built battery cells, </w:t>
      </w:r>
      <w:r w:rsidR="00DD5F1B" w:rsidRPr="002C297E">
        <w:rPr>
          <w:rFonts w:cs="Arial"/>
        </w:rPr>
        <w:t>4680,</w:t>
      </w:r>
      <w:r w:rsidRPr="002C297E">
        <w:rPr>
          <w:rFonts w:cs="Arial"/>
        </w:rPr>
        <w:t xml:space="preserve"> and establishing direct offtake agreements with mining companies all over the world. However, the fragility of the systemic supply chain is still one of the hallmarks of the industry (</w:t>
      </w:r>
      <w:proofErr w:type="spellStart"/>
      <w:r w:rsidRPr="002C297E">
        <w:rPr>
          <w:rFonts w:cs="Arial"/>
        </w:rPr>
        <w:t>Eppenbach</w:t>
      </w:r>
      <w:proofErr w:type="spellEnd"/>
      <w:r w:rsidRPr="002C297E">
        <w:rPr>
          <w:rFonts w:cs="Arial"/>
        </w:rPr>
        <w:t>, 2024).</w:t>
      </w:r>
    </w:p>
    <w:p w14:paraId="5057BCA3" w14:textId="628ED22A" w:rsidR="002C297E" w:rsidRPr="002C297E" w:rsidRDefault="002C297E" w:rsidP="002C297E">
      <w:pPr>
        <w:spacing w:before="240" w:after="120"/>
        <w:jc w:val="both"/>
        <w:rPr>
          <w:rFonts w:cs="Arial"/>
        </w:rPr>
      </w:pPr>
      <w:r w:rsidRPr="002C297E">
        <w:rPr>
          <w:rFonts w:cs="Arial"/>
        </w:rPr>
        <w:t xml:space="preserve">On the other hand, the bargaining power of buyers is increasing at a high rate. Over its initial years of operation, Tesla has been monopolistic in its niche of premium EVs, </w:t>
      </w:r>
      <w:r w:rsidRPr="002C297E">
        <w:rPr>
          <w:rFonts w:cs="Arial"/>
        </w:rPr>
        <w:lastRenderedPageBreak/>
        <w:t xml:space="preserve">meaning that it can </w:t>
      </w:r>
      <w:r w:rsidR="00AE6730" w:rsidRPr="00AE6730">
        <w:rPr>
          <w:rFonts w:cs="Arial"/>
        </w:rPr>
        <w:t>allowing Tesla to charge premium prices to early adopters</w:t>
      </w:r>
      <w:r w:rsidRPr="002C297E">
        <w:rPr>
          <w:rFonts w:cs="Arial"/>
        </w:rPr>
        <w:t>. But, at the point of market moving to early majority, the cost of switching to consumers will be much lower. The fact that feasible alternatives are now provided by both the traditional ОEMs (e.g. Volkswagen, Hyundai not to mention BYD comes with its price parity demands) and agile challengers (e.g., BYD) imply that buyers are now asking Pareto efficiency i.e. price parity with conventional vehicles, high-quality of construction, and comprehensive after sales care. The recent price failures by Tesla are margin compressing in nature and can be termed as a direct and reactive action to this increasing buyer power.</w:t>
      </w:r>
    </w:p>
    <w:p w14:paraId="50ECA27D" w14:textId="4FDFB862" w:rsidR="002C297E" w:rsidRPr="002C297E" w:rsidRDefault="002C297E" w:rsidP="002C297E">
      <w:pPr>
        <w:spacing w:before="240" w:after="120"/>
        <w:jc w:val="both"/>
        <w:rPr>
          <w:rFonts w:cs="Arial"/>
        </w:rPr>
      </w:pPr>
      <w:r w:rsidRPr="002C297E">
        <w:rPr>
          <w:rFonts w:cs="Arial"/>
        </w:rPr>
        <w:t>The risk of substitutes is medium- and long-term viable. Although the existence of the traditional ICE vehicles gets eliminated under the regulatory phase-outs as a diminishing alternative, other transportation options including the development of more extensive public transit networks, ride-hailing development, and possibly commercializing hydrogen fuel cell vehicles as an option in heavy transportation pose latent threats that may redirect the demand towards the ownership of personal EVs.</w:t>
      </w:r>
    </w:p>
    <w:p w14:paraId="41A194A5" w14:textId="433727A0" w:rsidR="002C297E" w:rsidRDefault="002C297E" w:rsidP="00DD5F1B">
      <w:pPr>
        <w:spacing w:before="240" w:after="120"/>
        <w:jc w:val="both"/>
        <w:rPr>
          <w:rFonts w:cs="Arial"/>
        </w:rPr>
      </w:pPr>
      <w:r w:rsidRPr="002C297E">
        <w:rPr>
          <w:rFonts w:cs="Arial"/>
        </w:rPr>
        <w:t xml:space="preserve">This means that the level of competitive rivalry is immensely high. The industry of </w:t>
      </w:r>
      <w:r>
        <w:rPr>
          <w:rFonts w:cs="Arial"/>
        </w:rPr>
        <w:t>EV</w:t>
      </w:r>
      <w:r w:rsidRPr="002C297E">
        <w:rPr>
          <w:rFonts w:cs="Arial"/>
        </w:rPr>
        <w:t xml:space="preserve"> is going through a brutal shock out phase. Tesla is engaged in a volume war against BYD, and a premium positioning battle against resurgent luxury brands such as Porsche and BMW, and that is a dual-front war. Such stiff competition compels an ever-increasing, capital-heavy, innovation but inescapably causes commoditization of EV hardware which essentially would undermine the high-margin business model that Tesla had always had in the past (Lu, 2025).</w:t>
      </w:r>
    </w:p>
    <w:p w14:paraId="274C1D13" w14:textId="2E043A05" w:rsidR="004C757D" w:rsidRDefault="004C757D" w:rsidP="004C757D">
      <w:pPr>
        <w:spacing w:before="240" w:after="120"/>
        <w:jc w:val="center"/>
        <w:rPr>
          <w:rFonts w:cs="Arial"/>
        </w:rPr>
      </w:pPr>
      <w:r>
        <w:rPr>
          <w:noProof/>
        </w:rPr>
        <w:lastRenderedPageBreak/>
        <w:drawing>
          <wp:inline distT="0" distB="0" distL="0" distR="0" wp14:anchorId="73329CAB" wp14:editId="0A7868E2">
            <wp:extent cx="4051300" cy="2414017"/>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_deliveries_real.png"/>
                    <pic:cNvPicPr/>
                  </pic:nvPicPr>
                  <pic:blipFill>
                    <a:blip r:embed="rId11"/>
                    <a:stretch>
                      <a:fillRect/>
                    </a:stretch>
                  </pic:blipFill>
                  <pic:spPr>
                    <a:xfrm>
                      <a:off x="0" y="0"/>
                      <a:ext cx="4068290" cy="2424141"/>
                    </a:xfrm>
                    <a:prstGeom prst="rect">
                      <a:avLst/>
                    </a:prstGeom>
                  </pic:spPr>
                </pic:pic>
              </a:graphicData>
            </a:graphic>
          </wp:inline>
        </w:drawing>
      </w:r>
    </w:p>
    <w:p w14:paraId="4A4D4FB4" w14:textId="655E305D" w:rsidR="004C757D" w:rsidRDefault="004C757D" w:rsidP="00DD5F1B">
      <w:pPr>
        <w:spacing w:before="240" w:after="120"/>
        <w:jc w:val="both"/>
        <w:rPr>
          <w:rFonts w:cs="Arial"/>
        </w:rPr>
      </w:pPr>
      <w:r w:rsidRPr="004C757D">
        <w:rPr>
          <w:rFonts w:cs="Arial"/>
          <w:i/>
        </w:rPr>
        <w:t xml:space="preserve">Figure </w:t>
      </w:r>
      <w:r>
        <w:rPr>
          <w:rFonts w:cs="Arial"/>
          <w:i/>
        </w:rPr>
        <w:t>3</w:t>
      </w:r>
      <w:r w:rsidRPr="004C757D">
        <w:rPr>
          <w:rFonts w:cs="Arial"/>
          <w:i/>
        </w:rPr>
        <w:t>: Tesla Global Vehicle Deliveries, 2019-2025 (Source: Tesla Quarterly Earnings Reports; BBC News, 2026)</w:t>
      </w:r>
    </w:p>
    <w:p w14:paraId="6AD826D1" w14:textId="42408E58" w:rsidR="002A7F24" w:rsidRPr="008803DF" w:rsidRDefault="00000000" w:rsidP="002C297E">
      <w:pPr>
        <w:spacing w:before="240" w:after="120"/>
        <w:rPr>
          <w:rFonts w:cs="Arial"/>
        </w:rPr>
      </w:pPr>
      <w:r w:rsidRPr="008803DF">
        <w:rPr>
          <w:rFonts w:cs="Arial"/>
          <w:b/>
        </w:rPr>
        <w:t>2.3 Internal Environment: Resource-Based View vs. Dynamic Capabilities</w:t>
      </w:r>
    </w:p>
    <w:p w14:paraId="01560F33" w14:textId="442FD3B6" w:rsidR="002A7F24" w:rsidRPr="005B6745" w:rsidRDefault="002C297E">
      <w:pPr>
        <w:spacing w:after="240"/>
        <w:jc w:val="both"/>
        <w:rPr>
          <w:rFonts w:cs="Arial"/>
          <w:lang w:val="en-IN"/>
        </w:rPr>
      </w:pPr>
      <w:r w:rsidRPr="002C297E">
        <w:rPr>
          <w:rFonts w:cs="Arial"/>
        </w:rPr>
        <w:t xml:space="preserve">In order to assess the internal environment of Tesla, the academic discussion between the traditional Resource-Based View (RBV) and the Dynamic Capabilities framework should be involved. </w:t>
      </w:r>
      <w:r w:rsidR="005B6745" w:rsidRPr="005B6745">
        <w:rPr>
          <w:rFonts w:cs="Arial"/>
          <w:lang w:val="en-IN"/>
        </w:rPr>
        <w:t>RBV suggests that firms gain advantage from valuable, rare, and hard-to-imitate resources (Barney, 1991)</w:t>
      </w:r>
      <w:r w:rsidRPr="002C297E">
        <w:rPr>
          <w:rFonts w:cs="Arial"/>
        </w:rPr>
        <w:t>. The proprietary Supercharger system and the huge body of real-world autonomous driving data which Tesla has under this static lens are VRIN resources. This framework is used in table 1.</w:t>
      </w:r>
    </w:p>
    <w:tbl>
      <w:tblPr>
        <w:tblStyle w:val="TableGrid"/>
        <w:tblW w:w="0" w:type="auto"/>
        <w:jc w:val="center"/>
        <w:tblLook w:val="04A0" w:firstRow="1" w:lastRow="0" w:firstColumn="1" w:lastColumn="0" w:noHBand="0" w:noVBand="1"/>
      </w:tblPr>
      <w:tblGrid>
        <w:gridCol w:w="2139"/>
        <w:gridCol w:w="1445"/>
        <w:gridCol w:w="1362"/>
        <w:gridCol w:w="1406"/>
        <w:gridCol w:w="1482"/>
        <w:gridCol w:w="1516"/>
      </w:tblGrid>
      <w:tr w:rsidR="002A7F24" w:rsidRPr="008803DF" w14:paraId="10C9CE1B" w14:textId="77777777">
        <w:trPr>
          <w:jc w:val="center"/>
        </w:trPr>
        <w:tc>
          <w:tcPr>
            <w:tcW w:w="1560" w:type="dxa"/>
            <w:shd w:val="clear" w:color="auto" w:fill="CC0000"/>
          </w:tcPr>
          <w:p w14:paraId="5D91C0F6" w14:textId="77777777" w:rsidR="002A7F24" w:rsidRPr="008803DF" w:rsidRDefault="00000000">
            <w:pPr>
              <w:spacing w:before="40" w:after="40"/>
              <w:jc w:val="center"/>
              <w:rPr>
                <w:rFonts w:cs="Arial"/>
              </w:rPr>
            </w:pPr>
            <w:r w:rsidRPr="008803DF">
              <w:rPr>
                <w:rFonts w:cs="Arial"/>
                <w:b/>
                <w:sz w:val="20"/>
              </w:rPr>
              <w:t>Resource/Capability</w:t>
            </w:r>
          </w:p>
        </w:tc>
        <w:tc>
          <w:tcPr>
            <w:tcW w:w="1560" w:type="dxa"/>
            <w:shd w:val="clear" w:color="auto" w:fill="CC0000"/>
          </w:tcPr>
          <w:p w14:paraId="3BA4885E" w14:textId="77777777" w:rsidR="002A7F24" w:rsidRPr="008803DF" w:rsidRDefault="00000000">
            <w:pPr>
              <w:spacing w:before="40" w:after="40"/>
              <w:jc w:val="center"/>
              <w:rPr>
                <w:rFonts w:cs="Arial"/>
              </w:rPr>
            </w:pPr>
            <w:r w:rsidRPr="008803DF">
              <w:rPr>
                <w:rFonts w:cs="Arial"/>
                <w:b/>
                <w:sz w:val="20"/>
              </w:rPr>
              <w:t>Valuable</w:t>
            </w:r>
          </w:p>
        </w:tc>
        <w:tc>
          <w:tcPr>
            <w:tcW w:w="1560" w:type="dxa"/>
            <w:shd w:val="clear" w:color="auto" w:fill="CC0000"/>
          </w:tcPr>
          <w:p w14:paraId="32104BC6" w14:textId="77777777" w:rsidR="002A7F24" w:rsidRPr="008803DF" w:rsidRDefault="00000000">
            <w:pPr>
              <w:spacing w:before="40" w:after="40"/>
              <w:jc w:val="center"/>
              <w:rPr>
                <w:rFonts w:cs="Arial"/>
              </w:rPr>
            </w:pPr>
            <w:r w:rsidRPr="008803DF">
              <w:rPr>
                <w:rFonts w:cs="Arial"/>
                <w:b/>
                <w:sz w:val="20"/>
              </w:rPr>
              <w:t>Rare</w:t>
            </w:r>
          </w:p>
        </w:tc>
        <w:tc>
          <w:tcPr>
            <w:tcW w:w="1560" w:type="dxa"/>
            <w:shd w:val="clear" w:color="auto" w:fill="CC0000"/>
          </w:tcPr>
          <w:p w14:paraId="3637CBAA" w14:textId="77777777" w:rsidR="002A7F24" w:rsidRPr="008803DF" w:rsidRDefault="00000000">
            <w:pPr>
              <w:spacing w:before="40" w:after="40"/>
              <w:jc w:val="center"/>
              <w:rPr>
                <w:rFonts w:cs="Arial"/>
              </w:rPr>
            </w:pPr>
            <w:r w:rsidRPr="008803DF">
              <w:rPr>
                <w:rFonts w:cs="Arial"/>
                <w:b/>
                <w:sz w:val="20"/>
              </w:rPr>
              <w:t>Costly to Imitate</w:t>
            </w:r>
          </w:p>
        </w:tc>
        <w:tc>
          <w:tcPr>
            <w:tcW w:w="1560" w:type="dxa"/>
            <w:shd w:val="clear" w:color="auto" w:fill="CC0000"/>
          </w:tcPr>
          <w:p w14:paraId="158CFF58" w14:textId="77777777" w:rsidR="002A7F24" w:rsidRPr="008803DF" w:rsidRDefault="00000000">
            <w:pPr>
              <w:spacing w:before="40" w:after="40"/>
              <w:jc w:val="center"/>
              <w:rPr>
                <w:rFonts w:cs="Arial"/>
              </w:rPr>
            </w:pPr>
            <w:proofErr w:type="spellStart"/>
            <w:r w:rsidRPr="008803DF">
              <w:rPr>
                <w:rFonts w:cs="Arial"/>
                <w:b/>
                <w:sz w:val="20"/>
              </w:rPr>
              <w:t>Organised</w:t>
            </w:r>
            <w:proofErr w:type="spellEnd"/>
          </w:p>
        </w:tc>
        <w:tc>
          <w:tcPr>
            <w:tcW w:w="1560" w:type="dxa"/>
            <w:shd w:val="clear" w:color="auto" w:fill="CC0000"/>
          </w:tcPr>
          <w:p w14:paraId="5D2C8A7D" w14:textId="77777777" w:rsidR="002A7F24" w:rsidRPr="008803DF" w:rsidRDefault="00000000">
            <w:pPr>
              <w:spacing w:before="40" w:after="40"/>
              <w:jc w:val="center"/>
              <w:rPr>
                <w:rFonts w:cs="Arial"/>
              </w:rPr>
            </w:pPr>
            <w:r w:rsidRPr="008803DF">
              <w:rPr>
                <w:rFonts w:cs="Arial"/>
                <w:b/>
                <w:sz w:val="20"/>
              </w:rPr>
              <w:t>Competitive Implication</w:t>
            </w:r>
          </w:p>
        </w:tc>
      </w:tr>
      <w:tr w:rsidR="002A7F24" w:rsidRPr="008803DF" w14:paraId="47B8DB13" w14:textId="77777777">
        <w:trPr>
          <w:jc w:val="center"/>
        </w:trPr>
        <w:tc>
          <w:tcPr>
            <w:tcW w:w="1560" w:type="dxa"/>
          </w:tcPr>
          <w:p w14:paraId="28F49C7B" w14:textId="77777777" w:rsidR="002A7F24" w:rsidRPr="008803DF" w:rsidRDefault="00000000">
            <w:pPr>
              <w:spacing w:before="40" w:after="40"/>
              <w:jc w:val="center"/>
              <w:rPr>
                <w:rFonts w:cs="Arial"/>
              </w:rPr>
            </w:pPr>
            <w:r w:rsidRPr="008803DF">
              <w:rPr>
                <w:rFonts w:cs="Arial"/>
                <w:sz w:val="20"/>
              </w:rPr>
              <w:t>Supercharger Network</w:t>
            </w:r>
          </w:p>
        </w:tc>
        <w:tc>
          <w:tcPr>
            <w:tcW w:w="1560" w:type="dxa"/>
          </w:tcPr>
          <w:p w14:paraId="4B23D6C7" w14:textId="77777777" w:rsidR="002A7F24" w:rsidRPr="008803DF" w:rsidRDefault="00000000">
            <w:pPr>
              <w:spacing w:before="40" w:after="40"/>
              <w:jc w:val="center"/>
              <w:rPr>
                <w:rFonts w:cs="Arial"/>
              </w:rPr>
            </w:pPr>
            <w:r w:rsidRPr="008803DF">
              <w:rPr>
                <w:rFonts w:cs="Arial"/>
                <w:sz w:val="20"/>
              </w:rPr>
              <w:t>Yes</w:t>
            </w:r>
          </w:p>
        </w:tc>
        <w:tc>
          <w:tcPr>
            <w:tcW w:w="1560" w:type="dxa"/>
          </w:tcPr>
          <w:p w14:paraId="38F35DB2" w14:textId="77777777" w:rsidR="002A7F24" w:rsidRPr="008803DF" w:rsidRDefault="00000000">
            <w:pPr>
              <w:spacing w:before="40" w:after="40"/>
              <w:jc w:val="center"/>
              <w:rPr>
                <w:rFonts w:cs="Arial"/>
              </w:rPr>
            </w:pPr>
            <w:r w:rsidRPr="008803DF">
              <w:rPr>
                <w:rFonts w:cs="Arial"/>
                <w:sz w:val="20"/>
              </w:rPr>
              <w:t>Yes</w:t>
            </w:r>
          </w:p>
        </w:tc>
        <w:tc>
          <w:tcPr>
            <w:tcW w:w="1560" w:type="dxa"/>
          </w:tcPr>
          <w:p w14:paraId="6B5E417D" w14:textId="77777777" w:rsidR="002A7F24" w:rsidRPr="008803DF" w:rsidRDefault="00000000">
            <w:pPr>
              <w:spacing w:before="40" w:after="40"/>
              <w:jc w:val="center"/>
              <w:rPr>
                <w:rFonts w:cs="Arial"/>
              </w:rPr>
            </w:pPr>
            <w:r w:rsidRPr="008803DF">
              <w:rPr>
                <w:rFonts w:cs="Arial"/>
                <w:sz w:val="20"/>
              </w:rPr>
              <w:t>Yes</w:t>
            </w:r>
          </w:p>
        </w:tc>
        <w:tc>
          <w:tcPr>
            <w:tcW w:w="1560" w:type="dxa"/>
          </w:tcPr>
          <w:p w14:paraId="1A0351B9" w14:textId="77777777" w:rsidR="002A7F24" w:rsidRPr="008803DF" w:rsidRDefault="00000000">
            <w:pPr>
              <w:spacing w:before="40" w:after="40"/>
              <w:jc w:val="center"/>
              <w:rPr>
                <w:rFonts w:cs="Arial"/>
              </w:rPr>
            </w:pPr>
            <w:r w:rsidRPr="008803DF">
              <w:rPr>
                <w:rFonts w:cs="Arial"/>
                <w:sz w:val="20"/>
              </w:rPr>
              <w:t>Yes</w:t>
            </w:r>
          </w:p>
        </w:tc>
        <w:tc>
          <w:tcPr>
            <w:tcW w:w="1560" w:type="dxa"/>
          </w:tcPr>
          <w:p w14:paraId="0C62DCAF" w14:textId="77777777" w:rsidR="002A7F24" w:rsidRPr="008803DF" w:rsidRDefault="00000000">
            <w:pPr>
              <w:spacing w:before="40" w:after="40"/>
              <w:jc w:val="center"/>
              <w:rPr>
                <w:rFonts w:cs="Arial"/>
              </w:rPr>
            </w:pPr>
            <w:r w:rsidRPr="008803DF">
              <w:rPr>
                <w:rFonts w:cs="Arial"/>
                <w:sz w:val="20"/>
              </w:rPr>
              <w:t>Sustained Advantage</w:t>
            </w:r>
          </w:p>
        </w:tc>
      </w:tr>
      <w:tr w:rsidR="002A7F24" w:rsidRPr="008803DF" w14:paraId="5241C7DC" w14:textId="77777777">
        <w:trPr>
          <w:jc w:val="center"/>
        </w:trPr>
        <w:tc>
          <w:tcPr>
            <w:tcW w:w="1560" w:type="dxa"/>
          </w:tcPr>
          <w:p w14:paraId="19B935E8" w14:textId="77777777" w:rsidR="002A7F24" w:rsidRPr="008803DF" w:rsidRDefault="00000000">
            <w:pPr>
              <w:spacing w:before="40" w:after="40"/>
              <w:jc w:val="center"/>
              <w:rPr>
                <w:rFonts w:cs="Arial"/>
              </w:rPr>
            </w:pPr>
            <w:r w:rsidRPr="008803DF">
              <w:rPr>
                <w:rFonts w:cs="Arial"/>
                <w:sz w:val="20"/>
              </w:rPr>
              <w:t>Autonomous Driving Data</w:t>
            </w:r>
          </w:p>
        </w:tc>
        <w:tc>
          <w:tcPr>
            <w:tcW w:w="1560" w:type="dxa"/>
          </w:tcPr>
          <w:p w14:paraId="7155BC20" w14:textId="77777777" w:rsidR="002A7F24" w:rsidRPr="008803DF" w:rsidRDefault="00000000">
            <w:pPr>
              <w:spacing w:before="40" w:after="40"/>
              <w:jc w:val="center"/>
              <w:rPr>
                <w:rFonts w:cs="Arial"/>
              </w:rPr>
            </w:pPr>
            <w:r w:rsidRPr="008803DF">
              <w:rPr>
                <w:rFonts w:cs="Arial"/>
                <w:sz w:val="20"/>
              </w:rPr>
              <w:t>Yes</w:t>
            </w:r>
          </w:p>
        </w:tc>
        <w:tc>
          <w:tcPr>
            <w:tcW w:w="1560" w:type="dxa"/>
          </w:tcPr>
          <w:p w14:paraId="011F1655" w14:textId="77777777" w:rsidR="002A7F24" w:rsidRPr="008803DF" w:rsidRDefault="00000000">
            <w:pPr>
              <w:spacing w:before="40" w:after="40"/>
              <w:jc w:val="center"/>
              <w:rPr>
                <w:rFonts w:cs="Arial"/>
              </w:rPr>
            </w:pPr>
            <w:r w:rsidRPr="008803DF">
              <w:rPr>
                <w:rFonts w:cs="Arial"/>
                <w:sz w:val="20"/>
              </w:rPr>
              <w:t>Yes</w:t>
            </w:r>
          </w:p>
        </w:tc>
        <w:tc>
          <w:tcPr>
            <w:tcW w:w="1560" w:type="dxa"/>
          </w:tcPr>
          <w:p w14:paraId="20A8745A" w14:textId="77777777" w:rsidR="002A7F24" w:rsidRPr="008803DF" w:rsidRDefault="00000000">
            <w:pPr>
              <w:spacing w:before="40" w:after="40"/>
              <w:jc w:val="center"/>
              <w:rPr>
                <w:rFonts w:cs="Arial"/>
              </w:rPr>
            </w:pPr>
            <w:r w:rsidRPr="008803DF">
              <w:rPr>
                <w:rFonts w:cs="Arial"/>
                <w:sz w:val="20"/>
              </w:rPr>
              <w:t>Yes</w:t>
            </w:r>
          </w:p>
        </w:tc>
        <w:tc>
          <w:tcPr>
            <w:tcW w:w="1560" w:type="dxa"/>
          </w:tcPr>
          <w:p w14:paraId="79846062" w14:textId="77777777" w:rsidR="002A7F24" w:rsidRPr="008803DF" w:rsidRDefault="00000000">
            <w:pPr>
              <w:spacing w:before="40" w:after="40"/>
              <w:jc w:val="center"/>
              <w:rPr>
                <w:rFonts w:cs="Arial"/>
              </w:rPr>
            </w:pPr>
            <w:r w:rsidRPr="008803DF">
              <w:rPr>
                <w:rFonts w:cs="Arial"/>
                <w:sz w:val="20"/>
              </w:rPr>
              <w:t>Yes</w:t>
            </w:r>
          </w:p>
        </w:tc>
        <w:tc>
          <w:tcPr>
            <w:tcW w:w="1560" w:type="dxa"/>
          </w:tcPr>
          <w:p w14:paraId="66728413" w14:textId="77777777" w:rsidR="002A7F24" w:rsidRPr="008803DF" w:rsidRDefault="00000000">
            <w:pPr>
              <w:spacing w:before="40" w:after="40"/>
              <w:jc w:val="center"/>
              <w:rPr>
                <w:rFonts w:cs="Arial"/>
              </w:rPr>
            </w:pPr>
            <w:r w:rsidRPr="008803DF">
              <w:rPr>
                <w:rFonts w:cs="Arial"/>
                <w:sz w:val="20"/>
              </w:rPr>
              <w:t>Sustained Advantage</w:t>
            </w:r>
          </w:p>
        </w:tc>
      </w:tr>
      <w:tr w:rsidR="002A7F24" w:rsidRPr="008803DF" w14:paraId="41D80D01" w14:textId="77777777">
        <w:trPr>
          <w:jc w:val="center"/>
        </w:trPr>
        <w:tc>
          <w:tcPr>
            <w:tcW w:w="1560" w:type="dxa"/>
          </w:tcPr>
          <w:p w14:paraId="409D1F89" w14:textId="77777777" w:rsidR="002A7F24" w:rsidRPr="008803DF" w:rsidRDefault="00000000">
            <w:pPr>
              <w:spacing w:before="40" w:after="40"/>
              <w:jc w:val="center"/>
              <w:rPr>
                <w:rFonts w:cs="Arial"/>
              </w:rPr>
            </w:pPr>
            <w:r w:rsidRPr="008803DF">
              <w:rPr>
                <w:rFonts w:cs="Arial"/>
                <w:sz w:val="20"/>
              </w:rPr>
              <w:t>Battery Tech (4680 Cells)</w:t>
            </w:r>
          </w:p>
        </w:tc>
        <w:tc>
          <w:tcPr>
            <w:tcW w:w="1560" w:type="dxa"/>
          </w:tcPr>
          <w:p w14:paraId="66CF91B9" w14:textId="77777777" w:rsidR="002A7F24" w:rsidRPr="008803DF" w:rsidRDefault="00000000">
            <w:pPr>
              <w:spacing w:before="40" w:after="40"/>
              <w:jc w:val="center"/>
              <w:rPr>
                <w:rFonts w:cs="Arial"/>
              </w:rPr>
            </w:pPr>
            <w:r w:rsidRPr="008803DF">
              <w:rPr>
                <w:rFonts w:cs="Arial"/>
                <w:sz w:val="20"/>
              </w:rPr>
              <w:t>Yes</w:t>
            </w:r>
          </w:p>
        </w:tc>
        <w:tc>
          <w:tcPr>
            <w:tcW w:w="1560" w:type="dxa"/>
          </w:tcPr>
          <w:p w14:paraId="441666EF" w14:textId="77777777" w:rsidR="002A7F24" w:rsidRPr="008803DF" w:rsidRDefault="00000000">
            <w:pPr>
              <w:spacing w:before="40" w:after="40"/>
              <w:jc w:val="center"/>
              <w:rPr>
                <w:rFonts w:cs="Arial"/>
              </w:rPr>
            </w:pPr>
            <w:r w:rsidRPr="008803DF">
              <w:rPr>
                <w:rFonts w:cs="Arial"/>
                <w:sz w:val="20"/>
              </w:rPr>
              <w:t>No</w:t>
            </w:r>
          </w:p>
        </w:tc>
        <w:tc>
          <w:tcPr>
            <w:tcW w:w="1560" w:type="dxa"/>
          </w:tcPr>
          <w:p w14:paraId="2A77BAEA" w14:textId="77777777" w:rsidR="002A7F24" w:rsidRPr="008803DF" w:rsidRDefault="00000000">
            <w:pPr>
              <w:spacing w:before="40" w:after="40"/>
              <w:jc w:val="center"/>
              <w:rPr>
                <w:rFonts w:cs="Arial"/>
              </w:rPr>
            </w:pPr>
            <w:r w:rsidRPr="008803DF">
              <w:rPr>
                <w:rFonts w:cs="Arial"/>
                <w:sz w:val="20"/>
              </w:rPr>
              <w:t>No</w:t>
            </w:r>
          </w:p>
        </w:tc>
        <w:tc>
          <w:tcPr>
            <w:tcW w:w="1560" w:type="dxa"/>
          </w:tcPr>
          <w:p w14:paraId="4E4A5F8D" w14:textId="77777777" w:rsidR="002A7F24" w:rsidRPr="008803DF" w:rsidRDefault="00000000">
            <w:pPr>
              <w:spacing w:before="40" w:after="40"/>
              <w:jc w:val="center"/>
              <w:rPr>
                <w:rFonts w:cs="Arial"/>
              </w:rPr>
            </w:pPr>
            <w:r w:rsidRPr="008803DF">
              <w:rPr>
                <w:rFonts w:cs="Arial"/>
                <w:sz w:val="20"/>
              </w:rPr>
              <w:t>Yes</w:t>
            </w:r>
          </w:p>
        </w:tc>
        <w:tc>
          <w:tcPr>
            <w:tcW w:w="1560" w:type="dxa"/>
          </w:tcPr>
          <w:p w14:paraId="16407513" w14:textId="77777777" w:rsidR="002A7F24" w:rsidRPr="008803DF" w:rsidRDefault="00000000">
            <w:pPr>
              <w:spacing w:before="40" w:after="40"/>
              <w:jc w:val="center"/>
              <w:rPr>
                <w:rFonts w:cs="Arial"/>
              </w:rPr>
            </w:pPr>
            <w:r w:rsidRPr="008803DF">
              <w:rPr>
                <w:rFonts w:cs="Arial"/>
                <w:sz w:val="20"/>
              </w:rPr>
              <w:t>Competitive Parity</w:t>
            </w:r>
          </w:p>
        </w:tc>
      </w:tr>
      <w:tr w:rsidR="002A7F24" w:rsidRPr="008803DF" w14:paraId="0B88A888" w14:textId="77777777">
        <w:trPr>
          <w:jc w:val="center"/>
        </w:trPr>
        <w:tc>
          <w:tcPr>
            <w:tcW w:w="1560" w:type="dxa"/>
          </w:tcPr>
          <w:p w14:paraId="1877B48F" w14:textId="77777777" w:rsidR="002A7F24" w:rsidRPr="008803DF" w:rsidRDefault="00000000">
            <w:pPr>
              <w:spacing w:before="40" w:after="40"/>
              <w:jc w:val="center"/>
              <w:rPr>
                <w:rFonts w:cs="Arial"/>
              </w:rPr>
            </w:pPr>
            <w:r w:rsidRPr="008803DF">
              <w:rPr>
                <w:rFonts w:cs="Arial"/>
                <w:sz w:val="20"/>
              </w:rPr>
              <w:t>Brand Equity</w:t>
            </w:r>
          </w:p>
        </w:tc>
        <w:tc>
          <w:tcPr>
            <w:tcW w:w="1560" w:type="dxa"/>
          </w:tcPr>
          <w:p w14:paraId="43569995" w14:textId="77777777" w:rsidR="002A7F24" w:rsidRPr="008803DF" w:rsidRDefault="00000000">
            <w:pPr>
              <w:spacing w:before="40" w:after="40"/>
              <w:jc w:val="center"/>
              <w:rPr>
                <w:rFonts w:cs="Arial"/>
              </w:rPr>
            </w:pPr>
            <w:r w:rsidRPr="008803DF">
              <w:rPr>
                <w:rFonts w:cs="Arial"/>
                <w:sz w:val="20"/>
              </w:rPr>
              <w:t>Yes</w:t>
            </w:r>
          </w:p>
        </w:tc>
        <w:tc>
          <w:tcPr>
            <w:tcW w:w="1560" w:type="dxa"/>
          </w:tcPr>
          <w:p w14:paraId="6C4EB57A" w14:textId="77777777" w:rsidR="002A7F24" w:rsidRPr="008803DF" w:rsidRDefault="00000000">
            <w:pPr>
              <w:spacing w:before="40" w:after="40"/>
              <w:jc w:val="center"/>
              <w:rPr>
                <w:rFonts w:cs="Arial"/>
              </w:rPr>
            </w:pPr>
            <w:r w:rsidRPr="008803DF">
              <w:rPr>
                <w:rFonts w:cs="Arial"/>
                <w:sz w:val="20"/>
              </w:rPr>
              <w:t>Yes</w:t>
            </w:r>
          </w:p>
        </w:tc>
        <w:tc>
          <w:tcPr>
            <w:tcW w:w="1560" w:type="dxa"/>
          </w:tcPr>
          <w:p w14:paraId="22950D0C" w14:textId="77777777" w:rsidR="002A7F24" w:rsidRPr="008803DF" w:rsidRDefault="00000000">
            <w:pPr>
              <w:spacing w:before="40" w:after="40"/>
              <w:jc w:val="center"/>
              <w:rPr>
                <w:rFonts w:cs="Arial"/>
              </w:rPr>
            </w:pPr>
            <w:r w:rsidRPr="008803DF">
              <w:rPr>
                <w:rFonts w:cs="Arial"/>
                <w:sz w:val="20"/>
              </w:rPr>
              <w:t>No</w:t>
            </w:r>
          </w:p>
        </w:tc>
        <w:tc>
          <w:tcPr>
            <w:tcW w:w="1560" w:type="dxa"/>
          </w:tcPr>
          <w:p w14:paraId="4B22456C" w14:textId="77777777" w:rsidR="002A7F24" w:rsidRPr="008803DF" w:rsidRDefault="00000000">
            <w:pPr>
              <w:spacing w:before="40" w:after="40"/>
              <w:jc w:val="center"/>
              <w:rPr>
                <w:rFonts w:cs="Arial"/>
              </w:rPr>
            </w:pPr>
            <w:r w:rsidRPr="008803DF">
              <w:rPr>
                <w:rFonts w:cs="Arial"/>
                <w:sz w:val="20"/>
              </w:rPr>
              <w:t>Yes</w:t>
            </w:r>
          </w:p>
        </w:tc>
        <w:tc>
          <w:tcPr>
            <w:tcW w:w="1560" w:type="dxa"/>
          </w:tcPr>
          <w:p w14:paraId="7CCE25AF" w14:textId="77777777" w:rsidR="002A7F24" w:rsidRPr="008803DF" w:rsidRDefault="00000000">
            <w:pPr>
              <w:spacing w:before="40" w:after="40"/>
              <w:jc w:val="center"/>
              <w:rPr>
                <w:rFonts w:cs="Arial"/>
              </w:rPr>
            </w:pPr>
            <w:r w:rsidRPr="008803DF">
              <w:rPr>
                <w:rFonts w:cs="Arial"/>
                <w:sz w:val="20"/>
              </w:rPr>
              <w:t>Temporary Advantage</w:t>
            </w:r>
          </w:p>
        </w:tc>
      </w:tr>
    </w:tbl>
    <w:p w14:paraId="14B629EC" w14:textId="77777777" w:rsidR="002A7F24" w:rsidRPr="008803DF" w:rsidRDefault="00000000">
      <w:pPr>
        <w:spacing w:after="240"/>
        <w:jc w:val="center"/>
        <w:rPr>
          <w:rFonts w:cs="Arial"/>
        </w:rPr>
      </w:pPr>
      <w:r w:rsidRPr="008803DF">
        <w:rPr>
          <w:rFonts w:cs="Arial"/>
          <w:i/>
          <w:sz w:val="20"/>
        </w:rPr>
        <w:t>Table 1: VRIO Analysis of Tesla's Key Resources (Source: Author's analysis, adapted from Barney, 1991)</w:t>
      </w:r>
    </w:p>
    <w:p w14:paraId="2870DF4C" w14:textId="0B200F0C" w:rsidR="002A7F24" w:rsidRPr="008803DF" w:rsidRDefault="002C297E">
      <w:pPr>
        <w:spacing w:after="240"/>
        <w:jc w:val="both"/>
        <w:rPr>
          <w:rFonts w:cs="Arial"/>
        </w:rPr>
      </w:pPr>
      <w:r w:rsidRPr="002C297E">
        <w:rPr>
          <w:rFonts w:cs="Arial"/>
        </w:rPr>
        <w:lastRenderedPageBreak/>
        <w:t xml:space="preserve">Nevertheless, others claim that the unchanging RBV is not valid in hypercompetitive conditions such as the EV industry. </w:t>
      </w:r>
      <w:proofErr w:type="spellStart"/>
      <w:r w:rsidRPr="002C297E">
        <w:rPr>
          <w:rFonts w:cs="Arial"/>
        </w:rPr>
        <w:t>Helfat</w:t>
      </w:r>
      <w:proofErr w:type="spellEnd"/>
      <w:r w:rsidRPr="002C297E">
        <w:rPr>
          <w:rFonts w:cs="Arial"/>
        </w:rPr>
        <w:t xml:space="preserve"> and </w:t>
      </w:r>
      <w:proofErr w:type="spellStart"/>
      <w:r w:rsidRPr="002C297E">
        <w:rPr>
          <w:rFonts w:cs="Arial"/>
        </w:rPr>
        <w:t>Peteraf</w:t>
      </w:r>
      <w:proofErr w:type="spellEnd"/>
      <w:r w:rsidRPr="002C297E">
        <w:rPr>
          <w:rFonts w:cs="Arial"/>
        </w:rPr>
        <w:t xml:space="preserve"> (2003) also believe in lifecycle capability, in that even dynamic capabilities may turn into rigidity. Through this dynamic perspective Tesla would not be described as having current battery technology or its car models which will certainly be replicated and ultimately commoditized but as having an underlying organizational agility. </w:t>
      </w:r>
      <w:proofErr w:type="spellStart"/>
      <w:r w:rsidRPr="002C297E">
        <w:rPr>
          <w:rFonts w:cs="Arial"/>
        </w:rPr>
        <w:t>Rotjanakorn</w:t>
      </w:r>
      <w:proofErr w:type="spellEnd"/>
      <w:r w:rsidRPr="002C297E">
        <w:rPr>
          <w:rFonts w:cs="Arial"/>
        </w:rPr>
        <w:t xml:space="preserve"> et al. (2020) emphasize that Tesla also features software-defined vehicle architecture, which makes it possible to do continuous over-the-air (OTA) updates. This is a classic dynamic capability: the possibility to reconfigure and upgrade the product after the sale and essentially undo the lifecycle of the vehicle in relation to the creation date. This feature essentially changes the conventional automotive value equation, which is the declining hardware product to the rising software platform.</w:t>
      </w:r>
      <w:r w:rsidR="007070A8">
        <w:rPr>
          <w:rFonts w:cs="Arial"/>
        </w:rPr>
        <w:t xml:space="preserve"> Also</w:t>
      </w:r>
      <w:r w:rsidRPr="002C297E">
        <w:rPr>
          <w:rFonts w:cs="Arial"/>
        </w:rPr>
        <w:t xml:space="preserve">, Tesla is showing a faster rhythm of innovations in its production cycles which proves a higher ability to feel pressure and </w:t>
      </w:r>
      <w:r w:rsidR="00DD5F1B" w:rsidRPr="002C297E">
        <w:rPr>
          <w:rFonts w:cs="Arial"/>
        </w:rPr>
        <w:t>captures</w:t>
      </w:r>
      <w:r w:rsidRPr="002C297E">
        <w:rPr>
          <w:rFonts w:cs="Arial"/>
        </w:rPr>
        <w:t xml:space="preserve"> the opportunity of lowering costs which fits very well in the factors of dynamic capabilities presented by Teece (2007) as micro foundations. The use of massive air-casting machines (Giga Presses) to substitute hundreds of welded components by only one casting is one such example. Whereas legacy OEMs are stifled by structural inertia of established factories and unionized </w:t>
      </w:r>
      <w:proofErr w:type="spellStart"/>
      <w:r w:rsidRPr="002C297E">
        <w:rPr>
          <w:rFonts w:cs="Arial"/>
        </w:rPr>
        <w:t>labour</w:t>
      </w:r>
      <w:proofErr w:type="spellEnd"/>
      <w:r w:rsidRPr="002C297E">
        <w:rPr>
          <w:rFonts w:cs="Arial"/>
        </w:rPr>
        <w:t xml:space="preserve"> forces that are difficult to shift to radical processes change, Tesla first-principles engineering culture pays off through the rapid dumping of outdated practice in favor of ground-breaking manufacturing processes. Nonetheless, within the framework of </w:t>
      </w:r>
      <w:proofErr w:type="spellStart"/>
      <w:r w:rsidRPr="002C297E">
        <w:rPr>
          <w:rFonts w:cs="Arial"/>
        </w:rPr>
        <w:t>Helfat</w:t>
      </w:r>
      <w:proofErr w:type="spellEnd"/>
      <w:r w:rsidRPr="002C297E">
        <w:rPr>
          <w:rFonts w:cs="Arial"/>
        </w:rPr>
        <w:t xml:space="preserve"> and </w:t>
      </w:r>
      <w:proofErr w:type="spellStart"/>
      <w:r w:rsidRPr="002C297E">
        <w:rPr>
          <w:rFonts w:cs="Arial"/>
        </w:rPr>
        <w:t>Peteraf</w:t>
      </w:r>
      <w:proofErr w:type="spellEnd"/>
      <w:r w:rsidRPr="002C297E">
        <w:rPr>
          <w:rFonts w:cs="Arial"/>
        </w:rPr>
        <w:t xml:space="preserve"> (2003) capability lifecycle theory, it is necessary to consider whether the highly centralized and high-pressure culture that Tesla can now implement these dynamic capabilities with could eventually turn into a core rigidity in the case when such processes are not institutionalized even after the departure of the CEO (Teece, 2014).</w:t>
      </w:r>
    </w:p>
    <w:p w14:paraId="0D333390" w14:textId="77777777" w:rsidR="002A7F24" w:rsidRPr="008803DF" w:rsidRDefault="00000000" w:rsidP="004B3400">
      <w:pPr>
        <w:pStyle w:val="Heading1"/>
      </w:pPr>
      <w:bookmarkStart w:id="4" w:name="_Toc225644585"/>
      <w:r w:rsidRPr="008803DF">
        <w:t>3. CSR and Sustainability Objectives</w:t>
      </w:r>
      <w:bookmarkEnd w:id="4"/>
    </w:p>
    <w:p w14:paraId="3C5D41D9" w14:textId="6313C2BF" w:rsidR="00816056" w:rsidRPr="00816056" w:rsidRDefault="00816056" w:rsidP="00816056">
      <w:pPr>
        <w:spacing w:after="240"/>
        <w:jc w:val="both"/>
        <w:rPr>
          <w:rFonts w:cs="Arial"/>
        </w:rPr>
      </w:pPr>
      <w:r w:rsidRPr="00816056">
        <w:rPr>
          <w:rFonts w:cs="Arial"/>
        </w:rPr>
        <w:t xml:space="preserve">The strategy of Corporate Social Responsibility (CSR) taken by Tesla comes with a deep academic paradox. The main mission of the organization is intrinsically related to environmental sustainability, which, presumably, puts it in a perspective of the CSR ideal. </w:t>
      </w:r>
      <w:r w:rsidR="007070A8">
        <w:rPr>
          <w:rFonts w:cs="Arial"/>
        </w:rPr>
        <w:t>S</w:t>
      </w:r>
      <w:r w:rsidR="007070A8" w:rsidRPr="007070A8">
        <w:rPr>
          <w:rFonts w:cs="Arial"/>
        </w:rPr>
        <w:t>till</w:t>
      </w:r>
      <w:r w:rsidRPr="00816056">
        <w:rPr>
          <w:rFonts w:cs="Arial"/>
        </w:rPr>
        <w:t xml:space="preserve">, a closer examination shows that the application of the wider Environmental, </w:t>
      </w:r>
      <w:r w:rsidRPr="00816056">
        <w:rPr>
          <w:rFonts w:cs="Arial"/>
        </w:rPr>
        <w:lastRenderedPageBreak/>
        <w:t>Social, and Governance (ESG) structure has serious shortfalls. Lin et al. (2023) draw a distinction between Corporate Social responsibilities and Corporate Social irresponsibility (</w:t>
      </w:r>
      <w:proofErr w:type="spellStart"/>
      <w:r w:rsidRPr="00816056">
        <w:rPr>
          <w:rFonts w:cs="Arial"/>
        </w:rPr>
        <w:t>CSiR</w:t>
      </w:r>
      <w:proofErr w:type="spellEnd"/>
      <w:r w:rsidRPr="00816056">
        <w:rPr>
          <w:rFonts w:cs="Arial"/>
        </w:rPr>
        <w:t>) by stating that positive environmental performance does not discount the adverse social effects in the supply chain.</w:t>
      </w:r>
    </w:p>
    <w:p w14:paraId="60B4057C" w14:textId="33B3E0B5" w:rsidR="00816056" w:rsidRPr="00816056" w:rsidRDefault="00816056" w:rsidP="00816056">
      <w:pPr>
        <w:spacing w:after="240"/>
        <w:jc w:val="both"/>
        <w:rPr>
          <w:rFonts w:cs="Arial"/>
        </w:rPr>
      </w:pPr>
      <w:r w:rsidRPr="00816056">
        <w:rPr>
          <w:rFonts w:cs="Arial"/>
        </w:rPr>
        <w:t xml:space="preserve">Although Tesla has undoubtedly scored highly in the 'E' (Environmental) pillar because it is driving the global decarbonization process at a faster pace and propelling the entire automotive industry towards becoming more electric, it receives harsh and growing criticism of the two remaining pillars, namely the social (S) and the governance (G) pillar. The allegations of hostile </w:t>
      </w:r>
      <w:proofErr w:type="spellStart"/>
      <w:r w:rsidRPr="00816056">
        <w:rPr>
          <w:rFonts w:cs="Arial"/>
        </w:rPr>
        <w:t>labour</w:t>
      </w:r>
      <w:proofErr w:type="spellEnd"/>
      <w:r w:rsidRPr="00816056">
        <w:rPr>
          <w:rFonts w:cs="Arial"/>
        </w:rPr>
        <w:t xml:space="preserve"> relations, violent anti-unionization campaigns in its US plants, injuries among workers are high, and the ethical concerns regarding the origin of cobalt in the Democratic Republic of Congo outline a systemic problem with </w:t>
      </w:r>
      <w:proofErr w:type="spellStart"/>
      <w:r w:rsidRPr="00816056">
        <w:rPr>
          <w:rFonts w:cs="Arial"/>
        </w:rPr>
        <w:t>CSiR</w:t>
      </w:r>
      <w:proofErr w:type="spellEnd"/>
      <w:r w:rsidRPr="00816056">
        <w:rPr>
          <w:rFonts w:cs="Arial"/>
        </w:rPr>
        <w:t>. The author suggests that this obsession with Tesla with engineering results is often expressed at the direct cost of human capital welfare, which forms a highly stressful corporate culture that is characterized by high turnover rates (Yang 2025).</w:t>
      </w:r>
    </w:p>
    <w:p w14:paraId="6E0A72F8" w14:textId="393AD722" w:rsidR="002A7F24" w:rsidRPr="008803DF" w:rsidRDefault="00816056" w:rsidP="00816056">
      <w:pPr>
        <w:spacing w:after="240"/>
        <w:jc w:val="both"/>
        <w:rPr>
          <w:rFonts w:cs="Arial"/>
        </w:rPr>
      </w:pPr>
      <w:r w:rsidRPr="00816056">
        <w:rPr>
          <w:rFonts w:cs="Arial"/>
        </w:rPr>
        <w:t xml:space="preserve">Moreover, according to the empirical evidence presented by Kim et al. (2025), in the modern automotive industry, the transparency of governance and social responsibility are no longer the exercises of the optional PR packages; these are the essential factors of corporate trust and brand value over the long term. The overly centralized model of running </w:t>
      </w:r>
      <w:r w:rsidR="00DD5F1B" w:rsidRPr="00816056">
        <w:rPr>
          <w:rFonts w:cs="Arial"/>
        </w:rPr>
        <w:t>Tesla,</w:t>
      </w:r>
      <w:r w:rsidRPr="00816056">
        <w:rPr>
          <w:rFonts w:cs="Arial"/>
        </w:rPr>
        <w:t xml:space="preserve"> which is largely dominated by its CEO, Elon Musk, is a major weakness. Board of directors has traditionally been criticized to not being independent and a failure to exercise proper oversight over executive behavior. This lack of governance not only compromises the trust of the </w:t>
      </w:r>
      <w:proofErr w:type="gramStart"/>
      <w:r w:rsidRPr="00816056">
        <w:rPr>
          <w:rFonts w:cs="Arial"/>
        </w:rPr>
        <w:t>stakeholders,</w:t>
      </w:r>
      <w:proofErr w:type="gramEnd"/>
      <w:r w:rsidRPr="00816056">
        <w:rPr>
          <w:rFonts w:cs="Arial"/>
        </w:rPr>
        <w:t xml:space="preserve"> it also subjects the firm to untold key-person risk. In order to have a holistic and sustainable CSR strategy, Tesla needs to strike a quicker reconciliation on this dichotomy. It should understand that technological innovation cannot be uncoupled to ethical human capital management as well as open corporate governance. Lack of attention to these ESG imbalances will only limit the access of Tesla to ESG-oriented institutional capital which is already a giant share of the world investment capital (Lin et al., 2023)</w:t>
      </w:r>
      <w:r w:rsidRPr="008803DF">
        <w:rPr>
          <w:rFonts w:cs="Arial"/>
        </w:rPr>
        <w:t>.</w:t>
      </w:r>
    </w:p>
    <w:p w14:paraId="21E98C81" w14:textId="4764BF72" w:rsidR="002A7F24" w:rsidRPr="008803DF" w:rsidRDefault="00000000" w:rsidP="004B3400">
      <w:pPr>
        <w:pStyle w:val="Heading1"/>
      </w:pPr>
      <w:bookmarkStart w:id="5" w:name="_Toc225644586"/>
      <w:r w:rsidRPr="008803DF">
        <w:lastRenderedPageBreak/>
        <w:t xml:space="preserve">4. Comprehensive and Holistic View of the </w:t>
      </w:r>
      <w:bookmarkEnd w:id="5"/>
      <w:r w:rsidR="00816056" w:rsidRPr="008803DF">
        <w:t>Organization</w:t>
      </w:r>
    </w:p>
    <w:p w14:paraId="17C006CF" w14:textId="01602FF6" w:rsidR="002A7F24" w:rsidRPr="008803DF" w:rsidRDefault="002D3BED">
      <w:pPr>
        <w:rPr>
          <w:rFonts w:cs="Arial"/>
        </w:rPr>
      </w:pPr>
      <w:r>
        <w:rPr>
          <w:noProof/>
        </w:rPr>
        <w:drawing>
          <wp:inline distT="0" distB="0" distL="0" distR="0" wp14:anchorId="621C9B13" wp14:editId="137A0B5E">
            <wp:extent cx="4252069" cy="2533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_revenue_real.png"/>
                    <pic:cNvPicPr/>
                  </pic:nvPicPr>
                  <pic:blipFill>
                    <a:blip r:embed="rId12"/>
                    <a:stretch>
                      <a:fillRect/>
                    </a:stretch>
                  </pic:blipFill>
                  <pic:spPr>
                    <a:xfrm>
                      <a:off x="0" y="0"/>
                      <a:ext cx="4253938" cy="2534764"/>
                    </a:xfrm>
                    <a:prstGeom prst="rect">
                      <a:avLst/>
                    </a:prstGeom>
                  </pic:spPr>
                </pic:pic>
              </a:graphicData>
            </a:graphic>
          </wp:inline>
        </w:drawing>
      </w:r>
    </w:p>
    <w:p w14:paraId="6FB7150D" w14:textId="4A019BE5" w:rsidR="000B6238" w:rsidRPr="008803DF" w:rsidRDefault="000B6238">
      <w:pPr>
        <w:rPr>
          <w:rFonts w:cs="Arial"/>
        </w:rPr>
      </w:pPr>
    </w:p>
    <w:p w14:paraId="3CD1F3CA" w14:textId="61E4371D" w:rsidR="002A7F24" w:rsidRPr="008803DF" w:rsidRDefault="00000000">
      <w:pPr>
        <w:spacing w:after="240"/>
        <w:jc w:val="center"/>
        <w:rPr>
          <w:rFonts w:cs="Arial"/>
        </w:rPr>
      </w:pPr>
      <w:r w:rsidRPr="008803DF">
        <w:rPr>
          <w:rFonts w:cs="Arial"/>
          <w:i/>
          <w:sz w:val="20"/>
        </w:rPr>
        <w:t xml:space="preserve">Figure </w:t>
      </w:r>
      <w:r w:rsidR="00FA43DA">
        <w:rPr>
          <w:rFonts w:cs="Arial"/>
          <w:i/>
          <w:sz w:val="20"/>
        </w:rPr>
        <w:t>4</w:t>
      </w:r>
      <w:r w:rsidRPr="008803DF">
        <w:rPr>
          <w:rFonts w:cs="Arial"/>
          <w:i/>
          <w:sz w:val="20"/>
        </w:rPr>
        <w:t xml:space="preserve">: </w:t>
      </w:r>
      <w:r w:rsidR="00FA43DA" w:rsidRPr="00FA43DA">
        <w:rPr>
          <w:rFonts w:cs="Arial"/>
          <w:i/>
          <w:sz w:val="20"/>
        </w:rPr>
        <w:t>Tesla, Inc. Annual Revenue, 2018-2025 (Source: Tesla SEC 10-K Filings; StockAnalysis.com, 2026)</w:t>
      </w:r>
    </w:p>
    <w:p w14:paraId="5D8255E3" w14:textId="29C7E63C" w:rsidR="002A7F24" w:rsidRPr="008803DF" w:rsidRDefault="00816056">
      <w:pPr>
        <w:spacing w:after="240"/>
        <w:jc w:val="both"/>
        <w:rPr>
          <w:rFonts w:cs="Arial"/>
        </w:rPr>
      </w:pPr>
      <w:r w:rsidRPr="00816056">
        <w:rPr>
          <w:rFonts w:cs="Arial"/>
        </w:rPr>
        <w:t xml:space="preserve">The Balanced Scorecard (BSC) was proposed by Kaplan and Norton (1992), and it offers a multidimensional methodology used to review organizational performance, not only in terms of financial achievement. Its use, however, needs to be critically contextualized. </w:t>
      </w:r>
      <w:proofErr w:type="spellStart"/>
      <w:r w:rsidRPr="00816056">
        <w:rPr>
          <w:rFonts w:cs="Arial"/>
        </w:rPr>
        <w:t>Norreklit</w:t>
      </w:r>
      <w:proofErr w:type="spellEnd"/>
      <w:r w:rsidRPr="00816056">
        <w:rPr>
          <w:rFonts w:cs="Arial"/>
        </w:rPr>
        <w:t xml:space="preserve"> (2000) investigated the BSC by arguing that it asserts a poor, linear cause-and-effect relationship in the four perspectives, and improvement in learning and growth does not necessarily lead to financial success without strategic coherence. The critically adapted BSC of Tesla is shown in Table 2</w:t>
      </w:r>
      <w:r w:rsidRPr="008803DF">
        <w:rPr>
          <w:rFonts w:cs="Arial"/>
        </w:rPr>
        <w:t>.</w:t>
      </w:r>
    </w:p>
    <w:tbl>
      <w:tblPr>
        <w:tblStyle w:val="TableGrid"/>
        <w:tblW w:w="0" w:type="auto"/>
        <w:jc w:val="center"/>
        <w:tblLook w:val="04A0" w:firstRow="1" w:lastRow="0" w:firstColumn="1" w:lastColumn="0" w:noHBand="0" w:noVBand="1"/>
      </w:tblPr>
      <w:tblGrid>
        <w:gridCol w:w="2337"/>
        <w:gridCol w:w="2337"/>
        <w:gridCol w:w="2338"/>
        <w:gridCol w:w="2338"/>
      </w:tblGrid>
      <w:tr w:rsidR="002A7F24" w:rsidRPr="008803DF" w14:paraId="6D15F272" w14:textId="77777777">
        <w:trPr>
          <w:jc w:val="center"/>
        </w:trPr>
        <w:tc>
          <w:tcPr>
            <w:tcW w:w="2340" w:type="dxa"/>
            <w:shd w:val="clear" w:color="auto" w:fill="003366"/>
          </w:tcPr>
          <w:p w14:paraId="6C25C692" w14:textId="77777777" w:rsidR="002A7F24" w:rsidRPr="008803DF" w:rsidRDefault="00000000">
            <w:pPr>
              <w:spacing w:before="40" w:after="40"/>
              <w:jc w:val="center"/>
              <w:rPr>
                <w:rFonts w:cs="Arial"/>
              </w:rPr>
            </w:pPr>
            <w:r w:rsidRPr="008803DF">
              <w:rPr>
                <w:rFonts w:cs="Arial"/>
                <w:b/>
                <w:sz w:val="18"/>
              </w:rPr>
              <w:t>Perspective</w:t>
            </w:r>
          </w:p>
        </w:tc>
        <w:tc>
          <w:tcPr>
            <w:tcW w:w="2340" w:type="dxa"/>
            <w:shd w:val="clear" w:color="auto" w:fill="003366"/>
          </w:tcPr>
          <w:p w14:paraId="003FB878" w14:textId="77777777" w:rsidR="002A7F24" w:rsidRPr="008803DF" w:rsidRDefault="00000000">
            <w:pPr>
              <w:spacing w:before="40" w:after="40"/>
              <w:jc w:val="center"/>
              <w:rPr>
                <w:rFonts w:cs="Arial"/>
              </w:rPr>
            </w:pPr>
            <w:r w:rsidRPr="008803DF">
              <w:rPr>
                <w:rFonts w:cs="Arial"/>
                <w:b/>
                <w:sz w:val="18"/>
              </w:rPr>
              <w:t>Strategic Objectives</w:t>
            </w:r>
          </w:p>
        </w:tc>
        <w:tc>
          <w:tcPr>
            <w:tcW w:w="2340" w:type="dxa"/>
            <w:shd w:val="clear" w:color="auto" w:fill="003366"/>
          </w:tcPr>
          <w:p w14:paraId="27947696" w14:textId="77777777" w:rsidR="002A7F24" w:rsidRPr="008803DF" w:rsidRDefault="00000000">
            <w:pPr>
              <w:spacing w:before="40" w:after="40"/>
              <w:jc w:val="center"/>
              <w:rPr>
                <w:rFonts w:cs="Arial"/>
              </w:rPr>
            </w:pPr>
            <w:r w:rsidRPr="008803DF">
              <w:rPr>
                <w:rFonts w:cs="Arial"/>
                <w:b/>
                <w:sz w:val="18"/>
              </w:rPr>
              <w:t>Key Performance Indicators (KPIs)</w:t>
            </w:r>
          </w:p>
        </w:tc>
        <w:tc>
          <w:tcPr>
            <w:tcW w:w="2340" w:type="dxa"/>
            <w:shd w:val="clear" w:color="auto" w:fill="003366"/>
          </w:tcPr>
          <w:p w14:paraId="05962BAB" w14:textId="77777777" w:rsidR="002A7F24" w:rsidRPr="008803DF" w:rsidRDefault="00000000">
            <w:pPr>
              <w:spacing w:before="40" w:after="40"/>
              <w:jc w:val="center"/>
              <w:rPr>
                <w:rFonts w:cs="Arial"/>
              </w:rPr>
            </w:pPr>
            <w:r w:rsidRPr="008803DF">
              <w:rPr>
                <w:rFonts w:cs="Arial"/>
                <w:b/>
                <w:sz w:val="18"/>
              </w:rPr>
              <w:t>Critical Initiatives</w:t>
            </w:r>
          </w:p>
        </w:tc>
      </w:tr>
      <w:tr w:rsidR="002A7F24" w:rsidRPr="008803DF" w14:paraId="134DCCBB" w14:textId="77777777">
        <w:trPr>
          <w:jc w:val="center"/>
        </w:trPr>
        <w:tc>
          <w:tcPr>
            <w:tcW w:w="2340" w:type="dxa"/>
          </w:tcPr>
          <w:p w14:paraId="7E02E982" w14:textId="77777777" w:rsidR="002A7F24" w:rsidRPr="008803DF" w:rsidRDefault="00000000">
            <w:pPr>
              <w:spacing w:before="40" w:after="40"/>
              <w:rPr>
                <w:rFonts w:cs="Arial"/>
              </w:rPr>
            </w:pPr>
            <w:r w:rsidRPr="008803DF">
              <w:rPr>
                <w:rFonts w:cs="Arial"/>
                <w:sz w:val="18"/>
              </w:rPr>
              <w:t>Financial</w:t>
            </w:r>
          </w:p>
        </w:tc>
        <w:tc>
          <w:tcPr>
            <w:tcW w:w="2340" w:type="dxa"/>
          </w:tcPr>
          <w:p w14:paraId="50C52839" w14:textId="77777777" w:rsidR="002A7F24" w:rsidRPr="008803DF" w:rsidRDefault="00000000">
            <w:pPr>
              <w:spacing w:before="40" w:after="40"/>
              <w:rPr>
                <w:rFonts w:cs="Arial"/>
              </w:rPr>
            </w:pPr>
            <w:proofErr w:type="spellStart"/>
            <w:r w:rsidRPr="008803DF">
              <w:rPr>
                <w:rFonts w:cs="Arial"/>
                <w:sz w:val="18"/>
              </w:rPr>
              <w:t>Stabilise</w:t>
            </w:r>
            <w:proofErr w:type="spellEnd"/>
            <w:r w:rsidRPr="008803DF">
              <w:rPr>
                <w:rFonts w:cs="Arial"/>
                <w:sz w:val="18"/>
              </w:rPr>
              <w:t xml:space="preserve"> gross margins amidst price wars; diversify revenue streams</w:t>
            </w:r>
          </w:p>
        </w:tc>
        <w:tc>
          <w:tcPr>
            <w:tcW w:w="2340" w:type="dxa"/>
          </w:tcPr>
          <w:p w14:paraId="36A4E042" w14:textId="77777777" w:rsidR="002A7F24" w:rsidRPr="008803DF" w:rsidRDefault="00000000">
            <w:pPr>
              <w:spacing w:before="40" w:after="40"/>
              <w:rPr>
                <w:rFonts w:cs="Arial"/>
              </w:rPr>
            </w:pPr>
            <w:r w:rsidRPr="008803DF">
              <w:rPr>
                <w:rFonts w:cs="Arial"/>
                <w:sz w:val="18"/>
              </w:rPr>
              <w:t>Automotive gross margin %; FSD software revenue growth</w:t>
            </w:r>
          </w:p>
        </w:tc>
        <w:tc>
          <w:tcPr>
            <w:tcW w:w="2340" w:type="dxa"/>
          </w:tcPr>
          <w:p w14:paraId="6E3C1DBD" w14:textId="77777777" w:rsidR="002A7F24" w:rsidRPr="008803DF" w:rsidRDefault="00000000">
            <w:pPr>
              <w:spacing w:before="40" w:after="40"/>
              <w:rPr>
                <w:rFonts w:cs="Arial"/>
              </w:rPr>
            </w:pPr>
            <w:r w:rsidRPr="008803DF">
              <w:rPr>
                <w:rFonts w:cs="Arial"/>
                <w:sz w:val="18"/>
              </w:rPr>
              <w:t xml:space="preserve">Scale low-cost manufacturing; </w:t>
            </w:r>
            <w:proofErr w:type="spellStart"/>
            <w:r w:rsidRPr="008803DF">
              <w:rPr>
                <w:rFonts w:cs="Arial"/>
                <w:sz w:val="18"/>
              </w:rPr>
              <w:t>monetise</w:t>
            </w:r>
            <w:proofErr w:type="spellEnd"/>
            <w:r w:rsidRPr="008803DF">
              <w:rPr>
                <w:rFonts w:cs="Arial"/>
                <w:sz w:val="18"/>
              </w:rPr>
              <w:t xml:space="preserve"> autonomous driving software</w:t>
            </w:r>
          </w:p>
        </w:tc>
      </w:tr>
      <w:tr w:rsidR="002A7F24" w:rsidRPr="008803DF" w14:paraId="5D0CD905" w14:textId="77777777">
        <w:trPr>
          <w:jc w:val="center"/>
        </w:trPr>
        <w:tc>
          <w:tcPr>
            <w:tcW w:w="2340" w:type="dxa"/>
          </w:tcPr>
          <w:p w14:paraId="2AB3D928" w14:textId="77777777" w:rsidR="002A7F24" w:rsidRPr="008803DF" w:rsidRDefault="00000000">
            <w:pPr>
              <w:spacing w:before="40" w:after="40"/>
              <w:rPr>
                <w:rFonts w:cs="Arial"/>
              </w:rPr>
            </w:pPr>
            <w:r w:rsidRPr="008803DF">
              <w:rPr>
                <w:rFonts w:cs="Arial"/>
                <w:sz w:val="18"/>
              </w:rPr>
              <w:t>Customer</w:t>
            </w:r>
          </w:p>
        </w:tc>
        <w:tc>
          <w:tcPr>
            <w:tcW w:w="2340" w:type="dxa"/>
          </w:tcPr>
          <w:p w14:paraId="509EA859" w14:textId="77777777" w:rsidR="002A7F24" w:rsidRPr="008803DF" w:rsidRDefault="00000000">
            <w:pPr>
              <w:spacing w:before="40" w:after="40"/>
              <w:rPr>
                <w:rFonts w:cs="Arial"/>
              </w:rPr>
            </w:pPr>
            <w:r w:rsidRPr="008803DF">
              <w:rPr>
                <w:rFonts w:cs="Arial"/>
                <w:sz w:val="18"/>
              </w:rPr>
              <w:t>Mitigate range anxiety; improve after-sales service quality</w:t>
            </w:r>
          </w:p>
        </w:tc>
        <w:tc>
          <w:tcPr>
            <w:tcW w:w="2340" w:type="dxa"/>
          </w:tcPr>
          <w:p w14:paraId="71AD4FD8" w14:textId="77777777" w:rsidR="002A7F24" w:rsidRPr="008803DF" w:rsidRDefault="00000000">
            <w:pPr>
              <w:spacing w:before="40" w:after="40"/>
              <w:rPr>
                <w:rFonts w:cs="Arial"/>
              </w:rPr>
            </w:pPr>
            <w:r w:rsidRPr="008803DF">
              <w:rPr>
                <w:rFonts w:cs="Arial"/>
                <w:sz w:val="18"/>
              </w:rPr>
              <w:t xml:space="preserve">Supercharger network density; service </w:t>
            </w:r>
            <w:proofErr w:type="spellStart"/>
            <w:r w:rsidRPr="008803DF">
              <w:rPr>
                <w:rFonts w:cs="Arial"/>
                <w:sz w:val="18"/>
              </w:rPr>
              <w:t>centre</w:t>
            </w:r>
            <w:proofErr w:type="spellEnd"/>
            <w:r w:rsidRPr="008803DF">
              <w:rPr>
                <w:rFonts w:cs="Arial"/>
                <w:sz w:val="18"/>
              </w:rPr>
              <w:t xml:space="preserve"> </w:t>
            </w:r>
            <w:proofErr w:type="gramStart"/>
            <w:r w:rsidRPr="008803DF">
              <w:rPr>
                <w:rFonts w:cs="Arial"/>
                <w:sz w:val="18"/>
              </w:rPr>
              <w:t>wait</w:t>
            </w:r>
            <w:proofErr w:type="gramEnd"/>
            <w:r w:rsidRPr="008803DF">
              <w:rPr>
                <w:rFonts w:cs="Arial"/>
                <w:sz w:val="18"/>
              </w:rPr>
              <w:t xml:space="preserve"> times; NPS</w:t>
            </w:r>
          </w:p>
        </w:tc>
        <w:tc>
          <w:tcPr>
            <w:tcW w:w="2340" w:type="dxa"/>
          </w:tcPr>
          <w:p w14:paraId="20DD18CB" w14:textId="77777777" w:rsidR="002A7F24" w:rsidRPr="008803DF" w:rsidRDefault="00000000">
            <w:pPr>
              <w:spacing w:before="40" w:after="40"/>
              <w:rPr>
                <w:rFonts w:cs="Arial"/>
              </w:rPr>
            </w:pPr>
            <w:r w:rsidRPr="008803DF">
              <w:rPr>
                <w:rFonts w:cs="Arial"/>
                <w:sz w:val="18"/>
              </w:rPr>
              <w:t>Deploy V4 Superchargers globally; aggressively expand physical service infrastructure</w:t>
            </w:r>
          </w:p>
        </w:tc>
      </w:tr>
      <w:tr w:rsidR="002A7F24" w:rsidRPr="008803DF" w14:paraId="7BA15687" w14:textId="77777777">
        <w:trPr>
          <w:jc w:val="center"/>
        </w:trPr>
        <w:tc>
          <w:tcPr>
            <w:tcW w:w="2340" w:type="dxa"/>
          </w:tcPr>
          <w:p w14:paraId="50EE7446" w14:textId="77777777" w:rsidR="002A7F24" w:rsidRPr="008803DF" w:rsidRDefault="00000000">
            <w:pPr>
              <w:spacing w:before="40" w:after="40"/>
              <w:rPr>
                <w:rFonts w:cs="Arial"/>
              </w:rPr>
            </w:pPr>
            <w:r w:rsidRPr="008803DF">
              <w:rPr>
                <w:rFonts w:cs="Arial"/>
                <w:sz w:val="18"/>
              </w:rPr>
              <w:lastRenderedPageBreak/>
              <w:t>Internal Processes</w:t>
            </w:r>
          </w:p>
        </w:tc>
        <w:tc>
          <w:tcPr>
            <w:tcW w:w="2340" w:type="dxa"/>
          </w:tcPr>
          <w:p w14:paraId="66EF8B00" w14:textId="77777777" w:rsidR="002A7F24" w:rsidRPr="008803DF" w:rsidRDefault="00000000">
            <w:pPr>
              <w:spacing w:before="40" w:after="40"/>
              <w:rPr>
                <w:rFonts w:cs="Arial"/>
              </w:rPr>
            </w:pPr>
            <w:r w:rsidRPr="008803DF">
              <w:rPr>
                <w:rFonts w:cs="Arial"/>
                <w:sz w:val="18"/>
              </w:rPr>
              <w:t xml:space="preserve">Achieve supply chain resilience; </w:t>
            </w:r>
            <w:proofErr w:type="spellStart"/>
            <w:r w:rsidRPr="008803DF">
              <w:rPr>
                <w:rFonts w:cs="Arial"/>
                <w:sz w:val="18"/>
              </w:rPr>
              <w:t>optimise</w:t>
            </w:r>
            <w:proofErr w:type="spellEnd"/>
            <w:r w:rsidRPr="008803DF">
              <w:rPr>
                <w:rFonts w:cs="Arial"/>
                <w:sz w:val="18"/>
              </w:rPr>
              <w:t xml:space="preserve"> production efficiency</w:t>
            </w:r>
          </w:p>
        </w:tc>
        <w:tc>
          <w:tcPr>
            <w:tcW w:w="2340" w:type="dxa"/>
          </w:tcPr>
          <w:p w14:paraId="0EB47C95" w14:textId="77777777" w:rsidR="002A7F24" w:rsidRPr="008803DF" w:rsidRDefault="00000000">
            <w:pPr>
              <w:spacing w:before="40" w:after="40"/>
              <w:rPr>
                <w:rFonts w:cs="Arial"/>
              </w:rPr>
            </w:pPr>
            <w:r w:rsidRPr="008803DF">
              <w:rPr>
                <w:rFonts w:cs="Arial"/>
                <w:sz w:val="18"/>
              </w:rPr>
              <w:t>Percentage of battery minerals sourced directly; vehicles per week</w:t>
            </w:r>
          </w:p>
        </w:tc>
        <w:tc>
          <w:tcPr>
            <w:tcW w:w="2340" w:type="dxa"/>
          </w:tcPr>
          <w:p w14:paraId="3D1C2417" w14:textId="77777777" w:rsidR="002A7F24" w:rsidRPr="008803DF" w:rsidRDefault="00000000">
            <w:pPr>
              <w:spacing w:before="40" w:after="40"/>
              <w:rPr>
                <w:rFonts w:cs="Arial"/>
              </w:rPr>
            </w:pPr>
            <w:r w:rsidRPr="008803DF">
              <w:rPr>
                <w:rFonts w:cs="Arial"/>
                <w:sz w:val="18"/>
              </w:rPr>
              <w:t>Vertical integration of lithium refining; implementation of unboxed assembly process</w:t>
            </w:r>
          </w:p>
        </w:tc>
      </w:tr>
      <w:tr w:rsidR="002A7F24" w:rsidRPr="008803DF" w14:paraId="5E6DBE74" w14:textId="77777777">
        <w:trPr>
          <w:jc w:val="center"/>
        </w:trPr>
        <w:tc>
          <w:tcPr>
            <w:tcW w:w="2340" w:type="dxa"/>
          </w:tcPr>
          <w:p w14:paraId="77816084" w14:textId="77777777" w:rsidR="002A7F24" w:rsidRPr="008803DF" w:rsidRDefault="00000000">
            <w:pPr>
              <w:spacing w:before="40" w:after="40"/>
              <w:rPr>
                <w:rFonts w:cs="Arial"/>
              </w:rPr>
            </w:pPr>
            <w:r w:rsidRPr="008803DF">
              <w:rPr>
                <w:rFonts w:cs="Arial"/>
                <w:sz w:val="18"/>
              </w:rPr>
              <w:t>Learning &amp; Growth</w:t>
            </w:r>
          </w:p>
        </w:tc>
        <w:tc>
          <w:tcPr>
            <w:tcW w:w="2340" w:type="dxa"/>
          </w:tcPr>
          <w:p w14:paraId="3960A250" w14:textId="77777777" w:rsidR="002A7F24" w:rsidRPr="008803DF" w:rsidRDefault="00000000">
            <w:pPr>
              <w:spacing w:before="40" w:after="40"/>
              <w:rPr>
                <w:rFonts w:cs="Arial"/>
              </w:rPr>
            </w:pPr>
            <w:r w:rsidRPr="008803DF">
              <w:rPr>
                <w:rFonts w:cs="Arial"/>
                <w:sz w:val="18"/>
              </w:rPr>
              <w:t>Retain top engineering talent; advance AI capabilities</w:t>
            </w:r>
          </w:p>
        </w:tc>
        <w:tc>
          <w:tcPr>
            <w:tcW w:w="2340" w:type="dxa"/>
          </w:tcPr>
          <w:p w14:paraId="4B3FA25D" w14:textId="77777777" w:rsidR="002A7F24" w:rsidRPr="008803DF" w:rsidRDefault="00000000">
            <w:pPr>
              <w:spacing w:before="40" w:after="40"/>
              <w:rPr>
                <w:rFonts w:cs="Arial"/>
              </w:rPr>
            </w:pPr>
            <w:r w:rsidRPr="008803DF">
              <w:rPr>
                <w:rFonts w:cs="Arial"/>
                <w:sz w:val="18"/>
              </w:rPr>
              <w:t>Voluntary employee turnover rate; Dojo supercomputer processing power</w:t>
            </w:r>
          </w:p>
        </w:tc>
        <w:tc>
          <w:tcPr>
            <w:tcW w:w="2340" w:type="dxa"/>
          </w:tcPr>
          <w:p w14:paraId="6344B8AD" w14:textId="77777777" w:rsidR="002A7F24" w:rsidRPr="008803DF" w:rsidRDefault="00000000">
            <w:pPr>
              <w:spacing w:before="40" w:after="40"/>
              <w:rPr>
                <w:rFonts w:cs="Arial"/>
              </w:rPr>
            </w:pPr>
            <w:r w:rsidRPr="008803DF">
              <w:rPr>
                <w:rFonts w:cs="Arial"/>
                <w:sz w:val="18"/>
              </w:rPr>
              <w:t>Reform corporate culture to reduce burnout; continuous investment in AI R&amp;D</w:t>
            </w:r>
          </w:p>
        </w:tc>
      </w:tr>
    </w:tbl>
    <w:p w14:paraId="4BEECF26" w14:textId="7DC2C563" w:rsidR="00816056" w:rsidRDefault="00000000" w:rsidP="00983122">
      <w:pPr>
        <w:spacing w:after="240"/>
        <w:jc w:val="center"/>
        <w:rPr>
          <w:rFonts w:cs="Arial"/>
          <w:i/>
          <w:sz w:val="20"/>
        </w:rPr>
      </w:pPr>
      <w:r w:rsidRPr="008803DF">
        <w:rPr>
          <w:rFonts w:cs="Arial"/>
          <w:i/>
          <w:sz w:val="20"/>
        </w:rPr>
        <w:t>Table 2: Adapted Balanced Scorecard for Tesla, Inc. (Source: Author's analysis, adapted from Kaplan and Norton, 1992)</w:t>
      </w:r>
      <w:bookmarkStart w:id="6" w:name="_Toc225644587"/>
    </w:p>
    <w:p w14:paraId="1B0F65D6" w14:textId="77922BDC" w:rsidR="00983122" w:rsidRPr="00983122" w:rsidRDefault="00983122" w:rsidP="00983122">
      <w:pPr>
        <w:spacing w:after="240"/>
        <w:jc w:val="both"/>
        <w:rPr>
          <w:rFonts w:cs="Arial"/>
          <w:iCs/>
        </w:rPr>
      </w:pPr>
      <w:r w:rsidRPr="00983122">
        <w:rPr>
          <w:rFonts w:cs="Arial"/>
          <w:iCs/>
        </w:rPr>
        <w:t xml:space="preserve">The strategic tensions are reflected in analyzing this scorecard. In the Financial aspect, the Tesla experience of the past of relying on the high pricing practice has been shattered, and software-based revenue had to be obtained in order to guard its margins. The Customer perspective indicates a serious weakness where physical service facilities have lagged far behind production scale and become a threat to brand equity even though the pace of product innovation is great. In response to critical view of </w:t>
      </w:r>
      <w:proofErr w:type="spellStart"/>
      <w:r w:rsidRPr="00983122">
        <w:rPr>
          <w:rFonts w:cs="Arial"/>
          <w:iCs/>
        </w:rPr>
        <w:t>Norreklit</w:t>
      </w:r>
      <w:proofErr w:type="spellEnd"/>
      <w:r w:rsidRPr="00983122">
        <w:rPr>
          <w:rFonts w:cs="Arial"/>
          <w:iCs/>
        </w:rPr>
        <w:t xml:space="preserve"> (2000), the Internal Processes and Learning &amp; Growth perspectives should be closely related; only when Tesla manages to transform the Investment in AI (Learning) into financial benefits, the Internal Process of manufacturing and use of the vehicle will change to a significant extent</w:t>
      </w:r>
    </w:p>
    <w:p w14:paraId="53BFAB02" w14:textId="4CBEB9E8" w:rsidR="002A7F24" w:rsidRDefault="00000000" w:rsidP="004B3400">
      <w:pPr>
        <w:pStyle w:val="Heading1"/>
      </w:pPr>
      <w:r w:rsidRPr="008803DF">
        <w:t>5. Strategic Choices and Implementation</w:t>
      </w:r>
      <w:bookmarkEnd w:id="6"/>
    </w:p>
    <w:p w14:paraId="7B1060D6" w14:textId="77777777" w:rsidR="002A7F24" w:rsidRDefault="00000000" w:rsidP="004B3400">
      <w:pPr>
        <w:pStyle w:val="Heading2"/>
      </w:pPr>
      <w:bookmarkStart w:id="7" w:name="_Toc225644588"/>
      <w:r w:rsidRPr="008803DF">
        <w:t>5.1 Business-Level Strategy: The Porter vs. Mintzberg Debate</w:t>
      </w:r>
      <w:bookmarkEnd w:id="7"/>
    </w:p>
    <w:p w14:paraId="50F0BD18" w14:textId="77777777" w:rsidR="00983122" w:rsidRPr="00983122" w:rsidRDefault="00983122" w:rsidP="00983122">
      <w:pPr>
        <w:jc w:val="both"/>
      </w:pPr>
      <w:r w:rsidRPr="00983122">
        <w:t>The analysis of the business-level strategy of Tesla involves maneuvering around the historical choice between Henry Mintzberg and Michael Porter. Porter (1980) came up with the notion that companies should not pursue both cost leadership and differentiation as he believed that they would be stuck in-between. Tesla historically followed Porters systems by having a narrow focus in differentiation strategy of high-end sport cars which are the Roadster and the Model S, as well as exploiting technological advantage to sell at high prices.</w:t>
      </w:r>
    </w:p>
    <w:p w14:paraId="3D69A346" w14:textId="3E9331E3" w:rsidR="00983122" w:rsidRPr="00983122" w:rsidRDefault="00983122" w:rsidP="00983122">
      <w:pPr>
        <w:jc w:val="both"/>
      </w:pPr>
      <w:r w:rsidRPr="00983122">
        <w:lastRenderedPageBreak/>
        <w:t>Nevertheless, Mintzberg, Ahlstrand and Lampel (2009) were extremely critical of the inflexible typology presented by Porter, that in the dynamic markets, there is no possibility of functioning without hybrid strategies, these are obligatory. The present curve that Tesla takes proves the criticism formulated by Mintzberg. With the high pressure exerted by the inexpensive Chinese producers, Tesla has been facing a hard time trying to become an integrated cost leadership and differentiation strategy. It has ensured separation in its software ecosystem and Supercharger network, yet at the same time lowered the costs with radically new manufacturing technologies, such as the Giga Press and integrated production (Miao, 2025). The resulting hybrid solution is, in theory, a complicated one, but in practice it is required to tap into the mass-market without losing brand recognition</w:t>
      </w:r>
    </w:p>
    <w:p w14:paraId="7EC5FAB4" w14:textId="791FD1AD" w:rsidR="00816056" w:rsidRDefault="00000000" w:rsidP="0063362D">
      <w:pPr>
        <w:pStyle w:val="Heading2"/>
      </w:pPr>
      <w:bookmarkStart w:id="8" w:name="_Toc225644589"/>
      <w:r w:rsidRPr="008803DF">
        <w:t>5.2 Corporate-Level Strategy and Change Management</w:t>
      </w:r>
      <w:bookmarkStart w:id="9" w:name="_Toc225644590"/>
      <w:bookmarkEnd w:id="8"/>
    </w:p>
    <w:p w14:paraId="0E888692" w14:textId="77777777" w:rsidR="0063362D" w:rsidRDefault="0063362D" w:rsidP="0063362D">
      <w:pPr>
        <w:jc w:val="both"/>
      </w:pPr>
      <w:r>
        <w:t>At the corporate level, the influence of strategic choices determines the extent of the operations of the organization. The strategy Tesla aims to go beyond being an auto manufacturer to focus on energy production (Solar Roof) and grid-scale storage of energy (Megapack). This would be under the Ansoff Matrix approach of Product Development and Market Development developing a synergistic ecosystem in which core competencies in battery chemistry and power electronics can fulfill a variety of markets that are interconnected and related (Johnson et al., 2017). This diversification does not just represent a supplemental source of revenue; it is a basic risk-sharing response to the cyclicality and narrowing of margins of the automotive industry. By crafting itself as an overall energy supplier, Tesla tries to attain value throughout the electric value chain.</w:t>
      </w:r>
    </w:p>
    <w:p w14:paraId="461071D0" w14:textId="269F3B8C" w:rsidR="0063362D" w:rsidRPr="0063362D" w:rsidRDefault="0063362D" w:rsidP="0063362D">
      <w:pPr>
        <w:jc w:val="both"/>
      </w:pPr>
      <w:r>
        <w:t xml:space="preserve">Still, changing management in these multi-industry strategies is exceptionally skillful in order to succeed. Tesla organizational culture with a heavy influence of the idiosyncratic leadership of Elon Musk can be described as highly agile with the toleration of high risk and the dedication to first-principles engineering. Such a culture will allow quick strategic turns and shorten the innovation cycles. However, as a critical change management observation, the environment where there is high level of centralization and high pressure poses extreme risks on implementation. The insatiable rhythm is </w:t>
      </w:r>
      <w:r>
        <w:lastRenderedPageBreak/>
        <w:t>commonly associated with executive burnout, elevated staff turnover and operational snarls, with decision-making processes still being focused at the top of the hierarchy. In order to maintain its long-term expansion and implement its diversification strategy successfully, Tesla needs to immediately leave the founder-focused startup culture behind and adopt a well-established, institutionalized corporate culture. This entails decentralized leadership and strong change management models that will make strategic execution methodical other than comprised solely on the vision and capacity of one person</w:t>
      </w:r>
    </w:p>
    <w:p w14:paraId="29BF5695" w14:textId="76142B17" w:rsidR="002A7F24" w:rsidRPr="008803DF" w:rsidRDefault="00000000" w:rsidP="00816056">
      <w:pPr>
        <w:pStyle w:val="Heading1"/>
      </w:pPr>
      <w:r w:rsidRPr="008803DF">
        <w:t>6. Strategic Evaluation and Recommendations</w:t>
      </w:r>
      <w:bookmarkEnd w:id="9"/>
    </w:p>
    <w:p w14:paraId="2C695BDC" w14:textId="77777777" w:rsidR="002A7F24" w:rsidRPr="004B3400" w:rsidRDefault="00000000" w:rsidP="004B3400">
      <w:pPr>
        <w:pStyle w:val="Heading2"/>
      </w:pPr>
      <w:bookmarkStart w:id="10" w:name="_Toc225644591"/>
      <w:r w:rsidRPr="004B3400">
        <w:t>6.1 Strategic Evaluation: SWOT and BCG Matrix</w:t>
      </w:r>
      <w:bookmarkEnd w:id="10"/>
    </w:p>
    <w:p w14:paraId="60F5D692" w14:textId="5F4C2910" w:rsidR="002A7F24" w:rsidRPr="008803DF" w:rsidRDefault="00816056">
      <w:pPr>
        <w:spacing w:after="240"/>
        <w:jc w:val="both"/>
        <w:rPr>
          <w:rFonts w:cs="Arial"/>
        </w:rPr>
      </w:pPr>
      <w:r w:rsidRPr="00816056">
        <w:rPr>
          <w:rFonts w:cs="Arial"/>
        </w:rPr>
        <w:t xml:space="preserve">Critical assessment of the Tesla strategic position combines both the internal and external factors. The analysis in Table 3 (SWOT) reveals Tesla has strong </w:t>
      </w:r>
      <w:r w:rsidR="00AE3CE2" w:rsidRPr="00816056">
        <w:rPr>
          <w:rFonts w:cs="Arial"/>
        </w:rPr>
        <w:t>forces</w:t>
      </w:r>
      <w:r w:rsidRPr="00816056">
        <w:rPr>
          <w:rFonts w:cs="Arial"/>
        </w:rPr>
        <w:t xml:space="preserve"> incentive to be innovative but its weaknesses in the area of governance and service infrastructure make the company vulnerable to external threats.</w:t>
      </w:r>
    </w:p>
    <w:tbl>
      <w:tblPr>
        <w:tblStyle w:val="TableGrid"/>
        <w:tblW w:w="0" w:type="auto"/>
        <w:jc w:val="center"/>
        <w:tblLook w:val="04A0" w:firstRow="1" w:lastRow="0" w:firstColumn="1" w:lastColumn="0" w:noHBand="0" w:noVBand="1"/>
      </w:tblPr>
      <w:tblGrid>
        <w:gridCol w:w="4675"/>
        <w:gridCol w:w="4675"/>
      </w:tblGrid>
      <w:tr w:rsidR="002A7F24" w:rsidRPr="008803DF" w14:paraId="76C15BD4" w14:textId="77777777">
        <w:trPr>
          <w:jc w:val="center"/>
        </w:trPr>
        <w:tc>
          <w:tcPr>
            <w:tcW w:w="4680" w:type="dxa"/>
            <w:shd w:val="clear" w:color="auto" w:fill="2E7D32"/>
          </w:tcPr>
          <w:p w14:paraId="52357C19" w14:textId="77777777" w:rsidR="002A7F24" w:rsidRPr="008803DF" w:rsidRDefault="00000000">
            <w:pPr>
              <w:spacing w:before="40" w:after="40"/>
              <w:jc w:val="center"/>
              <w:rPr>
                <w:rFonts w:cs="Arial"/>
              </w:rPr>
            </w:pPr>
            <w:r w:rsidRPr="008803DF">
              <w:rPr>
                <w:rFonts w:cs="Arial"/>
                <w:b/>
                <w:sz w:val="22"/>
              </w:rPr>
              <w:t>Strengths</w:t>
            </w:r>
          </w:p>
        </w:tc>
        <w:tc>
          <w:tcPr>
            <w:tcW w:w="4680" w:type="dxa"/>
            <w:shd w:val="clear" w:color="auto" w:fill="C62828"/>
          </w:tcPr>
          <w:p w14:paraId="68E6BBD9" w14:textId="77777777" w:rsidR="002A7F24" w:rsidRPr="008803DF" w:rsidRDefault="00000000">
            <w:pPr>
              <w:spacing w:before="40" w:after="40"/>
              <w:jc w:val="center"/>
              <w:rPr>
                <w:rFonts w:cs="Arial"/>
              </w:rPr>
            </w:pPr>
            <w:r w:rsidRPr="008803DF">
              <w:rPr>
                <w:rFonts w:cs="Arial"/>
                <w:b/>
                <w:sz w:val="22"/>
              </w:rPr>
              <w:t>Weaknesses</w:t>
            </w:r>
          </w:p>
        </w:tc>
      </w:tr>
      <w:tr w:rsidR="002A7F24" w:rsidRPr="008803DF" w14:paraId="30C0363B" w14:textId="77777777">
        <w:trPr>
          <w:jc w:val="center"/>
        </w:trPr>
        <w:tc>
          <w:tcPr>
            <w:tcW w:w="4680" w:type="dxa"/>
          </w:tcPr>
          <w:p w14:paraId="72ECD8B6" w14:textId="77777777" w:rsidR="002A7F24" w:rsidRPr="008803DF" w:rsidRDefault="00000000">
            <w:pPr>
              <w:spacing w:before="40" w:after="40"/>
              <w:rPr>
                <w:rFonts w:cs="Arial"/>
              </w:rPr>
            </w:pPr>
            <w:r w:rsidRPr="008803DF">
              <w:rPr>
                <w:rFonts w:cs="Arial"/>
                <w:sz w:val="20"/>
              </w:rPr>
              <w:t>- Dynamic capabilities in software engineering</w:t>
            </w:r>
            <w:r w:rsidRPr="008803DF">
              <w:rPr>
                <w:rFonts w:cs="Arial"/>
                <w:sz w:val="20"/>
              </w:rPr>
              <w:br/>
              <w:t>- Proprietary global Supercharger infrastructure</w:t>
            </w:r>
            <w:r w:rsidRPr="008803DF">
              <w:rPr>
                <w:rFonts w:cs="Arial"/>
                <w:sz w:val="20"/>
              </w:rPr>
              <w:br/>
              <w:t>- Vertical integration reducing component costs</w:t>
            </w:r>
          </w:p>
        </w:tc>
        <w:tc>
          <w:tcPr>
            <w:tcW w:w="4680" w:type="dxa"/>
          </w:tcPr>
          <w:p w14:paraId="0342B256" w14:textId="77777777" w:rsidR="002A7F24" w:rsidRPr="008803DF" w:rsidRDefault="00000000">
            <w:pPr>
              <w:spacing w:before="40" w:after="40"/>
              <w:rPr>
                <w:rFonts w:cs="Arial"/>
              </w:rPr>
            </w:pPr>
            <w:r w:rsidRPr="008803DF">
              <w:rPr>
                <w:rFonts w:cs="Arial"/>
                <w:sz w:val="20"/>
              </w:rPr>
              <w:t>- Severe key-person risk associated with CEO</w:t>
            </w:r>
            <w:r w:rsidRPr="008803DF">
              <w:rPr>
                <w:rFonts w:cs="Arial"/>
                <w:sz w:val="20"/>
              </w:rPr>
              <w:br/>
              <w:t>- Underdeveloped after-sales service network</w:t>
            </w:r>
            <w:r w:rsidRPr="008803DF">
              <w:rPr>
                <w:rFonts w:cs="Arial"/>
                <w:sz w:val="20"/>
              </w:rPr>
              <w:br/>
              <w:t xml:space="preserve">- Controversial </w:t>
            </w:r>
            <w:proofErr w:type="spellStart"/>
            <w:r w:rsidRPr="008803DF">
              <w:rPr>
                <w:rFonts w:cs="Arial"/>
                <w:sz w:val="20"/>
              </w:rPr>
              <w:t>labour</w:t>
            </w:r>
            <w:proofErr w:type="spellEnd"/>
            <w:r w:rsidRPr="008803DF">
              <w:rPr>
                <w:rFonts w:cs="Arial"/>
                <w:sz w:val="20"/>
              </w:rPr>
              <w:t xml:space="preserve"> and ESG practices</w:t>
            </w:r>
          </w:p>
        </w:tc>
      </w:tr>
      <w:tr w:rsidR="002A7F24" w:rsidRPr="008803DF" w14:paraId="29DCDB1B" w14:textId="77777777">
        <w:trPr>
          <w:jc w:val="center"/>
        </w:trPr>
        <w:tc>
          <w:tcPr>
            <w:tcW w:w="4680" w:type="dxa"/>
            <w:shd w:val="clear" w:color="auto" w:fill="1565C0"/>
          </w:tcPr>
          <w:p w14:paraId="58ED369F" w14:textId="77777777" w:rsidR="002A7F24" w:rsidRPr="008803DF" w:rsidRDefault="00000000">
            <w:pPr>
              <w:spacing w:before="40" w:after="40"/>
              <w:jc w:val="center"/>
              <w:rPr>
                <w:rFonts w:cs="Arial"/>
              </w:rPr>
            </w:pPr>
            <w:r w:rsidRPr="008803DF">
              <w:rPr>
                <w:rFonts w:cs="Arial"/>
                <w:b/>
                <w:sz w:val="22"/>
              </w:rPr>
              <w:t>Opportunities</w:t>
            </w:r>
          </w:p>
        </w:tc>
        <w:tc>
          <w:tcPr>
            <w:tcW w:w="4680" w:type="dxa"/>
            <w:shd w:val="clear" w:color="auto" w:fill="E65100"/>
          </w:tcPr>
          <w:p w14:paraId="1F5563A8" w14:textId="77777777" w:rsidR="002A7F24" w:rsidRPr="008803DF" w:rsidRDefault="00000000">
            <w:pPr>
              <w:spacing w:before="40" w:after="40"/>
              <w:jc w:val="center"/>
              <w:rPr>
                <w:rFonts w:cs="Arial"/>
              </w:rPr>
            </w:pPr>
            <w:r w:rsidRPr="008803DF">
              <w:rPr>
                <w:rFonts w:cs="Arial"/>
                <w:b/>
                <w:sz w:val="22"/>
              </w:rPr>
              <w:t>Threats</w:t>
            </w:r>
          </w:p>
        </w:tc>
      </w:tr>
      <w:tr w:rsidR="002A7F24" w:rsidRPr="008803DF" w14:paraId="06500AE0" w14:textId="77777777">
        <w:trPr>
          <w:jc w:val="center"/>
        </w:trPr>
        <w:tc>
          <w:tcPr>
            <w:tcW w:w="4680" w:type="dxa"/>
          </w:tcPr>
          <w:p w14:paraId="18CE61B2" w14:textId="77777777" w:rsidR="002A7F24" w:rsidRPr="008803DF" w:rsidRDefault="00000000">
            <w:pPr>
              <w:spacing w:before="40" w:after="40"/>
              <w:rPr>
                <w:rFonts w:cs="Arial"/>
              </w:rPr>
            </w:pPr>
            <w:r w:rsidRPr="008803DF">
              <w:rPr>
                <w:rFonts w:cs="Arial"/>
                <w:sz w:val="20"/>
              </w:rPr>
              <w:t xml:space="preserve">- </w:t>
            </w:r>
            <w:proofErr w:type="spellStart"/>
            <w:r w:rsidRPr="008803DF">
              <w:rPr>
                <w:rFonts w:cs="Arial"/>
                <w:sz w:val="20"/>
              </w:rPr>
              <w:t>Commercialisation</w:t>
            </w:r>
            <w:proofErr w:type="spellEnd"/>
            <w:r w:rsidRPr="008803DF">
              <w:rPr>
                <w:rFonts w:cs="Arial"/>
                <w:sz w:val="20"/>
              </w:rPr>
              <w:t xml:space="preserve"> of autonomous robotaxi fleet</w:t>
            </w:r>
            <w:r w:rsidRPr="008803DF">
              <w:rPr>
                <w:rFonts w:cs="Arial"/>
                <w:sz w:val="20"/>
              </w:rPr>
              <w:br/>
              <w:t>- Expansion of high-margin energy storage business</w:t>
            </w:r>
            <w:r w:rsidRPr="008803DF">
              <w:rPr>
                <w:rFonts w:cs="Arial"/>
                <w:sz w:val="20"/>
              </w:rPr>
              <w:br/>
              <w:t>- Penetration of emerging markets (e.g., India)</w:t>
            </w:r>
          </w:p>
        </w:tc>
        <w:tc>
          <w:tcPr>
            <w:tcW w:w="4680" w:type="dxa"/>
          </w:tcPr>
          <w:p w14:paraId="408696B2" w14:textId="77777777" w:rsidR="002A7F24" w:rsidRPr="008803DF" w:rsidRDefault="00000000">
            <w:pPr>
              <w:spacing w:before="40" w:after="40"/>
              <w:rPr>
                <w:rFonts w:cs="Arial"/>
              </w:rPr>
            </w:pPr>
            <w:r w:rsidRPr="008803DF">
              <w:rPr>
                <w:rFonts w:cs="Arial"/>
                <w:sz w:val="20"/>
              </w:rPr>
              <w:t>- Aggressive price undercutting by Chinese OEMs</w:t>
            </w:r>
            <w:r w:rsidRPr="008803DF">
              <w:rPr>
                <w:rFonts w:cs="Arial"/>
                <w:sz w:val="20"/>
              </w:rPr>
              <w:br/>
              <w:t>- Geopolitical supply chain disruptions (minerals)</w:t>
            </w:r>
            <w:r w:rsidRPr="008803DF">
              <w:rPr>
                <w:rFonts w:cs="Arial"/>
                <w:sz w:val="20"/>
              </w:rPr>
              <w:br/>
              <w:t>- Regulatory crackdowns on autonomous driving tech</w:t>
            </w:r>
          </w:p>
        </w:tc>
      </w:tr>
    </w:tbl>
    <w:p w14:paraId="7F831790" w14:textId="77777777" w:rsidR="0063362D" w:rsidRDefault="00000000" w:rsidP="0063362D">
      <w:pPr>
        <w:spacing w:after="240"/>
        <w:jc w:val="center"/>
        <w:rPr>
          <w:rFonts w:cs="Arial"/>
          <w:i/>
          <w:sz w:val="20"/>
        </w:rPr>
      </w:pPr>
      <w:r w:rsidRPr="008803DF">
        <w:rPr>
          <w:rFonts w:cs="Arial"/>
          <w:i/>
          <w:sz w:val="20"/>
        </w:rPr>
        <w:t>Table 3: Critical SWOT Analysis of Tesla, Inc. (Source: Author's analysis)</w:t>
      </w:r>
      <w:bookmarkStart w:id="11" w:name="_Toc225644592"/>
    </w:p>
    <w:p w14:paraId="69E48528" w14:textId="79BA6A0B" w:rsidR="00816056" w:rsidRDefault="00816056" w:rsidP="0063362D">
      <w:pPr>
        <w:spacing w:after="240"/>
        <w:jc w:val="both"/>
        <w:rPr>
          <w:rFonts w:cs="Arial"/>
        </w:rPr>
      </w:pPr>
      <w:r w:rsidRPr="00816056">
        <w:rPr>
          <w:rFonts w:cs="Arial"/>
        </w:rPr>
        <w:t xml:space="preserve">The additional basis on resource allocation priorities is through the application of the BCG Matrix. The basic automotive offerings of Tesla (Model 3/Y) are moving into Cash Cows at the level of more established markets where the capital to finance Stars is set to occur. Energy Generation and Storage is the segment with a definite Star as it boasts of </w:t>
      </w:r>
      <w:r w:rsidR="00AE3CE2" w:rsidRPr="00816056">
        <w:rPr>
          <w:rFonts w:cs="Arial"/>
        </w:rPr>
        <w:t>booming</w:t>
      </w:r>
      <w:r w:rsidRPr="00816056">
        <w:rPr>
          <w:rFonts w:cs="Arial"/>
        </w:rPr>
        <w:t xml:space="preserve"> growth in the market and it needs to be heavily invested upon. Since the </w:t>
      </w:r>
      <w:r w:rsidRPr="00816056">
        <w:rPr>
          <w:rFonts w:cs="Arial"/>
        </w:rPr>
        <w:lastRenderedPageBreak/>
        <w:t>Full Self-Driving (FSD) technology, on the other hand, is a high-stakes Question Mark, it consumes enormous amounts of R&amp;D but encounters enormous regulatory barriers until it can dominate the markets (Johnson et al., 2017).</w:t>
      </w:r>
    </w:p>
    <w:p w14:paraId="4EDA2CC6" w14:textId="77777777" w:rsidR="008A1EBB" w:rsidRPr="008A1EBB" w:rsidRDefault="008A1EBB" w:rsidP="008A1EBB">
      <w:pPr>
        <w:pStyle w:val="Heading2"/>
      </w:pPr>
      <w:r w:rsidRPr="008A1EBB">
        <w:t>6.2 Strategic Recommendations</w:t>
      </w:r>
    </w:p>
    <w:p w14:paraId="22F47795" w14:textId="77777777" w:rsidR="008A1EBB" w:rsidRPr="008A1EBB" w:rsidRDefault="008A1EBB" w:rsidP="008A1EBB">
      <w:pPr>
        <w:spacing w:after="240"/>
        <w:jc w:val="both"/>
        <w:rPr>
          <w:rFonts w:cs="Arial"/>
        </w:rPr>
      </w:pPr>
      <w:r w:rsidRPr="008A1EBB">
        <w:rPr>
          <w:rFonts w:cs="Arial"/>
        </w:rPr>
        <w:t>Based on this critical analysis and the analysis of academic frameworks, the following strategic recommendations are suggested in order to ensure that Tesla gains competitive advantage in the long run:</w:t>
      </w:r>
    </w:p>
    <w:p w14:paraId="179C45D4" w14:textId="77777777" w:rsidR="008A1EBB" w:rsidRPr="008A1EBB" w:rsidRDefault="008A1EBB" w:rsidP="008A1EBB">
      <w:pPr>
        <w:spacing w:after="240"/>
        <w:jc w:val="both"/>
        <w:rPr>
          <w:rFonts w:cs="Arial"/>
        </w:rPr>
      </w:pPr>
      <w:r w:rsidRPr="008A1EBB">
        <w:rPr>
          <w:rFonts w:cs="Arial"/>
        </w:rPr>
        <w:t xml:space="preserve">1. Institutionalize Corporate Governance and Address </w:t>
      </w:r>
      <w:proofErr w:type="spellStart"/>
      <w:r w:rsidRPr="008A1EBB">
        <w:rPr>
          <w:rFonts w:cs="Arial"/>
        </w:rPr>
        <w:t>CSiR</w:t>
      </w:r>
      <w:proofErr w:type="spellEnd"/>
      <w:r w:rsidRPr="008A1EBB">
        <w:rPr>
          <w:rFonts w:cs="Arial"/>
        </w:rPr>
        <w:t>: To decrease the salient key-person risk which the SWOT analysis revealed and restore stakeholder trust, Tesla has to immediately shift to a mature and transparent form of governance. This entails the empowerment of a decentralized executive leadership body as well as developing a really independent board of directors. Moreover, the board has to introduce stringent governance of ethical supply chain practices and human capital management directly to the lamentations regarding Corporate Social Irresponsibility (</w:t>
      </w:r>
      <w:proofErr w:type="spellStart"/>
      <w:r w:rsidRPr="008A1EBB">
        <w:rPr>
          <w:rFonts w:cs="Arial"/>
        </w:rPr>
        <w:t>CSiR</w:t>
      </w:r>
      <w:proofErr w:type="spellEnd"/>
      <w:r w:rsidRPr="008A1EBB">
        <w:rPr>
          <w:rFonts w:cs="Arial"/>
        </w:rPr>
        <w:t>) as it was brought to light by Lin et al. (2023). This becomes a strategic necessity so as to assure them of future access to ESG-sensitive capital market.</w:t>
      </w:r>
    </w:p>
    <w:p w14:paraId="612FA06B" w14:textId="77777777" w:rsidR="008A1EBB" w:rsidRPr="008A1EBB" w:rsidRDefault="008A1EBB" w:rsidP="008A1EBB">
      <w:pPr>
        <w:spacing w:after="240"/>
        <w:jc w:val="both"/>
        <w:rPr>
          <w:rFonts w:cs="Arial"/>
        </w:rPr>
      </w:pPr>
      <w:r w:rsidRPr="008A1EBB">
        <w:rPr>
          <w:rFonts w:cs="Arial"/>
        </w:rPr>
        <w:t>2. Quicken the Hybrid Strategy through Next-Generation Platforms: Trusting the argument put forth by Mintzberg concerning the flaw of the generic strategy by Porter, Tesla should speed up its combined cost leadership and differentiation strategy. The Tesla Company should launch a mass-market vehicle platform with prices of less than 25,000 dollars as soon as possible to prevent the existential risks of the cheap Chinese competitors such as BYD. This will include utilizing fully the dynamic capabilities of its manufacturing process consisting of the unboxed assembly process to result in cost reductions never witnessed before. The initiative will go hand in hand with the Market Development strategy of Ansoff, thus allowing it to enter the highly price-sensitive emerging markets in India and Southeast Asia.</w:t>
      </w:r>
    </w:p>
    <w:p w14:paraId="5528A63A" w14:textId="7B2A10DE" w:rsidR="008A1EBB" w:rsidRPr="0063362D" w:rsidRDefault="008A1EBB" w:rsidP="008A1EBB">
      <w:pPr>
        <w:spacing w:after="240"/>
        <w:jc w:val="both"/>
        <w:rPr>
          <w:rFonts w:cs="Arial"/>
        </w:rPr>
      </w:pPr>
      <w:r w:rsidRPr="008A1EBB">
        <w:rPr>
          <w:rFonts w:cs="Arial"/>
        </w:rPr>
        <w:t xml:space="preserve">3. Shifting Hardware to Software Monetization: Tesla should capitalize on its capabilities to develop artificial intelligence given that the margins in the automotive hardware market will inexorably decline owing to intense competition and commoditization within </w:t>
      </w:r>
      <w:r w:rsidRPr="008A1EBB">
        <w:rPr>
          <w:rFonts w:cs="Arial"/>
        </w:rPr>
        <w:lastRenderedPageBreak/>
        <w:t>the industry (Teece, 2014). The final strategic focus should be to get all the policies to consider the full-fledged version of its Full Self-Driving (FSD) technology and publicly roll out the autonomous robotaxi network. The related pivot would largely shift the business model of Tesla, which is currently based on discrete sales with low margins on the vehicles sold to high-margin recurring Software-as-a-Service (SaaS) revenue, establishing an insurmountable competitive moat</w:t>
      </w:r>
    </w:p>
    <w:p w14:paraId="4FBBDD70" w14:textId="0487D82C" w:rsidR="001434D5" w:rsidRDefault="00816056" w:rsidP="001434D5">
      <w:pPr>
        <w:pStyle w:val="Heading1"/>
        <w:jc w:val="both"/>
        <w:rPr>
          <w:rFonts w:ascii="Arial" w:eastAsiaTheme="minorEastAsia" w:hAnsi="Arial" w:cs="Arial"/>
          <w:b w:val="0"/>
          <w:bCs w:val="0"/>
          <w:color w:val="auto"/>
          <w:sz w:val="24"/>
          <w:szCs w:val="22"/>
        </w:rPr>
      </w:pPr>
      <w:bookmarkStart w:id="12" w:name="_Toc225644593"/>
      <w:bookmarkEnd w:id="11"/>
      <w:r w:rsidRPr="00816056">
        <w:rPr>
          <w:rFonts w:ascii="Arial" w:eastAsiaTheme="minorEastAsia" w:hAnsi="Arial" w:cs="Arial"/>
          <w:b w:val="0"/>
          <w:bCs w:val="0"/>
          <w:color w:val="auto"/>
          <w:sz w:val="24"/>
          <w:szCs w:val="22"/>
        </w:rPr>
        <w:t>.</w:t>
      </w:r>
    </w:p>
    <w:p w14:paraId="36AD209B" w14:textId="77777777" w:rsidR="0063362D" w:rsidRDefault="0063362D" w:rsidP="0063362D"/>
    <w:p w14:paraId="6CABF5E7" w14:textId="77777777" w:rsidR="0063362D" w:rsidRDefault="0063362D" w:rsidP="0063362D"/>
    <w:p w14:paraId="1C23F7B4" w14:textId="77777777" w:rsidR="0063362D" w:rsidRDefault="0063362D" w:rsidP="0063362D"/>
    <w:p w14:paraId="4A6FA48E" w14:textId="77777777" w:rsidR="0063362D" w:rsidRDefault="0063362D" w:rsidP="0063362D"/>
    <w:p w14:paraId="23EF0EB5" w14:textId="77777777" w:rsidR="008A1EBB" w:rsidRDefault="008A1EBB" w:rsidP="0063362D"/>
    <w:p w14:paraId="09E6F717" w14:textId="77777777" w:rsidR="008A1EBB" w:rsidRDefault="008A1EBB" w:rsidP="0063362D"/>
    <w:p w14:paraId="3F44DDDE" w14:textId="77777777" w:rsidR="0063362D" w:rsidRDefault="0063362D" w:rsidP="0063362D"/>
    <w:p w14:paraId="3A249CDE" w14:textId="77777777" w:rsidR="0063362D" w:rsidRDefault="0063362D" w:rsidP="0063362D"/>
    <w:p w14:paraId="6508518A" w14:textId="77777777" w:rsidR="0063362D" w:rsidRDefault="0063362D" w:rsidP="0063362D"/>
    <w:p w14:paraId="56E9E430" w14:textId="77777777" w:rsidR="0063362D" w:rsidRPr="0063362D" w:rsidRDefault="0063362D" w:rsidP="0063362D"/>
    <w:p w14:paraId="79230412" w14:textId="70037567" w:rsidR="002A7F24" w:rsidRPr="001434D5" w:rsidRDefault="00000000" w:rsidP="001434D5">
      <w:pPr>
        <w:pStyle w:val="Heading1"/>
        <w:jc w:val="both"/>
        <w:rPr>
          <w:rFonts w:ascii="Arial" w:eastAsiaTheme="minorEastAsia" w:hAnsi="Arial" w:cs="Arial"/>
          <w:b w:val="0"/>
          <w:bCs w:val="0"/>
          <w:color w:val="auto"/>
          <w:sz w:val="24"/>
          <w:szCs w:val="22"/>
        </w:rPr>
      </w:pPr>
      <w:r w:rsidRPr="008803DF">
        <w:lastRenderedPageBreak/>
        <w:t>Section 2: Reflective Account</w:t>
      </w:r>
      <w:bookmarkEnd w:id="12"/>
    </w:p>
    <w:p w14:paraId="4F8E56C7" w14:textId="77777777" w:rsidR="001434D5" w:rsidRDefault="001434D5" w:rsidP="001434D5">
      <w:pPr>
        <w:pStyle w:val="Heading2"/>
        <w:jc w:val="both"/>
        <w:rPr>
          <w:rFonts w:ascii="Arial" w:eastAsiaTheme="minorEastAsia" w:hAnsi="Arial" w:cs="Arial"/>
          <w:b w:val="0"/>
          <w:bCs w:val="0"/>
          <w:color w:val="auto"/>
          <w:sz w:val="24"/>
          <w:szCs w:val="22"/>
        </w:rPr>
      </w:pPr>
      <w:bookmarkStart w:id="13" w:name="_Toc225644594"/>
      <w:r w:rsidRPr="001434D5">
        <w:rPr>
          <w:rFonts w:ascii="Arial" w:eastAsiaTheme="minorEastAsia" w:hAnsi="Arial" w:cs="Arial"/>
          <w:b w:val="0"/>
          <w:bCs w:val="0"/>
          <w:color w:val="auto"/>
          <w:sz w:val="24"/>
          <w:szCs w:val="22"/>
        </w:rPr>
        <w:t>This reflective report is a critical assessment of my cognitive or academic growth process in carrying out the research and writing of the strategic management report on Tesla, Inc. In order to offer a more structured and rigorous analysis of my learning process, I have used Gibbs Reflective Cycle (1988), which involves six specific stages namely: Description, Feeling, Evaluation, Analysis, Conclusion and Action Plan.</w:t>
      </w:r>
    </w:p>
    <w:p w14:paraId="365C3D1D" w14:textId="15469351" w:rsidR="002A7F24" w:rsidRPr="008803DF" w:rsidRDefault="00000000" w:rsidP="004B3400">
      <w:pPr>
        <w:pStyle w:val="Heading2"/>
      </w:pPr>
      <w:r w:rsidRPr="008803DF">
        <w:t>Description</w:t>
      </w:r>
      <w:bookmarkEnd w:id="13"/>
    </w:p>
    <w:p w14:paraId="0BA15768" w14:textId="735E2F2F" w:rsidR="002A7F24" w:rsidRPr="008803DF" w:rsidRDefault="001434D5">
      <w:pPr>
        <w:spacing w:after="240"/>
        <w:jc w:val="both"/>
        <w:rPr>
          <w:rFonts w:cs="Arial"/>
        </w:rPr>
      </w:pPr>
      <w:r w:rsidRPr="001434D5">
        <w:rPr>
          <w:rFonts w:cs="Arial"/>
        </w:rPr>
        <w:t>The test involved a critically evaluative strategic study of a selected organization in a holistic manner that resulted in writing a 5,000-word report based on academic theory. I have chosen Tesla because it is located at the center of the paradigm shift in the automotive sector. My first strategy entailed collecting as much information as I can concerning the operations of Tesla, its financial performance, and positioning in the market. I then tried to overlay this information on the known strategic ties that exist in the world such as PESTEL, Porters Five Forces, the Resource-Based View (RBV) and the Balanced Scorecard. It involved not only the description of what Tesla did but also the critical review of their effectiveness and sustainability through the lens of peer-reviewed academic sources with the particular emphasis put on the discussions of strategic management theories.</w:t>
      </w:r>
    </w:p>
    <w:p w14:paraId="47A2EA67" w14:textId="77777777" w:rsidR="002A7F24" w:rsidRDefault="00000000" w:rsidP="004B3400">
      <w:pPr>
        <w:pStyle w:val="Heading2"/>
      </w:pPr>
      <w:bookmarkStart w:id="14" w:name="_Toc225644595"/>
      <w:r w:rsidRPr="008803DF">
        <w:t>Feelings</w:t>
      </w:r>
      <w:bookmarkEnd w:id="14"/>
    </w:p>
    <w:p w14:paraId="6A431FD0" w14:textId="06877E9F" w:rsidR="0063362D" w:rsidRPr="0063362D" w:rsidRDefault="0063362D" w:rsidP="0063362D">
      <w:pPr>
        <w:jc w:val="both"/>
      </w:pPr>
      <w:r w:rsidRPr="0063362D">
        <w:t xml:space="preserve">In the beginning, I developed a high level of cognitive overload. The abundance of information on the subject of Tesla itself, as well as the strongly polarized views on the subject, the company, and its CEO, made it challenging to remain impartial as an academic. I was concerned that I would get sucked into the vise of descriptive journalism instead of creating a scholarly critical analysis. Yet, when I further explored the theoretical arguments, especially between the statical models of generic strategy developed by Porter and the dynamic models of hybrid approaches by Mintzberg, I became less anxious with the intellectual challenge. There was great academic contentment in me when I managed to apply the Dynamic Capabilities framework (Teece, 2007) in explaining the phenomena that cannot be well explained under the </w:t>
      </w:r>
      <w:r w:rsidRPr="0063362D">
        <w:lastRenderedPageBreak/>
        <w:t>traditional RBV. On the other hand, I was also frustrated in the editing stage, because it turned out to be quite difficult to simplify complex theoretical arguments and make them fit within the word requirement</w:t>
      </w:r>
    </w:p>
    <w:p w14:paraId="410A69BB" w14:textId="574AAACE" w:rsidR="002A7F24" w:rsidRPr="008803DF" w:rsidRDefault="00000000" w:rsidP="004B3400">
      <w:pPr>
        <w:pStyle w:val="Heading2"/>
      </w:pPr>
      <w:bookmarkStart w:id="15" w:name="_Toc225644596"/>
      <w:r w:rsidRPr="008803DF">
        <w:t>Evaluation</w:t>
      </w:r>
      <w:bookmarkEnd w:id="15"/>
    </w:p>
    <w:p w14:paraId="64E39757" w14:textId="08BB70CE" w:rsidR="001434D5" w:rsidRDefault="001434D5" w:rsidP="001434D5">
      <w:pPr>
        <w:pStyle w:val="Heading2"/>
        <w:jc w:val="both"/>
        <w:rPr>
          <w:rFonts w:ascii="Arial" w:eastAsiaTheme="minorEastAsia" w:hAnsi="Arial" w:cs="Arial"/>
          <w:b w:val="0"/>
          <w:bCs w:val="0"/>
          <w:color w:val="auto"/>
          <w:sz w:val="24"/>
          <w:szCs w:val="22"/>
        </w:rPr>
      </w:pPr>
      <w:bookmarkStart w:id="16" w:name="_Toc225644597"/>
      <w:r w:rsidRPr="001434D5">
        <w:rPr>
          <w:rFonts w:ascii="Arial" w:eastAsiaTheme="minorEastAsia" w:hAnsi="Arial" w:cs="Arial"/>
          <w:b w:val="0"/>
          <w:bCs w:val="0"/>
          <w:color w:val="auto"/>
          <w:sz w:val="24"/>
          <w:szCs w:val="22"/>
        </w:rPr>
        <w:t>As of experience, the strongest point was the profound literature review and the use of the advanced theoretical frameworks. My active search efforts made in the case of ABS-ranked journal articles and attention to the big theoretical arguments allowed me to transform the report into something more than the corporate overview. The analytical tool of critically comparing Barney (1991) and Eisenhardt and Martins (2000) approaches to the topic of resources and capabilities was of a very sound nature. This method before provided deep understanding of the actual competitive advantage of Tesla as it showed that it was not lists of assets that made Tesla valuable, it was its ability to respond to changes. Nonetheless, my first drafts had a major weak point in the continued desire to engage in descriptive writing, especially at the very beginning. First, I spent an excess amount of energy covering both the corporate history of Tesla and its product line and this wasted a valuable number of words and took away the precious word space used in conducting a critical analysis, hence the achievement of higher grades. I was forced to brutally re-write these parts, making myself do so in such a way that each individual paragraph had a specific purpose of analysis and a role towards the general strategic argument.</w:t>
      </w:r>
    </w:p>
    <w:p w14:paraId="1EEC32D7" w14:textId="6DDA25A8" w:rsidR="002A7F24" w:rsidRPr="008803DF" w:rsidRDefault="00000000" w:rsidP="004B3400">
      <w:pPr>
        <w:pStyle w:val="Heading2"/>
      </w:pPr>
      <w:r w:rsidRPr="008803DF">
        <w:t>Analysis</w:t>
      </w:r>
      <w:bookmarkEnd w:id="16"/>
    </w:p>
    <w:p w14:paraId="66672C6F" w14:textId="6CC33744" w:rsidR="002A7F24" w:rsidRPr="008803DF" w:rsidRDefault="001434D5">
      <w:pPr>
        <w:spacing w:after="240"/>
        <w:jc w:val="both"/>
        <w:rPr>
          <w:rFonts w:cs="Arial"/>
        </w:rPr>
      </w:pPr>
      <w:r w:rsidRPr="001434D5">
        <w:rPr>
          <w:rFonts w:cs="Arial"/>
        </w:rPr>
        <w:t xml:space="preserve">The study of this process provides very important information about the heterogeneity of strategic management and the development of my personal academic practice. I understood that strategic frameworks are not objective, unchangeable templates that are to be mindlessly associated but rather subjective prisms of analysis which tend to have some constraints and prejudices. As an example, when I used the harsh criticism of the Balanced Scorecard by </w:t>
      </w:r>
      <w:proofErr w:type="spellStart"/>
      <w:r w:rsidRPr="001434D5">
        <w:rPr>
          <w:rFonts w:cs="Arial"/>
        </w:rPr>
        <w:t>Norreklit</w:t>
      </w:r>
      <w:proofErr w:type="spellEnd"/>
      <w:r w:rsidRPr="001434D5">
        <w:rPr>
          <w:rFonts w:cs="Arial"/>
        </w:rPr>
        <w:t xml:space="preserve"> (2000) in practical use, I had to doubly raise serious concerns about the perceived causal relationship between the enormous investments that Tesla has put into the R&amp;D and the eventual financial results of Tesla </w:t>
      </w:r>
      <w:r w:rsidRPr="001434D5">
        <w:rPr>
          <w:rFonts w:cs="Arial"/>
        </w:rPr>
        <w:lastRenderedPageBreak/>
        <w:t>Inc, and this has resulted in a far more complex and sophisticated assessment. Moreover, the areas of CSR activity at Tesla were analyzed, which revealed the complicated, contradictory two-sidedness of environmental innovation and social responsibility (Lin et al., 2023). The particular analysis that I have learned that the crucial assessment is often far beyond what is evident in the corporate narratives and PR announcements in evaluating any particular narrative that harbors strategic conflict, ethical contradiction, and the overarching vulnerability. My early experience of trying to write descriptively highlighted a typical and highly dangerous academic trap: the one-off confusing the factual information with its pure presentation and the analysis of its long-term implications and the strategic upshot thereof</w:t>
      </w:r>
      <w:r w:rsidRPr="008803DF">
        <w:rPr>
          <w:rFonts w:cs="Arial"/>
        </w:rPr>
        <w:t>.</w:t>
      </w:r>
    </w:p>
    <w:p w14:paraId="1F207F5C" w14:textId="77777777" w:rsidR="002A7F24" w:rsidRPr="008803DF" w:rsidRDefault="00000000" w:rsidP="004B3400">
      <w:pPr>
        <w:pStyle w:val="Heading2"/>
      </w:pPr>
      <w:bookmarkStart w:id="17" w:name="_Toc225644598"/>
      <w:r w:rsidRPr="008803DF">
        <w:t>Conclusion</w:t>
      </w:r>
      <w:bookmarkEnd w:id="17"/>
    </w:p>
    <w:p w14:paraId="6D959BDB" w14:textId="1A8B1FED" w:rsidR="001434D5" w:rsidRDefault="001434D5" w:rsidP="001434D5">
      <w:pPr>
        <w:pStyle w:val="Heading2"/>
        <w:jc w:val="both"/>
        <w:rPr>
          <w:rFonts w:ascii="Arial" w:eastAsiaTheme="minorEastAsia" w:hAnsi="Arial" w:cs="Arial"/>
          <w:b w:val="0"/>
          <w:bCs w:val="0"/>
          <w:color w:val="auto"/>
          <w:sz w:val="24"/>
          <w:szCs w:val="22"/>
        </w:rPr>
      </w:pPr>
      <w:bookmarkStart w:id="18" w:name="_Toc225644599"/>
      <w:r w:rsidRPr="001434D5">
        <w:rPr>
          <w:rFonts w:ascii="Arial" w:eastAsiaTheme="minorEastAsia" w:hAnsi="Arial" w:cs="Arial"/>
          <w:b w:val="0"/>
          <w:bCs w:val="0"/>
          <w:color w:val="auto"/>
          <w:sz w:val="24"/>
          <w:szCs w:val="22"/>
        </w:rPr>
        <w:t>Summing up, my evaluation of strategic management has turned my perception about strategy and its management around. I have developed beyond taking strategy as a fixed set of prescriptive rules into appreciating it as dynamic and highly situational as a discipline that is still under academic debate. I have already expressed the cognitive and intellectual proficiency needed to synthesis information that is complex and conflicting and use higher order theoretical skills to use in real life situations. The experience demonstrated my ability to excel in academic research and at the same time identified the necessity to constantly perfect my ability to write critically and make sure that analysis is always the main priority of the task over description. This exercise, finally, has served to demonstrate that good strategic management is never really about resource possession, but in the ability to continuously knit together the capabilities responsive to an inequal accepting external environment.</w:t>
      </w:r>
    </w:p>
    <w:p w14:paraId="12C79D5B" w14:textId="2D9CA5E9" w:rsidR="002A7F24" w:rsidRPr="008803DF" w:rsidRDefault="00000000" w:rsidP="004B3400">
      <w:pPr>
        <w:pStyle w:val="Heading2"/>
      </w:pPr>
      <w:r w:rsidRPr="008803DF">
        <w:t>Action Plan</w:t>
      </w:r>
      <w:bookmarkEnd w:id="18"/>
    </w:p>
    <w:p w14:paraId="7E5E8867" w14:textId="6BC56B23" w:rsidR="001434D5" w:rsidRPr="001434D5" w:rsidRDefault="001434D5" w:rsidP="001434D5">
      <w:pPr>
        <w:jc w:val="both"/>
        <w:rPr>
          <w:rFonts w:cs="Arial"/>
        </w:rPr>
      </w:pPr>
      <w:r w:rsidRPr="001434D5">
        <w:rPr>
          <w:rFonts w:cs="Arial"/>
        </w:rPr>
        <w:t xml:space="preserve">Going forward, I will use particular and quantifiable measures to improve my professional and academic practice. To start with, I will make it a rule to fight descriptive writing: I will implement a tough "so what?” methodology in the drafting process; each and every factual statement I made should again be followed by clearly stating its strategic implication and theoretical relevance before I proceed to the next. Secondly, I </w:t>
      </w:r>
      <w:r w:rsidRPr="001434D5">
        <w:rPr>
          <w:rFonts w:cs="Arial"/>
        </w:rPr>
        <w:lastRenderedPageBreak/>
        <w:t>will engage actively with the academic critiques and other inherent limitations of strategic models prior to its application so that I have a more balanced, objective, and critical approach in future reports. Thirdly, I will apply the reference management software in my work process since the inception of a project to the end to ensure complete accuracy in the Harvard referencing format to save the essential academic points.</w:t>
      </w:r>
    </w:p>
    <w:p w14:paraId="038F22E9" w14:textId="2E61273A" w:rsidR="002A7F24" w:rsidRPr="008803DF" w:rsidRDefault="001434D5" w:rsidP="001434D5">
      <w:pPr>
        <w:rPr>
          <w:rFonts w:cs="Arial"/>
        </w:rPr>
      </w:pPr>
      <w:r w:rsidRPr="001434D5">
        <w:rPr>
          <w:rFonts w:cs="Arial"/>
        </w:rPr>
        <w:t xml:space="preserve">Lastly, I will maintain </w:t>
      </w:r>
      <w:r w:rsidR="00AE3CE2" w:rsidRPr="001434D5">
        <w:rPr>
          <w:rFonts w:cs="Arial"/>
        </w:rPr>
        <w:t>an</w:t>
      </w:r>
      <w:r w:rsidRPr="001434D5">
        <w:rPr>
          <w:rFonts w:cs="Arial"/>
        </w:rPr>
        <w:t xml:space="preserve"> active interest in the world EV sector, implementing the best ideas of dynamic capabilities and hybrid approaches to current market operations. I will keep my strategic management skills up to date, timely and professionally applicable by critically documenting the current strategic maneuver of such companies as Tesla and BYD by applying the theoretical insights acquired in this module.</w:t>
      </w:r>
      <w:r w:rsidRPr="008803DF">
        <w:rPr>
          <w:rFonts w:cs="Arial"/>
        </w:rPr>
        <w:br w:type="page"/>
      </w:r>
    </w:p>
    <w:p w14:paraId="253AF32D" w14:textId="77777777" w:rsidR="002A7F24" w:rsidRPr="008803DF" w:rsidRDefault="00000000" w:rsidP="004B3400">
      <w:pPr>
        <w:pStyle w:val="Heading1"/>
      </w:pPr>
      <w:bookmarkStart w:id="19" w:name="_Toc225644600"/>
      <w:r w:rsidRPr="008803DF">
        <w:lastRenderedPageBreak/>
        <w:t>References</w:t>
      </w:r>
      <w:bookmarkEnd w:id="19"/>
    </w:p>
    <w:p w14:paraId="3EC46982" w14:textId="77777777" w:rsidR="008803DF" w:rsidRPr="008803DF" w:rsidRDefault="008803DF" w:rsidP="008803DF">
      <w:pPr>
        <w:pStyle w:val="NormalWeb"/>
        <w:rPr>
          <w:rFonts w:ascii="Arial" w:hAnsi="Arial" w:cs="Arial"/>
        </w:rPr>
      </w:pPr>
      <w:r w:rsidRPr="008803DF">
        <w:rPr>
          <w:rFonts w:ascii="Arial" w:hAnsi="Arial" w:cs="Arial"/>
        </w:rPr>
        <w:t xml:space="preserve">Barney, J. (1991) ‘Firm resources and sustained competitive advantage’, </w:t>
      </w:r>
      <w:r w:rsidRPr="008803DF">
        <w:rPr>
          <w:rStyle w:val="Emphasis"/>
          <w:rFonts w:ascii="Arial" w:hAnsi="Arial" w:cs="Arial"/>
        </w:rPr>
        <w:t>Journal of Management</w:t>
      </w:r>
      <w:r w:rsidRPr="008803DF">
        <w:rPr>
          <w:rFonts w:ascii="Arial" w:hAnsi="Arial" w:cs="Arial"/>
        </w:rPr>
        <w:t xml:space="preserve">, 17(1), pp. 99–120. Available at: </w:t>
      </w:r>
      <w:hyperlink r:id="rId13" w:tgtFrame="_new" w:history="1">
        <w:r w:rsidRPr="008803DF">
          <w:rPr>
            <w:rStyle w:val="Hyperlink"/>
            <w:rFonts w:ascii="Arial" w:hAnsi="Arial" w:cs="Arial"/>
          </w:rPr>
          <w:t>https://journals.sagepub.com/doi/10.1177/014920639101700108</w:t>
        </w:r>
      </w:hyperlink>
      <w:r w:rsidRPr="008803DF">
        <w:rPr>
          <w:rFonts w:ascii="Arial" w:hAnsi="Arial" w:cs="Arial"/>
        </w:rPr>
        <w:t xml:space="preserve"> (Accessed: 29 March 2026).</w:t>
      </w:r>
    </w:p>
    <w:p w14:paraId="10108096" w14:textId="77777777" w:rsidR="008803DF" w:rsidRPr="008803DF" w:rsidRDefault="008803DF" w:rsidP="008803DF">
      <w:pPr>
        <w:pStyle w:val="NormalWeb"/>
        <w:rPr>
          <w:rFonts w:ascii="Arial" w:hAnsi="Arial" w:cs="Arial"/>
        </w:rPr>
      </w:pPr>
      <w:r w:rsidRPr="008803DF">
        <w:rPr>
          <w:rFonts w:ascii="Arial" w:hAnsi="Arial" w:cs="Arial"/>
        </w:rPr>
        <w:t xml:space="preserve">de Sousa, G.C. </w:t>
      </w:r>
      <w:r w:rsidRPr="008803DF">
        <w:rPr>
          <w:rStyle w:val="Emphasis"/>
          <w:rFonts w:ascii="Arial" w:hAnsi="Arial" w:cs="Arial"/>
        </w:rPr>
        <w:t>et al.</w:t>
      </w:r>
      <w:r w:rsidRPr="008803DF">
        <w:rPr>
          <w:rFonts w:ascii="Arial" w:hAnsi="Arial" w:cs="Arial"/>
        </w:rPr>
        <w:t xml:space="preserve"> (2022) ‘PESTEL analysis and the macro-environmental factors that influence the development of the electric vehicle industry’, </w:t>
      </w:r>
      <w:r w:rsidRPr="008803DF">
        <w:rPr>
          <w:rStyle w:val="Emphasis"/>
          <w:rFonts w:ascii="Arial" w:hAnsi="Arial" w:cs="Arial"/>
        </w:rPr>
        <w:t>Transportation Research Interdisciplinary Perspectives</w:t>
      </w:r>
      <w:r w:rsidRPr="008803DF">
        <w:rPr>
          <w:rFonts w:ascii="Arial" w:hAnsi="Arial" w:cs="Arial"/>
        </w:rPr>
        <w:t xml:space="preserve">, 14, 100607. Available at: </w:t>
      </w:r>
      <w:hyperlink r:id="rId14" w:tgtFrame="_new" w:history="1">
        <w:r w:rsidRPr="008803DF">
          <w:rPr>
            <w:rStyle w:val="Hyperlink"/>
            <w:rFonts w:ascii="Arial" w:hAnsi="Arial" w:cs="Arial"/>
          </w:rPr>
          <w:t>https://www.sciencedirect.com/science/article/pii/S2213624X22000347</w:t>
        </w:r>
      </w:hyperlink>
      <w:r w:rsidRPr="008803DF">
        <w:rPr>
          <w:rFonts w:ascii="Arial" w:hAnsi="Arial" w:cs="Arial"/>
        </w:rPr>
        <w:t xml:space="preserve"> (Accessed: 29 March 2026).</w:t>
      </w:r>
    </w:p>
    <w:p w14:paraId="6421C498" w14:textId="77777777" w:rsidR="008803DF" w:rsidRPr="008803DF" w:rsidRDefault="008803DF" w:rsidP="008803DF">
      <w:pPr>
        <w:pStyle w:val="NormalWeb"/>
        <w:rPr>
          <w:rFonts w:ascii="Arial" w:hAnsi="Arial" w:cs="Arial"/>
        </w:rPr>
      </w:pPr>
      <w:r w:rsidRPr="008803DF">
        <w:rPr>
          <w:rFonts w:ascii="Arial" w:hAnsi="Arial" w:cs="Arial"/>
        </w:rPr>
        <w:t xml:space="preserve">Eisenhardt, K.M. and Martin, J.A. (2000) ‘Dynamic capabilities: What are they?’, </w:t>
      </w:r>
      <w:r w:rsidRPr="008803DF">
        <w:rPr>
          <w:rStyle w:val="Emphasis"/>
          <w:rFonts w:ascii="Arial" w:hAnsi="Arial" w:cs="Arial"/>
        </w:rPr>
        <w:t>Strategic Management Journal</w:t>
      </w:r>
      <w:r w:rsidRPr="008803DF">
        <w:rPr>
          <w:rFonts w:ascii="Arial" w:hAnsi="Arial" w:cs="Arial"/>
        </w:rPr>
        <w:t>, 21(10–11), pp. 1105–1121. Available at: https://onlinelibrary.wiley.com/doi/10.1002/1097-0266(200010/11)21:10/11&lt;</w:t>
      </w:r>
      <w:proofErr w:type="gramStart"/>
      <w:r w:rsidRPr="008803DF">
        <w:rPr>
          <w:rFonts w:ascii="Arial" w:hAnsi="Arial" w:cs="Arial"/>
        </w:rPr>
        <w:t>1105::</w:t>
      </w:r>
      <w:proofErr w:type="gramEnd"/>
      <w:r w:rsidRPr="008803DF">
        <w:rPr>
          <w:rFonts w:ascii="Arial" w:hAnsi="Arial" w:cs="Arial"/>
        </w:rPr>
        <w:t>AID-SMJ133&gt;3.0.CO;2-E (Accessed: 29 March 2026).</w:t>
      </w:r>
    </w:p>
    <w:p w14:paraId="7E7FEDB5" w14:textId="77777777" w:rsidR="008803DF" w:rsidRPr="008803DF" w:rsidRDefault="008803DF" w:rsidP="008803DF">
      <w:pPr>
        <w:pStyle w:val="NormalWeb"/>
        <w:rPr>
          <w:rFonts w:ascii="Arial" w:hAnsi="Arial" w:cs="Arial"/>
        </w:rPr>
      </w:pPr>
      <w:r w:rsidRPr="00C5414C">
        <w:rPr>
          <w:rFonts w:ascii="Arial" w:hAnsi="Arial" w:cs="Arial"/>
          <w:lang w:val="nl-NL"/>
        </w:rPr>
        <w:t xml:space="preserve">Eppenbach, M.K. (2024) </w:t>
      </w:r>
      <w:r w:rsidRPr="00C5414C">
        <w:rPr>
          <w:rStyle w:val="Emphasis"/>
          <w:rFonts w:ascii="Arial" w:hAnsi="Arial" w:cs="Arial"/>
          <w:lang w:val="nl-NL"/>
        </w:rPr>
        <w:t xml:space="preserve">Tesla Inc. </w:t>
      </w:r>
      <w:r w:rsidRPr="008803DF">
        <w:rPr>
          <w:rStyle w:val="Emphasis"/>
          <w:rFonts w:ascii="Arial" w:hAnsi="Arial" w:cs="Arial"/>
        </w:rPr>
        <w:t>Strategic Audit</w:t>
      </w:r>
      <w:r w:rsidRPr="008803DF">
        <w:rPr>
          <w:rFonts w:ascii="Arial" w:hAnsi="Arial" w:cs="Arial"/>
        </w:rPr>
        <w:t xml:space="preserve">. Available at: </w:t>
      </w:r>
      <w:hyperlink r:id="rId15" w:tgtFrame="_new" w:history="1">
        <w:r w:rsidRPr="008803DF">
          <w:rPr>
            <w:rStyle w:val="Hyperlink"/>
            <w:rFonts w:ascii="Arial" w:hAnsi="Arial" w:cs="Arial"/>
          </w:rPr>
          <w:t>https://digitalcommons.unl.edu/honorstheses/745/</w:t>
        </w:r>
      </w:hyperlink>
      <w:r w:rsidRPr="008803DF">
        <w:rPr>
          <w:rFonts w:ascii="Arial" w:hAnsi="Arial" w:cs="Arial"/>
        </w:rPr>
        <w:t xml:space="preserve"> (Accessed: 29 March 2026).</w:t>
      </w:r>
    </w:p>
    <w:p w14:paraId="0CCF2794" w14:textId="77777777" w:rsidR="008803DF" w:rsidRPr="008803DF" w:rsidRDefault="008803DF" w:rsidP="008803DF">
      <w:pPr>
        <w:pStyle w:val="NormalWeb"/>
        <w:rPr>
          <w:rFonts w:ascii="Arial" w:hAnsi="Arial" w:cs="Arial"/>
        </w:rPr>
      </w:pPr>
      <w:r w:rsidRPr="008803DF">
        <w:rPr>
          <w:rFonts w:ascii="Arial" w:hAnsi="Arial" w:cs="Arial"/>
        </w:rPr>
        <w:t xml:space="preserve">Gibbs, G. (1988) </w:t>
      </w:r>
      <w:r w:rsidRPr="008803DF">
        <w:rPr>
          <w:rStyle w:val="Emphasis"/>
          <w:rFonts w:ascii="Arial" w:hAnsi="Arial" w:cs="Arial"/>
        </w:rPr>
        <w:t>Learning by doing: A guide to teaching and learning methods</w:t>
      </w:r>
      <w:r w:rsidRPr="008803DF">
        <w:rPr>
          <w:rFonts w:ascii="Arial" w:hAnsi="Arial" w:cs="Arial"/>
        </w:rPr>
        <w:t>. Oxford: Oxford Polytechnic.</w:t>
      </w:r>
    </w:p>
    <w:p w14:paraId="022DFEC2" w14:textId="77777777" w:rsidR="008803DF" w:rsidRPr="008803DF" w:rsidRDefault="008803DF" w:rsidP="008803DF">
      <w:pPr>
        <w:pStyle w:val="NormalWeb"/>
        <w:rPr>
          <w:rFonts w:ascii="Arial" w:hAnsi="Arial" w:cs="Arial"/>
        </w:rPr>
      </w:pPr>
      <w:r w:rsidRPr="008803DF">
        <w:rPr>
          <w:rFonts w:ascii="Arial" w:hAnsi="Arial" w:cs="Arial"/>
        </w:rPr>
        <w:t xml:space="preserve">Helfat, C.E. and Peteraf, M.A. (2003) ‘The dynamic resource-based view: Capability lifecycles’, </w:t>
      </w:r>
      <w:r w:rsidRPr="008803DF">
        <w:rPr>
          <w:rStyle w:val="Emphasis"/>
          <w:rFonts w:ascii="Arial" w:hAnsi="Arial" w:cs="Arial"/>
        </w:rPr>
        <w:t>Strategic Management Journal</w:t>
      </w:r>
      <w:r w:rsidRPr="008803DF">
        <w:rPr>
          <w:rFonts w:ascii="Arial" w:hAnsi="Arial" w:cs="Arial"/>
        </w:rPr>
        <w:t>, 24(10), pp. 997–1010. Available at: https://onlinelibrary.wiley.com/doi/10.1002/smj.332 (Accessed: 29 March 2026).</w:t>
      </w:r>
    </w:p>
    <w:p w14:paraId="39930F7A" w14:textId="77777777" w:rsidR="008803DF" w:rsidRPr="008803DF" w:rsidRDefault="008803DF" w:rsidP="008803DF">
      <w:pPr>
        <w:pStyle w:val="NormalWeb"/>
        <w:rPr>
          <w:rFonts w:ascii="Arial" w:hAnsi="Arial" w:cs="Arial"/>
        </w:rPr>
      </w:pPr>
      <w:r w:rsidRPr="008803DF">
        <w:rPr>
          <w:rFonts w:ascii="Arial" w:hAnsi="Arial" w:cs="Arial"/>
        </w:rPr>
        <w:t xml:space="preserve">Huang, C. </w:t>
      </w:r>
      <w:r w:rsidRPr="008803DF">
        <w:rPr>
          <w:rStyle w:val="Emphasis"/>
          <w:rFonts w:ascii="Arial" w:hAnsi="Arial" w:cs="Arial"/>
        </w:rPr>
        <w:t>et al.</w:t>
      </w:r>
      <w:r w:rsidRPr="008803DF">
        <w:rPr>
          <w:rFonts w:ascii="Arial" w:hAnsi="Arial" w:cs="Arial"/>
        </w:rPr>
        <w:t xml:space="preserve"> (2023) ‘Dynamic and ordinary capabilities in industry transformation: The case of the electric vehicle industry’, </w:t>
      </w:r>
      <w:r w:rsidRPr="008803DF">
        <w:rPr>
          <w:rStyle w:val="Emphasis"/>
          <w:rFonts w:ascii="Arial" w:hAnsi="Arial" w:cs="Arial"/>
        </w:rPr>
        <w:t>Management and Organization Review</w:t>
      </w:r>
      <w:r w:rsidRPr="008803DF">
        <w:rPr>
          <w:rFonts w:ascii="Arial" w:hAnsi="Arial" w:cs="Arial"/>
        </w:rPr>
        <w:t xml:space="preserve">, 19(6), pp. 1085–1116. Available at: </w:t>
      </w:r>
      <w:hyperlink r:id="rId16" w:tgtFrame="_new" w:history="1">
        <w:r w:rsidRPr="008803DF">
          <w:rPr>
            <w:rStyle w:val="Hyperlink"/>
            <w:rFonts w:ascii="Arial" w:hAnsi="Arial" w:cs="Arial"/>
          </w:rPr>
          <w:t>https://www.cambridge.org/core/journals/management-and-organization-review/article/dynamic-and-ordinary-capabilities-in-industry-transformation-the-case-of-the-electric-vehicle-industry/25766A906BF830E61BB15983683E9F7A</w:t>
        </w:r>
      </w:hyperlink>
      <w:r w:rsidRPr="008803DF">
        <w:rPr>
          <w:rFonts w:ascii="Arial" w:hAnsi="Arial" w:cs="Arial"/>
        </w:rPr>
        <w:t xml:space="preserve"> (Accessed: 29 March 2026).</w:t>
      </w:r>
    </w:p>
    <w:p w14:paraId="59C57B3C" w14:textId="77777777" w:rsidR="008803DF" w:rsidRPr="008803DF" w:rsidRDefault="008803DF" w:rsidP="008803DF">
      <w:pPr>
        <w:pStyle w:val="NormalWeb"/>
        <w:rPr>
          <w:rFonts w:ascii="Arial" w:hAnsi="Arial" w:cs="Arial"/>
        </w:rPr>
      </w:pPr>
      <w:r w:rsidRPr="008803DF">
        <w:rPr>
          <w:rFonts w:ascii="Arial" w:hAnsi="Arial" w:cs="Arial"/>
        </w:rPr>
        <w:t xml:space="preserve">Johnson, G., Whittington, R., Scholes, K., Angwin, D. and </w:t>
      </w:r>
      <w:proofErr w:type="spellStart"/>
      <w:r w:rsidRPr="008803DF">
        <w:rPr>
          <w:rFonts w:ascii="Arial" w:hAnsi="Arial" w:cs="Arial"/>
        </w:rPr>
        <w:t>Regnér</w:t>
      </w:r>
      <w:proofErr w:type="spellEnd"/>
      <w:r w:rsidRPr="008803DF">
        <w:rPr>
          <w:rFonts w:ascii="Arial" w:hAnsi="Arial" w:cs="Arial"/>
        </w:rPr>
        <w:t xml:space="preserve">, P. (2017) </w:t>
      </w:r>
      <w:r w:rsidRPr="008803DF">
        <w:rPr>
          <w:rStyle w:val="Emphasis"/>
          <w:rFonts w:ascii="Arial" w:hAnsi="Arial" w:cs="Arial"/>
        </w:rPr>
        <w:t>Exploring strategy</w:t>
      </w:r>
      <w:r w:rsidRPr="008803DF">
        <w:rPr>
          <w:rFonts w:ascii="Arial" w:hAnsi="Arial" w:cs="Arial"/>
        </w:rPr>
        <w:t xml:space="preserve">. 11th </w:t>
      </w:r>
      <w:proofErr w:type="spellStart"/>
      <w:r w:rsidRPr="008803DF">
        <w:rPr>
          <w:rFonts w:ascii="Arial" w:hAnsi="Arial" w:cs="Arial"/>
        </w:rPr>
        <w:t>edn</w:t>
      </w:r>
      <w:proofErr w:type="spellEnd"/>
      <w:r w:rsidRPr="008803DF">
        <w:rPr>
          <w:rFonts w:ascii="Arial" w:hAnsi="Arial" w:cs="Arial"/>
        </w:rPr>
        <w:t>. Harlow: Pearson Education.</w:t>
      </w:r>
    </w:p>
    <w:p w14:paraId="08159B52" w14:textId="77777777" w:rsidR="008803DF" w:rsidRPr="008803DF" w:rsidRDefault="008803DF" w:rsidP="008803DF">
      <w:pPr>
        <w:pStyle w:val="NormalWeb"/>
        <w:rPr>
          <w:rFonts w:ascii="Arial" w:hAnsi="Arial" w:cs="Arial"/>
        </w:rPr>
      </w:pPr>
      <w:r w:rsidRPr="008803DF">
        <w:rPr>
          <w:rFonts w:ascii="Arial" w:hAnsi="Arial" w:cs="Arial"/>
        </w:rPr>
        <w:t xml:space="preserve">Kaplan, R.S. and Norton, D.P. (1992) ‘The balanced scorecard – measures that drive performance’, </w:t>
      </w:r>
      <w:r w:rsidRPr="008803DF">
        <w:rPr>
          <w:rStyle w:val="Emphasis"/>
          <w:rFonts w:ascii="Arial" w:hAnsi="Arial" w:cs="Arial"/>
        </w:rPr>
        <w:t>Harvard Business Review</w:t>
      </w:r>
      <w:r w:rsidRPr="008803DF">
        <w:rPr>
          <w:rFonts w:ascii="Arial" w:hAnsi="Arial" w:cs="Arial"/>
        </w:rPr>
        <w:t>, 70(1), pp. 71–79. Available at: https://hbr.org/1992/01/the-balanced-scorecard-measures-that-drive-performance (Accessed: 29 March 2026).</w:t>
      </w:r>
    </w:p>
    <w:p w14:paraId="3FF44931" w14:textId="77777777" w:rsidR="008803DF" w:rsidRPr="008803DF" w:rsidRDefault="008803DF" w:rsidP="008803DF">
      <w:pPr>
        <w:pStyle w:val="NormalWeb"/>
        <w:rPr>
          <w:rFonts w:ascii="Arial" w:hAnsi="Arial" w:cs="Arial"/>
        </w:rPr>
      </w:pPr>
      <w:r w:rsidRPr="008803DF">
        <w:rPr>
          <w:rFonts w:ascii="Arial" w:hAnsi="Arial" w:cs="Arial"/>
        </w:rPr>
        <w:lastRenderedPageBreak/>
        <w:t xml:space="preserve">Kim, J. </w:t>
      </w:r>
      <w:r w:rsidRPr="008803DF">
        <w:rPr>
          <w:rStyle w:val="Emphasis"/>
          <w:rFonts w:ascii="Arial" w:hAnsi="Arial" w:cs="Arial"/>
        </w:rPr>
        <w:t>et al.</w:t>
      </w:r>
      <w:r w:rsidRPr="008803DF">
        <w:rPr>
          <w:rFonts w:ascii="Arial" w:hAnsi="Arial" w:cs="Arial"/>
        </w:rPr>
        <w:t xml:space="preserve"> (2025) ‘The impact of ESG management by automobile manufacturers on corporate trust and brand value’, </w:t>
      </w:r>
      <w:r w:rsidRPr="008803DF">
        <w:rPr>
          <w:rStyle w:val="Emphasis"/>
          <w:rFonts w:ascii="Arial" w:hAnsi="Arial" w:cs="Arial"/>
        </w:rPr>
        <w:t>Sustainability</w:t>
      </w:r>
      <w:r w:rsidRPr="008803DF">
        <w:rPr>
          <w:rFonts w:ascii="Arial" w:hAnsi="Arial" w:cs="Arial"/>
        </w:rPr>
        <w:t xml:space="preserve">, 17(19), 8733. Available at: </w:t>
      </w:r>
      <w:hyperlink r:id="rId17" w:tgtFrame="_new" w:history="1">
        <w:r w:rsidRPr="008803DF">
          <w:rPr>
            <w:rStyle w:val="Hyperlink"/>
            <w:rFonts w:ascii="Arial" w:hAnsi="Arial" w:cs="Arial"/>
          </w:rPr>
          <w:t>https://www.mdpi.com/2071-1050/17/19/8733</w:t>
        </w:r>
      </w:hyperlink>
      <w:r w:rsidRPr="008803DF">
        <w:rPr>
          <w:rFonts w:ascii="Arial" w:hAnsi="Arial" w:cs="Arial"/>
        </w:rPr>
        <w:t xml:space="preserve"> (Accessed: 29 March 2026).</w:t>
      </w:r>
    </w:p>
    <w:p w14:paraId="19A8C3AE" w14:textId="77777777" w:rsidR="008803DF" w:rsidRPr="008803DF" w:rsidRDefault="008803DF" w:rsidP="008803DF">
      <w:pPr>
        <w:pStyle w:val="NormalWeb"/>
        <w:rPr>
          <w:rFonts w:ascii="Arial" w:hAnsi="Arial" w:cs="Arial"/>
        </w:rPr>
      </w:pPr>
      <w:r w:rsidRPr="008803DF">
        <w:rPr>
          <w:rFonts w:ascii="Arial" w:hAnsi="Arial" w:cs="Arial"/>
        </w:rPr>
        <w:t xml:space="preserve">Lang, J.W., Reber, B. and </w:t>
      </w:r>
      <w:proofErr w:type="spellStart"/>
      <w:r w:rsidRPr="008803DF">
        <w:rPr>
          <w:rFonts w:ascii="Arial" w:hAnsi="Arial" w:cs="Arial"/>
        </w:rPr>
        <w:t>Aldori</w:t>
      </w:r>
      <w:proofErr w:type="spellEnd"/>
      <w:r w:rsidRPr="008803DF">
        <w:rPr>
          <w:rFonts w:ascii="Arial" w:hAnsi="Arial" w:cs="Arial"/>
        </w:rPr>
        <w:t xml:space="preserve">, H. (2021) ‘How Tesla created advantages in the EV automotive paradigm through an integrated business model’, </w:t>
      </w:r>
      <w:r w:rsidRPr="008803DF">
        <w:rPr>
          <w:rStyle w:val="Emphasis"/>
          <w:rFonts w:ascii="Arial" w:hAnsi="Arial" w:cs="Arial"/>
        </w:rPr>
        <w:t>Business &amp; Management Studies: An International Journal</w:t>
      </w:r>
      <w:r w:rsidRPr="008803DF">
        <w:rPr>
          <w:rFonts w:ascii="Arial" w:hAnsi="Arial" w:cs="Arial"/>
        </w:rPr>
        <w:t xml:space="preserve">, 9(1), pp. 29–47. Available at: </w:t>
      </w:r>
      <w:hyperlink r:id="rId18" w:tgtFrame="_new" w:history="1">
        <w:r w:rsidRPr="008803DF">
          <w:rPr>
            <w:rStyle w:val="Hyperlink"/>
            <w:rFonts w:ascii="Arial" w:hAnsi="Arial" w:cs="Arial"/>
          </w:rPr>
          <w:t>https://doi.org/10.15295/bmij.v9i1.1790</w:t>
        </w:r>
      </w:hyperlink>
      <w:r w:rsidRPr="008803DF">
        <w:rPr>
          <w:rFonts w:ascii="Arial" w:hAnsi="Arial" w:cs="Arial"/>
        </w:rPr>
        <w:t xml:space="preserve"> (Accessed: 29 March 2026).</w:t>
      </w:r>
    </w:p>
    <w:p w14:paraId="7A67ACBE" w14:textId="77777777" w:rsidR="008803DF" w:rsidRPr="008803DF" w:rsidRDefault="008803DF" w:rsidP="008803DF">
      <w:pPr>
        <w:pStyle w:val="NormalWeb"/>
        <w:rPr>
          <w:rFonts w:ascii="Arial" w:hAnsi="Arial" w:cs="Arial"/>
        </w:rPr>
      </w:pPr>
      <w:r w:rsidRPr="008803DF">
        <w:rPr>
          <w:rFonts w:ascii="Arial" w:hAnsi="Arial" w:cs="Arial"/>
        </w:rPr>
        <w:t xml:space="preserve">Lin, W.L. </w:t>
      </w:r>
      <w:r w:rsidRPr="008803DF">
        <w:rPr>
          <w:rStyle w:val="Emphasis"/>
          <w:rFonts w:ascii="Arial" w:hAnsi="Arial" w:cs="Arial"/>
        </w:rPr>
        <w:t>et al.</w:t>
      </w:r>
      <w:r w:rsidRPr="008803DF">
        <w:rPr>
          <w:rFonts w:ascii="Arial" w:hAnsi="Arial" w:cs="Arial"/>
        </w:rPr>
        <w:t xml:space="preserve"> (2023) ‘Corporate social responsibility and irresponsibility: Effects on supply chain performance in the automotive sector’, </w:t>
      </w:r>
      <w:r w:rsidRPr="008803DF">
        <w:rPr>
          <w:rStyle w:val="Emphasis"/>
          <w:rFonts w:ascii="Arial" w:hAnsi="Arial" w:cs="Arial"/>
        </w:rPr>
        <w:t>Journal of Cleaner Production</w:t>
      </w:r>
      <w:r w:rsidRPr="008803DF">
        <w:rPr>
          <w:rFonts w:ascii="Arial" w:hAnsi="Arial" w:cs="Arial"/>
        </w:rPr>
        <w:t>, 421, 138459. Available at: https://doi.org/10.1016/j.jclepro.2023.139033 (Accessed: 29 March 2026).</w:t>
      </w:r>
    </w:p>
    <w:p w14:paraId="765B009D" w14:textId="77777777" w:rsidR="008803DF" w:rsidRPr="008803DF" w:rsidRDefault="008803DF" w:rsidP="008803DF">
      <w:pPr>
        <w:pStyle w:val="NormalWeb"/>
        <w:rPr>
          <w:rFonts w:ascii="Arial" w:hAnsi="Arial" w:cs="Arial"/>
        </w:rPr>
      </w:pPr>
      <w:r w:rsidRPr="008803DF">
        <w:rPr>
          <w:rFonts w:ascii="Arial" w:hAnsi="Arial" w:cs="Arial"/>
        </w:rPr>
        <w:t xml:space="preserve">Loder, J. (2024) ‘Why do (some) German car manufacturers go electric? The role of dynamic capabilities’, </w:t>
      </w:r>
      <w:r w:rsidRPr="008803DF">
        <w:rPr>
          <w:rStyle w:val="Emphasis"/>
          <w:rFonts w:ascii="Arial" w:hAnsi="Arial" w:cs="Arial"/>
        </w:rPr>
        <w:t>Business Strategy and the Environment</w:t>
      </w:r>
      <w:r w:rsidRPr="008803DF">
        <w:rPr>
          <w:rFonts w:ascii="Arial" w:hAnsi="Arial" w:cs="Arial"/>
        </w:rPr>
        <w:t xml:space="preserve">, 33(2), pp. 1234–1250. Available at: </w:t>
      </w:r>
      <w:hyperlink r:id="rId19" w:tgtFrame="_new" w:history="1">
        <w:r w:rsidRPr="008803DF">
          <w:rPr>
            <w:rStyle w:val="Hyperlink"/>
            <w:rFonts w:ascii="Arial" w:hAnsi="Arial" w:cs="Arial"/>
          </w:rPr>
          <w:t>https://doi.org/10.1002/bse.3538</w:t>
        </w:r>
      </w:hyperlink>
      <w:r w:rsidRPr="008803DF">
        <w:rPr>
          <w:rFonts w:ascii="Arial" w:hAnsi="Arial" w:cs="Arial"/>
        </w:rPr>
        <w:t xml:space="preserve"> (Accessed: 29 March 2026).</w:t>
      </w:r>
    </w:p>
    <w:p w14:paraId="1C337029" w14:textId="77777777" w:rsidR="008803DF" w:rsidRPr="008803DF" w:rsidRDefault="008803DF" w:rsidP="008803DF">
      <w:pPr>
        <w:pStyle w:val="NormalWeb"/>
        <w:rPr>
          <w:rFonts w:ascii="Arial" w:hAnsi="Arial" w:cs="Arial"/>
        </w:rPr>
      </w:pPr>
      <w:r w:rsidRPr="008803DF">
        <w:rPr>
          <w:rFonts w:ascii="Arial" w:hAnsi="Arial" w:cs="Arial"/>
        </w:rPr>
        <w:t xml:space="preserve">Lu, Z. (2025) ‘An analysis of Tesla’s market position and future prospects’, </w:t>
      </w:r>
      <w:r w:rsidRPr="008803DF">
        <w:rPr>
          <w:rStyle w:val="Emphasis"/>
          <w:rFonts w:ascii="Arial" w:hAnsi="Arial" w:cs="Arial"/>
        </w:rPr>
        <w:t>Advances in Economics, Business and Management Research</w:t>
      </w:r>
      <w:r w:rsidRPr="008803DF">
        <w:rPr>
          <w:rFonts w:ascii="Arial" w:hAnsi="Arial" w:cs="Arial"/>
        </w:rPr>
        <w:t xml:space="preserve">. Available at: </w:t>
      </w:r>
      <w:hyperlink r:id="rId20" w:tgtFrame="_new" w:history="1">
        <w:r w:rsidRPr="008803DF">
          <w:rPr>
            <w:rStyle w:val="Hyperlink"/>
            <w:rFonts w:ascii="Arial" w:hAnsi="Arial" w:cs="Arial"/>
          </w:rPr>
          <w:t>https://www.atlantis-press.com/proceedings/icfrim-25/126013074</w:t>
        </w:r>
      </w:hyperlink>
      <w:r w:rsidRPr="008803DF">
        <w:rPr>
          <w:rFonts w:ascii="Arial" w:hAnsi="Arial" w:cs="Arial"/>
        </w:rPr>
        <w:t xml:space="preserve"> (Accessed: 29 March 2026).</w:t>
      </w:r>
    </w:p>
    <w:p w14:paraId="7C62A8BC" w14:textId="77777777" w:rsidR="008803DF" w:rsidRPr="008803DF" w:rsidRDefault="008803DF" w:rsidP="008803DF">
      <w:pPr>
        <w:pStyle w:val="NormalWeb"/>
        <w:rPr>
          <w:rFonts w:ascii="Arial" w:hAnsi="Arial" w:cs="Arial"/>
        </w:rPr>
      </w:pPr>
      <w:r w:rsidRPr="008803DF">
        <w:rPr>
          <w:rFonts w:ascii="Arial" w:hAnsi="Arial" w:cs="Arial"/>
        </w:rPr>
        <w:t xml:space="preserve">Miao, D. (2025) ‘Tesla’s innovation management strategy and market sustainability’, </w:t>
      </w:r>
      <w:r w:rsidRPr="008803DF">
        <w:rPr>
          <w:rStyle w:val="Emphasis"/>
          <w:rFonts w:ascii="Arial" w:hAnsi="Arial" w:cs="Arial"/>
        </w:rPr>
        <w:t>SCITEPRESS</w:t>
      </w:r>
      <w:r w:rsidRPr="008803DF">
        <w:rPr>
          <w:rFonts w:ascii="Arial" w:hAnsi="Arial" w:cs="Arial"/>
        </w:rPr>
        <w:t xml:space="preserve">. Available at: </w:t>
      </w:r>
      <w:hyperlink r:id="rId21" w:tgtFrame="_new" w:history="1">
        <w:r w:rsidRPr="008803DF">
          <w:rPr>
            <w:rStyle w:val="Hyperlink"/>
            <w:rFonts w:ascii="Arial" w:hAnsi="Arial" w:cs="Arial"/>
          </w:rPr>
          <w:t>https://www.scitepress.org/Papers/2025/139889/139889.pdf</w:t>
        </w:r>
      </w:hyperlink>
      <w:r w:rsidRPr="008803DF">
        <w:rPr>
          <w:rFonts w:ascii="Arial" w:hAnsi="Arial" w:cs="Arial"/>
        </w:rPr>
        <w:t xml:space="preserve"> (Accessed: 29 March 2026).</w:t>
      </w:r>
    </w:p>
    <w:p w14:paraId="6FF03E50" w14:textId="77777777" w:rsidR="008803DF" w:rsidRPr="008803DF" w:rsidRDefault="008803DF" w:rsidP="008803DF">
      <w:pPr>
        <w:pStyle w:val="NormalWeb"/>
        <w:rPr>
          <w:rFonts w:ascii="Arial" w:hAnsi="Arial" w:cs="Arial"/>
        </w:rPr>
      </w:pPr>
      <w:r w:rsidRPr="008803DF">
        <w:rPr>
          <w:rFonts w:ascii="Arial" w:hAnsi="Arial" w:cs="Arial"/>
        </w:rPr>
        <w:t xml:space="preserve">Mintzberg, H., Ahlstrand, B. and Lampel, J. (2009) </w:t>
      </w:r>
      <w:r w:rsidRPr="008803DF">
        <w:rPr>
          <w:rStyle w:val="Emphasis"/>
          <w:rFonts w:ascii="Arial" w:hAnsi="Arial" w:cs="Arial"/>
        </w:rPr>
        <w:t>Strategy safari: Your complete guide through the wilds of strategic management</w:t>
      </w:r>
      <w:r w:rsidRPr="008803DF">
        <w:rPr>
          <w:rFonts w:ascii="Arial" w:hAnsi="Arial" w:cs="Arial"/>
        </w:rPr>
        <w:t xml:space="preserve">. 2nd </w:t>
      </w:r>
      <w:proofErr w:type="spellStart"/>
      <w:r w:rsidRPr="008803DF">
        <w:rPr>
          <w:rFonts w:ascii="Arial" w:hAnsi="Arial" w:cs="Arial"/>
        </w:rPr>
        <w:t>edn</w:t>
      </w:r>
      <w:proofErr w:type="spellEnd"/>
      <w:r w:rsidRPr="008803DF">
        <w:rPr>
          <w:rFonts w:ascii="Arial" w:hAnsi="Arial" w:cs="Arial"/>
        </w:rPr>
        <w:t>. Harlow: Pearson Education.</w:t>
      </w:r>
    </w:p>
    <w:p w14:paraId="6E937361" w14:textId="77777777" w:rsidR="008803DF" w:rsidRPr="008803DF" w:rsidRDefault="008803DF" w:rsidP="008803DF">
      <w:pPr>
        <w:pStyle w:val="NormalWeb"/>
        <w:rPr>
          <w:rFonts w:ascii="Arial" w:hAnsi="Arial" w:cs="Arial"/>
        </w:rPr>
      </w:pPr>
      <w:proofErr w:type="spellStart"/>
      <w:r w:rsidRPr="008803DF">
        <w:rPr>
          <w:rFonts w:ascii="Arial" w:hAnsi="Arial" w:cs="Arial"/>
        </w:rPr>
        <w:t>Norreklit</w:t>
      </w:r>
      <w:proofErr w:type="spellEnd"/>
      <w:r w:rsidRPr="008803DF">
        <w:rPr>
          <w:rFonts w:ascii="Arial" w:hAnsi="Arial" w:cs="Arial"/>
        </w:rPr>
        <w:t xml:space="preserve">, H. (2000) ‘The balance on the balanced scorecard: A critical analysis of some of its assumptions’, </w:t>
      </w:r>
      <w:r w:rsidRPr="008803DF">
        <w:rPr>
          <w:rStyle w:val="Emphasis"/>
          <w:rFonts w:ascii="Arial" w:hAnsi="Arial" w:cs="Arial"/>
        </w:rPr>
        <w:t>Management Accounting Research</w:t>
      </w:r>
      <w:r w:rsidRPr="008803DF">
        <w:rPr>
          <w:rFonts w:ascii="Arial" w:hAnsi="Arial" w:cs="Arial"/>
        </w:rPr>
        <w:t xml:space="preserve">, 11(1), pp. 65–88. Available at: </w:t>
      </w:r>
      <w:hyperlink r:id="rId22" w:tgtFrame="_new" w:history="1">
        <w:r w:rsidRPr="008803DF">
          <w:rPr>
            <w:rStyle w:val="Hyperlink"/>
            <w:rFonts w:ascii="Arial" w:hAnsi="Arial" w:cs="Arial"/>
          </w:rPr>
          <w:t>https://doi.org/10.1006/mare.1999.0121</w:t>
        </w:r>
      </w:hyperlink>
      <w:r w:rsidRPr="008803DF">
        <w:rPr>
          <w:rFonts w:ascii="Arial" w:hAnsi="Arial" w:cs="Arial"/>
        </w:rPr>
        <w:t xml:space="preserve"> (Accessed: 29 March 2026).</w:t>
      </w:r>
    </w:p>
    <w:p w14:paraId="29BE34DE" w14:textId="77777777" w:rsidR="008803DF" w:rsidRPr="008803DF" w:rsidRDefault="008803DF" w:rsidP="008803DF">
      <w:pPr>
        <w:pStyle w:val="NormalWeb"/>
        <w:rPr>
          <w:rFonts w:ascii="Arial" w:hAnsi="Arial" w:cs="Arial"/>
        </w:rPr>
      </w:pPr>
      <w:r w:rsidRPr="008803DF">
        <w:rPr>
          <w:rFonts w:ascii="Arial" w:hAnsi="Arial" w:cs="Arial"/>
        </w:rPr>
        <w:t xml:space="preserve">Porter, M.E. (1980) </w:t>
      </w:r>
      <w:r w:rsidRPr="008803DF">
        <w:rPr>
          <w:rStyle w:val="Emphasis"/>
          <w:rFonts w:ascii="Arial" w:hAnsi="Arial" w:cs="Arial"/>
        </w:rPr>
        <w:t>Competitive strategy: Techniques for analysing industries and competitors</w:t>
      </w:r>
      <w:r w:rsidRPr="008803DF">
        <w:rPr>
          <w:rFonts w:ascii="Arial" w:hAnsi="Arial" w:cs="Arial"/>
        </w:rPr>
        <w:t>. New York: Free Press.</w:t>
      </w:r>
    </w:p>
    <w:p w14:paraId="00FF0065" w14:textId="77777777" w:rsidR="008803DF" w:rsidRPr="008803DF" w:rsidRDefault="008803DF" w:rsidP="008803DF">
      <w:pPr>
        <w:pStyle w:val="NormalWeb"/>
        <w:rPr>
          <w:rFonts w:ascii="Arial" w:hAnsi="Arial" w:cs="Arial"/>
        </w:rPr>
      </w:pPr>
      <w:proofErr w:type="spellStart"/>
      <w:r w:rsidRPr="008803DF">
        <w:rPr>
          <w:rFonts w:ascii="Arial" w:hAnsi="Arial" w:cs="Arial"/>
        </w:rPr>
        <w:t>Rotjanakorn</w:t>
      </w:r>
      <w:proofErr w:type="spellEnd"/>
      <w:r w:rsidRPr="008803DF">
        <w:rPr>
          <w:rFonts w:ascii="Arial" w:hAnsi="Arial" w:cs="Arial"/>
        </w:rPr>
        <w:t xml:space="preserve">, A. </w:t>
      </w:r>
      <w:r w:rsidRPr="008803DF">
        <w:rPr>
          <w:rStyle w:val="Emphasis"/>
          <w:rFonts w:ascii="Arial" w:hAnsi="Arial" w:cs="Arial"/>
        </w:rPr>
        <w:t>et al.</w:t>
      </w:r>
      <w:r w:rsidRPr="008803DF">
        <w:rPr>
          <w:rFonts w:ascii="Arial" w:hAnsi="Arial" w:cs="Arial"/>
        </w:rPr>
        <w:t xml:space="preserve"> (2020) ‘Development of dynamic capabilities for automotive industry performance under disruptive innovation’, </w:t>
      </w:r>
      <w:r w:rsidRPr="008803DF">
        <w:rPr>
          <w:rStyle w:val="Emphasis"/>
          <w:rFonts w:ascii="Arial" w:hAnsi="Arial" w:cs="Arial"/>
        </w:rPr>
        <w:t>Journal of Open Innovation: Technology, Market, and Complexity</w:t>
      </w:r>
      <w:r w:rsidRPr="008803DF">
        <w:rPr>
          <w:rFonts w:ascii="Arial" w:hAnsi="Arial" w:cs="Arial"/>
        </w:rPr>
        <w:t xml:space="preserve">, 6(4), 97. Available at: </w:t>
      </w:r>
      <w:hyperlink r:id="rId23" w:tgtFrame="_new" w:history="1">
        <w:r w:rsidRPr="008803DF">
          <w:rPr>
            <w:rStyle w:val="Hyperlink"/>
            <w:rFonts w:ascii="Arial" w:hAnsi="Arial" w:cs="Arial"/>
          </w:rPr>
          <w:t>https://doi.org/10.3390/joitmc6040097</w:t>
        </w:r>
      </w:hyperlink>
      <w:r w:rsidRPr="008803DF">
        <w:rPr>
          <w:rFonts w:ascii="Arial" w:hAnsi="Arial" w:cs="Arial"/>
        </w:rPr>
        <w:t xml:space="preserve"> (Accessed: 29 March 2026).</w:t>
      </w:r>
    </w:p>
    <w:p w14:paraId="51BECAB4" w14:textId="77777777" w:rsidR="008803DF" w:rsidRPr="008803DF" w:rsidRDefault="008803DF" w:rsidP="008803DF">
      <w:pPr>
        <w:pStyle w:val="NormalWeb"/>
        <w:rPr>
          <w:rFonts w:ascii="Arial" w:hAnsi="Arial" w:cs="Arial"/>
        </w:rPr>
      </w:pPr>
      <w:r w:rsidRPr="008803DF">
        <w:rPr>
          <w:rFonts w:ascii="Arial" w:hAnsi="Arial" w:cs="Arial"/>
        </w:rPr>
        <w:t xml:space="preserve">Teece, D.J. (2007) ‘Explicating dynamic capabilities: The nature and </w:t>
      </w:r>
      <w:proofErr w:type="spellStart"/>
      <w:r w:rsidRPr="008803DF">
        <w:rPr>
          <w:rFonts w:ascii="Arial" w:hAnsi="Arial" w:cs="Arial"/>
        </w:rPr>
        <w:t>microfoundations</w:t>
      </w:r>
      <w:proofErr w:type="spellEnd"/>
      <w:r w:rsidRPr="008803DF">
        <w:rPr>
          <w:rFonts w:ascii="Arial" w:hAnsi="Arial" w:cs="Arial"/>
        </w:rPr>
        <w:t xml:space="preserve"> of (sustainable) enterprise performance’, </w:t>
      </w:r>
      <w:r w:rsidRPr="008803DF">
        <w:rPr>
          <w:rStyle w:val="Emphasis"/>
          <w:rFonts w:ascii="Arial" w:hAnsi="Arial" w:cs="Arial"/>
        </w:rPr>
        <w:t>Strategic Management Journal</w:t>
      </w:r>
      <w:r w:rsidRPr="008803DF">
        <w:rPr>
          <w:rFonts w:ascii="Arial" w:hAnsi="Arial" w:cs="Arial"/>
        </w:rPr>
        <w:t xml:space="preserve">, 28(13), pp. 1319–1350. Available at: </w:t>
      </w:r>
      <w:hyperlink r:id="rId24" w:tgtFrame="_new" w:history="1">
        <w:r w:rsidRPr="008803DF">
          <w:rPr>
            <w:rStyle w:val="Hyperlink"/>
            <w:rFonts w:ascii="Arial" w:hAnsi="Arial" w:cs="Arial"/>
          </w:rPr>
          <w:t>https://doi.org/10.1002/smj.640</w:t>
        </w:r>
      </w:hyperlink>
      <w:r w:rsidRPr="008803DF">
        <w:rPr>
          <w:rFonts w:ascii="Arial" w:hAnsi="Arial" w:cs="Arial"/>
        </w:rPr>
        <w:t xml:space="preserve"> (Accessed: 29 March 2026).</w:t>
      </w:r>
    </w:p>
    <w:p w14:paraId="1F733515" w14:textId="77777777" w:rsidR="008803DF" w:rsidRPr="008803DF" w:rsidRDefault="008803DF" w:rsidP="008803DF">
      <w:pPr>
        <w:pStyle w:val="NormalWeb"/>
        <w:rPr>
          <w:rFonts w:ascii="Arial" w:hAnsi="Arial" w:cs="Arial"/>
        </w:rPr>
      </w:pPr>
      <w:r w:rsidRPr="008803DF">
        <w:rPr>
          <w:rFonts w:ascii="Arial" w:hAnsi="Arial" w:cs="Arial"/>
        </w:rPr>
        <w:lastRenderedPageBreak/>
        <w:t xml:space="preserve">Teece, D.J. (2014) ‘The foundations of enterprise performance: Dynamic and ordinary capabilities in an (economic) theory of firms’, </w:t>
      </w:r>
      <w:r w:rsidRPr="008803DF">
        <w:rPr>
          <w:rStyle w:val="Emphasis"/>
          <w:rFonts w:ascii="Arial" w:hAnsi="Arial" w:cs="Arial"/>
        </w:rPr>
        <w:t>Academy of Management Perspectives</w:t>
      </w:r>
      <w:r w:rsidRPr="008803DF">
        <w:rPr>
          <w:rFonts w:ascii="Arial" w:hAnsi="Arial" w:cs="Arial"/>
        </w:rPr>
        <w:t xml:space="preserve">, 28(4), pp. 328–352. Available at: </w:t>
      </w:r>
      <w:hyperlink r:id="rId25" w:tgtFrame="_new" w:history="1">
        <w:r w:rsidRPr="008803DF">
          <w:rPr>
            <w:rStyle w:val="Hyperlink"/>
            <w:rFonts w:ascii="Arial" w:hAnsi="Arial" w:cs="Arial"/>
          </w:rPr>
          <w:t>https://doi.org/10.5465/amp.2013.0116</w:t>
        </w:r>
      </w:hyperlink>
      <w:r w:rsidRPr="008803DF">
        <w:rPr>
          <w:rFonts w:ascii="Arial" w:hAnsi="Arial" w:cs="Arial"/>
        </w:rPr>
        <w:t xml:space="preserve"> (Accessed: 29 March 2026).</w:t>
      </w:r>
    </w:p>
    <w:p w14:paraId="21C835D5" w14:textId="77777777" w:rsidR="008803DF" w:rsidRPr="008803DF" w:rsidRDefault="008803DF" w:rsidP="008803DF">
      <w:pPr>
        <w:pStyle w:val="NormalWeb"/>
        <w:rPr>
          <w:rFonts w:ascii="Arial" w:hAnsi="Arial" w:cs="Arial"/>
        </w:rPr>
      </w:pPr>
      <w:r w:rsidRPr="008803DF">
        <w:rPr>
          <w:rFonts w:ascii="Arial" w:hAnsi="Arial" w:cs="Arial"/>
        </w:rPr>
        <w:t xml:space="preserve">Wang, Y. (2026) ‘How Tesla drives the electric vehicle industry through disruptive innovation’, </w:t>
      </w:r>
      <w:r w:rsidRPr="008803DF">
        <w:rPr>
          <w:rStyle w:val="Emphasis"/>
          <w:rFonts w:ascii="Arial" w:hAnsi="Arial" w:cs="Arial"/>
        </w:rPr>
        <w:t>Atlantis Press Proceedings</w:t>
      </w:r>
      <w:r w:rsidRPr="008803DF">
        <w:rPr>
          <w:rFonts w:ascii="Arial" w:hAnsi="Arial" w:cs="Arial"/>
        </w:rPr>
        <w:t xml:space="preserve">. Available at: </w:t>
      </w:r>
      <w:hyperlink r:id="rId26" w:tgtFrame="_new" w:history="1">
        <w:r w:rsidRPr="008803DF">
          <w:rPr>
            <w:rStyle w:val="Hyperlink"/>
            <w:rFonts w:ascii="Arial" w:hAnsi="Arial" w:cs="Arial"/>
          </w:rPr>
          <w:t>https://www.atlantis-press.com/article/126021679.pdf</w:t>
        </w:r>
      </w:hyperlink>
      <w:r w:rsidRPr="008803DF">
        <w:rPr>
          <w:rFonts w:ascii="Arial" w:hAnsi="Arial" w:cs="Arial"/>
        </w:rPr>
        <w:t xml:space="preserve"> (Accessed: 29 March 2026).</w:t>
      </w:r>
    </w:p>
    <w:p w14:paraId="18C5DFA2" w14:textId="77777777" w:rsidR="008803DF" w:rsidRPr="008803DF" w:rsidRDefault="008803DF" w:rsidP="008803DF">
      <w:pPr>
        <w:pStyle w:val="NormalWeb"/>
        <w:rPr>
          <w:rFonts w:ascii="Arial" w:hAnsi="Arial" w:cs="Arial"/>
        </w:rPr>
      </w:pPr>
      <w:r w:rsidRPr="008803DF">
        <w:rPr>
          <w:rFonts w:ascii="Arial" w:hAnsi="Arial" w:cs="Arial"/>
        </w:rPr>
        <w:t xml:space="preserve">Yang, H. (2025) ‘Analysis of Tesla’s sustainable development strategy from an ESG perspective’, </w:t>
      </w:r>
      <w:r w:rsidRPr="008803DF">
        <w:rPr>
          <w:rStyle w:val="Emphasis"/>
          <w:rFonts w:ascii="Arial" w:hAnsi="Arial" w:cs="Arial"/>
        </w:rPr>
        <w:t>SHS Web of Conferences</w:t>
      </w:r>
      <w:r w:rsidRPr="008803DF">
        <w:rPr>
          <w:rFonts w:ascii="Arial" w:hAnsi="Arial" w:cs="Arial"/>
        </w:rPr>
        <w:t xml:space="preserve">, 16, 03029. Available at: </w:t>
      </w:r>
      <w:hyperlink r:id="rId27" w:tgtFrame="_new" w:history="1">
        <w:r w:rsidRPr="008803DF">
          <w:rPr>
            <w:rStyle w:val="Hyperlink"/>
            <w:rFonts w:ascii="Arial" w:hAnsi="Arial" w:cs="Arial"/>
          </w:rPr>
          <w:t>https://www.shs-conferences.org/articles/shsconf/pdf/2025/16/shsconf_icfmde2025_03029.pdf</w:t>
        </w:r>
      </w:hyperlink>
      <w:r w:rsidRPr="008803DF">
        <w:rPr>
          <w:rFonts w:ascii="Arial" w:hAnsi="Arial" w:cs="Arial"/>
        </w:rPr>
        <w:t xml:space="preserve"> (Accessed: 29 March 2026).</w:t>
      </w:r>
    </w:p>
    <w:p w14:paraId="2C416FC9" w14:textId="481A949F" w:rsidR="002A7F24" w:rsidRPr="008803DF" w:rsidRDefault="002A7F24" w:rsidP="008803DF">
      <w:pPr>
        <w:ind w:left="720" w:hanging="720"/>
        <w:rPr>
          <w:rFonts w:cs="Arial"/>
        </w:rPr>
      </w:pPr>
    </w:p>
    <w:sectPr w:rsidR="002A7F24" w:rsidRPr="008803DF" w:rsidSect="00034616">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C5B6A" w14:textId="77777777" w:rsidR="008E591C" w:rsidRDefault="008E591C">
      <w:pPr>
        <w:spacing w:after="0" w:line="240" w:lineRule="auto"/>
      </w:pPr>
      <w:r>
        <w:separator/>
      </w:r>
    </w:p>
  </w:endnote>
  <w:endnote w:type="continuationSeparator" w:id="0">
    <w:p w14:paraId="1DE516C5" w14:textId="77777777" w:rsidR="008E591C" w:rsidRDefault="008E5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D57A7" w14:textId="77777777" w:rsidR="002A7F24" w:rsidRDefault="00000000">
    <w:pPr>
      <w:pStyle w:val="Footer"/>
      <w:jc w:val="center"/>
    </w:pPr>
    <w:r>
      <w:fldChar w:fldCharType="begin"/>
    </w:r>
    <w:r>
      <w:instrText>PAGE</w:instrText>
    </w:r>
    <w:r>
      <w:fldChar w:fldCharType="separate"/>
    </w:r>
    <w:r w:rsidR="000B623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FF383" w14:textId="77777777" w:rsidR="008E591C" w:rsidRDefault="008E591C">
      <w:pPr>
        <w:spacing w:after="0" w:line="240" w:lineRule="auto"/>
      </w:pPr>
      <w:r>
        <w:separator/>
      </w:r>
    </w:p>
  </w:footnote>
  <w:footnote w:type="continuationSeparator" w:id="0">
    <w:p w14:paraId="497F9B17" w14:textId="77777777" w:rsidR="008E591C" w:rsidRDefault="008E5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11090302">
    <w:abstractNumId w:val="8"/>
  </w:num>
  <w:num w:numId="2" w16cid:durableId="1220047234">
    <w:abstractNumId w:val="6"/>
  </w:num>
  <w:num w:numId="3" w16cid:durableId="716583372">
    <w:abstractNumId w:val="5"/>
  </w:num>
  <w:num w:numId="4" w16cid:durableId="2133162054">
    <w:abstractNumId w:val="4"/>
  </w:num>
  <w:num w:numId="5" w16cid:durableId="1902476551">
    <w:abstractNumId w:val="7"/>
  </w:num>
  <w:num w:numId="6" w16cid:durableId="1970502488">
    <w:abstractNumId w:val="3"/>
  </w:num>
  <w:num w:numId="7" w16cid:durableId="216938186">
    <w:abstractNumId w:val="2"/>
  </w:num>
  <w:num w:numId="8" w16cid:durableId="1299341213">
    <w:abstractNumId w:val="1"/>
  </w:num>
  <w:num w:numId="9" w16cid:durableId="886913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6238"/>
    <w:rsid w:val="000D56C8"/>
    <w:rsid w:val="00125E67"/>
    <w:rsid w:val="001434D5"/>
    <w:rsid w:val="0015074B"/>
    <w:rsid w:val="001E6A37"/>
    <w:rsid w:val="00260291"/>
    <w:rsid w:val="0029639D"/>
    <w:rsid w:val="002A7F24"/>
    <w:rsid w:val="002C297E"/>
    <w:rsid w:val="002D3BED"/>
    <w:rsid w:val="00326F90"/>
    <w:rsid w:val="00353861"/>
    <w:rsid w:val="003772FE"/>
    <w:rsid w:val="0040339A"/>
    <w:rsid w:val="004543FF"/>
    <w:rsid w:val="00494353"/>
    <w:rsid w:val="004B3400"/>
    <w:rsid w:val="004C61D0"/>
    <w:rsid w:val="004C757D"/>
    <w:rsid w:val="00582099"/>
    <w:rsid w:val="005B6745"/>
    <w:rsid w:val="00630067"/>
    <w:rsid w:val="0063362D"/>
    <w:rsid w:val="006F4553"/>
    <w:rsid w:val="007070A8"/>
    <w:rsid w:val="007152DE"/>
    <w:rsid w:val="00757E89"/>
    <w:rsid w:val="00766954"/>
    <w:rsid w:val="0081291A"/>
    <w:rsid w:val="00816056"/>
    <w:rsid w:val="008803DF"/>
    <w:rsid w:val="008A1EBB"/>
    <w:rsid w:val="008E591C"/>
    <w:rsid w:val="009547EE"/>
    <w:rsid w:val="00976B76"/>
    <w:rsid w:val="00983122"/>
    <w:rsid w:val="00A20E69"/>
    <w:rsid w:val="00A514CE"/>
    <w:rsid w:val="00A906E2"/>
    <w:rsid w:val="00AA1D8D"/>
    <w:rsid w:val="00AE3CE2"/>
    <w:rsid w:val="00AE6730"/>
    <w:rsid w:val="00B1766A"/>
    <w:rsid w:val="00B47730"/>
    <w:rsid w:val="00C03057"/>
    <w:rsid w:val="00C37E45"/>
    <w:rsid w:val="00C5414C"/>
    <w:rsid w:val="00CB0664"/>
    <w:rsid w:val="00D60816"/>
    <w:rsid w:val="00DB0574"/>
    <w:rsid w:val="00DD5F1B"/>
    <w:rsid w:val="00E70861"/>
    <w:rsid w:val="00E90ECA"/>
    <w:rsid w:val="00F55FFB"/>
    <w:rsid w:val="00F720EC"/>
    <w:rsid w:val="00FA43D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DEAD07"/>
  <w14:defaultImageDpi w14:val="300"/>
  <w15:docId w15:val="{83C95936-1828-465D-9834-5D429576E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8803DF"/>
    <w:pPr>
      <w:spacing w:before="100" w:beforeAutospacing="1" w:after="100" w:afterAutospacing="1" w:line="240" w:lineRule="auto"/>
    </w:pPr>
    <w:rPr>
      <w:rFonts w:ascii="Times New Roman" w:eastAsia="Times New Roman" w:hAnsi="Times New Roman" w:cs="Times New Roman"/>
      <w:szCs w:val="24"/>
      <w:lang w:val="en-AU" w:eastAsia="en-AU"/>
    </w:rPr>
  </w:style>
  <w:style w:type="character" w:styleId="Hyperlink">
    <w:name w:val="Hyperlink"/>
    <w:basedOn w:val="DefaultParagraphFont"/>
    <w:uiPriority w:val="99"/>
    <w:unhideWhenUsed/>
    <w:rsid w:val="008803DF"/>
    <w:rPr>
      <w:color w:val="0000FF"/>
      <w:u w:val="single"/>
    </w:rPr>
  </w:style>
  <w:style w:type="paragraph" w:styleId="TOC1">
    <w:name w:val="toc 1"/>
    <w:basedOn w:val="Normal"/>
    <w:next w:val="Normal"/>
    <w:autoRedefine/>
    <w:uiPriority w:val="39"/>
    <w:unhideWhenUsed/>
    <w:rsid w:val="004B3400"/>
    <w:pPr>
      <w:spacing w:after="100"/>
    </w:pPr>
  </w:style>
  <w:style w:type="paragraph" w:styleId="TOC2">
    <w:name w:val="toc 2"/>
    <w:basedOn w:val="Normal"/>
    <w:next w:val="Normal"/>
    <w:autoRedefine/>
    <w:uiPriority w:val="39"/>
    <w:unhideWhenUsed/>
    <w:rsid w:val="004B34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10.1177/014920639101700108?utm_source=chatgpt.com" TargetMode="External"/><Relationship Id="rId18" Type="http://schemas.openxmlformats.org/officeDocument/2006/relationships/hyperlink" Target="https://doi.org/10.15295/bmij.v9i1.1790" TargetMode="External"/><Relationship Id="rId26" Type="http://schemas.openxmlformats.org/officeDocument/2006/relationships/hyperlink" Target="https://www.atlantis-press.com/article/126021679.pdf?utm_source=chatgpt.com" TargetMode="External"/><Relationship Id="rId3" Type="http://schemas.openxmlformats.org/officeDocument/2006/relationships/styles" Target="styles.xml"/><Relationship Id="rId21" Type="http://schemas.openxmlformats.org/officeDocument/2006/relationships/hyperlink" Target="https://www.scitepress.org/Papers/2025/139889/139889.pdf?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dpi.com/2071-1050/17/19/8733?utm_source=chatgpt.com" TargetMode="External"/><Relationship Id="rId25" Type="http://schemas.openxmlformats.org/officeDocument/2006/relationships/hyperlink" Target="https://doi.org/10.5465/amp.2013.0116" TargetMode="External"/><Relationship Id="rId2" Type="http://schemas.openxmlformats.org/officeDocument/2006/relationships/numbering" Target="numbering.xml"/><Relationship Id="rId16" Type="http://schemas.openxmlformats.org/officeDocument/2006/relationships/hyperlink" Target="https://www.cambridge.org/core/journals/management-and-organization-review/article/dynamic-and-ordinary-capabilities-in-industry-transformation-the-case-of-the-electric-vehicle-industry/25766A906BF830E61BB15983683E9F7A?utm_source=chatgpt.com" TargetMode="External"/><Relationship Id="rId20" Type="http://schemas.openxmlformats.org/officeDocument/2006/relationships/hyperlink" Target="https://www.atlantis-press.com/proceedings/icfrim-25/126013074?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smj.640" TargetMode="External"/><Relationship Id="rId5" Type="http://schemas.openxmlformats.org/officeDocument/2006/relationships/webSettings" Target="webSettings.xml"/><Relationship Id="rId15" Type="http://schemas.openxmlformats.org/officeDocument/2006/relationships/hyperlink" Target="https://digitalcommons.unl.edu/honorstheses/745/?utm_source=chatgpt.com" TargetMode="External"/><Relationship Id="rId23" Type="http://schemas.openxmlformats.org/officeDocument/2006/relationships/hyperlink" Target="https://doi.org/10.3390/joitmc6040097"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02/bse.353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213624X22000347" TargetMode="External"/><Relationship Id="rId22" Type="http://schemas.openxmlformats.org/officeDocument/2006/relationships/hyperlink" Target="https://doi.org/10.1006/mare.1999.0121" TargetMode="External"/><Relationship Id="rId27" Type="http://schemas.openxmlformats.org/officeDocument/2006/relationships/hyperlink" Target="https://www.shs-conferences.org/articles/shsconf/pdf/2025/16/shsconf_icfmde2025_03029.pdf?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6543</Words>
  <Characters>37298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43754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User</dc:creator>
  <cp:keywords/>
  <dc:description>generated by python-docx</dc:description>
  <cp:lastModifiedBy>ITRS</cp:lastModifiedBy>
  <cp:revision>2</cp:revision>
  <dcterms:created xsi:type="dcterms:W3CDTF">2026-03-31T21:45:00Z</dcterms:created>
  <dcterms:modified xsi:type="dcterms:W3CDTF">2026-03-31T21:45:00Z</dcterms:modified>
  <cp:category/>
</cp:coreProperties>
</file>