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937D3" w14:textId="40D36F17" w:rsidR="00F33783" w:rsidRPr="001B7AD4" w:rsidRDefault="00F33783" w:rsidP="00B24D54">
      <w:pPr>
        <w:rPr>
          <w:rFonts w:ascii="Arial" w:hAnsi="Arial" w:cs="Arial"/>
          <w:b/>
          <w:bCs/>
        </w:rPr>
      </w:pPr>
    </w:p>
    <w:p w14:paraId="7E989557" w14:textId="202923A1" w:rsidR="00F33783" w:rsidRPr="001B7AD4" w:rsidRDefault="00F33783" w:rsidP="00F33783">
      <w:pPr>
        <w:jc w:val="center"/>
        <w:rPr>
          <w:rFonts w:ascii="Arial" w:hAnsi="Arial" w:cs="Arial"/>
          <w:b/>
          <w:bCs/>
        </w:rPr>
      </w:pPr>
    </w:p>
    <w:p w14:paraId="1C2D67A1" w14:textId="77777777" w:rsidR="00B24D54" w:rsidRDefault="00B24D54" w:rsidP="00B24D54">
      <w:pPr>
        <w:rPr>
          <w:rFonts w:ascii="Arial" w:hAnsi="Arial" w:cs="Arial"/>
          <w:b/>
          <w:bCs/>
        </w:rPr>
      </w:pPr>
    </w:p>
    <w:p w14:paraId="278818DD" w14:textId="14ED3FB7" w:rsidR="00F33783" w:rsidRDefault="002F7D99" w:rsidP="00B24D54">
      <w:pPr>
        <w:jc w:val="center"/>
        <w:rPr>
          <w:rFonts w:ascii="Arial" w:hAnsi="Arial" w:cs="Arial"/>
          <w:sz w:val="28"/>
          <w:szCs w:val="28"/>
        </w:rPr>
      </w:pPr>
      <w:r w:rsidRPr="00C72039">
        <w:rPr>
          <w:rFonts w:ascii="Arial" w:hAnsi="Arial" w:cs="Arial"/>
          <w:sz w:val="28"/>
          <w:szCs w:val="28"/>
        </w:rPr>
        <w:t>Awla Semakula 1912740</w:t>
      </w:r>
    </w:p>
    <w:p w14:paraId="6CB21A1B" w14:textId="77777777" w:rsidR="00B24D54" w:rsidRPr="00B24D54" w:rsidRDefault="00B24D54" w:rsidP="00B24D54">
      <w:pPr>
        <w:jc w:val="center"/>
        <w:rPr>
          <w:rFonts w:ascii="Arial" w:hAnsi="Arial" w:cs="Arial"/>
          <w:b/>
          <w:bCs/>
        </w:rPr>
      </w:pPr>
    </w:p>
    <w:p w14:paraId="0C86F7C0" w14:textId="77777777" w:rsidR="00B24D54" w:rsidRDefault="00B24D54" w:rsidP="002F7D99">
      <w:pPr>
        <w:jc w:val="center"/>
        <w:rPr>
          <w:rFonts w:ascii="Arial" w:hAnsi="Arial" w:cs="Arial"/>
          <w:sz w:val="28"/>
          <w:szCs w:val="28"/>
        </w:rPr>
      </w:pPr>
    </w:p>
    <w:p w14:paraId="36AC49E1" w14:textId="4328BA7C" w:rsidR="00F33783" w:rsidRPr="00B24D54" w:rsidRDefault="00671D84" w:rsidP="002F7D99">
      <w:pPr>
        <w:jc w:val="center"/>
        <w:rPr>
          <w:rFonts w:ascii="Arial" w:hAnsi="Arial" w:cs="Arial"/>
          <w:b/>
          <w:bCs/>
          <w:sz w:val="28"/>
          <w:szCs w:val="28"/>
        </w:rPr>
      </w:pPr>
      <w:r w:rsidRPr="00B24D54">
        <w:rPr>
          <w:rFonts w:ascii="Arial" w:hAnsi="Arial" w:cs="Arial"/>
          <w:b/>
          <w:bCs/>
          <w:sz w:val="28"/>
          <w:szCs w:val="28"/>
        </w:rPr>
        <w:t>Children, Young People and Families</w:t>
      </w:r>
    </w:p>
    <w:p w14:paraId="0A9B0C2A" w14:textId="07A07AB8" w:rsidR="00F33783" w:rsidRDefault="00671D84" w:rsidP="002F7D99">
      <w:pPr>
        <w:jc w:val="center"/>
        <w:rPr>
          <w:rFonts w:ascii="Arial" w:hAnsi="Arial" w:cs="Arial"/>
          <w:sz w:val="28"/>
          <w:szCs w:val="28"/>
        </w:rPr>
      </w:pPr>
      <w:r w:rsidRPr="00C72039">
        <w:rPr>
          <w:rFonts w:ascii="Arial" w:hAnsi="Arial" w:cs="Arial"/>
          <w:sz w:val="28"/>
          <w:szCs w:val="28"/>
        </w:rPr>
        <w:t>BMHP5004</w:t>
      </w:r>
    </w:p>
    <w:p w14:paraId="32909087" w14:textId="6F0560E9" w:rsidR="00B24D54" w:rsidRDefault="00B24D54" w:rsidP="002F7D99">
      <w:pPr>
        <w:jc w:val="center"/>
        <w:rPr>
          <w:rFonts w:ascii="Arial" w:hAnsi="Arial" w:cs="Arial"/>
          <w:sz w:val="28"/>
          <w:szCs w:val="28"/>
        </w:rPr>
      </w:pPr>
    </w:p>
    <w:p w14:paraId="3C63AAA1" w14:textId="5695B030" w:rsidR="00B24D54" w:rsidRDefault="00B24D54" w:rsidP="002F7D99">
      <w:pPr>
        <w:jc w:val="center"/>
        <w:rPr>
          <w:rFonts w:ascii="Arial" w:hAnsi="Arial" w:cs="Arial"/>
          <w:sz w:val="28"/>
          <w:szCs w:val="28"/>
        </w:rPr>
      </w:pPr>
    </w:p>
    <w:p w14:paraId="47950923" w14:textId="3B8C6C8A" w:rsidR="00B24D54" w:rsidRDefault="00B24D54" w:rsidP="002F7D99">
      <w:pPr>
        <w:jc w:val="center"/>
        <w:rPr>
          <w:rFonts w:ascii="Arial" w:hAnsi="Arial" w:cs="Arial"/>
          <w:sz w:val="28"/>
          <w:szCs w:val="28"/>
        </w:rPr>
      </w:pPr>
    </w:p>
    <w:p w14:paraId="152CC865" w14:textId="7210917F" w:rsidR="00B24D54" w:rsidRDefault="00B24D54" w:rsidP="002F7D99">
      <w:pPr>
        <w:jc w:val="center"/>
        <w:rPr>
          <w:rFonts w:ascii="Arial" w:hAnsi="Arial" w:cs="Arial"/>
          <w:sz w:val="28"/>
          <w:szCs w:val="28"/>
        </w:rPr>
      </w:pPr>
    </w:p>
    <w:p w14:paraId="00AAA7EE" w14:textId="2DF9136E" w:rsidR="00B24D54" w:rsidRDefault="00B24D54" w:rsidP="002F7D99">
      <w:pPr>
        <w:jc w:val="center"/>
        <w:rPr>
          <w:rFonts w:ascii="Arial" w:hAnsi="Arial" w:cs="Arial"/>
          <w:sz w:val="28"/>
          <w:szCs w:val="28"/>
        </w:rPr>
      </w:pPr>
    </w:p>
    <w:p w14:paraId="476B1EC1" w14:textId="7387B581" w:rsidR="00B24D54" w:rsidRDefault="00B24D54" w:rsidP="002F7D99">
      <w:pPr>
        <w:jc w:val="center"/>
        <w:rPr>
          <w:rFonts w:ascii="Arial" w:hAnsi="Arial" w:cs="Arial"/>
          <w:sz w:val="28"/>
          <w:szCs w:val="28"/>
        </w:rPr>
      </w:pPr>
    </w:p>
    <w:p w14:paraId="384B00DD" w14:textId="306CE073" w:rsidR="00B24D54" w:rsidRDefault="00B24D54" w:rsidP="002F7D99">
      <w:pPr>
        <w:jc w:val="center"/>
        <w:rPr>
          <w:rFonts w:ascii="Arial" w:hAnsi="Arial" w:cs="Arial"/>
          <w:sz w:val="28"/>
          <w:szCs w:val="28"/>
        </w:rPr>
      </w:pPr>
    </w:p>
    <w:p w14:paraId="5BEB5E2A" w14:textId="6F88488C" w:rsidR="00B24D54" w:rsidRDefault="00B24D54" w:rsidP="002F7D99">
      <w:pPr>
        <w:jc w:val="center"/>
        <w:rPr>
          <w:rFonts w:ascii="Arial" w:hAnsi="Arial" w:cs="Arial"/>
          <w:sz w:val="28"/>
          <w:szCs w:val="28"/>
        </w:rPr>
      </w:pPr>
    </w:p>
    <w:p w14:paraId="5A541426" w14:textId="6695E838" w:rsidR="00B24D54" w:rsidRDefault="00B24D54" w:rsidP="002F7D99">
      <w:pPr>
        <w:jc w:val="center"/>
        <w:rPr>
          <w:rFonts w:ascii="Arial" w:hAnsi="Arial" w:cs="Arial"/>
          <w:sz w:val="28"/>
          <w:szCs w:val="28"/>
        </w:rPr>
      </w:pPr>
    </w:p>
    <w:p w14:paraId="1FFA9432" w14:textId="6B14128F" w:rsidR="00B24D54" w:rsidRDefault="00B24D54" w:rsidP="002F7D99">
      <w:pPr>
        <w:jc w:val="center"/>
        <w:rPr>
          <w:rFonts w:ascii="Arial" w:hAnsi="Arial" w:cs="Arial"/>
          <w:sz w:val="28"/>
          <w:szCs w:val="28"/>
        </w:rPr>
      </w:pPr>
    </w:p>
    <w:p w14:paraId="7C18F454" w14:textId="77777777" w:rsidR="00B24D54" w:rsidRPr="00C72039" w:rsidRDefault="00B24D54" w:rsidP="002F7D99">
      <w:pPr>
        <w:jc w:val="center"/>
        <w:rPr>
          <w:rFonts w:ascii="Arial" w:hAnsi="Arial" w:cs="Arial"/>
          <w:sz w:val="28"/>
          <w:szCs w:val="28"/>
        </w:rPr>
      </w:pPr>
    </w:p>
    <w:p w14:paraId="2D8E059F" w14:textId="77777777" w:rsidR="00B24D54" w:rsidRDefault="00B24D54" w:rsidP="002F7D99">
      <w:pPr>
        <w:jc w:val="center"/>
        <w:rPr>
          <w:rFonts w:ascii="Arial" w:hAnsi="Arial" w:cs="Arial"/>
          <w:sz w:val="28"/>
          <w:szCs w:val="28"/>
        </w:rPr>
      </w:pPr>
    </w:p>
    <w:p w14:paraId="775641D7" w14:textId="77777777" w:rsidR="00B24D54" w:rsidRDefault="00B24D54" w:rsidP="00B24D54">
      <w:pPr>
        <w:rPr>
          <w:rFonts w:ascii="Arial" w:hAnsi="Arial" w:cs="Arial"/>
          <w:sz w:val="28"/>
          <w:szCs w:val="28"/>
        </w:rPr>
      </w:pPr>
    </w:p>
    <w:p w14:paraId="792E6F69" w14:textId="391F0D84" w:rsidR="00F33783" w:rsidRPr="00C72039" w:rsidRDefault="00671D84" w:rsidP="002F7D99">
      <w:pPr>
        <w:jc w:val="center"/>
        <w:rPr>
          <w:rFonts w:ascii="Arial" w:hAnsi="Arial" w:cs="Arial"/>
          <w:sz w:val="28"/>
          <w:szCs w:val="28"/>
        </w:rPr>
      </w:pPr>
      <w:r w:rsidRPr="00C72039">
        <w:rPr>
          <w:rFonts w:ascii="Arial" w:hAnsi="Arial" w:cs="Arial"/>
          <w:sz w:val="28"/>
          <w:szCs w:val="28"/>
        </w:rPr>
        <w:t xml:space="preserve">Lecturer name: </w:t>
      </w:r>
      <w:r w:rsidR="002F7D99" w:rsidRPr="00C72039">
        <w:rPr>
          <w:rFonts w:ascii="Arial" w:hAnsi="Arial" w:cs="Arial"/>
          <w:sz w:val="28"/>
          <w:szCs w:val="28"/>
        </w:rPr>
        <w:t>Jolly Nwankwo</w:t>
      </w:r>
    </w:p>
    <w:p w14:paraId="7664C074" w14:textId="77777777" w:rsidR="00F33783" w:rsidRPr="001B7AD4" w:rsidRDefault="00F33783" w:rsidP="002F7D99">
      <w:pPr>
        <w:jc w:val="center"/>
        <w:rPr>
          <w:rFonts w:ascii="Arial" w:hAnsi="Arial" w:cs="Arial"/>
          <w:b/>
          <w:bCs/>
        </w:rPr>
      </w:pPr>
    </w:p>
    <w:p w14:paraId="123818FB" w14:textId="77777777" w:rsidR="00F33783" w:rsidRPr="001B7AD4" w:rsidRDefault="00F33783" w:rsidP="002F7D99">
      <w:pPr>
        <w:jc w:val="center"/>
        <w:rPr>
          <w:rFonts w:ascii="Arial" w:hAnsi="Arial" w:cs="Arial"/>
          <w:b/>
          <w:bCs/>
        </w:rPr>
      </w:pPr>
    </w:p>
    <w:p w14:paraId="0D230BF6" w14:textId="71D0C481" w:rsidR="00F33783" w:rsidRPr="001B7AD4" w:rsidRDefault="00F33783" w:rsidP="00F33783">
      <w:pPr>
        <w:rPr>
          <w:rFonts w:ascii="Arial" w:hAnsi="Arial" w:cs="Arial"/>
          <w:b/>
          <w:bCs/>
        </w:rPr>
      </w:pPr>
    </w:p>
    <w:p w14:paraId="710F8FE2" w14:textId="77777777" w:rsidR="003A29D8" w:rsidRPr="001B7AD4" w:rsidRDefault="003A29D8" w:rsidP="00F33783">
      <w:pPr>
        <w:rPr>
          <w:rFonts w:ascii="Arial" w:hAnsi="Arial" w:cs="Arial"/>
          <w:b/>
          <w:bCs/>
        </w:rPr>
      </w:pPr>
    </w:p>
    <w:p w14:paraId="148E8761" w14:textId="77777777" w:rsidR="00F33783" w:rsidRPr="001B7AD4" w:rsidRDefault="00F33783" w:rsidP="00F33783">
      <w:pPr>
        <w:rPr>
          <w:rFonts w:ascii="Arial" w:hAnsi="Arial" w:cs="Arial"/>
          <w:b/>
          <w:bCs/>
        </w:rPr>
      </w:pPr>
    </w:p>
    <w:p w14:paraId="4E3E472A" w14:textId="77777777" w:rsidR="00F33783" w:rsidRPr="001B7AD4" w:rsidRDefault="00F33783">
      <w:pPr>
        <w:rPr>
          <w:rFonts w:ascii="Arial" w:hAnsi="Arial" w:cs="Arial"/>
          <w:b/>
          <w:bCs/>
        </w:rPr>
      </w:pPr>
    </w:p>
    <w:p w14:paraId="4D7993EF" w14:textId="15A7636B" w:rsidR="00463AB1" w:rsidRPr="00B24D54" w:rsidRDefault="00671D84" w:rsidP="00B24D54">
      <w:pPr>
        <w:pStyle w:val="TOCHeading"/>
        <w:spacing w:after="240" w:line="360" w:lineRule="auto"/>
        <w:rPr>
          <w:rFonts w:ascii="Arial" w:hAnsi="Arial" w:cs="Arial"/>
          <w:b/>
          <w:bCs/>
          <w:color w:val="auto"/>
          <w:sz w:val="28"/>
          <w:szCs w:val="28"/>
        </w:rPr>
      </w:pPr>
      <w:bookmarkStart w:id="0" w:name="_Toc143032089"/>
      <w:r w:rsidRPr="001B7AD4">
        <w:lastRenderedPageBreak/>
        <w:t>Introduction</w:t>
      </w:r>
      <w:bookmarkEnd w:id="0"/>
    </w:p>
    <w:p w14:paraId="50D81E3D" w14:textId="32DA4C43" w:rsidR="00463AB1" w:rsidRDefault="00671D84" w:rsidP="00227A42">
      <w:pPr>
        <w:spacing w:line="360" w:lineRule="auto"/>
        <w:jc w:val="both"/>
        <w:rPr>
          <w:rFonts w:ascii="Arial" w:hAnsi="Arial" w:cs="Arial"/>
        </w:rPr>
      </w:pPr>
      <w:r>
        <w:rPr>
          <w:rFonts w:ascii="Arial" w:hAnsi="Arial" w:cs="Arial"/>
        </w:rPr>
        <w:t xml:space="preserve">Childhood </w:t>
      </w:r>
      <w:r w:rsidR="002C497E">
        <w:rPr>
          <w:rFonts w:ascii="Arial" w:hAnsi="Arial" w:cs="Arial"/>
        </w:rPr>
        <w:t xml:space="preserve">refers to the early stage of human life that encompasses </w:t>
      </w:r>
      <w:r w:rsidR="00963B04">
        <w:rPr>
          <w:rFonts w:ascii="Arial" w:hAnsi="Arial" w:cs="Arial"/>
        </w:rPr>
        <w:t xml:space="preserve">the period from birth to adolescence. </w:t>
      </w:r>
      <w:r w:rsidR="00F41C83" w:rsidRPr="00F41C83">
        <w:rPr>
          <w:rFonts w:ascii="Arial" w:hAnsi="Arial" w:cs="Arial"/>
        </w:rPr>
        <w:t>Infanthood, toddlerhood, early childhood, middle childhood, and adolescence are some of the common stages of childhood that are separated into separate categories</w:t>
      </w:r>
      <w:r w:rsidR="004326A7">
        <w:rPr>
          <w:rFonts w:ascii="Arial" w:hAnsi="Arial" w:cs="Arial"/>
        </w:rPr>
        <w:t xml:space="preserve"> </w:t>
      </w:r>
      <w:r w:rsidR="001C039F">
        <w:rPr>
          <w:rFonts w:ascii="Arial" w:hAnsi="Arial" w:cs="Arial"/>
        </w:rPr>
        <w:t>(</w:t>
      </w:r>
      <w:r w:rsidR="001C039F">
        <w:rPr>
          <w:rFonts w:ascii="Arial" w:hAnsi="Arial" w:cs="Arial"/>
          <w:color w:val="222222"/>
          <w:sz w:val="20"/>
          <w:szCs w:val="20"/>
          <w:shd w:val="clear" w:color="auto" w:fill="FFFFFF"/>
        </w:rPr>
        <w:t>Matthews, 2021)</w:t>
      </w:r>
      <w:r w:rsidR="00F41C83" w:rsidRPr="00F41C83">
        <w:rPr>
          <w:rFonts w:ascii="Arial" w:hAnsi="Arial" w:cs="Arial"/>
        </w:rPr>
        <w:t>. These phases are distinguished by clear turning points and modifications in a person's physical characteristics, mental faculties, emotional development, and social interactions.</w:t>
      </w:r>
      <w:r w:rsidR="001C039F">
        <w:rPr>
          <w:rFonts w:ascii="Arial" w:hAnsi="Arial" w:cs="Arial"/>
        </w:rPr>
        <w:t xml:space="preserve"> </w:t>
      </w:r>
      <w:r>
        <w:rPr>
          <w:rFonts w:ascii="Arial" w:hAnsi="Arial" w:cs="Arial"/>
        </w:rPr>
        <w:t>T</w:t>
      </w:r>
      <w:r w:rsidR="009E54AB" w:rsidRPr="009E54AB">
        <w:rPr>
          <w:rFonts w:ascii="Arial" w:hAnsi="Arial" w:cs="Arial"/>
        </w:rPr>
        <w:t>he analysis of the development of childhood and the social and historical formation of the family offers an engrossing perspective</w:t>
      </w:r>
      <w:r w:rsidR="001C039F">
        <w:rPr>
          <w:rFonts w:ascii="Arial" w:hAnsi="Arial" w:cs="Arial"/>
        </w:rPr>
        <w:t xml:space="preserve"> </w:t>
      </w:r>
      <w:r w:rsidR="009B7570">
        <w:rPr>
          <w:rFonts w:ascii="Arial" w:hAnsi="Arial" w:cs="Arial"/>
        </w:rPr>
        <w:t>(</w:t>
      </w:r>
      <w:r w:rsidR="009B7570">
        <w:rPr>
          <w:rFonts w:ascii="Arial" w:hAnsi="Arial" w:cs="Arial"/>
          <w:color w:val="222222"/>
          <w:sz w:val="20"/>
          <w:szCs w:val="20"/>
          <w:shd w:val="clear" w:color="auto" w:fill="FFFFFF"/>
        </w:rPr>
        <w:t>Smidt, 2013)</w:t>
      </w:r>
      <w:r w:rsidR="009E54AB" w:rsidRPr="009E54AB">
        <w:rPr>
          <w:rFonts w:ascii="Arial" w:hAnsi="Arial" w:cs="Arial"/>
        </w:rPr>
        <w:t xml:space="preserve">. In its current form, the idea of childhood has not stayed constant over time. Rather, it has gone through a constant alteration impacted by a complex interaction of societal standards, historical occurrences, and the changing dynamics of familial structures. </w:t>
      </w:r>
      <w:r w:rsidR="00771FA0">
        <w:rPr>
          <w:rFonts w:ascii="Arial" w:hAnsi="Arial" w:cs="Arial"/>
        </w:rPr>
        <w:t xml:space="preserve">In the view of </w:t>
      </w:r>
      <w:r w:rsidR="006722F6">
        <w:rPr>
          <w:rFonts w:ascii="Arial" w:hAnsi="Arial" w:cs="Arial"/>
          <w:color w:val="222222"/>
          <w:sz w:val="20"/>
          <w:szCs w:val="20"/>
          <w:shd w:val="clear" w:color="auto" w:fill="FFFFFF"/>
        </w:rPr>
        <w:t>Charlesworth (2016), a</w:t>
      </w:r>
      <w:r w:rsidR="0049192F">
        <w:rPr>
          <w:rFonts w:ascii="Arial" w:hAnsi="Arial" w:cs="Arial"/>
        </w:rPr>
        <w:t>s childhood is one of the most important sectors of human life, the understanding of development and growth through this stage from a social and family perspective can provide a significant understandin</w:t>
      </w:r>
      <w:r w:rsidR="00D449E2">
        <w:rPr>
          <w:rFonts w:ascii="Arial" w:hAnsi="Arial" w:cs="Arial"/>
        </w:rPr>
        <w:t xml:space="preserve">g of social and family development. </w:t>
      </w:r>
      <w:r w:rsidR="008001D7">
        <w:rPr>
          <w:rFonts w:ascii="Arial" w:hAnsi="Arial" w:cs="Arial"/>
        </w:rPr>
        <w:t>In addition to that, the current concept of childhood has been modified with various socio</w:t>
      </w:r>
      <w:r w:rsidR="00847F1C">
        <w:rPr>
          <w:rFonts w:ascii="Arial" w:hAnsi="Arial" w:cs="Arial"/>
        </w:rPr>
        <w:t>l</w:t>
      </w:r>
      <w:r w:rsidR="008001D7">
        <w:rPr>
          <w:rFonts w:ascii="Arial" w:hAnsi="Arial" w:cs="Arial"/>
        </w:rPr>
        <w:t>o</w:t>
      </w:r>
      <w:r w:rsidR="00847F1C">
        <w:rPr>
          <w:rFonts w:ascii="Arial" w:hAnsi="Arial" w:cs="Arial"/>
        </w:rPr>
        <w:t>g</w:t>
      </w:r>
      <w:r w:rsidR="008001D7">
        <w:rPr>
          <w:rFonts w:ascii="Arial" w:hAnsi="Arial" w:cs="Arial"/>
        </w:rPr>
        <w:t>ical perspectives</w:t>
      </w:r>
      <w:r w:rsidR="008B41F4">
        <w:rPr>
          <w:rFonts w:ascii="Arial" w:hAnsi="Arial" w:cs="Arial"/>
        </w:rPr>
        <w:t xml:space="preserve"> which were different in the earlier decades</w:t>
      </w:r>
      <w:r w:rsidR="006722F6">
        <w:rPr>
          <w:rFonts w:ascii="Arial" w:hAnsi="Arial" w:cs="Arial"/>
        </w:rPr>
        <w:t xml:space="preserve"> </w:t>
      </w:r>
      <w:r w:rsidR="0014373C">
        <w:rPr>
          <w:rFonts w:ascii="Arial" w:hAnsi="Arial" w:cs="Arial"/>
        </w:rPr>
        <w:t>(</w:t>
      </w:r>
      <w:r w:rsidR="0014373C">
        <w:rPr>
          <w:rFonts w:ascii="Arial" w:hAnsi="Arial" w:cs="Arial"/>
          <w:color w:val="222222"/>
          <w:sz w:val="20"/>
          <w:szCs w:val="20"/>
          <w:shd w:val="clear" w:color="auto" w:fill="FFFFFF"/>
        </w:rPr>
        <w:t>Joshi and Shukla, 2019</w:t>
      </w:r>
      <w:r w:rsidR="0014373C">
        <w:rPr>
          <w:rFonts w:ascii="Arial" w:hAnsi="Arial" w:cs="Arial"/>
        </w:rPr>
        <w:t>)</w:t>
      </w:r>
      <w:r w:rsidR="008B41F4">
        <w:rPr>
          <w:rFonts w:ascii="Arial" w:hAnsi="Arial" w:cs="Arial"/>
        </w:rPr>
        <w:t xml:space="preserve">. </w:t>
      </w:r>
      <w:r w:rsidR="00301DB3">
        <w:rPr>
          <w:rFonts w:ascii="Arial" w:hAnsi="Arial" w:cs="Arial"/>
        </w:rPr>
        <w:t xml:space="preserve">This essay aims to </w:t>
      </w:r>
      <w:r w:rsidR="009E54AB" w:rsidRPr="009E54AB">
        <w:rPr>
          <w:rFonts w:ascii="Arial" w:hAnsi="Arial" w:cs="Arial"/>
        </w:rPr>
        <w:t xml:space="preserve">focus on how the complex web of social and historical variables has shaped the perception and experience of this stage of life. </w:t>
      </w:r>
      <w:r w:rsidR="00D21D64">
        <w:rPr>
          <w:rFonts w:ascii="Arial" w:hAnsi="Arial" w:cs="Arial"/>
        </w:rPr>
        <w:t>It will emphasise</w:t>
      </w:r>
      <w:r w:rsidR="009E54AB" w:rsidRPr="009E54AB">
        <w:rPr>
          <w:rFonts w:ascii="Arial" w:hAnsi="Arial" w:cs="Arial"/>
        </w:rPr>
        <w:t xml:space="preserve"> the fundamental processes that have led to the current understanding of childhood by looking at how families have evolved through time.</w:t>
      </w:r>
    </w:p>
    <w:p w14:paraId="02499C51" w14:textId="5A12ADA5" w:rsidR="008E21DE" w:rsidRDefault="00C24F1F" w:rsidP="00227A42">
      <w:pPr>
        <w:spacing w:line="360" w:lineRule="auto"/>
        <w:jc w:val="both"/>
        <w:rPr>
          <w:rFonts w:ascii="Arial" w:hAnsi="Arial" w:cs="Arial"/>
        </w:rPr>
      </w:pPr>
      <w:r>
        <w:rPr>
          <w:rFonts w:ascii="Arial" w:hAnsi="Arial" w:cs="Arial"/>
        </w:rPr>
        <w:t xml:space="preserve">The concept and theoretical perspective of childhood </w:t>
      </w:r>
      <w:r w:rsidR="00671D84">
        <w:rPr>
          <w:rFonts w:ascii="Arial" w:hAnsi="Arial" w:cs="Arial"/>
        </w:rPr>
        <w:t>are</w:t>
      </w:r>
      <w:r>
        <w:rPr>
          <w:rFonts w:ascii="Arial" w:hAnsi="Arial" w:cs="Arial"/>
        </w:rPr>
        <w:t xml:space="preserve"> not prior</w:t>
      </w:r>
      <w:r w:rsidR="00671D84">
        <w:rPr>
          <w:rFonts w:ascii="Arial" w:hAnsi="Arial" w:cs="Arial"/>
        </w:rPr>
        <w:t>i</w:t>
      </w:r>
      <w:r>
        <w:rPr>
          <w:rFonts w:ascii="Arial" w:hAnsi="Arial" w:cs="Arial"/>
        </w:rPr>
        <w:t xml:space="preserve">tised at equal importance in all cultures. </w:t>
      </w:r>
      <w:r w:rsidR="007D63F7">
        <w:rPr>
          <w:rFonts w:ascii="Arial" w:hAnsi="Arial" w:cs="Arial"/>
        </w:rPr>
        <w:t xml:space="preserve">As a result of </w:t>
      </w:r>
      <w:r w:rsidR="00671D84">
        <w:rPr>
          <w:rFonts w:ascii="Arial" w:hAnsi="Arial" w:cs="Arial"/>
        </w:rPr>
        <w:t>this</w:t>
      </w:r>
      <w:r w:rsidR="007D63F7">
        <w:rPr>
          <w:rFonts w:ascii="Arial" w:hAnsi="Arial" w:cs="Arial"/>
        </w:rPr>
        <w:t>, differences in the identification of childhood rights and privil</w:t>
      </w:r>
      <w:r w:rsidR="00671D84">
        <w:rPr>
          <w:rFonts w:ascii="Arial" w:hAnsi="Arial" w:cs="Arial"/>
        </w:rPr>
        <w:t>e</w:t>
      </w:r>
      <w:r w:rsidR="007D63F7">
        <w:rPr>
          <w:rFonts w:ascii="Arial" w:hAnsi="Arial" w:cs="Arial"/>
        </w:rPr>
        <w:t>ges are found across different culture</w:t>
      </w:r>
      <w:r w:rsidR="00671D84">
        <w:rPr>
          <w:rFonts w:ascii="Arial" w:hAnsi="Arial" w:cs="Arial"/>
        </w:rPr>
        <w:t>s</w:t>
      </w:r>
      <w:r w:rsidR="007D63F7">
        <w:rPr>
          <w:rFonts w:ascii="Arial" w:hAnsi="Arial" w:cs="Arial"/>
        </w:rPr>
        <w:t xml:space="preserve">. However, in the modern world, in most cultures and societies, </w:t>
      </w:r>
      <w:r w:rsidR="00671D84">
        <w:rPr>
          <w:rFonts w:ascii="Arial" w:hAnsi="Arial" w:cs="Arial"/>
        </w:rPr>
        <w:t xml:space="preserve">the </w:t>
      </w:r>
      <w:r w:rsidR="007D63F7">
        <w:rPr>
          <w:rFonts w:ascii="Arial" w:hAnsi="Arial" w:cs="Arial"/>
        </w:rPr>
        <w:t xml:space="preserve">childhood period is observed as a period of innocence and </w:t>
      </w:r>
      <w:r w:rsidR="003903B7">
        <w:rPr>
          <w:rFonts w:ascii="Arial" w:hAnsi="Arial" w:cs="Arial"/>
        </w:rPr>
        <w:t>learning (</w:t>
      </w:r>
      <w:r w:rsidR="003903B7" w:rsidRPr="00227A42">
        <w:rPr>
          <w:rFonts w:ascii="Arial" w:hAnsi="Arial" w:cs="Arial"/>
        </w:rPr>
        <w:t>Archard, 2014)</w:t>
      </w:r>
      <w:r w:rsidR="003903B7">
        <w:rPr>
          <w:rFonts w:ascii="Arial" w:hAnsi="Arial" w:cs="Arial"/>
        </w:rPr>
        <w:t xml:space="preserve">. Nevertheless, such </w:t>
      </w:r>
      <w:r w:rsidR="00671D84">
        <w:rPr>
          <w:rFonts w:ascii="Arial" w:hAnsi="Arial" w:cs="Arial"/>
        </w:rPr>
        <w:t xml:space="preserve">a </w:t>
      </w:r>
      <w:r w:rsidR="003903B7">
        <w:rPr>
          <w:rFonts w:ascii="Arial" w:hAnsi="Arial" w:cs="Arial"/>
        </w:rPr>
        <w:t>concept about the childhood period was not the same across various historical timeline</w:t>
      </w:r>
      <w:r w:rsidR="00671D84">
        <w:rPr>
          <w:rFonts w:ascii="Arial" w:hAnsi="Arial" w:cs="Arial"/>
        </w:rPr>
        <w:t>s</w:t>
      </w:r>
      <w:r w:rsidR="00F50BDE">
        <w:rPr>
          <w:rFonts w:ascii="Arial" w:hAnsi="Arial" w:cs="Arial"/>
        </w:rPr>
        <w:t>. As a result of which, it can be identified that the improvement in regulations and modern relations have helped to improve the perspective about childhood.</w:t>
      </w:r>
      <w:r w:rsidR="009A0CD8">
        <w:rPr>
          <w:rFonts w:ascii="Arial" w:hAnsi="Arial" w:cs="Arial"/>
        </w:rPr>
        <w:t xml:space="preserve"> In addition to that, there are various phases in childhood which are </w:t>
      </w:r>
      <w:r w:rsidR="003F11E5" w:rsidRPr="003F11E5">
        <w:rPr>
          <w:rFonts w:ascii="Arial" w:hAnsi="Arial" w:cs="Arial"/>
        </w:rPr>
        <w:t>distinguished by clear turning points and modifications in a person's physical characteristics, mental faculties, emotional development, and social interactions</w:t>
      </w:r>
      <w:r w:rsidR="00F70854">
        <w:rPr>
          <w:rFonts w:ascii="Arial" w:hAnsi="Arial" w:cs="Arial"/>
        </w:rPr>
        <w:t xml:space="preserve"> </w:t>
      </w:r>
      <w:r w:rsidR="00CC7A68">
        <w:rPr>
          <w:rFonts w:ascii="Arial" w:hAnsi="Arial" w:cs="Arial"/>
        </w:rPr>
        <w:t>(</w:t>
      </w:r>
      <w:r w:rsidR="00CC7A68" w:rsidRPr="00227A42">
        <w:rPr>
          <w:rFonts w:ascii="Arial" w:hAnsi="Arial" w:cs="Arial"/>
        </w:rPr>
        <w:t>Panter</w:t>
      </w:r>
      <w:r w:rsidR="00CC7A68" w:rsidRPr="00227A42">
        <w:rPr>
          <w:rFonts w:ascii="Cambria Math" w:hAnsi="Cambria Math" w:cs="Cambria Math"/>
        </w:rPr>
        <w:t>‐</w:t>
      </w:r>
      <w:r w:rsidR="00CC7A68" w:rsidRPr="00227A42">
        <w:rPr>
          <w:rFonts w:ascii="Arial" w:hAnsi="Arial" w:cs="Arial"/>
        </w:rPr>
        <w:t>Brick and Leckman, 2013)</w:t>
      </w:r>
      <w:r w:rsidR="003F11E5" w:rsidRPr="003F11E5">
        <w:rPr>
          <w:rFonts w:ascii="Arial" w:hAnsi="Arial" w:cs="Arial"/>
        </w:rPr>
        <w:t>.</w:t>
      </w:r>
      <w:r w:rsidR="007F22B8">
        <w:rPr>
          <w:rFonts w:ascii="Arial" w:hAnsi="Arial" w:cs="Arial"/>
        </w:rPr>
        <w:t xml:space="preserve"> </w:t>
      </w:r>
      <w:r w:rsidR="007F22B8" w:rsidRPr="007F22B8">
        <w:rPr>
          <w:rFonts w:ascii="Arial" w:hAnsi="Arial" w:cs="Arial"/>
        </w:rPr>
        <w:t>The concept of childhood and how children are treated have changed significantly throughout history. Social transformations, economic considerations, and developments in psychology and education all have an impact on these changes</w:t>
      </w:r>
      <w:r w:rsidR="00CC7A68">
        <w:rPr>
          <w:rFonts w:ascii="Arial" w:hAnsi="Arial" w:cs="Arial"/>
        </w:rPr>
        <w:t xml:space="preserve"> </w:t>
      </w:r>
      <w:r w:rsidR="000439DD">
        <w:rPr>
          <w:rFonts w:ascii="Arial" w:hAnsi="Arial" w:cs="Arial"/>
        </w:rPr>
        <w:t>(</w:t>
      </w:r>
      <w:r w:rsidR="000439DD" w:rsidRPr="00227A42">
        <w:rPr>
          <w:rFonts w:ascii="Arial" w:hAnsi="Arial" w:cs="Arial"/>
        </w:rPr>
        <w:t>Shahar and Galai, 2023)</w:t>
      </w:r>
      <w:r w:rsidR="007F22B8" w:rsidRPr="007F22B8">
        <w:rPr>
          <w:rFonts w:ascii="Arial" w:hAnsi="Arial" w:cs="Arial"/>
        </w:rPr>
        <w:t>. Children's rights are recognised and protected by numerous international agreements and legislation, and childhood is safeguarded and respected in modern cultures.</w:t>
      </w:r>
    </w:p>
    <w:p w14:paraId="42C489A6" w14:textId="5D2AF657" w:rsidR="00B57167" w:rsidRPr="00B57167" w:rsidRDefault="00671D84" w:rsidP="00227A42">
      <w:pPr>
        <w:spacing w:line="360" w:lineRule="auto"/>
        <w:jc w:val="both"/>
        <w:rPr>
          <w:rFonts w:ascii="Arial" w:hAnsi="Arial" w:cs="Arial"/>
        </w:rPr>
      </w:pPr>
      <w:r>
        <w:rPr>
          <w:rFonts w:ascii="Arial" w:hAnsi="Arial" w:cs="Arial"/>
        </w:rPr>
        <w:lastRenderedPageBreak/>
        <w:t xml:space="preserve">As the childhood stage becomes more significant in the connection with family life, it is essential to understand the key elements of family life. </w:t>
      </w:r>
      <w:r w:rsidRPr="00B57167">
        <w:rPr>
          <w:rFonts w:ascii="Arial" w:hAnsi="Arial" w:cs="Arial"/>
        </w:rPr>
        <w:t>Family life includes a wide range of crucial components that jointly mould people and their interactions with one another</w:t>
      </w:r>
      <w:r w:rsidR="000439DD">
        <w:rPr>
          <w:rFonts w:ascii="Arial" w:hAnsi="Arial" w:cs="Arial"/>
        </w:rPr>
        <w:t xml:space="preserve"> </w:t>
      </w:r>
      <w:r w:rsidR="00B6733B">
        <w:rPr>
          <w:rFonts w:ascii="Arial" w:hAnsi="Arial" w:cs="Arial"/>
        </w:rPr>
        <w:t>(</w:t>
      </w:r>
      <w:r w:rsidR="00B6733B" w:rsidRPr="00227A42">
        <w:rPr>
          <w:rFonts w:ascii="Arial" w:hAnsi="Arial" w:cs="Arial"/>
        </w:rPr>
        <w:t>Åslund, Böhlmark, and Skans, 2015)</w:t>
      </w:r>
      <w:r w:rsidRPr="00B57167">
        <w:rPr>
          <w:rFonts w:ascii="Arial" w:hAnsi="Arial" w:cs="Arial"/>
        </w:rPr>
        <w:t xml:space="preserve">. Family members give emotional support, direction, and a sense of belonging, which lays the groundwork for personal growth and development. </w:t>
      </w:r>
      <w:r>
        <w:rPr>
          <w:rFonts w:ascii="Arial" w:hAnsi="Arial" w:cs="Arial"/>
        </w:rPr>
        <w:t xml:space="preserve">Communication </w:t>
      </w:r>
      <w:r w:rsidR="002728F6">
        <w:rPr>
          <w:rFonts w:ascii="Arial" w:hAnsi="Arial" w:cs="Arial"/>
        </w:rPr>
        <w:t xml:space="preserve">among the members of the family is another important aspect in terms of family components. </w:t>
      </w:r>
      <w:r w:rsidRPr="00B57167">
        <w:rPr>
          <w:rFonts w:ascii="Arial" w:hAnsi="Arial" w:cs="Arial"/>
        </w:rPr>
        <w:t>Children learn about collaboration, respect, and the dynamics of interdependence through their roles and duties within the family structure</w:t>
      </w:r>
      <w:r w:rsidR="00030CB0">
        <w:rPr>
          <w:rFonts w:ascii="Arial" w:hAnsi="Arial" w:cs="Arial"/>
        </w:rPr>
        <w:t xml:space="preserve"> and respective family communication nature</w:t>
      </w:r>
      <w:r w:rsidR="00B6733B">
        <w:rPr>
          <w:rFonts w:ascii="Arial" w:hAnsi="Arial" w:cs="Arial"/>
        </w:rPr>
        <w:t xml:space="preserve"> </w:t>
      </w:r>
      <w:r w:rsidR="003429EE">
        <w:rPr>
          <w:rFonts w:ascii="Arial" w:hAnsi="Arial" w:cs="Arial"/>
        </w:rPr>
        <w:t>(</w:t>
      </w:r>
      <w:r w:rsidR="003429EE" w:rsidRPr="00227A42">
        <w:rPr>
          <w:rFonts w:ascii="Arial" w:hAnsi="Arial" w:cs="Arial"/>
        </w:rPr>
        <w:t>Aries, 2020)</w:t>
      </w:r>
      <w:r w:rsidRPr="00B57167">
        <w:rPr>
          <w:rFonts w:ascii="Arial" w:hAnsi="Arial" w:cs="Arial"/>
        </w:rPr>
        <w:t>. Family relationships are strengthened and enduring memories are made through shared experiences and rituals. Through the inescapable difficulties that arise, conflict resolution abilities are developed, encouraging constructive methods of handling conflicts. In essence, family life's fundamental components</w:t>
      </w:r>
      <w:r w:rsidR="00256318">
        <w:rPr>
          <w:rFonts w:ascii="Arial" w:hAnsi="Arial" w:cs="Arial"/>
        </w:rPr>
        <w:t xml:space="preserve"> like </w:t>
      </w:r>
      <w:r w:rsidRPr="00B57167">
        <w:rPr>
          <w:rFonts w:ascii="Arial" w:hAnsi="Arial" w:cs="Arial"/>
        </w:rPr>
        <w:t>communication, support, roles, shared experiences, and conflict resolution</w:t>
      </w:r>
      <w:r w:rsidR="00256318">
        <w:rPr>
          <w:rFonts w:ascii="Arial" w:hAnsi="Arial" w:cs="Arial"/>
        </w:rPr>
        <w:t xml:space="preserve">; </w:t>
      </w:r>
      <w:r w:rsidRPr="00B57167">
        <w:rPr>
          <w:rFonts w:ascii="Arial" w:hAnsi="Arial" w:cs="Arial"/>
        </w:rPr>
        <w:t>all work together to promote the overall growth and well-being of its members</w:t>
      </w:r>
      <w:r w:rsidR="00256318">
        <w:rPr>
          <w:rFonts w:ascii="Arial" w:hAnsi="Arial" w:cs="Arial"/>
        </w:rPr>
        <w:t xml:space="preserve"> </w:t>
      </w:r>
      <w:r w:rsidR="00BD2235">
        <w:rPr>
          <w:rFonts w:ascii="Arial" w:hAnsi="Arial" w:cs="Arial"/>
        </w:rPr>
        <w:t>(</w:t>
      </w:r>
      <w:r w:rsidR="00BD2235" w:rsidRPr="00227A42">
        <w:rPr>
          <w:rFonts w:ascii="Arial" w:hAnsi="Arial" w:cs="Arial"/>
        </w:rPr>
        <w:t>Lino, 2016)</w:t>
      </w:r>
      <w:r w:rsidRPr="00B57167">
        <w:rPr>
          <w:rFonts w:ascii="Arial" w:hAnsi="Arial" w:cs="Arial"/>
        </w:rPr>
        <w:t>.</w:t>
      </w:r>
    </w:p>
    <w:p w14:paraId="6C3A0973" w14:textId="642A1F70" w:rsidR="005C63F0" w:rsidRDefault="00671D84" w:rsidP="00227A42">
      <w:pPr>
        <w:spacing w:line="360" w:lineRule="auto"/>
        <w:jc w:val="both"/>
        <w:rPr>
          <w:rFonts w:ascii="Arial" w:hAnsi="Arial" w:cs="Arial"/>
        </w:rPr>
      </w:pPr>
      <w:r w:rsidRPr="00A27C24">
        <w:rPr>
          <w:rFonts w:ascii="Arial" w:hAnsi="Arial" w:cs="Arial"/>
        </w:rPr>
        <w:t>Important aspects of family life have profound connections to childhood. Families are the main social unit where children are raised, taken care of, and given a nurturing environment in which to develop. When it comes to guiding a child's development, providing emotional support, and imparting values and cultural standards, parental figures are crucial</w:t>
      </w:r>
      <w:r w:rsidR="0017431D">
        <w:rPr>
          <w:rFonts w:ascii="Arial" w:hAnsi="Arial" w:cs="Arial"/>
        </w:rPr>
        <w:t xml:space="preserve"> </w:t>
      </w:r>
      <w:r w:rsidR="00FB4E38">
        <w:rPr>
          <w:rFonts w:ascii="Arial" w:hAnsi="Arial" w:cs="Arial"/>
        </w:rPr>
        <w:t>(</w:t>
      </w:r>
      <w:r w:rsidR="00FB4E38" w:rsidRPr="00227A42">
        <w:rPr>
          <w:rFonts w:ascii="Arial" w:hAnsi="Arial" w:cs="Arial"/>
        </w:rPr>
        <w:t>Garner, Yogman, and Committee on Psychosocial Aspects of Child and Family Health, 2021)</w:t>
      </w:r>
      <w:r w:rsidRPr="00A27C24">
        <w:rPr>
          <w:rFonts w:ascii="Arial" w:hAnsi="Arial" w:cs="Arial"/>
        </w:rPr>
        <w:t>. Children's sense of identity, self-esteem, and understanding of relationships are shaped by family interactions and dynamics.</w:t>
      </w:r>
      <w:r>
        <w:rPr>
          <w:rFonts w:ascii="Arial" w:hAnsi="Arial" w:cs="Arial"/>
        </w:rPr>
        <w:t xml:space="preserve"> </w:t>
      </w:r>
    </w:p>
    <w:p w14:paraId="006102A1" w14:textId="1B78CC41" w:rsidR="00101CFE" w:rsidRDefault="00671D84" w:rsidP="00227A42">
      <w:pPr>
        <w:spacing w:line="360" w:lineRule="auto"/>
        <w:jc w:val="both"/>
        <w:rPr>
          <w:rFonts w:ascii="Arial" w:hAnsi="Arial" w:cs="Arial"/>
        </w:rPr>
      </w:pPr>
      <w:r>
        <w:rPr>
          <w:rFonts w:ascii="Arial" w:hAnsi="Arial" w:cs="Arial"/>
        </w:rPr>
        <w:t>As the children</w:t>
      </w:r>
      <w:r w:rsidR="005C63F0" w:rsidRPr="005C63F0">
        <w:rPr>
          <w:rFonts w:ascii="Arial" w:hAnsi="Arial" w:cs="Arial"/>
        </w:rPr>
        <w:t xml:space="preserve"> start their formal learning journey</w:t>
      </w:r>
      <w:r>
        <w:rPr>
          <w:rFonts w:ascii="Arial" w:hAnsi="Arial" w:cs="Arial"/>
        </w:rPr>
        <w:t xml:space="preserve"> in this stage</w:t>
      </w:r>
      <w:r w:rsidR="005C63F0" w:rsidRPr="005C63F0">
        <w:rPr>
          <w:rFonts w:ascii="Arial" w:hAnsi="Arial" w:cs="Arial"/>
        </w:rPr>
        <w:t>, education is a crucial part of childhood. Children can acquire knowledge, skills, and socialisation opportunities in structured environments provided by schools and educational systems</w:t>
      </w:r>
      <w:r>
        <w:rPr>
          <w:rFonts w:ascii="Arial" w:hAnsi="Arial" w:cs="Arial"/>
        </w:rPr>
        <w:t xml:space="preserve"> </w:t>
      </w:r>
      <w:r w:rsidR="00AD2AAA">
        <w:rPr>
          <w:rFonts w:ascii="Arial" w:hAnsi="Arial" w:cs="Arial"/>
        </w:rPr>
        <w:t>(</w:t>
      </w:r>
      <w:r w:rsidR="00AD2AAA" w:rsidRPr="00227A42">
        <w:rPr>
          <w:rFonts w:ascii="Arial" w:hAnsi="Arial" w:cs="Arial"/>
        </w:rPr>
        <w:t>Lascarides and Hinitz, 2013)</w:t>
      </w:r>
      <w:r w:rsidR="005C63F0" w:rsidRPr="005C63F0">
        <w:rPr>
          <w:rFonts w:ascii="Arial" w:hAnsi="Arial" w:cs="Arial"/>
        </w:rPr>
        <w:t>. Along with imparting academic knowledge, education also aids in the development of social skills, teamwork, and a feeling of responsibility in young people.</w:t>
      </w:r>
      <w:r w:rsidR="005C63F0">
        <w:rPr>
          <w:rFonts w:ascii="Arial" w:hAnsi="Arial" w:cs="Arial"/>
        </w:rPr>
        <w:t xml:space="preserve"> </w:t>
      </w:r>
      <w:r w:rsidR="00736940">
        <w:rPr>
          <w:rFonts w:ascii="Arial" w:hAnsi="Arial" w:cs="Arial"/>
        </w:rPr>
        <w:t xml:space="preserve">Physical movement and playing around in society </w:t>
      </w:r>
      <w:r w:rsidR="005C63F0" w:rsidRPr="005C63F0">
        <w:rPr>
          <w:rFonts w:ascii="Arial" w:hAnsi="Arial" w:cs="Arial"/>
        </w:rPr>
        <w:t xml:space="preserve">are important in childhood as well. Children learn about their surroundings, cultivate their creativity and problem-solving abilities, and improve their physical coordination via </w:t>
      </w:r>
      <w:r w:rsidR="00736940">
        <w:rPr>
          <w:rFonts w:ascii="Arial" w:hAnsi="Arial" w:cs="Arial"/>
        </w:rPr>
        <w:t>such activities</w:t>
      </w:r>
      <w:r w:rsidR="005C63F0" w:rsidRPr="005C63F0">
        <w:rPr>
          <w:rFonts w:ascii="Arial" w:hAnsi="Arial" w:cs="Arial"/>
        </w:rPr>
        <w:t>. Play is not only fun, but it is also crucial for the development of social, emotional, and cognitive skills</w:t>
      </w:r>
      <w:r w:rsidR="00AD2AAA">
        <w:rPr>
          <w:rFonts w:ascii="Arial" w:hAnsi="Arial" w:cs="Arial"/>
        </w:rPr>
        <w:t xml:space="preserve"> </w:t>
      </w:r>
      <w:r w:rsidR="006E653B">
        <w:rPr>
          <w:rFonts w:ascii="Arial" w:hAnsi="Arial" w:cs="Arial"/>
        </w:rPr>
        <w:t>(</w:t>
      </w:r>
      <w:r w:rsidR="006E653B" w:rsidRPr="00227A42">
        <w:rPr>
          <w:rFonts w:ascii="Arial" w:hAnsi="Arial" w:cs="Arial"/>
        </w:rPr>
        <w:t>Wohlwend, 2015)</w:t>
      </w:r>
      <w:r w:rsidR="005C63F0" w:rsidRPr="005C63F0">
        <w:rPr>
          <w:rFonts w:ascii="Arial" w:hAnsi="Arial" w:cs="Arial"/>
        </w:rPr>
        <w:t>.</w:t>
      </w:r>
      <w:r w:rsidR="00B11544">
        <w:rPr>
          <w:rFonts w:ascii="Arial" w:hAnsi="Arial" w:cs="Arial"/>
        </w:rPr>
        <w:t xml:space="preserve"> As a whole, c</w:t>
      </w:r>
      <w:r w:rsidR="00B11544" w:rsidRPr="00B11544">
        <w:rPr>
          <w:rFonts w:ascii="Arial" w:hAnsi="Arial" w:cs="Arial"/>
        </w:rPr>
        <w:t>hildhood is a formative stage that includes the development of the body, mind, emotions, and social skills. It is distinguished by development, education, and exploration within the confines of family life. The components of familial support, education, play, and emotional development come together as children navigate the complex path of childhood to shape their identities and prepare them for the opportunities and challenges of adulthood.</w:t>
      </w:r>
    </w:p>
    <w:p w14:paraId="4B0ECD1E" w14:textId="019A0340" w:rsidR="001B7AD4" w:rsidRDefault="00671D84" w:rsidP="00227A42">
      <w:pPr>
        <w:spacing w:line="360" w:lineRule="auto"/>
        <w:jc w:val="both"/>
        <w:rPr>
          <w:rFonts w:ascii="Arial" w:hAnsi="Arial" w:cs="Arial"/>
        </w:rPr>
      </w:pPr>
      <w:r w:rsidRPr="00C72637">
        <w:rPr>
          <w:rFonts w:ascii="Arial" w:hAnsi="Arial" w:cs="Arial"/>
        </w:rPr>
        <w:lastRenderedPageBreak/>
        <w:t>A variety of interrelated elements, such as changes in policy, legislation, societal norms, and economic conditions, have all had an impact on how childhood has been historically constructed in the UK. Childhood has changed from historical to contemporary periods, reflecting changing views on the experiences, rights, and duties of children</w:t>
      </w:r>
      <w:r w:rsidR="00383990">
        <w:rPr>
          <w:rFonts w:ascii="Arial" w:hAnsi="Arial" w:cs="Arial"/>
        </w:rPr>
        <w:t xml:space="preserve"> </w:t>
      </w:r>
      <w:r w:rsidR="001E1084">
        <w:rPr>
          <w:rFonts w:ascii="Arial" w:hAnsi="Arial" w:cs="Arial"/>
        </w:rPr>
        <w:t>(</w:t>
      </w:r>
      <w:r w:rsidR="001E1084" w:rsidRPr="00227A42">
        <w:rPr>
          <w:rFonts w:ascii="Arial" w:hAnsi="Arial" w:cs="Arial"/>
        </w:rPr>
        <w:t>Baxter, 2022)</w:t>
      </w:r>
      <w:r w:rsidRPr="00C72637">
        <w:rPr>
          <w:rFonts w:ascii="Arial" w:hAnsi="Arial" w:cs="Arial"/>
        </w:rPr>
        <w:t>.</w:t>
      </w:r>
      <w:r w:rsidR="00610A82">
        <w:rPr>
          <w:rFonts w:ascii="Arial" w:hAnsi="Arial" w:cs="Arial"/>
        </w:rPr>
        <w:t xml:space="preserve"> Even though the childhood stage of human life seems</w:t>
      </w:r>
      <w:r w:rsidR="005B2F5A">
        <w:rPr>
          <w:rFonts w:ascii="Arial" w:hAnsi="Arial" w:cs="Arial"/>
        </w:rPr>
        <w:t xml:space="preserve"> like an initial stage of life, it bears a significant level of importance due to its ability to reconstruct and</w:t>
      </w:r>
      <w:r w:rsidR="000822F0">
        <w:rPr>
          <w:rFonts w:ascii="Arial" w:hAnsi="Arial" w:cs="Arial"/>
        </w:rPr>
        <w:t xml:space="preserve"> develop the following life.</w:t>
      </w:r>
    </w:p>
    <w:p w14:paraId="228EE242" w14:textId="6304C2E6" w:rsidR="00E821CA" w:rsidRDefault="00671D84" w:rsidP="00227A42">
      <w:pPr>
        <w:spacing w:line="360" w:lineRule="auto"/>
        <w:jc w:val="both"/>
        <w:rPr>
          <w:rFonts w:ascii="Arial" w:hAnsi="Arial" w:cs="Arial"/>
        </w:rPr>
      </w:pPr>
      <w:r>
        <w:rPr>
          <w:rFonts w:ascii="Arial" w:hAnsi="Arial" w:cs="Arial"/>
        </w:rPr>
        <w:t xml:space="preserve">The historical context of </w:t>
      </w:r>
      <w:r w:rsidR="006B2617">
        <w:rPr>
          <w:rFonts w:ascii="Arial" w:hAnsi="Arial" w:cs="Arial"/>
        </w:rPr>
        <w:t xml:space="preserve">childhood can be deeply understood by analysing its context through sequential </w:t>
      </w:r>
      <w:r w:rsidR="00B5197E">
        <w:rPr>
          <w:rFonts w:ascii="Arial" w:hAnsi="Arial" w:cs="Arial"/>
        </w:rPr>
        <w:t>analysis of events</w:t>
      </w:r>
      <w:r w:rsidR="00B4139F">
        <w:rPr>
          <w:rFonts w:ascii="Arial" w:hAnsi="Arial" w:cs="Arial"/>
        </w:rPr>
        <w:t>.</w:t>
      </w:r>
      <w:r w:rsidR="00B5197E">
        <w:rPr>
          <w:rFonts w:ascii="Arial" w:hAnsi="Arial" w:cs="Arial"/>
        </w:rPr>
        <w:t xml:space="preserve"> </w:t>
      </w:r>
      <w:r w:rsidRPr="00E821CA">
        <w:rPr>
          <w:rFonts w:ascii="Arial" w:hAnsi="Arial" w:cs="Arial"/>
        </w:rPr>
        <w:t>Childhood in pre-industrial times was frequently viewed through the prism of economic utility; young children were expected to work from an early age to support their families</w:t>
      </w:r>
      <w:r w:rsidR="001E1084">
        <w:rPr>
          <w:rFonts w:ascii="Arial" w:hAnsi="Arial" w:cs="Arial"/>
        </w:rPr>
        <w:t xml:space="preserve"> </w:t>
      </w:r>
      <w:r w:rsidR="00136B36">
        <w:rPr>
          <w:rFonts w:ascii="Arial" w:hAnsi="Arial" w:cs="Arial"/>
        </w:rPr>
        <w:t>(</w:t>
      </w:r>
      <w:r w:rsidR="00136B36" w:rsidRPr="00227A42">
        <w:rPr>
          <w:rFonts w:ascii="Arial" w:hAnsi="Arial" w:cs="Arial"/>
        </w:rPr>
        <w:t>Gordon and Browne, 2016)</w:t>
      </w:r>
      <w:r w:rsidRPr="00E821CA">
        <w:rPr>
          <w:rFonts w:ascii="Arial" w:hAnsi="Arial" w:cs="Arial"/>
        </w:rPr>
        <w:t>.</w:t>
      </w:r>
      <w:r w:rsidR="00B4139F">
        <w:rPr>
          <w:rFonts w:ascii="Arial" w:hAnsi="Arial" w:cs="Arial"/>
        </w:rPr>
        <w:t xml:space="preserve"> As increasing the ability to earn a source for the family was one of the </w:t>
      </w:r>
      <w:r w:rsidR="00136B36">
        <w:rPr>
          <w:rFonts w:ascii="Arial" w:hAnsi="Arial" w:cs="Arial"/>
        </w:rPr>
        <w:t>prioritised</w:t>
      </w:r>
      <w:r w:rsidR="00B4139F">
        <w:rPr>
          <w:rFonts w:ascii="Arial" w:hAnsi="Arial" w:cs="Arial"/>
        </w:rPr>
        <w:t xml:space="preserve"> motivations during that period, children were mostly sent </w:t>
      </w:r>
      <w:r w:rsidR="00AD73F9">
        <w:rPr>
          <w:rFonts w:ascii="Arial" w:hAnsi="Arial" w:cs="Arial"/>
        </w:rPr>
        <w:t>to perform various labour works and played roles for earning in favour of their families.</w:t>
      </w:r>
      <w:r w:rsidRPr="00E821CA">
        <w:rPr>
          <w:rFonts w:ascii="Arial" w:hAnsi="Arial" w:cs="Arial"/>
        </w:rPr>
        <w:t xml:space="preserve"> This perspective was further influenced by the Industrial Revolution, as more kids were working in mines and factories</w:t>
      </w:r>
      <w:r w:rsidR="00136B36">
        <w:rPr>
          <w:rFonts w:ascii="Arial" w:hAnsi="Arial" w:cs="Arial"/>
        </w:rPr>
        <w:t xml:space="preserve"> </w:t>
      </w:r>
      <w:r w:rsidR="006608A4">
        <w:rPr>
          <w:rFonts w:ascii="Arial" w:hAnsi="Arial" w:cs="Arial"/>
        </w:rPr>
        <w:t>(</w:t>
      </w:r>
      <w:r w:rsidR="006608A4" w:rsidRPr="00227A42">
        <w:rPr>
          <w:rFonts w:ascii="Arial" w:hAnsi="Arial" w:cs="Arial"/>
        </w:rPr>
        <w:t>Haslip and Gullo, 2018)</w:t>
      </w:r>
      <w:r w:rsidRPr="00E821CA">
        <w:rPr>
          <w:rFonts w:ascii="Arial" w:hAnsi="Arial" w:cs="Arial"/>
        </w:rPr>
        <w:t>. The Factory Acts of the 19th century, which sought to restrict child labour and guarantee that children from working-class families received some form of education, were born out of the need for regulatory measures in response to this exploitation</w:t>
      </w:r>
      <w:r w:rsidR="00617F54">
        <w:rPr>
          <w:rFonts w:ascii="Arial" w:hAnsi="Arial" w:cs="Arial"/>
        </w:rPr>
        <w:t xml:space="preserve"> (</w:t>
      </w:r>
      <w:r w:rsidR="00617F54" w:rsidRPr="00227A42">
        <w:rPr>
          <w:rFonts w:ascii="Arial" w:hAnsi="Arial" w:cs="Arial"/>
        </w:rPr>
        <w:t>Humphries, 2013)</w:t>
      </w:r>
      <w:r w:rsidRPr="00E821CA">
        <w:rPr>
          <w:rFonts w:ascii="Arial" w:hAnsi="Arial" w:cs="Arial"/>
        </w:rPr>
        <w:t>.</w:t>
      </w:r>
      <w:r w:rsidR="00AD73F9">
        <w:rPr>
          <w:rFonts w:ascii="Arial" w:hAnsi="Arial" w:cs="Arial"/>
        </w:rPr>
        <w:t xml:space="preserve"> As a result of which, the concept of child labour was observed deeply by the </w:t>
      </w:r>
      <w:r w:rsidR="00EC4CDC">
        <w:rPr>
          <w:rFonts w:ascii="Arial" w:hAnsi="Arial" w:cs="Arial"/>
        </w:rPr>
        <w:t>concerned population and therefore, child education was focused thereon. As regulatory measures</w:t>
      </w:r>
      <w:r w:rsidR="00FC5798">
        <w:rPr>
          <w:rFonts w:ascii="Arial" w:hAnsi="Arial" w:cs="Arial"/>
        </w:rPr>
        <w:t xml:space="preserve"> were implemented for </w:t>
      </w:r>
      <w:r w:rsidR="00E50AED">
        <w:rPr>
          <w:rFonts w:ascii="Arial" w:hAnsi="Arial" w:cs="Arial"/>
        </w:rPr>
        <w:t>restricting exploitation against child labour, the concept of education and a better lifestyle emerged in childhood.</w:t>
      </w:r>
    </w:p>
    <w:p w14:paraId="02A2948F" w14:textId="0B4A1F76" w:rsidR="00121377" w:rsidRDefault="00671D84" w:rsidP="00227A42">
      <w:pPr>
        <w:spacing w:line="360" w:lineRule="auto"/>
        <w:jc w:val="both"/>
        <w:rPr>
          <w:rFonts w:ascii="Arial" w:hAnsi="Arial" w:cs="Arial"/>
        </w:rPr>
      </w:pPr>
      <w:r w:rsidRPr="00121377">
        <w:rPr>
          <w:rFonts w:ascii="Arial" w:hAnsi="Arial" w:cs="Arial"/>
        </w:rPr>
        <w:t>The importance of children's participation and rights was increasingly recognised in the second half of the 20th century. A significant step towards recognising children as active agents with specific rights was the UN Convention on the Rights of the Child, which was adopted in 1989</w:t>
      </w:r>
      <w:r w:rsidR="005759F3">
        <w:rPr>
          <w:rFonts w:ascii="Arial" w:hAnsi="Arial" w:cs="Arial"/>
        </w:rPr>
        <w:t xml:space="preserve"> </w:t>
      </w:r>
      <w:r w:rsidR="00566061">
        <w:rPr>
          <w:rFonts w:ascii="Arial" w:hAnsi="Arial" w:cs="Arial"/>
        </w:rPr>
        <w:t>(</w:t>
      </w:r>
      <w:r w:rsidR="00566061" w:rsidRPr="00227A42">
        <w:rPr>
          <w:rFonts w:ascii="Arial" w:hAnsi="Arial" w:cs="Arial"/>
        </w:rPr>
        <w:t>Tobin, 2019)</w:t>
      </w:r>
      <w:r w:rsidRPr="00121377">
        <w:rPr>
          <w:rFonts w:ascii="Arial" w:hAnsi="Arial" w:cs="Arial"/>
        </w:rPr>
        <w:t>.</w:t>
      </w:r>
      <w:r w:rsidR="0030622A">
        <w:rPr>
          <w:rFonts w:ascii="Arial" w:hAnsi="Arial" w:cs="Arial"/>
        </w:rPr>
        <w:t xml:space="preserve"> Due to such measures, rights for the children were recognised globally and</w:t>
      </w:r>
      <w:r w:rsidR="00B0391D">
        <w:rPr>
          <w:rFonts w:ascii="Arial" w:hAnsi="Arial" w:cs="Arial"/>
        </w:rPr>
        <w:t xml:space="preserve"> international organisations started to collaborate with local governing bodies to ensure rights and protection for the children.</w:t>
      </w:r>
      <w:r w:rsidRPr="00121377">
        <w:rPr>
          <w:rFonts w:ascii="Arial" w:hAnsi="Arial" w:cs="Arial"/>
        </w:rPr>
        <w:t xml:space="preserve"> Legislative modifications resulted from this, such as the Children Act of 1989, which placed a premium on the welfare of children and emphasised agency cooperation</w:t>
      </w:r>
      <w:r w:rsidR="00566061">
        <w:rPr>
          <w:rFonts w:ascii="Arial" w:hAnsi="Arial" w:cs="Arial"/>
        </w:rPr>
        <w:t xml:space="preserve"> </w:t>
      </w:r>
      <w:r w:rsidR="00170FAE">
        <w:rPr>
          <w:rFonts w:ascii="Arial" w:hAnsi="Arial" w:cs="Arial"/>
        </w:rPr>
        <w:t>(</w:t>
      </w:r>
      <w:r w:rsidR="00170FAE" w:rsidRPr="00227A42">
        <w:rPr>
          <w:rFonts w:ascii="Arial" w:hAnsi="Arial" w:cs="Arial"/>
        </w:rPr>
        <w:t>Boyden, 2015)</w:t>
      </w:r>
      <w:r w:rsidRPr="00121377">
        <w:rPr>
          <w:rFonts w:ascii="Arial" w:hAnsi="Arial" w:cs="Arial"/>
        </w:rPr>
        <w:t>.</w:t>
      </w:r>
      <w:r w:rsidR="00E72EB1">
        <w:rPr>
          <w:rFonts w:ascii="Arial" w:hAnsi="Arial" w:cs="Arial"/>
        </w:rPr>
        <w:t xml:space="preserve"> Due to the emergence of such legislative support, childhood development through social and family perspectives increased and people become more aware in terms of educating and grooming their children.</w:t>
      </w:r>
    </w:p>
    <w:p w14:paraId="2A097C5C" w14:textId="375A74D9" w:rsidR="006C30F1" w:rsidRPr="001B7AD4" w:rsidRDefault="00671D84" w:rsidP="00227A42">
      <w:pPr>
        <w:spacing w:line="360" w:lineRule="auto"/>
        <w:jc w:val="both"/>
        <w:rPr>
          <w:rFonts w:ascii="Arial" w:hAnsi="Arial" w:cs="Arial"/>
        </w:rPr>
      </w:pPr>
      <w:r>
        <w:rPr>
          <w:rFonts w:ascii="Arial" w:hAnsi="Arial" w:cs="Arial"/>
        </w:rPr>
        <w:t xml:space="preserve">In the present world of </w:t>
      </w:r>
      <w:r w:rsidRPr="006C30F1">
        <w:rPr>
          <w:rFonts w:ascii="Arial" w:hAnsi="Arial" w:cs="Arial"/>
        </w:rPr>
        <w:t>the digital age, where technical breakthroughs and online interactions have brought about new challenges and opportunities, is rapidly defining today's youth. Reflecting the expanding nature of childhood experiences, laws and policies are evolving to address issues like online safety and cyberbullying</w:t>
      </w:r>
      <w:r w:rsidR="00257710">
        <w:rPr>
          <w:rFonts w:ascii="Arial" w:hAnsi="Arial" w:cs="Arial"/>
        </w:rPr>
        <w:t xml:space="preserve"> </w:t>
      </w:r>
      <w:r w:rsidR="006057A9">
        <w:rPr>
          <w:rFonts w:ascii="Arial" w:hAnsi="Arial" w:cs="Arial"/>
        </w:rPr>
        <w:t>(</w:t>
      </w:r>
      <w:r w:rsidR="006057A9" w:rsidRPr="00227A42">
        <w:rPr>
          <w:rFonts w:ascii="Arial" w:hAnsi="Arial" w:cs="Arial"/>
        </w:rPr>
        <w:t>Livingstone and Third, 2017)</w:t>
      </w:r>
      <w:r w:rsidRPr="006C30F1">
        <w:rPr>
          <w:rFonts w:ascii="Arial" w:hAnsi="Arial" w:cs="Arial"/>
        </w:rPr>
        <w:t>.</w:t>
      </w:r>
      <w:r>
        <w:rPr>
          <w:rFonts w:ascii="Arial" w:hAnsi="Arial" w:cs="Arial"/>
        </w:rPr>
        <w:t xml:space="preserve"> In addition to that, family members have become more conscious about the ed</w:t>
      </w:r>
      <w:r w:rsidR="004A6EDB">
        <w:rPr>
          <w:rFonts w:ascii="Arial" w:hAnsi="Arial" w:cs="Arial"/>
        </w:rPr>
        <w:t>u</w:t>
      </w:r>
      <w:r>
        <w:rPr>
          <w:rFonts w:ascii="Arial" w:hAnsi="Arial" w:cs="Arial"/>
        </w:rPr>
        <w:t>cation and growth</w:t>
      </w:r>
      <w:r w:rsidR="004A6EDB">
        <w:rPr>
          <w:rFonts w:ascii="Arial" w:hAnsi="Arial" w:cs="Arial"/>
        </w:rPr>
        <w:t xml:space="preserve"> of their </w:t>
      </w:r>
      <w:r w:rsidR="004A6EDB">
        <w:rPr>
          <w:rFonts w:ascii="Arial" w:hAnsi="Arial" w:cs="Arial"/>
        </w:rPr>
        <w:lastRenderedPageBreak/>
        <w:t>children. In addition to that, any violence and abusive activities against children are highly confronted by the regulatory bodies as transparency and accountability have increased due to the wide usage of information and communication technologies.</w:t>
      </w:r>
    </w:p>
    <w:p w14:paraId="6DA60D85" w14:textId="3A7FD9F3" w:rsidR="00D237F3" w:rsidRDefault="00671D84" w:rsidP="00227A42">
      <w:pPr>
        <w:spacing w:line="360" w:lineRule="auto"/>
        <w:jc w:val="both"/>
        <w:rPr>
          <w:rFonts w:ascii="Arial" w:hAnsi="Arial" w:cs="Arial"/>
        </w:rPr>
      </w:pPr>
      <w:r>
        <w:rPr>
          <w:rFonts w:ascii="Arial" w:hAnsi="Arial" w:cs="Arial"/>
        </w:rPr>
        <w:t>The factors of family and childhood</w:t>
      </w:r>
      <w:r w:rsidR="00BB4283">
        <w:rPr>
          <w:rFonts w:ascii="Arial" w:hAnsi="Arial" w:cs="Arial"/>
        </w:rPr>
        <w:t xml:space="preserve"> thr</w:t>
      </w:r>
      <w:r w:rsidR="006057A9">
        <w:rPr>
          <w:rFonts w:ascii="Arial" w:hAnsi="Arial" w:cs="Arial"/>
        </w:rPr>
        <w:t>ough</w:t>
      </w:r>
      <w:r w:rsidR="00BB4283">
        <w:rPr>
          <w:rFonts w:ascii="Arial" w:hAnsi="Arial" w:cs="Arial"/>
        </w:rPr>
        <w:t xml:space="preserve">out </w:t>
      </w:r>
      <w:r w:rsidR="004C11F4">
        <w:rPr>
          <w:rFonts w:ascii="Arial" w:hAnsi="Arial" w:cs="Arial"/>
        </w:rPr>
        <w:t xml:space="preserve">the historical context </w:t>
      </w:r>
      <w:r w:rsidR="001449FE" w:rsidRPr="001449FE">
        <w:rPr>
          <w:rFonts w:ascii="Arial" w:hAnsi="Arial" w:cs="Arial"/>
        </w:rPr>
        <w:t>have had a significant impact on children, young people, and families in the UK, making a difference in their quality of life and lowering disparities in access to health and social care services</w:t>
      </w:r>
      <w:r w:rsidR="000408DD">
        <w:rPr>
          <w:rFonts w:ascii="Arial" w:hAnsi="Arial" w:cs="Arial"/>
        </w:rPr>
        <w:t xml:space="preserve"> </w:t>
      </w:r>
      <w:r w:rsidR="00165853">
        <w:rPr>
          <w:rFonts w:ascii="Arial" w:hAnsi="Arial" w:cs="Arial"/>
        </w:rPr>
        <w:t>(</w:t>
      </w:r>
      <w:r w:rsidR="00165853" w:rsidRPr="00227A42">
        <w:rPr>
          <w:rFonts w:ascii="Arial" w:hAnsi="Arial" w:cs="Arial"/>
        </w:rPr>
        <w:t>Amouzou, Kozuki and Gwatkin, 2014)</w:t>
      </w:r>
      <w:r w:rsidR="001449FE" w:rsidRPr="001449FE">
        <w:rPr>
          <w:rFonts w:ascii="Arial" w:hAnsi="Arial" w:cs="Arial"/>
        </w:rPr>
        <w:t>. The well-being and possibilities available to various groups have been jointly impacted by these causes, which include legislative changes, policy adjustments, altering societal ideals, and economic shifts.</w:t>
      </w:r>
      <w:r>
        <w:rPr>
          <w:rFonts w:ascii="Arial" w:hAnsi="Arial" w:cs="Arial"/>
        </w:rPr>
        <w:t xml:space="preserve"> </w:t>
      </w:r>
      <w:r w:rsidRPr="00D237F3">
        <w:rPr>
          <w:rFonts w:ascii="Arial" w:hAnsi="Arial" w:cs="Arial"/>
        </w:rPr>
        <w:t>The lives of children, young people, and families have significantly improved as a result of legislative improvements and policy adjustments. For instance, as a result of the Industrial Revolution, the Factory Acts and subsequent labour laws reduced the use of child labour and promoted education</w:t>
      </w:r>
      <w:r w:rsidR="00165853">
        <w:rPr>
          <w:rFonts w:ascii="Arial" w:hAnsi="Arial" w:cs="Arial"/>
        </w:rPr>
        <w:t xml:space="preserve"> </w:t>
      </w:r>
      <w:r w:rsidR="0035048B">
        <w:rPr>
          <w:rFonts w:ascii="Arial" w:hAnsi="Arial" w:cs="Arial"/>
        </w:rPr>
        <w:t>(</w:t>
      </w:r>
      <w:r w:rsidR="0035048B" w:rsidRPr="00227A42">
        <w:rPr>
          <w:rFonts w:ascii="Arial" w:hAnsi="Arial" w:cs="Arial"/>
        </w:rPr>
        <w:t>Berry et al., 2014)</w:t>
      </w:r>
      <w:r w:rsidRPr="00D237F3">
        <w:rPr>
          <w:rFonts w:ascii="Arial" w:hAnsi="Arial" w:cs="Arial"/>
        </w:rPr>
        <w:t>. Young workers' health and development were safeguarded, and it also opened doors for educational opportunities that improved their prospects for the future.</w:t>
      </w:r>
      <w:r w:rsidR="00AD2FDD">
        <w:rPr>
          <w:rFonts w:ascii="Arial" w:hAnsi="Arial" w:cs="Arial"/>
        </w:rPr>
        <w:t xml:space="preserve"> </w:t>
      </w:r>
    </w:p>
    <w:p w14:paraId="52912D35" w14:textId="34FA99B4" w:rsidR="00AD2FDD" w:rsidRPr="00D237F3" w:rsidRDefault="00671D84" w:rsidP="00227A42">
      <w:pPr>
        <w:spacing w:line="360" w:lineRule="auto"/>
        <w:jc w:val="both"/>
        <w:rPr>
          <w:rFonts w:ascii="Arial" w:hAnsi="Arial" w:cs="Arial"/>
        </w:rPr>
      </w:pPr>
      <w:r w:rsidRPr="00AD2FDD">
        <w:rPr>
          <w:rFonts w:ascii="Arial" w:hAnsi="Arial" w:cs="Arial"/>
        </w:rPr>
        <w:t>Access to healthcare and social services for kids, teens, and families was significantly increased after World War II with the creation of the welfare state and the NHS. With relation to socioeconomic class, the NHS made sure that everyone could obtain medical care, hence lowering health disparities</w:t>
      </w:r>
      <w:r w:rsidR="0035048B">
        <w:rPr>
          <w:rFonts w:ascii="Arial" w:hAnsi="Arial" w:cs="Arial"/>
        </w:rPr>
        <w:t xml:space="preserve"> </w:t>
      </w:r>
      <w:r w:rsidR="00D0753E">
        <w:rPr>
          <w:rFonts w:ascii="Arial" w:hAnsi="Arial" w:cs="Arial"/>
        </w:rPr>
        <w:t>(</w:t>
      </w:r>
      <w:r w:rsidR="00D0753E" w:rsidRPr="00227A42">
        <w:rPr>
          <w:rFonts w:ascii="Arial" w:hAnsi="Arial" w:cs="Arial"/>
        </w:rPr>
        <w:t>Gluckman, Nishtar, and Armstrong, 2015)</w:t>
      </w:r>
      <w:r w:rsidRPr="00AD2FDD">
        <w:rPr>
          <w:rFonts w:ascii="Arial" w:hAnsi="Arial" w:cs="Arial"/>
        </w:rPr>
        <w:t>. The Children and Young Persons Act of 1963 and later laws also placed a strong emphasis on child welfare and protection, establishing a safety net for disadvantaged kids and families.</w:t>
      </w:r>
      <w:r w:rsidR="00FB134A">
        <w:rPr>
          <w:rFonts w:ascii="Arial" w:hAnsi="Arial" w:cs="Arial"/>
        </w:rPr>
        <w:t xml:space="preserve"> </w:t>
      </w:r>
      <w:r w:rsidR="00FB134A" w:rsidRPr="00FB134A">
        <w:rPr>
          <w:rFonts w:ascii="Arial" w:hAnsi="Arial" w:cs="Arial"/>
        </w:rPr>
        <w:t>Young people were allowed to have a say in decisions that affected their life because of the acknowledgement of children's rights, which was highlighted by the UN Convention on the Rights of the Child and the Children Act of 1989. Children's engagement in decision-making increased as a result of their change from a passive to an active role, promoting a sense of agency and self-efficacy</w:t>
      </w:r>
      <w:r w:rsidR="00077BDB">
        <w:rPr>
          <w:rFonts w:ascii="Arial" w:hAnsi="Arial" w:cs="Arial"/>
        </w:rPr>
        <w:t xml:space="preserve"> </w:t>
      </w:r>
      <w:r w:rsidR="000D0A29">
        <w:rPr>
          <w:rFonts w:ascii="Arial" w:hAnsi="Arial" w:cs="Arial"/>
        </w:rPr>
        <w:t>(</w:t>
      </w:r>
      <w:r w:rsidR="000D0A29" w:rsidRPr="00227A42">
        <w:rPr>
          <w:rFonts w:ascii="Arial" w:hAnsi="Arial" w:cs="Arial"/>
        </w:rPr>
        <w:t>Jensen, 2013)</w:t>
      </w:r>
      <w:r w:rsidR="00FB134A" w:rsidRPr="00FB134A">
        <w:rPr>
          <w:rFonts w:ascii="Arial" w:hAnsi="Arial" w:cs="Arial"/>
        </w:rPr>
        <w:t>.</w:t>
      </w:r>
      <w:r w:rsidR="00CE434F">
        <w:rPr>
          <w:rFonts w:ascii="Arial" w:hAnsi="Arial" w:cs="Arial"/>
        </w:rPr>
        <w:t xml:space="preserve"> Moreover</w:t>
      </w:r>
      <w:r w:rsidR="00FB134A" w:rsidRPr="00FB134A">
        <w:rPr>
          <w:rFonts w:ascii="Arial" w:hAnsi="Arial" w:cs="Arial"/>
        </w:rPr>
        <w:t>, over time, initiatives to lessen disparities in the delivery of health and social care services have gained momentum. The discrepancies in access to high-quality medical care, education, and social services have been addressed through policy measures, such as targeted support for underprivileged communities. The Children Act of 1989 encouraged collaborative efforts across agencies, which have increased coordination in providing comprehensive care to children and families.</w:t>
      </w:r>
    </w:p>
    <w:p w14:paraId="573FB596" w14:textId="782A8C6D" w:rsidR="008E21DE" w:rsidRPr="001B7AD4" w:rsidRDefault="00671D84" w:rsidP="00227A42">
      <w:pPr>
        <w:spacing w:line="360" w:lineRule="auto"/>
        <w:jc w:val="both"/>
        <w:rPr>
          <w:rFonts w:ascii="Arial" w:hAnsi="Arial" w:cs="Arial"/>
        </w:rPr>
      </w:pPr>
      <w:r>
        <w:rPr>
          <w:rFonts w:ascii="Arial" w:hAnsi="Arial" w:cs="Arial"/>
        </w:rPr>
        <w:t>Even though the factors have positively impacted the lives of the children and their families,</w:t>
      </w:r>
      <w:r w:rsidRPr="00AD3835">
        <w:rPr>
          <w:rFonts w:ascii="Arial" w:hAnsi="Arial" w:cs="Arial"/>
        </w:rPr>
        <w:t xml:space="preserve"> problems </w:t>
      </w:r>
      <w:r>
        <w:rPr>
          <w:rFonts w:ascii="Arial" w:hAnsi="Arial" w:cs="Arial"/>
        </w:rPr>
        <w:t>and challenges also exist</w:t>
      </w:r>
      <w:r w:rsidRPr="00AD3835">
        <w:rPr>
          <w:rFonts w:ascii="Arial" w:hAnsi="Arial" w:cs="Arial"/>
        </w:rPr>
        <w:t>. Despite progress, socioeconomic disparities can still limit marginalised groups' access to opportunities and services</w:t>
      </w:r>
      <w:r w:rsidR="004E66C1">
        <w:rPr>
          <w:rFonts w:ascii="Arial" w:hAnsi="Arial" w:cs="Arial"/>
        </w:rPr>
        <w:t xml:space="preserve"> </w:t>
      </w:r>
      <w:r w:rsidR="0054339B">
        <w:rPr>
          <w:rFonts w:ascii="Arial" w:hAnsi="Arial" w:cs="Arial"/>
        </w:rPr>
        <w:t>(</w:t>
      </w:r>
      <w:r w:rsidR="0054339B" w:rsidRPr="00227A42">
        <w:rPr>
          <w:rFonts w:ascii="Arial" w:hAnsi="Arial" w:cs="Arial"/>
        </w:rPr>
        <w:t>McCrory and Viding, 2015)</w:t>
      </w:r>
      <w:r w:rsidRPr="00AD3835">
        <w:rPr>
          <w:rFonts w:ascii="Arial" w:hAnsi="Arial" w:cs="Arial"/>
        </w:rPr>
        <w:t xml:space="preserve">. </w:t>
      </w:r>
      <w:r w:rsidR="00C263FC">
        <w:rPr>
          <w:rFonts w:ascii="Arial" w:hAnsi="Arial" w:cs="Arial"/>
        </w:rPr>
        <w:t>In addition to that, a</w:t>
      </w:r>
      <w:r w:rsidRPr="00AD3835">
        <w:rPr>
          <w:rFonts w:ascii="Arial" w:hAnsi="Arial" w:cs="Arial"/>
        </w:rPr>
        <w:t>ccess to technology and digital literacy can affect scholastic achievement and social involvement, which has become a current concern.</w:t>
      </w:r>
      <w:r w:rsidR="00C263FC">
        <w:rPr>
          <w:rFonts w:ascii="Arial" w:hAnsi="Arial" w:cs="Arial"/>
        </w:rPr>
        <w:t xml:space="preserve"> </w:t>
      </w:r>
      <w:r w:rsidRPr="00AD3835">
        <w:rPr>
          <w:rFonts w:ascii="Arial" w:hAnsi="Arial" w:cs="Arial"/>
        </w:rPr>
        <w:t xml:space="preserve">Children, young people, and </w:t>
      </w:r>
      <w:r w:rsidRPr="00AD3835">
        <w:rPr>
          <w:rFonts w:ascii="Arial" w:hAnsi="Arial" w:cs="Arial"/>
        </w:rPr>
        <w:lastRenderedPageBreak/>
        <w:t>families in the UK have experienced tremendous improvements as a result of historical context-related factors. Their well-being, access to school, healthcare, and social services have improved as a result of policy shifts, legislative reforms, and changing societal values. A more inclusive service supply has been made possible through efforts to lessen inequities. To ensure equal opportunity and well-being for all, it is necessary to continue efforts to address persistent disparities and new problems.</w:t>
      </w:r>
    </w:p>
    <w:p w14:paraId="24110277" w14:textId="4687E93F" w:rsidR="00B356B5" w:rsidRPr="00B356B5" w:rsidRDefault="00671D84" w:rsidP="00B51B03">
      <w:pPr>
        <w:spacing w:line="360" w:lineRule="auto"/>
        <w:jc w:val="both"/>
        <w:rPr>
          <w:rFonts w:ascii="Arial" w:hAnsi="Arial" w:cs="Arial"/>
        </w:rPr>
      </w:pPr>
      <w:r>
        <w:rPr>
          <w:rFonts w:ascii="Arial" w:hAnsi="Arial" w:cs="Arial"/>
        </w:rPr>
        <w:t>I</w:t>
      </w:r>
      <w:r w:rsidR="00B70D9F">
        <w:rPr>
          <w:rFonts w:ascii="Arial" w:hAnsi="Arial" w:cs="Arial"/>
        </w:rPr>
        <w:t xml:space="preserve">n the present context, the </w:t>
      </w:r>
      <w:r w:rsidR="0054339B">
        <w:rPr>
          <w:rFonts w:ascii="Arial" w:hAnsi="Arial" w:cs="Arial"/>
        </w:rPr>
        <w:t>existence</w:t>
      </w:r>
      <w:r w:rsidR="00B70D9F">
        <w:rPr>
          <w:rFonts w:ascii="Arial" w:hAnsi="Arial" w:cs="Arial"/>
        </w:rPr>
        <w:t xml:space="preserve"> of laws and regulation</w:t>
      </w:r>
      <w:r w:rsidR="00345DC7">
        <w:rPr>
          <w:rFonts w:ascii="Arial" w:hAnsi="Arial" w:cs="Arial"/>
        </w:rPr>
        <w:t>s face challenges as well in dealing with the issues of supporting</w:t>
      </w:r>
      <w:r w:rsidR="00BD0227">
        <w:rPr>
          <w:rFonts w:ascii="Arial" w:hAnsi="Arial" w:cs="Arial"/>
        </w:rPr>
        <w:t xml:space="preserve"> vulnerable children and families</w:t>
      </w:r>
      <w:r w:rsidR="008D058B">
        <w:rPr>
          <w:rFonts w:ascii="Arial" w:hAnsi="Arial" w:cs="Arial"/>
        </w:rPr>
        <w:t>. Moreover,</w:t>
      </w:r>
      <w:r w:rsidR="0080002F" w:rsidRPr="005124CF">
        <w:rPr>
          <w:rFonts w:ascii="Arial" w:hAnsi="Arial" w:cs="Arial"/>
        </w:rPr>
        <w:t xml:space="preserve"> helping vulnerable children, teenagers, and families has taken centre stage in social policy and </w:t>
      </w:r>
      <w:r w:rsidR="008D058B">
        <w:rPr>
          <w:rFonts w:ascii="Arial" w:hAnsi="Arial" w:cs="Arial"/>
        </w:rPr>
        <w:t>family construction</w:t>
      </w:r>
      <w:r w:rsidR="00A3741D">
        <w:rPr>
          <w:rFonts w:ascii="Arial" w:hAnsi="Arial" w:cs="Arial"/>
        </w:rPr>
        <w:t xml:space="preserve"> </w:t>
      </w:r>
      <w:r w:rsidR="00355E47">
        <w:rPr>
          <w:rFonts w:ascii="Arial" w:hAnsi="Arial" w:cs="Arial"/>
        </w:rPr>
        <w:t>(</w:t>
      </w:r>
      <w:r w:rsidR="00355E47" w:rsidRPr="00B51B03">
        <w:rPr>
          <w:rFonts w:ascii="Arial" w:hAnsi="Arial" w:cs="Arial"/>
        </w:rPr>
        <w:t>Britto et al., 2017)</w:t>
      </w:r>
      <w:r w:rsidR="0080002F" w:rsidRPr="005124CF">
        <w:rPr>
          <w:rFonts w:ascii="Arial" w:hAnsi="Arial" w:cs="Arial"/>
        </w:rPr>
        <w:t xml:space="preserve">. To improve the possibilities and well-being of these groups, several strategies and initiatives have been created, covering the fields of education, healthcare, social services, and community involvement. </w:t>
      </w:r>
      <w:r w:rsidRPr="00B356B5">
        <w:rPr>
          <w:rFonts w:ascii="Arial" w:hAnsi="Arial" w:cs="Arial"/>
        </w:rPr>
        <w:t>Early intervention programmes are one of the main techniques used in modern interventions. These programmes aim to identify problems early on in a child's development and address them to stop possible difficulties from getting worse</w:t>
      </w:r>
      <w:r w:rsidR="00355E47">
        <w:rPr>
          <w:rFonts w:ascii="Arial" w:hAnsi="Arial" w:cs="Arial"/>
        </w:rPr>
        <w:t xml:space="preserve"> </w:t>
      </w:r>
      <w:r w:rsidR="00B92B7A">
        <w:rPr>
          <w:rFonts w:ascii="Arial" w:hAnsi="Arial" w:cs="Arial"/>
        </w:rPr>
        <w:t>(</w:t>
      </w:r>
      <w:r w:rsidR="00B92B7A" w:rsidRPr="00B51B03">
        <w:rPr>
          <w:rFonts w:ascii="Arial" w:hAnsi="Arial" w:cs="Arial"/>
        </w:rPr>
        <w:t>Black et al</w:t>
      </w:r>
      <w:r w:rsidR="00776A92" w:rsidRPr="00B51B03">
        <w:rPr>
          <w:rFonts w:ascii="Arial" w:hAnsi="Arial" w:cs="Arial"/>
        </w:rPr>
        <w:t>., 2017)</w:t>
      </w:r>
      <w:r w:rsidRPr="00B356B5">
        <w:rPr>
          <w:rFonts w:ascii="Arial" w:hAnsi="Arial" w:cs="Arial"/>
        </w:rPr>
        <w:t>. These programmes aim to promote healthy child development while strengthening families by providing aid to families dealing with problems like poverty, substance misuse, or domestic violence.</w:t>
      </w:r>
    </w:p>
    <w:p w14:paraId="4E8B74AA" w14:textId="77777777" w:rsidR="00776A92" w:rsidRDefault="00671D84" w:rsidP="00B51B03">
      <w:pPr>
        <w:spacing w:line="360" w:lineRule="auto"/>
        <w:jc w:val="both"/>
        <w:rPr>
          <w:rFonts w:ascii="Arial" w:hAnsi="Arial" w:cs="Arial"/>
        </w:rPr>
      </w:pPr>
      <w:r w:rsidRPr="00B356B5">
        <w:rPr>
          <w:rFonts w:ascii="Arial" w:hAnsi="Arial" w:cs="Arial"/>
        </w:rPr>
        <w:t>Programmes for mentoring and support have shown to be crucial in giving at-risk youth guidance and positive role models. Through these interventions, young people are put in touch with adults who can provide guidance, inspiration, and a supportive environment for conversation. These connections support the growth of self-worth, a feeling of community, and direction for both academic and personal development.</w:t>
      </w:r>
      <w:r w:rsidR="00F0552D">
        <w:rPr>
          <w:rFonts w:ascii="Arial" w:hAnsi="Arial" w:cs="Arial"/>
        </w:rPr>
        <w:t xml:space="preserve"> </w:t>
      </w:r>
    </w:p>
    <w:p w14:paraId="48DA4989" w14:textId="07069CB0" w:rsidR="0080002F" w:rsidRPr="005124CF" w:rsidRDefault="00671D84" w:rsidP="00B51B03">
      <w:pPr>
        <w:spacing w:line="360" w:lineRule="auto"/>
        <w:jc w:val="both"/>
        <w:rPr>
          <w:rFonts w:ascii="Arial" w:hAnsi="Arial" w:cs="Arial"/>
        </w:rPr>
      </w:pPr>
      <w:r w:rsidRPr="00F0552D">
        <w:rPr>
          <w:rFonts w:ascii="Arial" w:hAnsi="Arial" w:cs="Arial"/>
        </w:rPr>
        <w:t>Equal access to high-quality education is another essential strategy for assisting young people and children in need</w:t>
      </w:r>
      <w:r w:rsidR="00776A92">
        <w:rPr>
          <w:rFonts w:ascii="Arial" w:hAnsi="Arial" w:cs="Arial"/>
        </w:rPr>
        <w:t xml:space="preserve"> </w:t>
      </w:r>
      <w:r w:rsidR="00D14910">
        <w:rPr>
          <w:rFonts w:ascii="Arial" w:hAnsi="Arial" w:cs="Arial"/>
        </w:rPr>
        <w:t>(</w:t>
      </w:r>
      <w:r w:rsidR="00D14910" w:rsidRPr="00B51B03">
        <w:rPr>
          <w:rFonts w:ascii="Arial" w:hAnsi="Arial" w:cs="Arial"/>
        </w:rPr>
        <w:t>Moore et al., 2015)</w:t>
      </w:r>
      <w:r w:rsidRPr="00F0552D">
        <w:rPr>
          <w:rFonts w:ascii="Arial" w:hAnsi="Arial" w:cs="Arial"/>
        </w:rPr>
        <w:t>. To close the achievement gap and give everyone an equal chance at academic success, educational interventions include after-school programmes, scholarships, and additional academic support.</w:t>
      </w:r>
      <w:r>
        <w:rPr>
          <w:rFonts w:ascii="Arial" w:hAnsi="Arial" w:cs="Arial"/>
        </w:rPr>
        <w:t xml:space="preserve"> </w:t>
      </w:r>
      <w:r w:rsidR="00E61100">
        <w:rPr>
          <w:rFonts w:ascii="Arial" w:hAnsi="Arial" w:cs="Arial"/>
        </w:rPr>
        <w:t>In addition to that, g</w:t>
      </w:r>
      <w:r w:rsidRPr="00F0552D">
        <w:rPr>
          <w:rFonts w:ascii="Arial" w:hAnsi="Arial" w:cs="Arial"/>
        </w:rPr>
        <w:t>iven the prevalence of mental health issues among at-risk groups, mental health services have developed into a crucial part of support networks. To help people manage their difficulties and advance mental well-being, these services provide counselling and therapeutic support to those who are coping with trauma, anxiety, depression, and other psychological concerns</w:t>
      </w:r>
      <w:r w:rsidR="00D14910">
        <w:rPr>
          <w:rFonts w:ascii="Arial" w:hAnsi="Arial" w:cs="Arial"/>
        </w:rPr>
        <w:t xml:space="preserve"> </w:t>
      </w:r>
      <w:r w:rsidR="00442350">
        <w:rPr>
          <w:rFonts w:ascii="Arial" w:hAnsi="Arial" w:cs="Arial"/>
        </w:rPr>
        <w:t>(</w:t>
      </w:r>
      <w:r w:rsidR="00442350" w:rsidRPr="00B51B03">
        <w:rPr>
          <w:rFonts w:ascii="Arial" w:hAnsi="Arial" w:cs="Arial"/>
        </w:rPr>
        <w:t>McGorry, Bates, and Birchwood, 2013)</w:t>
      </w:r>
      <w:r w:rsidRPr="00F0552D">
        <w:rPr>
          <w:rFonts w:ascii="Arial" w:hAnsi="Arial" w:cs="Arial"/>
        </w:rPr>
        <w:t>.</w:t>
      </w:r>
      <w:r w:rsidR="00B3274C">
        <w:rPr>
          <w:rFonts w:ascii="Arial" w:hAnsi="Arial" w:cs="Arial"/>
        </w:rPr>
        <w:t xml:space="preserve"> </w:t>
      </w:r>
      <w:r w:rsidR="00B954B7">
        <w:rPr>
          <w:rFonts w:ascii="Arial" w:hAnsi="Arial" w:cs="Arial"/>
        </w:rPr>
        <w:t>In addition to the</w:t>
      </w:r>
      <w:r w:rsidR="00B3274C">
        <w:rPr>
          <w:rFonts w:ascii="Arial" w:hAnsi="Arial" w:cs="Arial"/>
        </w:rPr>
        <w:t xml:space="preserve"> support of </w:t>
      </w:r>
      <w:r w:rsidR="003938EF">
        <w:rPr>
          <w:rFonts w:ascii="Arial" w:hAnsi="Arial" w:cs="Arial"/>
        </w:rPr>
        <w:t>government and non-government organisations, it is essential to initiate community-based support for vulnerable children and their families</w:t>
      </w:r>
      <w:r w:rsidR="009C2FE8">
        <w:rPr>
          <w:rFonts w:ascii="Arial" w:hAnsi="Arial" w:cs="Arial"/>
        </w:rPr>
        <w:t>.</w:t>
      </w:r>
      <w:r w:rsidR="000E7719">
        <w:rPr>
          <w:rFonts w:ascii="Arial" w:hAnsi="Arial" w:cs="Arial"/>
        </w:rPr>
        <w:t xml:space="preserve"> Individual initiatives can also </w:t>
      </w:r>
      <w:r w:rsidR="00923FAA">
        <w:rPr>
          <w:rFonts w:ascii="Arial" w:hAnsi="Arial" w:cs="Arial"/>
        </w:rPr>
        <w:t>help in this aspect to improve the lives of the vulnerable community.</w:t>
      </w:r>
    </w:p>
    <w:p w14:paraId="1658FAF5" w14:textId="5ABA9336" w:rsidR="005D6AFE" w:rsidRPr="005D6AFE" w:rsidRDefault="00671D84" w:rsidP="00B51B03">
      <w:pPr>
        <w:spacing w:line="360" w:lineRule="auto"/>
        <w:jc w:val="both"/>
        <w:rPr>
          <w:rFonts w:ascii="Arial" w:hAnsi="Arial" w:cs="Arial"/>
        </w:rPr>
      </w:pPr>
      <w:r w:rsidRPr="005D6AFE">
        <w:rPr>
          <w:rFonts w:ascii="Arial" w:hAnsi="Arial" w:cs="Arial"/>
        </w:rPr>
        <w:lastRenderedPageBreak/>
        <w:t xml:space="preserve">By offering concrete assistance, opportunities, and resources to vulnerable people, </w:t>
      </w:r>
      <w:r>
        <w:rPr>
          <w:rFonts w:ascii="Arial" w:hAnsi="Arial" w:cs="Arial"/>
        </w:rPr>
        <w:t>the initiative taken t</w:t>
      </w:r>
      <w:r w:rsidR="00D80028">
        <w:rPr>
          <w:rFonts w:ascii="Arial" w:hAnsi="Arial" w:cs="Arial"/>
        </w:rPr>
        <w:t>o improve the lives of children and their families through regulatory implementations and other community contribution</w:t>
      </w:r>
      <w:r w:rsidRPr="005D6AFE">
        <w:rPr>
          <w:rFonts w:ascii="Arial" w:hAnsi="Arial" w:cs="Arial"/>
        </w:rPr>
        <w:t xml:space="preserve">s has proven </w:t>
      </w:r>
      <w:r w:rsidR="0084598C">
        <w:rPr>
          <w:rFonts w:ascii="Arial" w:hAnsi="Arial" w:cs="Arial"/>
        </w:rPr>
        <w:t>some effective approaches</w:t>
      </w:r>
      <w:r w:rsidRPr="005D6AFE">
        <w:rPr>
          <w:rFonts w:ascii="Arial" w:hAnsi="Arial" w:cs="Arial"/>
        </w:rPr>
        <w:t>. While mentorship programmes provide positive role models and empowerment, early intervention programmes have shown promise in ending the cycle of disadvantage</w:t>
      </w:r>
      <w:r w:rsidR="000C3909">
        <w:rPr>
          <w:rFonts w:ascii="Arial" w:hAnsi="Arial" w:cs="Arial"/>
        </w:rPr>
        <w:t xml:space="preserve"> </w:t>
      </w:r>
      <w:r w:rsidR="00E66391">
        <w:rPr>
          <w:rFonts w:ascii="Arial" w:hAnsi="Arial" w:cs="Arial"/>
        </w:rPr>
        <w:t>(</w:t>
      </w:r>
      <w:r w:rsidR="00E66391" w:rsidRPr="00B51B03">
        <w:rPr>
          <w:rFonts w:ascii="Arial" w:hAnsi="Arial" w:cs="Arial"/>
        </w:rPr>
        <w:t>Britto et al., 2017)</w:t>
      </w:r>
      <w:r w:rsidRPr="005D6AFE">
        <w:rPr>
          <w:rFonts w:ascii="Arial" w:hAnsi="Arial" w:cs="Arial"/>
        </w:rPr>
        <w:t xml:space="preserve">. </w:t>
      </w:r>
      <w:r w:rsidR="00E66391">
        <w:rPr>
          <w:rFonts w:ascii="Arial" w:hAnsi="Arial" w:cs="Arial"/>
        </w:rPr>
        <w:t>The care service providers</w:t>
      </w:r>
      <w:r w:rsidRPr="005D6AFE">
        <w:rPr>
          <w:rFonts w:ascii="Arial" w:hAnsi="Arial" w:cs="Arial"/>
        </w:rPr>
        <w:t xml:space="preserve"> are given the skills they need through parenting assistance, and inclusive environments are made possible by community-based initiatives. Interventions in housing and finances can stabilise the situation by directly addressing urgent needs. Nevertheless, it is still difficult to reach all at-risk groups, and digital platforms may unintentionally make inequality worse for individuals with poor access.</w:t>
      </w:r>
    </w:p>
    <w:p w14:paraId="737EF356" w14:textId="1E2C2E01" w:rsidR="000835CC" w:rsidRDefault="00671D84" w:rsidP="00B51B03">
      <w:pPr>
        <w:spacing w:line="360" w:lineRule="auto"/>
        <w:jc w:val="both"/>
        <w:rPr>
          <w:rFonts w:ascii="Arial" w:hAnsi="Arial" w:cs="Arial"/>
        </w:rPr>
      </w:pPr>
      <w:r>
        <w:rPr>
          <w:rFonts w:ascii="Arial" w:hAnsi="Arial" w:cs="Arial"/>
        </w:rPr>
        <w:t xml:space="preserve">To increase the effectiveness of the approaches for the improvement of family and childhood, </w:t>
      </w:r>
      <w:r w:rsidR="0054215E">
        <w:rPr>
          <w:rFonts w:ascii="Arial" w:hAnsi="Arial" w:cs="Arial"/>
        </w:rPr>
        <w:t>it is essential to utilise funding and financial assistance in this field</w:t>
      </w:r>
      <w:r w:rsidR="00FE476A">
        <w:rPr>
          <w:rFonts w:ascii="Arial" w:hAnsi="Arial" w:cs="Arial"/>
        </w:rPr>
        <w:t xml:space="preserve"> </w:t>
      </w:r>
      <w:r w:rsidR="00C12CE4">
        <w:rPr>
          <w:rFonts w:ascii="Arial" w:hAnsi="Arial" w:cs="Arial"/>
        </w:rPr>
        <w:t>(</w:t>
      </w:r>
      <w:r w:rsidR="00C12CE4" w:rsidRPr="00B51B03">
        <w:rPr>
          <w:rFonts w:ascii="Arial" w:hAnsi="Arial" w:cs="Arial"/>
        </w:rPr>
        <w:t>Knerr, Gardner, and Cluver, 2013)</w:t>
      </w:r>
      <w:r w:rsidR="0054215E">
        <w:rPr>
          <w:rFonts w:ascii="Arial" w:hAnsi="Arial" w:cs="Arial"/>
        </w:rPr>
        <w:t>.</w:t>
      </w:r>
      <w:r w:rsidRPr="004630C6">
        <w:rPr>
          <w:rFonts w:ascii="Arial" w:hAnsi="Arial" w:cs="Arial"/>
        </w:rPr>
        <w:t xml:space="preserve"> </w:t>
      </w:r>
      <w:r w:rsidR="0054215E">
        <w:rPr>
          <w:rFonts w:ascii="Arial" w:hAnsi="Arial" w:cs="Arial"/>
        </w:rPr>
        <w:t xml:space="preserve">In addition to that, </w:t>
      </w:r>
      <w:r w:rsidRPr="004630C6">
        <w:rPr>
          <w:rFonts w:ascii="Arial" w:hAnsi="Arial" w:cs="Arial"/>
        </w:rPr>
        <w:t>targeted actions that address certain needs and regions</w:t>
      </w:r>
      <w:r w:rsidR="00967EA4">
        <w:rPr>
          <w:rFonts w:ascii="Arial" w:hAnsi="Arial" w:cs="Arial"/>
        </w:rPr>
        <w:t xml:space="preserve"> have to be identified by the concerned bodies</w:t>
      </w:r>
      <w:r w:rsidRPr="004630C6">
        <w:rPr>
          <w:rFonts w:ascii="Arial" w:hAnsi="Arial" w:cs="Arial"/>
        </w:rPr>
        <w:t>. Government agencies, community groups, and educational institutions can work together to streamline service delivery, cut down on redundancy, and ensure comprehensive assistance. Interventions that are more culturally competent can help reduce the inequities that marginalised populations encounter</w:t>
      </w:r>
      <w:r w:rsidR="00853FC2">
        <w:rPr>
          <w:rFonts w:ascii="Arial" w:hAnsi="Arial" w:cs="Arial"/>
        </w:rPr>
        <w:t xml:space="preserve"> </w:t>
      </w:r>
      <w:r w:rsidR="004365B8">
        <w:rPr>
          <w:rFonts w:ascii="Arial" w:hAnsi="Arial" w:cs="Arial"/>
        </w:rPr>
        <w:t>(</w:t>
      </w:r>
      <w:r w:rsidR="004365B8" w:rsidRPr="00B51B03">
        <w:rPr>
          <w:rFonts w:ascii="Arial" w:hAnsi="Arial" w:cs="Arial"/>
        </w:rPr>
        <w:t>Luchenski et al., 2018)</w:t>
      </w:r>
      <w:r w:rsidRPr="004630C6">
        <w:rPr>
          <w:rFonts w:ascii="Arial" w:hAnsi="Arial" w:cs="Arial"/>
        </w:rPr>
        <w:t>. Additionally, funding digital inclusion can close the digital inclusion gap for people without internet access. Accessible information in several languages encourages fair distribution.</w:t>
      </w:r>
      <w:r w:rsidR="00967EA4">
        <w:rPr>
          <w:rFonts w:ascii="Arial" w:hAnsi="Arial" w:cs="Arial"/>
        </w:rPr>
        <w:t xml:space="preserve"> Moreover, information and communication technology can be utilised </w:t>
      </w:r>
      <w:r w:rsidR="005F2303">
        <w:rPr>
          <w:rFonts w:ascii="Arial" w:hAnsi="Arial" w:cs="Arial"/>
        </w:rPr>
        <w:t>in this aspect to increase the productivity and efficiency of the process.</w:t>
      </w:r>
    </w:p>
    <w:p w14:paraId="723FE562" w14:textId="4F0ED274" w:rsidR="0052499C" w:rsidRPr="001B7AD4" w:rsidRDefault="00671D84" w:rsidP="00B51B03">
      <w:pPr>
        <w:spacing w:line="360" w:lineRule="auto"/>
        <w:jc w:val="both"/>
        <w:rPr>
          <w:rFonts w:ascii="Arial" w:hAnsi="Arial" w:cs="Arial"/>
        </w:rPr>
      </w:pPr>
      <w:r>
        <w:rPr>
          <w:rFonts w:ascii="Arial" w:hAnsi="Arial" w:cs="Arial"/>
        </w:rPr>
        <w:t xml:space="preserve">In conclusion, this essay has discussed the aspects of </w:t>
      </w:r>
      <w:r w:rsidR="001430D5">
        <w:rPr>
          <w:rFonts w:ascii="Arial" w:hAnsi="Arial" w:cs="Arial"/>
        </w:rPr>
        <w:t xml:space="preserve">the emergence of childhood including the historical and social construction of childhood and family. It was found that </w:t>
      </w:r>
      <w:r w:rsidR="00DE423B">
        <w:rPr>
          <w:rFonts w:ascii="Arial" w:hAnsi="Arial" w:cs="Arial"/>
        </w:rPr>
        <w:t xml:space="preserve">through historical </w:t>
      </w:r>
      <w:r w:rsidR="0098633C">
        <w:rPr>
          <w:rFonts w:ascii="Arial" w:hAnsi="Arial" w:cs="Arial"/>
        </w:rPr>
        <w:t xml:space="preserve">development, the </w:t>
      </w:r>
      <w:r w:rsidR="00235D4D">
        <w:rPr>
          <w:rFonts w:ascii="Arial" w:hAnsi="Arial" w:cs="Arial"/>
        </w:rPr>
        <w:t xml:space="preserve">support and growth of childhood has been positive over time. Moreover, </w:t>
      </w:r>
      <w:r w:rsidR="001430D5">
        <w:rPr>
          <w:rFonts w:ascii="Arial" w:hAnsi="Arial" w:cs="Arial"/>
        </w:rPr>
        <w:t>t</w:t>
      </w:r>
      <w:r w:rsidRPr="00BB5517">
        <w:rPr>
          <w:rFonts w:ascii="Arial" w:hAnsi="Arial" w:cs="Arial"/>
        </w:rPr>
        <w:t>he development of strategies and interventions for assisting at-risk kids, teens, and families reveals a dynamic dedication to equity and well-being. These tactics, which range from mentoring programmes to early intervention programmes, have made significant progress in lowering disparities and encouraging all-around development. While obstacles still exist, joint efforts, data-driven improvements, and digital inclusion can open the door for even bigger effects. These interventions hold the possibility of developing a more accepting and compassionate society that empowers people and uplifts families, assuring a brighter future for all. They do this by attending to immediate needs, advancing education, and supporting mental health.</w:t>
      </w:r>
    </w:p>
    <w:p w14:paraId="7B1B57AB" w14:textId="3899878C" w:rsidR="00BA7495" w:rsidRPr="001B7AD4" w:rsidRDefault="00BA7495" w:rsidP="001B7AD4">
      <w:pPr>
        <w:spacing w:line="360" w:lineRule="auto"/>
        <w:rPr>
          <w:rFonts w:ascii="Arial" w:hAnsi="Arial" w:cs="Arial"/>
          <w:noProof/>
        </w:rPr>
      </w:pPr>
    </w:p>
    <w:p w14:paraId="4204E126" w14:textId="77777777" w:rsidR="00254B3C" w:rsidRDefault="00671D84">
      <w:pPr>
        <w:rPr>
          <w:rFonts w:ascii="Arial" w:eastAsiaTheme="majorEastAsia" w:hAnsi="Arial" w:cstheme="majorBidi"/>
          <w:b/>
          <w:noProof/>
          <w:sz w:val="32"/>
          <w:szCs w:val="32"/>
        </w:rPr>
      </w:pPr>
      <w:r>
        <w:rPr>
          <w:noProof/>
        </w:rPr>
        <w:br w:type="page"/>
      </w:r>
    </w:p>
    <w:p w14:paraId="5E51C385" w14:textId="4CDFD540" w:rsidR="00A35F25" w:rsidRPr="001B7AD4" w:rsidRDefault="00671D84" w:rsidP="00B51B03">
      <w:pPr>
        <w:pStyle w:val="Heading1"/>
        <w:rPr>
          <w:noProof/>
        </w:rPr>
      </w:pPr>
      <w:bookmarkStart w:id="1" w:name="_Toc143032096"/>
      <w:r w:rsidRPr="001B7AD4">
        <w:rPr>
          <w:noProof/>
        </w:rPr>
        <w:lastRenderedPageBreak/>
        <w:t>References</w:t>
      </w:r>
      <w:bookmarkEnd w:id="1"/>
    </w:p>
    <w:p w14:paraId="503E5408" w14:textId="77777777" w:rsidR="00254B3C" w:rsidRPr="002A0BB0" w:rsidRDefault="00671D84" w:rsidP="00254B3C">
      <w:pPr>
        <w:tabs>
          <w:tab w:val="left" w:pos="6975"/>
        </w:tabs>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Amouzou, A., Kozuki, N. and Gwatkin, D.R., 2014. Where is the gap?: the contribution of disparities within developing countries to global inequalities in under-five mortality. </w:t>
      </w:r>
      <w:r w:rsidRPr="002A0BB0">
        <w:rPr>
          <w:rFonts w:ascii="Arial" w:hAnsi="Arial" w:cs="Arial"/>
          <w:i/>
          <w:iCs/>
          <w:color w:val="222222"/>
          <w:shd w:val="clear" w:color="auto" w:fill="FFFFFF"/>
        </w:rPr>
        <w:t>BMC public health</w:t>
      </w:r>
      <w:r w:rsidRPr="002A0BB0">
        <w:rPr>
          <w:rFonts w:ascii="Arial" w:hAnsi="Arial" w:cs="Arial"/>
          <w:color w:val="222222"/>
          <w:shd w:val="clear" w:color="auto" w:fill="FFFFFF"/>
        </w:rPr>
        <w:t>, </w:t>
      </w:r>
      <w:r w:rsidRPr="002A0BB0">
        <w:rPr>
          <w:rFonts w:ascii="Arial" w:hAnsi="Arial" w:cs="Arial"/>
          <w:i/>
          <w:iCs/>
          <w:color w:val="222222"/>
          <w:shd w:val="clear" w:color="auto" w:fill="FFFFFF"/>
        </w:rPr>
        <w:t>14</w:t>
      </w:r>
      <w:r w:rsidRPr="002A0BB0">
        <w:rPr>
          <w:rFonts w:ascii="Arial" w:hAnsi="Arial" w:cs="Arial"/>
          <w:color w:val="222222"/>
          <w:shd w:val="clear" w:color="auto" w:fill="FFFFFF"/>
        </w:rPr>
        <w:t>(1), pp.1-5.</w:t>
      </w:r>
    </w:p>
    <w:p w14:paraId="022A9FF6" w14:textId="77777777" w:rsidR="00254B3C" w:rsidRPr="002A0BB0" w:rsidRDefault="00671D84" w:rsidP="00254B3C">
      <w:pPr>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Archard, D., 2014. </w:t>
      </w:r>
      <w:r w:rsidRPr="002A0BB0">
        <w:rPr>
          <w:rFonts w:ascii="Arial" w:hAnsi="Arial" w:cs="Arial"/>
          <w:i/>
          <w:iCs/>
          <w:color w:val="222222"/>
          <w:shd w:val="clear" w:color="auto" w:fill="FFFFFF"/>
        </w:rPr>
        <w:t>Children: Rights and childhood</w:t>
      </w:r>
      <w:r w:rsidRPr="002A0BB0">
        <w:rPr>
          <w:rFonts w:ascii="Arial" w:hAnsi="Arial" w:cs="Arial"/>
          <w:color w:val="222222"/>
          <w:shd w:val="clear" w:color="auto" w:fill="FFFFFF"/>
        </w:rPr>
        <w:t>. Routledge.</w:t>
      </w:r>
    </w:p>
    <w:p w14:paraId="384746CE" w14:textId="77777777" w:rsidR="00254B3C" w:rsidRPr="002A0BB0" w:rsidRDefault="00671D84" w:rsidP="00254B3C">
      <w:pPr>
        <w:tabs>
          <w:tab w:val="left" w:pos="6975"/>
        </w:tabs>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Aries, P., 2020. Centuries of childhood. In </w:t>
      </w:r>
      <w:r w:rsidRPr="002A0BB0">
        <w:rPr>
          <w:rFonts w:ascii="Arial" w:hAnsi="Arial" w:cs="Arial"/>
          <w:i/>
          <w:iCs/>
          <w:color w:val="222222"/>
          <w:shd w:val="clear" w:color="auto" w:fill="FFFFFF"/>
        </w:rPr>
        <w:t>Toward a Sociology of Education</w:t>
      </w:r>
      <w:r w:rsidRPr="002A0BB0">
        <w:rPr>
          <w:rFonts w:ascii="Arial" w:hAnsi="Arial" w:cs="Arial"/>
          <w:color w:val="222222"/>
          <w:shd w:val="clear" w:color="auto" w:fill="FFFFFF"/>
        </w:rPr>
        <w:t> (pp. 37-47). Routledge.</w:t>
      </w:r>
    </w:p>
    <w:p w14:paraId="21742DA6" w14:textId="77777777" w:rsidR="00254B3C" w:rsidRPr="002A0BB0" w:rsidRDefault="00671D84" w:rsidP="00254B3C">
      <w:pPr>
        <w:tabs>
          <w:tab w:val="left" w:pos="6975"/>
        </w:tabs>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Åslund, O., Böhlmark, A. and Skans, O.N., 2015. Childhood and family experiences and the social integration of young migrants. </w:t>
      </w:r>
      <w:r w:rsidRPr="002A0BB0">
        <w:rPr>
          <w:rFonts w:ascii="Arial" w:hAnsi="Arial" w:cs="Arial"/>
          <w:i/>
          <w:iCs/>
          <w:color w:val="222222"/>
          <w:shd w:val="clear" w:color="auto" w:fill="FFFFFF"/>
        </w:rPr>
        <w:t>Labour Economics</w:t>
      </w:r>
      <w:r w:rsidRPr="002A0BB0">
        <w:rPr>
          <w:rFonts w:ascii="Arial" w:hAnsi="Arial" w:cs="Arial"/>
          <w:color w:val="222222"/>
          <w:shd w:val="clear" w:color="auto" w:fill="FFFFFF"/>
        </w:rPr>
        <w:t>, </w:t>
      </w:r>
      <w:r w:rsidRPr="002A0BB0">
        <w:rPr>
          <w:rFonts w:ascii="Arial" w:hAnsi="Arial" w:cs="Arial"/>
          <w:i/>
          <w:iCs/>
          <w:color w:val="222222"/>
          <w:shd w:val="clear" w:color="auto" w:fill="FFFFFF"/>
        </w:rPr>
        <w:t>35</w:t>
      </w:r>
      <w:r w:rsidRPr="002A0BB0">
        <w:rPr>
          <w:rFonts w:ascii="Arial" w:hAnsi="Arial" w:cs="Arial"/>
          <w:color w:val="222222"/>
          <w:shd w:val="clear" w:color="auto" w:fill="FFFFFF"/>
        </w:rPr>
        <w:t>, pp.135-144.</w:t>
      </w:r>
    </w:p>
    <w:p w14:paraId="0107F780" w14:textId="77777777" w:rsidR="00254B3C" w:rsidRPr="002A0BB0" w:rsidRDefault="00671D84" w:rsidP="00254B3C">
      <w:pPr>
        <w:tabs>
          <w:tab w:val="left" w:pos="6975"/>
        </w:tabs>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Baxter, J.E., 2022. </w:t>
      </w:r>
      <w:r w:rsidRPr="002A0BB0">
        <w:rPr>
          <w:rFonts w:ascii="Arial" w:hAnsi="Arial" w:cs="Arial"/>
          <w:i/>
          <w:iCs/>
          <w:color w:val="222222"/>
          <w:shd w:val="clear" w:color="auto" w:fill="FFFFFF"/>
        </w:rPr>
        <w:t>The archaeology of childhood</w:t>
      </w:r>
      <w:r w:rsidRPr="002A0BB0">
        <w:rPr>
          <w:rFonts w:ascii="Arial" w:hAnsi="Arial" w:cs="Arial"/>
          <w:color w:val="222222"/>
          <w:shd w:val="clear" w:color="auto" w:fill="FFFFFF"/>
        </w:rPr>
        <w:t>. Rowman &amp; Littlefield.</w:t>
      </w:r>
    </w:p>
    <w:p w14:paraId="29AE93D6" w14:textId="77777777" w:rsidR="00254B3C" w:rsidRPr="002A0BB0" w:rsidRDefault="00671D84" w:rsidP="00254B3C">
      <w:pPr>
        <w:tabs>
          <w:tab w:val="left" w:pos="6975"/>
        </w:tabs>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Berry, J.G., Blaine, K., Rogers, J., McBride, S., Schor, E., Birmingham, J., Schuster, M.A. and Feudtner, C., 2014. A framework of pediatric hospital discharge care informed by legislation, research, and practice. </w:t>
      </w:r>
      <w:r w:rsidRPr="002A0BB0">
        <w:rPr>
          <w:rFonts w:ascii="Arial" w:hAnsi="Arial" w:cs="Arial"/>
          <w:i/>
          <w:iCs/>
          <w:color w:val="222222"/>
          <w:shd w:val="clear" w:color="auto" w:fill="FFFFFF"/>
        </w:rPr>
        <w:t>JAMA Pediatrics</w:t>
      </w:r>
      <w:r w:rsidRPr="002A0BB0">
        <w:rPr>
          <w:rFonts w:ascii="Arial" w:hAnsi="Arial" w:cs="Arial"/>
          <w:color w:val="222222"/>
          <w:shd w:val="clear" w:color="auto" w:fill="FFFFFF"/>
        </w:rPr>
        <w:t>, </w:t>
      </w:r>
      <w:r w:rsidRPr="002A0BB0">
        <w:rPr>
          <w:rFonts w:ascii="Arial" w:hAnsi="Arial" w:cs="Arial"/>
          <w:i/>
          <w:iCs/>
          <w:color w:val="222222"/>
          <w:shd w:val="clear" w:color="auto" w:fill="FFFFFF"/>
        </w:rPr>
        <w:t>168</w:t>
      </w:r>
      <w:r w:rsidRPr="002A0BB0">
        <w:rPr>
          <w:rFonts w:ascii="Arial" w:hAnsi="Arial" w:cs="Arial"/>
          <w:color w:val="222222"/>
          <w:shd w:val="clear" w:color="auto" w:fill="FFFFFF"/>
        </w:rPr>
        <w:t>(10), pp.955-962.</w:t>
      </w:r>
    </w:p>
    <w:p w14:paraId="296A4446" w14:textId="77777777" w:rsidR="00254B3C" w:rsidRPr="002A0BB0" w:rsidRDefault="00671D84" w:rsidP="00254B3C">
      <w:pPr>
        <w:tabs>
          <w:tab w:val="left" w:pos="6975"/>
        </w:tabs>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Black, M.M., Walker, S.P., Fernald, L.C., Andersen, C.T., DiGirolamo, A.M., Lu, C., McCoy, D.C., Fink, G., Shawar, Y.R., Shiffman, J. and Devercelli, A.E., 2017. Early childhood development coming of age: science through the life course. </w:t>
      </w:r>
      <w:r w:rsidRPr="002A0BB0">
        <w:rPr>
          <w:rFonts w:ascii="Arial" w:hAnsi="Arial" w:cs="Arial"/>
          <w:i/>
          <w:iCs/>
          <w:color w:val="222222"/>
          <w:shd w:val="clear" w:color="auto" w:fill="FFFFFF"/>
        </w:rPr>
        <w:t>The Lancet</w:t>
      </w:r>
      <w:r w:rsidRPr="002A0BB0">
        <w:rPr>
          <w:rFonts w:ascii="Arial" w:hAnsi="Arial" w:cs="Arial"/>
          <w:color w:val="222222"/>
          <w:shd w:val="clear" w:color="auto" w:fill="FFFFFF"/>
        </w:rPr>
        <w:t>, </w:t>
      </w:r>
      <w:r w:rsidRPr="002A0BB0">
        <w:rPr>
          <w:rFonts w:ascii="Arial" w:hAnsi="Arial" w:cs="Arial"/>
          <w:i/>
          <w:iCs/>
          <w:color w:val="222222"/>
          <w:shd w:val="clear" w:color="auto" w:fill="FFFFFF"/>
        </w:rPr>
        <w:t>389</w:t>
      </w:r>
      <w:r w:rsidRPr="002A0BB0">
        <w:rPr>
          <w:rFonts w:ascii="Arial" w:hAnsi="Arial" w:cs="Arial"/>
          <w:color w:val="222222"/>
          <w:shd w:val="clear" w:color="auto" w:fill="FFFFFF"/>
        </w:rPr>
        <w:t>(10064), pp.77-90.</w:t>
      </w:r>
    </w:p>
    <w:p w14:paraId="6CC9F400" w14:textId="77777777" w:rsidR="00254B3C" w:rsidRPr="002A0BB0" w:rsidRDefault="00671D84" w:rsidP="00254B3C">
      <w:pPr>
        <w:tabs>
          <w:tab w:val="left" w:pos="6975"/>
        </w:tabs>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Boyden, J., 2015. Childhood and the policy makers: A comparative perspective on the globalization of childhood. In </w:t>
      </w:r>
      <w:r w:rsidRPr="002A0BB0">
        <w:rPr>
          <w:rFonts w:ascii="Arial" w:hAnsi="Arial" w:cs="Arial"/>
          <w:i/>
          <w:iCs/>
          <w:color w:val="222222"/>
          <w:shd w:val="clear" w:color="auto" w:fill="FFFFFF"/>
        </w:rPr>
        <w:t>Constructing and reconstructing childhood</w:t>
      </w:r>
      <w:r w:rsidRPr="002A0BB0">
        <w:rPr>
          <w:rFonts w:ascii="Arial" w:hAnsi="Arial" w:cs="Arial"/>
          <w:color w:val="222222"/>
          <w:shd w:val="clear" w:color="auto" w:fill="FFFFFF"/>
        </w:rPr>
        <w:t> (pp. 167-201). Routledge.</w:t>
      </w:r>
    </w:p>
    <w:p w14:paraId="1AA29FE6" w14:textId="77777777" w:rsidR="00254B3C" w:rsidRPr="002A0BB0" w:rsidRDefault="00671D84" w:rsidP="00254B3C">
      <w:pPr>
        <w:tabs>
          <w:tab w:val="left" w:pos="6975"/>
        </w:tabs>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Britto, P.R., Lye, S.J., Proulx, K., Yousafzai, A.K., Matthews, S.G., Vaivada, T., Perez-Escamilla, R., Rao, N., Ip, P., Fernald, L.C. and MacMillan, H., 2017. Nurturing care: promoting early childhood development. </w:t>
      </w:r>
      <w:r w:rsidRPr="002A0BB0">
        <w:rPr>
          <w:rFonts w:ascii="Arial" w:hAnsi="Arial" w:cs="Arial"/>
          <w:i/>
          <w:iCs/>
          <w:color w:val="222222"/>
          <w:shd w:val="clear" w:color="auto" w:fill="FFFFFF"/>
        </w:rPr>
        <w:t>The Lancet</w:t>
      </w:r>
      <w:r w:rsidRPr="002A0BB0">
        <w:rPr>
          <w:rFonts w:ascii="Arial" w:hAnsi="Arial" w:cs="Arial"/>
          <w:color w:val="222222"/>
          <w:shd w:val="clear" w:color="auto" w:fill="FFFFFF"/>
        </w:rPr>
        <w:t>, </w:t>
      </w:r>
      <w:r w:rsidRPr="002A0BB0">
        <w:rPr>
          <w:rFonts w:ascii="Arial" w:hAnsi="Arial" w:cs="Arial"/>
          <w:i/>
          <w:iCs/>
          <w:color w:val="222222"/>
          <w:shd w:val="clear" w:color="auto" w:fill="FFFFFF"/>
        </w:rPr>
        <w:t>389</w:t>
      </w:r>
      <w:r w:rsidRPr="002A0BB0">
        <w:rPr>
          <w:rFonts w:ascii="Arial" w:hAnsi="Arial" w:cs="Arial"/>
          <w:color w:val="222222"/>
          <w:shd w:val="clear" w:color="auto" w:fill="FFFFFF"/>
        </w:rPr>
        <w:t>(10064), pp.91-102.</w:t>
      </w:r>
    </w:p>
    <w:p w14:paraId="6BDCE809" w14:textId="77777777" w:rsidR="00254B3C" w:rsidRPr="002A0BB0" w:rsidRDefault="00671D84" w:rsidP="00254B3C">
      <w:pPr>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Charlesworth, R., 2016. </w:t>
      </w:r>
      <w:r w:rsidRPr="002A0BB0">
        <w:rPr>
          <w:rFonts w:ascii="Arial" w:hAnsi="Arial" w:cs="Arial"/>
          <w:i/>
          <w:iCs/>
          <w:color w:val="222222"/>
          <w:shd w:val="clear" w:color="auto" w:fill="FFFFFF"/>
        </w:rPr>
        <w:t>Understanding child development</w:t>
      </w:r>
      <w:r w:rsidRPr="002A0BB0">
        <w:rPr>
          <w:rFonts w:ascii="Arial" w:hAnsi="Arial" w:cs="Arial"/>
          <w:color w:val="222222"/>
          <w:shd w:val="clear" w:color="auto" w:fill="FFFFFF"/>
        </w:rPr>
        <w:t>. Cengage learning.</w:t>
      </w:r>
    </w:p>
    <w:p w14:paraId="14BE84ED" w14:textId="77777777" w:rsidR="00254B3C" w:rsidRPr="002A0BB0" w:rsidRDefault="00671D84" w:rsidP="00254B3C">
      <w:pPr>
        <w:tabs>
          <w:tab w:val="left" w:pos="6975"/>
        </w:tabs>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Garner, A., Yogman, M. and Committee on Psychosocial Aspects of Child and Family Health, 2021. Preventing childhood toxic stress: partnering with families and communities to promote relational health. </w:t>
      </w:r>
      <w:r w:rsidRPr="002A0BB0">
        <w:rPr>
          <w:rFonts w:ascii="Arial" w:hAnsi="Arial" w:cs="Arial"/>
          <w:i/>
          <w:iCs/>
          <w:color w:val="222222"/>
          <w:shd w:val="clear" w:color="auto" w:fill="FFFFFF"/>
        </w:rPr>
        <w:t>Pediatrics</w:t>
      </w:r>
      <w:r w:rsidRPr="002A0BB0">
        <w:rPr>
          <w:rFonts w:ascii="Arial" w:hAnsi="Arial" w:cs="Arial"/>
          <w:color w:val="222222"/>
          <w:shd w:val="clear" w:color="auto" w:fill="FFFFFF"/>
        </w:rPr>
        <w:t>, </w:t>
      </w:r>
      <w:r w:rsidRPr="002A0BB0">
        <w:rPr>
          <w:rFonts w:ascii="Arial" w:hAnsi="Arial" w:cs="Arial"/>
          <w:i/>
          <w:iCs/>
          <w:color w:val="222222"/>
          <w:shd w:val="clear" w:color="auto" w:fill="FFFFFF"/>
        </w:rPr>
        <w:t>148</w:t>
      </w:r>
      <w:r w:rsidRPr="002A0BB0">
        <w:rPr>
          <w:rFonts w:ascii="Arial" w:hAnsi="Arial" w:cs="Arial"/>
          <w:color w:val="222222"/>
          <w:shd w:val="clear" w:color="auto" w:fill="FFFFFF"/>
        </w:rPr>
        <w:t>(2).</w:t>
      </w:r>
    </w:p>
    <w:p w14:paraId="6BFE420D" w14:textId="77777777" w:rsidR="00254B3C" w:rsidRPr="002A0BB0" w:rsidRDefault="00671D84" w:rsidP="00254B3C">
      <w:pPr>
        <w:tabs>
          <w:tab w:val="left" w:pos="6975"/>
        </w:tabs>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Gluckman, P., Nishtar, S. and Armstrong, T., 2015. Ending childhood obesity: a multidimensional challenge. </w:t>
      </w:r>
      <w:r w:rsidRPr="002A0BB0">
        <w:rPr>
          <w:rFonts w:ascii="Arial" w:hAnsi="Arial" w:cs="Arial"/>
          <w:i/>
          <w:iCs/>
          <w:color w:val="222222"/>
          <w:shd w:val="clear" w:color="auto" w:fill="FFFFFF"/>
        </w:rPr>
        <w:t>The Lancet</w:t>
      </w:r>
      <w:r w:rsidRPr="002A0BB0">
        <w:rPr>
          <w:rFonts w:ascii="Arial" w:hAnsi="Arial" w:cs="Arial"/>
          <w:color w:val="222222"/>
          <w:shd w:val="clear" w:color="auto" w:fill="FFFFFF"/>
        </w:rPr>
        <w:t>, </w:t>
      </w:r>
      <w:r w:rsidRPr="002A0BB0">
        <w:rPr>
          <w:rFonts w:ascii="Arial" w:hAnsi="Arial" w:cs="Arial"/>
          <w:i/>
          <w:iCs/>
          <w:color w:val="222222"/>
          <w:shd w:val="clear" w:color="auto" w:fill="FFFFFF"/>
        </w:rPr>
        <w:t>385</w:t>
      </w:r>
      <w:r w:rsidRPr="002A0BB0">
        <w:rPr>
          <w:rFonts w:ascii="Arial" w:hAnsi="Arial" w:cs="Arial"/>
          <w:color w:val="222222"/>
          <w:shd w:val="clear" w:color="auto" w:fill="FFFFFF"/>
        </w:rPr>
        <w:t>(9973), pp.1048-1050.</w:t>
      </w:r>
    </w:p>
    <w:p w14:paraId="1438D148" w14:textId="77777777" w:rsidR="00254B3C" w:rsidRPr="002A0BB0" w:rsidRDefault="00671D84" w:rsidP="00254B3C">
      <w:pPr>
        <w:tabs>
          <w:tab w:val="left" w:pos="6975"/>
        </w:tabs>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lastRenderedPageBreak/>
        <w:t>Gordon, A. and Browne, K.W., 2016. </w:t>
      </w:r>
      <w:r w:rsidRPr="002A0BB0">
        <w:rPr>
          <w:rFonts w:ascii="Arial" w:hAnsi="Arial" w:cs="Arial"/>
          <w:i/>
          <w:iCs/>
          <w:color w:val="222222"/>
          <w:shd w:val="clear" w:color="auto" w:fill="FFFFFF"/>
        </w:rPr>
        <w:t>Beginnings &amp; Beyond: Foundations in early childhood education</w:t>
      </w:r>
      <w:r w:rsidRPr="002A0BB0">
        <w:rPr>
          <w:rFonts w:ascii="Arial" w:hAnsi="Arial" w:cs="Arial"/>
          <w:color w:val="222222"/>
          <w:shd w:val="clear" w:color="auto" w:fill="FFFFFF"/>
        </w:rPr>
        <w:t>. Cengage learning.</w:t>
      </w:r>
    </w:p>
    <w:p w14:paraId="62C161A4" w14:textId="77777777" w:rsidR="00254B3C" w:rsidRPr="002A0BB0" w:rsidRDefault="00671D84" w:rsidP="00254B3C">
      <w:pPr>
        <w:tabs>
          <w:tab w:val="left" w:pos="6975"/>
        </w:tabs>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Haslip, M.J. and Gullo, D.F., 2018. The changing landscape of early childhood education: Implications for policy and practice. </w:t>
      </w:r>
      <w:r w:rsidRPr="002A0BB0">
        <w:rPr>
          <w:rFonts w:ascii="Arial" w:hAnsi="Arial" w:cs="Arial"/>
          <w:i/>
          <w:iCs/>
          <w:color w:val="222222"/>
          <w:shd w:val="clear" w:color="auto" w:fill="FFFFFF"/>
        </w:rPr>
        <w:t>Early Childhood Education Journal</w:t>
      </w:r>
      <w:r w:rsidRPr="002A0BB0">
        <w:rPr>
          <w:rFonts w:ascii="Arial" w:hAnsi="Arial" w:cs="Arial"/>
          <w:color w:val="222222"/>
          <w:shd w:val="clear" w:color="auto" w:fill="FFFFFF"/>
        </w:rPr>
        <w:t>, </w:t>
      </w:r>
      <w:r w:rsidRPr="002A0BB0">
        <w:rPr>
          <w:rFonts w:ascii="Arial" w:hAnsi="Arial" w:cs="Arial"/>
          <w:i/>
          <w:iCs/>
          <w:color w:val="222222"/>
          <w:shd w:val="clear" w:color="auto" w:fill="FFFFFF"/>
        </w:rPr>
        <w:t>46</w:t>
      </w:r>
      <w:r w:rsidRPr="002A0BB0">
        <w:rPr>
          <w:rFonts w:ascii="Arial" w:hAnsi="Arial" w:cs="Arial"/>
          <w:color w:val="222222"/>
          <w:shd w:val="clear" w:color="auto" w:fill="FFFFFF"/>
        </w:rPr>
        <w:t>, pp.249-264.</w:t>
      </w:r>
    </w:p>
    <w:p w14:paraId="2FCBAA0B" w14:textId="77777777" w:rsidR="00254B3C" w:rsidRPr="002A0BB0" w:rsidRDefault="00671D84" w:rsidP="00254B3C">
      <w:pPr>
        <w:tabs>
          <w:tab w:val="left" w:pos="6975"/>
        </w:tabs>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Humphries, J., 2013. Childhood and child labour in the British industrial revolution 1. </w:t>
      </w:r>
      <w:r w:rsidRPr="002A0BB0">
        <w:rPr>
          <w:rFonts w:ascii="Arial" w:hAnsi="Arial" w:cs="Arial"/>
          <w:i/>
          <w:iCs/>
          <w:color w:val="222222"/>
          <w:shd w:val="clear" w:color="auto" w:fill="FFFFFF"/>
        </w:rPr>
        <w:t>The Economic History Review</w:t>
      </w:r>
      <w:r w:rsidRPr="002A0BB0">
        <w:rPr>
          <w:rFonts w:ascii="Arial" w:hAnsi="Arial" w:cs="Arial"/>
          <w:color w:val="222222"/>
          <w:shd w:val="clear" w:color="auto" w:fill="FFFFFF"/>
        </w:rPr>
        <w:t>, </w:t>
      </w:r>
      <w:r w:rsidRPr="002A0BB0">
        <w:rPr>
          <w:rFonts w:ascii="Arial" w:hAnsi="Arial" w:cs="Arial"/>
          <w:i/>
          <w:iCs/>
          <w:color w:val="222222"/>
          <w:shd w:val="clear" w:color="auto" w:fill="FFFFFF"/>
        </w:rPr>
        <w:t>66</w:t>
      </w:r>
      <w:r w:rsidRPr="002A0BB0">
        <w:rPr>
          <w:rFonts w:ascii="Arial" w:hAnsi="Arial" w:cs="Arial"/>
          <w:color w:val="222222"/>
          <w:shd w:val="clear" w:color="auto" w:fill="FFFFFF"/>
        </w:rPr>
        <w:t>(2), pp.395-418.</w:t>
      </w:r>
    </w:p>
    <w:p w14:paraId="33473D31" w14:textId="77777777" w:rsidR="00254B3C" w:rsidRPr="002A0BB0" w:rsidRDefault="00671D84" w:rsidP="00254B3C">
      <w:pPr>
        <w:tabs>
          <w:tab w:val="left" w:pos="6975"/>
        </w:tabs>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Jensen, E., 2013. How poverty affects classroom engagement. </w:t>
      </w:r>
      <w:r w:rsidRPr="002A0BB0">
        <w:rPr>
          <w:rFonts w:ascii="Arial" w:hAnsi="Arial" w:cs="Arial"/>
          <w:i/>
          <w:iCs/>
          <w:color w:val="222222"/>
          <w:shd w:val="clear" w:color="auto" w:fill="FFFFFF"/>
        </w:rPr>
        <w:t>Educational leadership</w:t>
      </w:r>
      <w:r w:rsidRPr="002A0BB0">
        <w:rPr>
          <w:rFonts w:ascii="Arial" w:hAnsi="Arial" w:cs="Arial"/>
          <w:color w:val="222222"/>
          <w:shd w:val="clear" w:color="auto" w:fill="FFFFFF"/>
        </w:rPr>
        <w:t>, </w:t>
      </w:r>
      <w:r w:rsidRPr="002A0BB0">
        <w:rPr>
          <w:rFonts w:ascii="Arial" w:hAnsi="Arial" w:cs="Arial"/>
          <w:i/>
          <w:iCs/>
          <w:color w:val="222222"/>
          <w:shd w:val="clear" w:color="auto" w:fill="FFFFFF"/>
        </w:rPr>
        <w:t>70</w:t>
      </w:r>
      <w:r w:rsidRPr="002A0BB0">
        <w:rPr>
          <w:rFonts w:ascii="Arial" w:hAnsi="Arial" w:cs="Arial"/>
          <w:color w:val="222222"/>
          <w:shd w:val="clear" w:color="auto" w:fill="FFFFFF"/>
        </w:rPr>
        <w:t>(8), pp.24-30.</w:t>
      </w:r>
    </w:p>
    <w:p w14:paraId="4F03486E" w14:textId="77777777" w:rsidR="00254B3C" w:rsidRPr="002A0BB0" w:rsidRDefault="00671D84" w:rsidP="00254B3C">
      <w:pPr>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Joshi, P. and Shukla, S., 2019. </w:t>
      </w:r>
      <w:r w:rsidRPr="002A0BB0">
        <w:rPr>
          <w:rFonts w:ascii="Arial" w:hAnsi="Arial" w:cs="Arial"/>
          <w:i/>
          <w:iCs/>
          <w:color w:val="222222"/>
          <w:shd w:val="clear" w:color="auto" w:fill="FFFFFF"/>
        </w:rPr>
        <w:t>Child development and education in the twenty-first century</w:t>
      </w:r>
      <w:r w:rsidRPr="002A0BB0">
        <w:rPr>
          <w:rFonts w:ascii="Arial" w:hAnsi="Arial" w:cs="Arial"/>
          <w:color w:val="222222"/>
          <w:shd w:val="clear" w:color="auto" w:fill="FFFFFF"/>
        </w:rPr>
        <w:t>. Springer Nature.</w:t>
      </w:r>
    </w:p>
    <w:p w14:paraId="4BFE96AD" w14:textId="77777777" w:rsidR="00254B3C" w:rsidRPr="002A0BB0" w:rsidRDefault="00671D84" w:rsidP="00254B3C">
      <w:pPr>
        <w:tabs>
          <w:tab w:val="left" w:pos="6975"/>
        </w:tabs>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Knerr, W., Gardner, F. and Cluver, L., 2013. Improving positive parenting skills and reducing harsh and abusive parenting in low-and middle-income countries: A systematic review. </w:t>
      </w:r>
      <w:r w:rsidRPr="002A0BB0">
        <w:rPr>
          <w:rFonts w:ascii="Arial" w:hAnsi="Arial" w:cs="Arial"/>
          <w:i/>
          <w:iCs/>
          <w:color w:val="222222"/>
          <w:shd w:val="clear" w:color="auto" w:fill="FFFFFF"/>
        </w:rPr>
        <w:t>Prevention Science</w:t>
      </w:r>
      <w:r w:rsidRPr="002A0BB0">
        <w:rPr>
          <w:rFonts w:ascii="Arial" w:hAnsi="Arial" w:cs="Arial"/>
          <w:color w:val="222222"/>
          <w:shd w:val="clear" w:color="auto" w:fill="FFFFFF"/>
        </w:rPr>
        <w:t>, </w:t>
      </w:r>
      <w:r w:rsidRPr="002A0BB0">
        <w:rPr>
          <w:rFonts w:ascii="Arial" w:hAnsi="Arial" w:cs="Arial"/>
          <w:i/>
          <w:iCs/>
          <w:color w:val="222222"/>
          <w:shd w:val="clear" w:color="auto" w:fill="FFFFFF"/>
        </w:rPr>
        <w:t>14</w:t>
      </w:r>
      <w:r w:rsidRPr="002A0BB0">
        <w:rPr>
          <w:rFonts w:ascii="Arial" w:hAnsi="Arial" w:cs="Arial"/>
          <w:color w:val="222222"/>
          <w:shd w:val="clear" w:color="auto" w:fill="FFFFFF"/>
        </w:rPr>
        <w:t>(4), pp.352-363.</w:t>
      </w:r>
    </w:p>
    <w:p w14:paraId="00E74836" w14:textId="77777777" w:rsidR="00254B3C" w:rsidRPr="002A0BB0" w:rsidRDefault="00671D84" w:rsidP="00254B3C">
      <w:pPr>
        <w:tabs>
          <w:tab w:val="left" w:pos="6975"/>
        </w:tabs>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Lascarides, V.C. and Hinitz, B.F., 2013. </w:t>
      </w:r>
      <w:r w:rsidRPr="002A0BB0">
        <w:rPr>
          <w:rFonts w:ascii="Arial" w:hAnsi="Arial" w:cs="Arial"/>
          <w:i/>
          <w:iCs/>
          <w:color w:val="222222"/>
          <w:shd w:val="clear" w:color="auto" w:fill="FFFFFF"/>
        </w:rPr>
        <w:t>History of early childhood education</w:t>
      </w:r>
      <w:r w:rsidRPr="002A0BB0">
        <w:rPr>
          <w:rFonts w:ascii="Arial" w:hAnsi="Arial" w:cs="Arial"/>
          <w:color w:val="222222"/>
          <w:shd w:val="clear" w:color="auto" w:fill="FFFFFF"/>
        </w:rPr>
        <w:t> (Vol. 982). Routledge.</w:t>
      </w:r>
    </w:p>
    <w:p w14:paraId="43C9FF88" w14:textId="77777777" w:rsidR="00254B3C" w:rsidRPr="002A0BB0" w:rsidRDefault="00671D84" w:rsidP="00254B3C">
      <w:pPr>
        <w:tabs>
          <w:tab w:val="left" w:pos="6975"/>
        </w:tabs>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 xml:space="preserve">Lino, D., 2016. Early childhood education: Key competencies in teacher education. </w:t>
      </w:r>
      <w:r w:rsidRPr="002A0BB0">
        <w:rPr>
          <w:rFonts w:ascii="Arial" w:hAnsi="Arial" w:cs="Arial"/>
          <w:i/>
          <w:iCs/>
          <w:color w:val="222222"/>
          <w:shd w:val="clear" w:color="auto" w:fill="FFFFFF"/>
        </w:rPr>
        <w:t>Educația Plus</w:t>
      </w:r>
      <w:r w:rsidRPr="002A0BB0">
        <w:rPr>
          <w:rFonts w:ascii="Arial" w:hAnsi="Arial" w:cs="Arial"/>
          <w:color w:val="222222"/>
          <w:shd w:val="clear" w:color="auto" w:fill="FFFFFF"/>
        </w:rPr>
        <w:t>, </w:t>
      </w:r>
      <w:r w:rsidRPr="002A0BB0">
        <w:rPr>
          <w:rFonts w:ascii="Arial" w:hAnsi="Arial" w:cs="Arial"/>
          <w:i/>
          <w:iCs/>
          <w:color w:val="222222"/>
          <w:shd w:val="clear" w:color="auto" w:fill="FFFFFF"/>
        </w:rPr>
        <w:t>14</w:t>
      </w:r>
      <w:r w:rsidRPr="002A0BB0">
        <w:rPr>
          <w:rFonts w:ascii="Arial" w:hAnsi="Arial" w:cs="Arial"/>
          <w:color w:val="222222"/>
          <w:shd w:val="clear" w:color="auto" w:fill="FFFFFF"/>
        </w:rPr>
        <w:t>(3), pp.7-15.</w:t>
      </w:r>
    </w:p>
    <w:p w14:paraId="375CDBED" w14:textId="77777777" w:rsidR="00254B3C" w:rsidRPr="002A0BB0" w:rsidRDefault="00671D84" w:rsidP="00254B3C">
      <w:pPr>
        <w:tabs>
          <w:tab w:val="left" w:pos="6975"/>
        </w:tabs>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Livingstone, S. and Third, A., 2017. Children and young people’s rights in the digital age: An emerging agenda. </w:t>
      </w:r>
      <w:r w:rsidRPr="002A0BB0">
        <w:rPr>
          <w:rFonts w:ascii="Arial" w:hAnsi="Arial" w:cs="Arial"/>
          <w:i/>
          <w:iCs/>
          <w:color w:val="222222"/>
          <w:shd w:val="clear" w:color="auto" w:fill="FFFFFF"/>
        </w:rPr>
        <w:t>New media &amp; society</w:t>
      </w:r>
      <w:r w:rsidRPr="002A0BB0">
        <w:rPr>
          <w:rFonts w:ascii="Arial" w:hAnsi="Arial" w:cs="Arial"/>
          <w:color w:val="222222"/>
          <w:shd w:val="clear" w:color="auto" w:fill="FFFFFF"/>
        </w:rPr>
        <w:t>, </w:t>
      </w:r>
      <w:r w:rsidRPr="002A0BB0">
        <w:rPr>
          <w:rFonts w:ascii="Arial" w:hAnsi="Arial" w:cs="Arial"/>
          <w:i/>
          <w:iCs/>
          <w:color w:val="222222"/>
          <w:shd w:val="clear" w:color="auto" w:fill="FFFFFF"/>
        </w:rPr>
        <w:t>19</w:t>
      </w:r>
      <w:r w:rsidRPr="002A0BB0">
        <w:rPr>
          <w:rFonts w:ascii="Arial" w:hAnsi="Arial" w:cs="Arial"/>
          <w:color w:val="222222"/>
          <w:shd w:val="clear" w:color="auto" w:fill="FFFFFF"/>
        </w:rPr>
        <w:t>(5), pp.657-670.</w:t>
      </w:r>
    </w:p>
    <w:p w14:paraId="006DD809" w14:textId="77777777" w:rsidR="00254B3C" w:rsidRPr="002A0BB0" w:rsidRDefault="00671D84" w:rsidP="00254B3C">
      <w:pPr>
        <w:tabs>
          <w:tab w:val="left" w:pos="6975"/>
        </w:tabs>
        <w:spacing w:line="360" w:lineRule="auto"/>
        <w:jc w:val="both"/>
        <w:rPr>
          <w:rFonts w:ascii="Arial" w:hAnsi="Arial" w:cs="Arial"/>
          <w:sz w:val="28"/>
          <w:szCs w:val="24"/>
        </w:rPr>
      </w:pPr>
      <w:r w:rsidRPr="002A0BB0">
        <w:rPr>
          <w:rFonts w:ascii="Arial" w:hAnsi="Arial" w:cs="Arial"/>
          <w:color w:val="222222"/>
          <w:shd w:val="clear" w:color="auto" w:fill="FFFFFF"/>
        </w:rPr>
        <w:t xml:space="preserve">Luchenski, S., Maguire, N., Aldridge, R.W., Hayward, A., Story, A., Perri, P., Withers, J., Clint, S., Fitzpatrick, S. and Hewett, N., 2018. What works in inclusion health: an overview of effective interventions for marginalised and excluded populations. </w:t>
      </w:r>
      <w:r w:rsidRPr="002A0BB0">
        <w:rPr>
          <w:rFonts w:ascii="Arial" w:hAnsi="Arial" w:cs="Arial"/>
          <w:i/>
          <w:iCs/>
          <w:color w:val="222222"/>
          <w:shd w:val="clear" w:color="auto" w:fill="FFFFFF"/>
        </w:rPr>
        <w:t>The Lancet</w:t>
      </w:r>
      <w:r w:rsidRPr="002A0BB0">
        <w:rPr>
          <w:rFonts w:ascii="Arial" w:hAnsi="Arial" w:cs="Arial"/>
          <w:color w:val="222222"/>
          <w:shd w:val="clear" w:color="auto" w:fill="FFFFFF"/>
        </w:rPr>
        <w:t>, </w:t>
      </w:r>
      <w:r w:rsidRPr="002A0BB0">
        <w:rPr>
          <w:rFonts w:ascii="Arial" w:hAnsi="Arial" w:cs="Arial"/>
          <w:i/>
          <w:iCs/>
          <w:color w:val="222222"/>
          <w:shd w:val="clear" w:color="auto" w:fill="FFFFFF"/>
        </w:rPr>
        <w:t>391</w:t>
      </w:r>
      <w:r w:rsidRPr="002A0BB0">
        <w:rPr>
          <w:rFonts w:ascii="Arial" w:hAnsi="Arial" w:cs="Arial"/>
          <w:color w:val="222222"/>
          <w:shd w:val="clear" w:color="auto" w:fill="FFFFFF"/>
        </w:rPr>
        <w:t>(10117), pp.266-280.</w:t>
      </w:r>
    </w:p>
    <w:p w14:paraId="110588F2" w14:textId="77777777" w:rsidR="00254B3C" w:rsidRPr="002A0BB0" w:rsidRDefault="00671D84" w:rsidP="00254B3C">
      <w:pPr>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Matthews, G.B., 2021. A philosophy of childhood. In </w:t>
      </w:r>
      <w:r w:rsidRPr="002A0BB0">
        <w:rPr>
          <w:rFonts w:ascii="Arial" w:hAnsi="Arial" w:cs="Arial"/>
          <w:i/>
          <w:iCs/>
          <w:color w:val="222222"/>
          <w:shd w:val="clear" w:color="auto" w:fill="FFFFFF"/>
        </w:rPr>
        <w:t>Gareth B. Matthews, The Child's Philosopher</w:t>
      </w:r>
      <w:r w:rsidRPr="002A0BB0">
        <w:rPr>
          <w:rFonts w:ascii="Arial" w:hAnsi="Arial" w:cs="Arial"/>
          <w:color w:val="222222"/>
          <w:shd w:val="clear" w:color="auto" w:fill="FFFFFF"/>
        </w:rPr>
        <w:t> (pp. 232-247). Routledge.</w:t>
      </w:r>
    </w:p>
    <w:p w14:paraId="1C635DD2" w14:textId="77777777" w:rsidR="00254B3C" w:rsidRPr="002A0BB0" w:rsidRDefault="00671D84" w:rsidP="00254B3C">
      <w:pPr>
        <w:tabs>
          <w:tab w:val="left" w:pos="6975"/>
        </w:tabs>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McCrory, E.J. and Viding, E., 2015. The theory of latent vulnerability: Reconceptualizing the link between childhood maltreatment and psychiatric disorder. </w:t>
      </w:r>
      <w:r w:rsidRPr="002A0BB0">
        <w:rPr>
          <w:rFonts w:ascii="Arial" w:hAnsi="Arial" w:cs="Arial"/>
          <w:i/>
          <w:iCs/>
          <w:color w:val="222222"/>
          <w:shd w:val="clear" w:color="auto" w:fill="FFFFFF"/>
        </w:rPr>
        <w:t>Development and Psychopathology</w:t>
      </w:r>
      <w:r w:rsidRPr="002A0BB0">
        <w:rPr>
          <w:rFonts w:ascii="Arial" w:hAnsi="Arial" w:cs="Arial"/>
          <w:color w:val="222222"/>
          <w:shd w:val="clear" w:color="auto" w:fill="FFFFFF"/>
        </w:rPr>
        <w:t>, </w:t>
      </w:r>
      <w:r w:rsidRPr="002A0BB0">
        <w:rPr>
          <w:rFonts w:ascii="Arial" w:hAnsi="Arial" w:cs="Arial"/>
          <w:i/>
          <w:iCs/>
          <w:color w:val="222222"/>
          <w:shd w:val="clear" w:color="auto" w:fill="FFFFFF"/>
        </w:rPr>
        <w:t>27</w:t>
      </w:r>
      <w:r w:rsidRPr="002A0BB0">
        <w:rPr>
          <w:rFonts w:ascii="Arial" w:hAnsi="Arial" w:cs="Arial"/>
          <w:color w:val="222222"/>
          <w:shd w:val="clear" w:color="auto" w:fill="FFFFFF"/>
        </w:rPr>
        <w:t>(2), pp.493-505.</w:t>
      </w:r>
    </w:p>
    <w:p w14:paraId="2B12FF38" w14:textId="77777777" w:rsidR="00254B3C" w:rsidRPr="002A0BB0" w:rsidRDefault="00671D84" w:rsidP="00254B3C">
      <w:pPr>
        <w:tabs>
          <w:tab w:val="left" w:pos="6975"/>
        </w:tabs>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McGorry, P., Bates, T. and Birchwood, M., 2013. Designing youth mental health services for the 21st century: examples from Australia, Ireland and the UK. </w:t>
      </w:r>
      <w:r w:rsidRPr="002A0BB0">
        <w:rPr>
          <w:rFonts w:ascii="Arial" w:hAnsi="Arial" w:cs="Arial"/>
          <w:i/>
          <w:iCs/>
          <w:color w:val="222222"/>
          <w:shd w:val="clear" w:color="auto" w:fill="FFFFFF"/>
        </w:rPr>
        <w:t>The British Journal of Psychiatry</w:t>
      </w:r>
      <w:r w:rsidRPr="002A0BB0">
        <w:rPr>
          <w:rFonts w:ascii="Arial" w:hAnsi="Arial" w:cs="Arial"/>
          <w:color w:val="222222"/>
          <w:shd w:val="clear" w:color="auto" w:fill="FFFFFF"/>
        </w:rPr>
        <w:t>, </w:t>
      </w:r>
      <w:r w:rsidRPr="002A0BB0">
        <w:rPr>
          <w:rFonts w:ascii="Arial" w:hAnsi="Arial" w:cs="Arial"/>
          <w:i/>
          <w:iCs/>
          <w:color w:val="222222"/>
          <w:shd w:val="clear" w:color="auto" w:fill="FFFFFF"/>
        </w:rPr>
        <w:t>202</w:t>
      </w:r>
      <w:r w:rsidRPr="002A0BB0">
        <w:rPr>
          <w:rFonts w:ascii="Arial" w:hAnsi="Arial" w:cs="Arial"/>
          <w:color w:val="222222"/>
          <w:shd w:val="clear" w:color="auto" w:fill="FFFFFF"/>
        </w:rPr>
        <w:t>(s54), pp.s30-s35.</w:t>
      </w:r>
    </w:p>
    <w:p w14:paraId="12D5D2D6" w14:textId="77777777" w:rsidR="00254B3C" w:rsidRPr="002A0BB0" w:rsidRDefault="00671D84" w:rsidP="00254B3C">
      <w:pPr>
        <w:tabs>
          <w:tab w:val="left" w:pos="6975"/>
        </w:tabs>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lastRenderedPageBreak/>
        <w:t>Moore, T.G., McDonald, M., Carlon, L. and O'Rourke, K., 2015. Early childhood development and the social determinants of health inequities. </w:t>
      </w:r>
      <w:r w:rsidRPr="002A0BB0">
        <w:rPr>
          <w:rFonts w:ascii="Arial" w:hAnsi="Arial" w:cs="Arial"/>
          <w:i/>
          <w:iCs/>
          <w:color w:val="222222"/>
          <w:shd w:val="clear" w:color="auto" w:fill="FFFFFF"/>
        </w:rPr>
        <w:t>Health promotion international</w:t>
      </w:r>
      <w:r w:rsidRPr="002A0BB0">
        <w:rPr>
          <w:rFonts w:ascii="Arial" w:hAnsi="Arial" w:cs="Arial"/>
          <w:color w:val="222222"/>
          <w:shd w:val="clear" w:color="auto" w:fill="FFFFFF"/>
        </w:rPr>
        <w:t>, </w:t>
      </w:r>
      <w:r w:rsidRPr="002A0BB0">
        <w:rPr>
          <w:rFonts w:ascii="Arial" w:hAnsi="Arial" w:cs="Arial"/>
          <w:i/>
          <w:iCs/>
          <w:color w:val="222222"/>
          <w:shd w:val="clear" w:color="auto" w:fill="FFFFFF"/>
        </w:rPr>
        <w:t>30</w:t>
      </w:r>
      <w:r w:rsidRPr="002A0BB0">
        <w:rPr>
          <w:rFonts w:ascii="Arial" w:hAnsi="Arial" w:cs="Arial"/>
          <w:color w:val="222222"/>
          <w:shd w:val="clear" w:color="auto" w:fill="FFFFFF"/>
        </w:rPr>
        <w:t>(suppl_2), pp.ii102-ii115.</w:t>
      </w:r>
    </w:p>
    <w:p w14:paraId="30062283" w14:textId="77777777" w:rsidR="00254B3C" w:rsidRPr="002A0BB0" w:rsidRDefault="00671D84" w:rsidP="00254B3C">
      <w:pPr>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Panter</w:t>
      </w:r>
      <w:r w:rsidRPr="002A0BB0">
        <w:rPr>
          <w:rFonts w:ascii="Cambria Math" w:hAnsi="Cambria Math" w:cs="Cambria Math"/>
          <w:color w:val="222222"/>
          <w:shd w:val="clear" w:color="auto" w:fill="FFFFFF"/>
        </w:rPr>
        <w:t>‐</w:t>
      </w:r>
      <w:r w:rsidRPr="002A0BB0">
        <w:rPr>
          <w:rFonts w:ascii="Arial" w:hAnsi="Arial" w:cs="Arial"/>
          <w:color w:val="222222"/>
          <w:shd w:val="clear" w:color="auto" w:fill="FFFFFF"/>
        </w:rPr>
        <w:t>Brick, C. and Leckman, J.F., 2013. Editorial commentary: resilience in child development–interconnected pathways to wellbeing. </w:t>
      </w:r>
      <w:r w:rsidRPr="002A0BB0">
        <w:rPr>
          <w:rFonts w:ascii="Arial" w:hAnsi="Arial" w:cs="Arial"/>
          <w:i/>
          <w:iCs/>
          <w:color w:val="222222"/>
          <w:shd w:val="clear" w:color="auto" w:fill="FFFFFF"/>
        </w:rPr>
        <w:t>Journal of child psychology and Psychiatry</w:t>
      </w:r>
      <w:r w:rsidRPr="002A0BB0">
        <w:rPr>
          <w:rFonts w:ascii="Arial" w:hAnsi="Arial" w:cs="Arial"/>
          <w:color w:val="222222"/>
          <w:shd w:val="clear" w:color="auto" w:fill="FFFFFF"/>
        </w:rPr>
        <w:t>, </w:t>
      </w:r>
      <w:r w:rsidRPr="002A0BB0">
        <w:rPr>
          <w:rFonts w:ascii="Arial" w:hAnsi="Arial" w:cs="Arial"/>
          <w:i/>
          <w:iCs/>
          <w:color w:val="222222"/>
          <w:shd w:val="clear" w:color="auto" w:fill="FFFFFF"/>
        </w:rPr>
        <w:t>54</w:t>
      </w:r>
      <w:r w:rsidRPr="002A0BB0">
        <w:rPr>
          <w:rFonts w:ascii="Arial" w:hAnsi="Arial" w:cs="Arial"/>
          <w:color w:val="222222"/>
          <w:shd w:val="clear" w:color="auto" w:fill="FFFFFF"/>
        </w:rPr>
        <w:t>(4), pp.333-336.</w:t>
      </w:r>
    </w:p>
    <w:p w14:paraId="7666D7B6" w14:textId="77777777" w:rsidR="00254B3C" w:rsidRPr="002A0BB0" w:rsidRDefault="00671D84" w:rsidP="00254B3C">
      <w:pPr>
        <w:tabs>
          <w:tab w:val="left" w:pos="6975"/>
        </w:tabs>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Shahar, S. and Galai, C., 2023. </w:t>
      </w:r>
      <w:r w:rsidRPr="002A0BB0">
        <w:rPr>
          <w:rFonts w:ascii="Arial" w:hAnsi="Arial" w:cs="Arial"/>
          <w:i/>
          <w:iCs/>
          <w:color w:val="222222"/>
          <w:shd w:val="clear" w:color="auto" w:fill="FFFFFF"/>
        </w:rPr>
        <w:t>Childhood in the middle ages</w:t>
      </w:r>
      <w:r w:rsidRPr="002A0BB0">
        <w:rPr>
          <w:rFonts w:ascii="Arial" w:hAnsi="Arial" w:cs="Arial"/>
          <w:color w:val="222222"/>
          <w:shd w:val="clear" w:color="auto" w:fill="FFFFFF"/>
        </w:rPr>
        <w:t>. Routledge.</w:t>
      </w:r>
      <w:r w:rsidRPr="002A0BB0">
        <w:rPr>
          <w:rFonts w:ascii="Arial" w:hAnsi="Arial" w:cs="Arial"/>
          <w:color w:val="222222"/>
          <w:shd w:val="clear" w:color="auto" w:fill="FFFFFF"/>
        </w:rPr>
        <w:tab/>
      </w:r>
    </w:p>
    <w:p w14:paraId="626E5AB0" w14:textId="77777777" w:rsidR="00254B3C" w:rsidRPr="002A0BB0" w:rsidRDefault="00671D84" w:rsidP="00254B3C">
      <w:pPr>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Smidt, S., 2013. </w:t>
      </w:r>
      <w:r w:rsidRPr="002A0BB0">
        <w:rPr>
          <w:rFonts w:ascii="Arial" w:hAnsi="Arial" w:cs="Arial"/>
          <w:i/>
          <w:iCs/>
          <w:color w:val="222222"/>
          <w:shd w:val="clear" w:color="auto" w:fill="FFFFFF"/>
        </w:rPr>
        <w:t>The developing child in the 21st century: A global perspective on child development</w:t>
      </w:r>
      <w:r w:rsidRPr="002A0BB0">
        <w:rPr>
          <w:rFonts w:ascii="Arial" w:hAnsi="Arial" w:cs="Arial"/>
          <w:color w:val="222222"/>
          <w:shd w:val="clear" w:color="auto" w:fill="FFFFFF"/>
        </w:rPr>
        <w:t>. Routledge.</w:t>
      </w:r>
    </w:p>
    <w:p w14:paraId="3E99F405" w14:textId="77777777" w:rsidR="00254B3C" w:rsidRPr="002A0BB0" w:rsidRDefault="00671D84" w:rsidP="00254B3C">
      <w:pPr>
        <w:tabs>
          <w:tab w:val="left" w:pos="6975"/>
        </w:tabs>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Tobin, J. ed., 2019. </w:t>
      </w:r>
      <w:r w:rsidRPr="002A0BB0">
        <w:rPr>
          <w:rFonts w:ascii="Arial" w:hAnsi="Arial" w:cs="Arial"/>
          <w:i/>
          <w:iCs/>
          <w:color w:val="222222"/>
          <w:shd w:val="clear" w:color="auto" w:fill="FFFFFF"/>
        </w:rPr>
        <w:t>The UN Convention on the Rights of the Child: A commentary</w:t>
      </w:r>
      <w:r w:rsidRPr="002A0BB0">
        <w:rPr>
          <w:rFonts w:ascii="Arial" w:hAnsi="Arial" w:cs="Arial"/>
          <w:color w:val="222222"/>
          <w:shd w:val="clear" w:color="auto" w:fill="FFFFFF"/>
        </w:rPr>
        <w:t>. OUP Oxford.</w:t>
      </w:r>
    </w:p>
    <w:p w14:paraId="333334BD" w14:textId="77777777" w:rsidR="00254B3C" w:rsidRPr="002A0BB0" w:rsidRDefault="00671D84" w:rsidP="00254B3C">
      <w:pPr>
        <w:tabs>
          <w:tab w:val="left" w:pos="6975"/>
        </w:tabs>
        <w:spacing w:line="360" w:lineRule="auto"/>
        <w:jc w:val="both"/>
        <w:rPr>
          <w:rFonts w:ascii="Arial" w:hAnsi="Arial" w:cs="Arial"/>
          <w:color w:val="222222"/>
          <w:shd w:val="clear" w:color="auto" w:fill="FFFFFF"/>
        </w:rPr>
      </w:pPr>
      <w:r w:rsidRPr="002A0BB0">
        <w:rPr>
          <w:rFonts w:ascii="Arial" w:hAnsi="Arial" w:cs="Arial"/>
          <w:color w:val="222222"/>
          <w:shd w:val="clear" w:color="auto" w:fill="FFFFFF"/>
        </w:rPr>
        <w:t>Wohlwend, K.E., 2015. </w:t>
      </w:r>
      <w:r w:rsidRPr="002A0BB0">
        <w:rPr>
          <w:rFonts w:ascii="Arial" w:hAnsi="Arial" w:cs="Arial"/>
          <w:i/>
          <w:iCs/>
          <w:color w:val="222222"/>
          <w:shd w:val="clear" w:color="auto" w:fill="FFFFFF"/>
        </w:rPr>
        <w:t>Playing their way into literacies: Reading, writing, and belonging in the early childhood classroom</w:t>
      </w:r>
      <w:r w:rsidRPr="002A0BB0">
        <w:rPr>
          <w:rFonts w:ascii="Arial" w:hAnsi="Arial" w:cs="Arial"/>
          <w:color w:val="222222"/>
          <w:shd w:val="clear" w:color="auto" w:fill="FFFFFF"/>
        </w:rPr>
        <w:t>. Teachers College Press.</w:t>
      </w:r>
    </w:p>
    <w:p w14:paraId="28BD5C55" w14:textId="49585F6D" w:rsidR="0098796F" w:rsidRPr="001B7AD4" w:rsidRDefault="0098796F" w:rsidP="001B7AD4">
      <w:pPr>
        <w:spacing w:line="360" w:lineRule="auto"/>
        <w:rPr>
          <w:rFonts w:ascii="Arial" w:hAnsi="Arial" w:cs="Arial"/>
        </w:rPr>
      </w:pPr>
    </w:p>
    <w:sectPr w:rsidR="0098796F" w:rsidRPr="001B7AD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04998" w14:textId="77777777" w:rsidR="00451618" w:rsidRDefault="00451618">
      <w:pPr>
        <w:spacing w:after="0" w:line="240" w:lineRule="auto"/>
      </w:pPr>
      <w:r>
        <w:separator/>
      </w:r>
    </w:p>
  </w:endnote>
  <w:endnote w:type="continuationSeparator" w:id="0">
    <w:p w14:paraId="694D8922" w14:textId="77777777" w:rsidR="00451618" w:rsidRDefault="004516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CBA2A" w14:textId="77777777" w:rsidR="00451618" w:rsidRDefault="00451618">
      <w:pPr>
        <w:spacing w:after="0" w:line="240" w:lineRule="auto"/>
      </w:pPr>
      <w:r>
        <w:separator/>
      </w:r>
    </w:p>
  </w:footnote>
  <w:footnote w:type="continuationSeparator" w:id="0">
    <w:p w14:paraId="05186A14" w14:textId="77777777" w:rsidR="00451618" w:rsidRDefault="004516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829E8"/>
    <w:multiLevelType w:val="hybridMultilevel"/>
    <w:tmpl w:val="D9FC442A"/>
    <w:lvl w:ilvl="0" w:tplc="BC3CE3E4">
      <w:start w:val="1"/>
      <w:numFmt w:val="bullet"/>
      <w:lvlText w:val=""/>
      <w:lvlJc w:val="left"/>
      <w:pPr>
        <w:ind w:left="720" w:hanging="360"/>
      </w:pPr>
      <w:rPr>
        <w:rFonts w:ascii="Symbol" w:hAnsi="Symbol" w:hint="default"/>
      </w:rPr>
    </w:lvl>
    <w:lvl w:ilvl="1" w:tplc="2948203A" w:tentative="1">
      <w:start w:val="1"/>
      <w:numFmt w:val="bullet"/>
      <w:lvlText w:val="o"/>
      <w:lvlJc w:val="left"/>
      <w:pPr>
        <w:ind w:left="1440" w:hanging="360"/>
      </w:pPr>
      <w:rPr>
        <w:rFonts w:ascii="Courier New" w:hAnsi="Courier New" w:cs="Courier New" w:hint="default"/>
      </w:rPr>
    </w:lvl>
    <w:lvl w:ilvl="2" w:tplc="DD4AFE88" w:tentative="1">
      <w:start w:val="1"/>
      <w:numFmt w:val="bullet"/>
      <w:lvlText w:val=""/>
      <w:lvlJc w:val="left"/>
      <w:pPr>
        <w:ind w:left="2160" w:hanging="360"/>
      </w:pPr>
      <w:rPr>
        <w:rFonts w:ascii="Wingdings" w:hAnsi="Wingdings" w:hint="default"/>
      </w:rPr>
    </w:lvl>
    <w:lvl w:ilvl="3" w:tplc="62F6DADC" w:tentative="1">
      <w:start w:val="1"/>
      <w:numFmt w:val="bullet"/>
      <w:lvlText w:val=""/>
      <w:lvlJc w:val="left"/>
      <w:pPr>
        <w:ind w:left="2880" w:hanging="360"/>
      </w:pPr>
      <w:rPr>
        <w:rFonts w:ascii="Symbol" w:hAnsi="Symbol" w:hint="default"/>
      </w:rPr>
    </w:lvl>
    <w:lvl w:ilvl="4" w:tplc="A44C90FE" w:tentative="1">
      <w:start w:val="1"/>
      <w:numFmt w:val="bullet"/>
      <w:lvlText w:val="o"/>
      <w:lvlJc w:val="left"/>
      <w:pPr>
        <w:ind w:left="3600" w:hanging="360"/>
      </w:pPr>
      <w:rPr>
        <w:rFonts w:ascii="Courier New" w:hAnsi="Courier New" w:cs="Courier New" w:hint="default"/>
      </w:rPr>
    </w:lvl>
    <w:lvl w:ilvl="5" w:tplc="D250E21E" w:tentative="1">
      <w:start w:val="1"/>
      <w:numFmt w:val="bullet"/>
      <w:lvlText w:val=""/>
      <w:lvlJc w:val="left"/>
      <w:pPr>
        <w:ind w:left="4320" w:hanging="360"/>
      </w:pPr>
      <w:rPr>
        <w:rFonts w:ascii="Wingdings" w:hAnsi="Wingdings" w:hint="default"/>
      </w:rPr>
    </w:lvl>
    <w:lvl w:ilvl="6" w:tplc="25BE7482" w:tentative="1">
      <w:start w:val="1"/>
      <w:numFmt w:val="bullet"/>
      <w:lvlText w:val=""/>
      <w:lvlJc w:val="left"/>
      <w:pPr>
        <w:ind w:left="5040" w:hanging="360"/>
      </w:pPr>
      <w:rPr>
        <w:rFonts w:ascii="Symbol" w:hAnsi="Symbol" w:hint="default"/>
      </w:rPr>
    </w:lvl>
    <w:lvl w:ilvl="7" w:tplc="3DF06C16" w:tentative="1">
      <w:start w:val="1"/>
      <w:numFmt w:val="bullet"/>
      <w:lvlText w:val="o"/>
      <w:lvlJc w:val="left"/>
      <w:pPr>
        <w:ind w:left="5760" w:hanging="360"/>
      </w:pPr>
      <w:rPr>
        <w:rFonts w:ascii="Courier New" w:hAnsi="Courier New" w:cs="Courier New" w:hint="default"/>
      </w:rPr>
    </w:lvl>
    <w:lvl w:ilvl="8" w:tplc="17DEEE04" w:tentative="1">
      <w:start w:val="1"/>
      <w:numFmt w:val="bullet"/>
      <w:lvlText w:val=""/>
      <w:lvlJc w:val="left"/>
      <w:pPr>
        <w:ind w:left="6480" w:hanging="360"/>
      </w:pPr>
      <w:rPr>
        <w:rFonts w:ascii="Wingdings" w:hAnsi="Wingdings" w:hint="default"/>
      </w:rPr>
    </w:lvl>
  </w:abstractNum>
  <w:abstractNum w:abstractNumId="1" w15:restartNumberingAfterBreak="0">
    <w:nsid w:val="1E364595"/>
    <w:multiLevelType w:val="hybridMultilevel"/>
    <w:tmpl w:val="3D58C85C"/>
    <w:lvl w:ilvl="0" w:tplc="2098CC78">
      <w:start w:val="1"/>
      <w:numFmt w:val="bullet"/>
      <w:lvlText w:val=""/>
      <w:lvlJc w:val="left"/>
      <w:pPr>
        <w:ind w:left="720" w:hanging="360"/>
      </w:pPr>
      <w:rPr>
        <w:rFonts w:ascii="Symbol" w:hAnsi="Symbol" w:hint="default"/>
      </w:rPr>
    </w:lvl>
    <w:lvl w:ilvl="1" w:tplc="CDBAE320" w:tentative="1">
      <w:start w:val="1"/>
      <w:numFmt w:val="bullet"/>
      <w:lvlText w:val="o"/>
      <w:lvlJc w:val="left"/>
      <w:pPr>
        <w:ind w:left="1440" w:hanging="360"/>
      </w:pPr>
      <w:rPr>
        <w:rFonts w:ascii="Courier New" w:hAnsi="Courier New" w:cs="Courier New" w:hint="default"/>
      </w:rPr>
    </w:lvl>
    <w:lvl w:ilvl="2" w:tplc="EA02FC20" w:tentative="1">
      <w:start w:val="1"/>
      <w:numFmt w:val="bullet"/>
      <w:lvlText w:val=""/>
      <w:lvlJc w:val="left"/>
      <w:pPr>
        <w:ind w:left="2160" w:hanging="360"/>
      </w:pPr>
      <w:rPr>
        <w:rFonts w:ascii="Wingdings" w:hAnsi="Wingdings" w:hint="default"/>
      </w:rPr>
    </w:lvl>
    <w:lvl w:ilvl="3" w:tplc="E3D89014" w:tentative="1">
      <w:start w:val="1"/>
      <w:numFmt w:val="bullet"/>
      <w:lvlText w:val=""/>
      <w:lvlJc w:val="left"/>
      <w:pPr>
        <w:ind w:left="2880" w:hanging="360"/>
      </w:pPr>
      <w:rPr>
        <w:rFonts w:ascii="Symbol" w:hAnsi="Symbol" w:hint="default"/>
      </w:rPr>
    </w:lvl>
    <w:lvl w:ilvl="4" w:tplc="F75ADC72" w:tentative="1">
      <w:start w:val="1"/>
      <w:numFmt w:val="bullet"/>
      <w:lvlText w:val="o"/>
      <w:lvlJc w:val="left"/>
      <w:pPr>
        <w:ind w:left="3600" w:hanging="360"/>
      </w:pPr>
      <w:rPr>
        <w:rFonts w:ascii="Courier New" w:hAnsi="Courier New" w:cs="Courier New" w:hint="default"/>
      </w:rPr>
    </w:lvl>
    <w:lvl w:ilvl="5" w:tplc="9F3C4DDC" w:tentative="1">
      <w:start w:val="1"/>
      <w:numFmt w:val="bullet"/>
      <w:lvlText w:val=""/>
      <w:lvlJc w:val="left"/>
      <w:pPr>
        <w:ind w:left="4320" w:hanging="360"/>
      </w:pPr>
      <w:rPr>
        <w:rFonts w:ascii="Wingdings" w:hAnsi="Wingdings" w:hint="default"/>
      </w:rPr>
    </w:lvl>
    <w:lvl w:ilvl="6" w:tplc="415826E2" w:tentative="1">
      <w:start w:val="1"/>
      <w:numFmt w:val="bullet"/>
      <w:lvlText w:val=""/>
      <w:lvlJc w:val="left"/>
      <w:pPr>
        <w:ind w:left="5040" w:hanging="360"/>
      </w:pPr>
      <w:rPr>
        <w:rFonts w:ascii="Symbol" w:hAnsi="Symbol" w:hint="default"/>
      </w:rPr>
    </w:lvl>
    <w:lvl w:ilvl="7" w:tplc="330E2928" w:tentative="1">
      <w:start w:val="1"/>
      <w:numFmt w:val="bullet"/>
      <w:lvlText w:val="o"/>
      <w:lvlJc w:val="left"/>
      <w:pPr>
        <w:ind w:left="5760" w:hanging="360"/>
      </w:pPr>
      <w:rPr>
        <w:rFonts w:ascii="Courier New" w:hAnsi="Courier New" w:cs="Courier New" w:hint="default"/>
      </w:rPr>
    </w:lvl>
    <w:lvl w:ilvl="8" w:tplc="30548BC8" w:tentative="1">
      <w:start w:val="1"/>
      <w:numFmt w:val="bullet"/>
      <w:lvlText w:val=""/>
      <w:lvlJc w:val="left"/>
      <w:pPr>
        <w:ind w:left="6480" w:hanging="360"/>
      </w:pPr>
      <w:rPr>
        <w:rFonts w:ascii="Wingdings" w:hAnsi="Wingdings" w:hint="default"/>
      </w:rPr>
    </w:lvl>
  </w:abstractNum>
  <w:abstractNum w:abstractNumId="2" w15:restartNumberingAfterBreak="0">
    <w:nsid w:val="2FFD2FB7"/>
    <w:multiLevelType w:val="hybridMultilevel"/>
    <w:tmpl w:val="C7907C54"/>
    <w:lvl w:ilvl="0" w:tplc="56A4445A">
      <w:numFmt w:val="bullet"/>
      <w:lvlText w:val="-"/>
      <w:lvlJc w:val="left"/>
      <w:pPr>
        <w:ind w:left="720" w:hanging="360"/>
      </w:pPr>
      <w:rPr>
        <w:rFonts w:ascii="Calibri" w:eastAsiaTheme="minorHAnsi" w:hAnsi="Calibri" w:cs="Calibri" w:hint="default"/>
      </w:rPr>
    </w:lvl>
    <w:lvl w:ilvl="1" w:tplc="A09AB570" w:tentative="1">
      <w:start w:val="1"/>
      <w:numFmt w:val="bullet"/>
      <w:lvlText w:val="o"/>
      <w:lvlJc w:val="left"/>
      <w:pPr>
        <w:ind w:left="1440" w:hanging="360"/>
      </w:pPr>
      <w:rPr>
        <w:rFonts w:ascii="Courier New" w:hAnsi="Courier New" w:cs="Courier New" w:hint="default"/>
      </w:rPr>
    </w:lvl>
    <w:lvl w:ilvl="2" w:tplc="3E906F92" w:tentative="1">
      <w:start w:val="1"/>
      <w:numFmt w:val="bullet"/>
      <w:lvlText w:val=""/>
      <w:lvlJc w:val="left"/>
      <w:pPr>
        <w:ind w:left="2160" w:hanging="360"/>
      </w:pPr>
      <w:rPr>
        <w:rFonts w:ascii="Wingdings" w:hAnsi="Wingdings" w:hint="default"/>
      </w:rPr>
    </w:lvl>
    <w:lvl w:ilvl="3" w:tplc="CEB46B9E" w:tentative="1">
      <w:start w:val="1"/>
      <w:numFmt w:val="bullet"/>
      <w:lvlText w:val=""/>
      <w:lvlJc w:val="left"/>
      <w:pPr>
        <w:ind w:left="2880" w:hanging="360"/>
      </w:pPr>
      <w:rPr>
        <w:rFonts w:ascii="Symbol" w:hAnsi="Symbol" w:hint="default"/>
      </w:rPr>
    </w:lvl>
    <w:lvl w:ilvl="4" w:tplc="1CEE28C8" w:tentative="1">
      <w:start w:val="1"/>
      <w:numFmt w:val="bullet"/>
      <w:lvlText w:val="o"/>
      <w:lvlJc w:val="left"/>
      <w:pPr>
        <w:ind w:left="3600" w:hanging="360"/>
      </w:pPr>
      <w:rPr>
        <w:rFonts w:ascii="Courier New" w:hAnsi="Courier New" w:cs="Courier New" w:hint="default"/>
      </w:rPr>
    </w:lvl>
    <w:lvl w:ilvl="5" w:tplc="C6A6879A" w:tentative="1">
      <w:start w:val="1"/>
      <w:numFmt w:val="bullet"/>
      <w:lvlText w:val=""/>
      <w:lvlJc w:val="left"/>
      <w:pPr>
        <w:ind w:left="4320" w:hanging="360"/>
      </w:pPr>
      <w:rPr>
        <w:rFonts w:ascii="Wingdings" w:hAnsi="Wingdings" w:hint="default"/>
      </w:rPr>
    </w:lvl>
    <w:lvl w:ilvl="6" w:tplc="BD8896A8" w:tentative="1">
      <w:start w:val="1"/>
      <w:numFmt w:val="bullet"/>
      <w:lvlText w:val=""/>
      <w:lvlJc w:val="left"/>
      <w:pPr>
        <w:ind w:left="5040" w:hanging="360"/>
      </w:pPr>
      <w:rPr>
        <w:rFonts w:ascii="Symbol" w:hAnsi="Symbol" w:hint="default"/>
      </w:rPr>
    </w:lvl>
    <w:lvl w:ilvl="7" w:tplc="47D07994" w:tentative="1">
      <w:start w:val="1"/>
      <w:numFmt w:val="bullet"/>
      <w:lvlText w:val="o"/>
      <w:lvlJc w:val="left"/>
      <w:pPr>
        <w:ind w:left="5760" w:hanging="360"/>
      </w:pPr>
      <w:rPr>
        <w:rFonts w:ascii="Courier New" w:hAnsi="Courier New" w:cs="Courier New" w:hint="default"/>
      </w:rPr>
    </w:lvl>
    <w:lvl w:ilvl="8" w:tplc="A5AA10F8" w:tentative="1">
      <w:start w:val="1"/>
      <w:numFmt w:val="bullet"/>
      <w:lvlText w:val=""/>
      <w:lvlJc w:val="left"/>
      <w:pPr>
        <w:ind w:left="6480" w:hanging="360"/>
      </w:pPr>
      <w:rPr>
        <w:rFonts w:ascii="Wingdings" w:hAnsi="Wingdings" w:hint="default"/>
      </w:rPr>
    </w:lvl>
  </w:abstractNum>
  <w:abstractNum w:abstractNumId="3" w15:restartNumberingAfterBreak="0">
    <w:nsid w:val="3859742E"/>
    <w:multiLevelType w:val="hybridMultilevel"/>
    <w:tmpl w:val="37CA879E"/>
    <w:lvl w:ilvl="0" w:tplc="ADA4F83A">
      <w:start w:val="1"/>
      <w:numFmt w:val="bullet"/>
      <w:lvlText w:val=""/>
      <w:lvlJc w:val="left"/>
      <w:pPr>
        <w:ind w:left="720" w:hanging="360"/>
      </w:pPr>
      <w:rPr>
        <w:rFonts w:ascii="Symbol" w:hAnsi="Symbol" w:hint="default"/>
      </w:rPr>
    </w:lvl>
    <w:lvl w:ilvl="1" w:tplc="5F360E60" w:tentative="1">
      <w:start w:val="1"/>
      <w:numFmt w:val="bullet"/>
      <w:lvlText w:val="o"/>
      <w:lvlJc w:val="left"/>
      <w:pPr>
        <w:ind w:left="1440" w:hanging="360"/>
      </w:pPr>
      <w:rPr>
        <w:rFonts w:ascii="Courier New" w:hAnsi="Courier New" w:cs="Courier New" w:hint="default"/>
      </w:rPr>
    </w:lvl>
    <w:lvl w:ilvl="2" w:tplc="BDA03774" w:tentative="1">
      <w:start w:val="1"/>
      <w:numFmt w:val="bullet"/>
      <w:lvlText w:val=""/>
      <w:lvlJc w:val="left"/>
      <w:pPr>
        <w:ind w:left="2160" w:hanging="360"/>
      </w:pPr>
      <w:rPr>
        <w:rFonts w:ascii="Wingdings" w:hAnsi="Wingdings" w:hint="default"/>
      </w:rPr>
    </w:lvl>
    <w:lvl w:ilvl="3" w:tplc="B0287008" w:tentative="1">
      <w:start w:val="1"/>
      <w:numFmt w:val="bullet"/>
      <w:lvlText w:val=""/>
      <w:lvlJc w:val="left"/>
      <w:pPr>
        <w:ind w:left="2880" w:hanging="360"/>
      </w:pPr>
      <w:rPr>
        <w:rFonts w:ascii="Symbol" w:hAnsi="Symbol" w:hint="default"/>
      </w:rPr>
    </w:lvl>
    <w:lvl w:ilvl="4" w:tplc="5CC08ED4" w:tentative="1">
      <w:start w:val="1"/>
      <w:numFmt w:val="bullet"/>
      <w:lvlText w:val="o"/>
      <w:lvlJc w:val="left"/>
      <w:pPr>
        <w:ind w:left="3600" w:hanging="360"/>
      </w:pPr>
      <w:rPr>
        <w:rFonts w:ascii="Courier New" w:hAnsi="Courier New" w:cs="Courier New" w:hint="default"/>
      </w:rPr>
    </w:lvl>
    <w:lvl w:ilvl="5" w:tplc="F170E842" w:tentative="1">
      <w:start w:val="1"/>
      <w:numFmt w:val="bullet"/>
      <w:lvlText w:val=""/>
      <w:lvlJc w:val="left"/>
      <w:pPr>
        <w:ind w:left="4320" w:hanging="360"/>
      </w:pPr>
      <w:rPr>
        <w:rFonts w:ascii="Wingdings" w:hAnsi="Wingdings" w:hint="default"/>
      </w:rPr>
    </w:lvl>
    <w:lvl w:ilvl="6" w:tplc="B756F930" w:tentative="1">
      <w:start w:val="1"/>
      <w:numFmt w:val="bullet"/>
      <w:lvlText w:val=""/>
      <w:lvlJc w:val="left"/>
      <w:pPr>
        <w:ind w:left="5040" w:hanging="360"/>
      </w:pPr>
      <w:rPr>
        <w:rFonts w:ascii="Symbol" w:hAnsi="Symbol" w:hint="default"/>
      </w:rPr>
    </w:lvl>
    <w:lvl w:ilvl="7" w:tplc="54084EFE" w:tentative="1">
      <w:start w:val="1"/>
      <w:numFmt w:val="bullet"/>
      <w:lvlText w:val="o"/>
      <w:lvlJc w:val="left"/>
      <w:pPr>
        <w:ind w:left="5760" w:hanging="360"/>
      </w:pPr>
      <w:rPr>
        <w:rFonts w:ascii="Courier New" w:hAnsi="Courier New" w:cs="Courier New" w:hint="default"/>
      </w:rPr>
    </w:lvl>
    <w:lvl w:ilvl="8" w:tplc="BDCE2B74" w:tentative="1">
      <w:start w:val="1"/>
      <w:numFmt w:val="bullet"/>
      <w:lvlText w:val=""/>
      <w:lvlJc w:val="left"/>
      <w:pPr>
        <w:ind w:left="6480" w:hanging="360"/>
      </w:pPr>
      <w:rPr>
        <w:rFonts w:ascii="Wingdings" w:hAnsi="Wingdings" w:hint="default"/>
      </w:rPr>
    </w:lvl>
  </w:abstractNum>
  <w:abstractNum w:abstractNumId="4" w15:restartNumberingAfterBreak="0">
    <w:nsid w:val="40147CD1"/>
    <w:multiLevelType w:val="hybridMultilevel"/>
    <w:tmpl w:val="F536C360"/>
    <w:lvl w:ilvl="0" w:tplc="FC001FA6">
      <w:numFmt w:val="bullet"/>
      <w:lvlText w:val="-"/>
      <w:lvlJc w:val="left"/>
      <w:pPr>
        <w:ind w:left="720" w:hanging="360"/>
      </w:pPr>
      <w:rPr>
        <w:rFonts w:ascii="Calibri" w:eastAsiaTheme="minorHAnsi" w:hAnsi="Calibri" w:cs="Calibri" w:hint="default"/>
      </w:rPr>
    </w:lvl>
    <w:lvl w:ilvl="1" w:tplc="A52CFF94" w:tentative="1">
      <w:start w:val="1"/>
      <w:numFmt w:val="bullet"/>
      <w:lvlText w:val="o"/>
      <w:lvlJc w:val="left"/>
      <w:pPr>
        <w:ind w:left="1440" w:hanging="360"/>
      </w:pPr>
      <w:rPr>
        <w:rFonts w:ascii="Courier New" w:hAnsi="Courier New" w:cs="Courier New" w:hint="default"/>
      </w:rPr>
    </w:lvl>
    <w:lvl w:ilvl="2" w:tplc="9D2E84DE" w:tentative="1">
      <w:start w:val="1"/>
      <w:numFmt w:val="bullet"/>
      <w:lvlText w:val=""/>
      <w:lvlJc w:val="left"/>
      <w:pPr>
        <w:ind w:left="2160" w:hanging="360"/>
      </w:pPr>
      <w:rPr>
        <w:rFonts w:ascii="Wingdings" w:hAnsi="Wingdings" w:hint="default"/>
      </w:rPr>
    </w:lvl>
    <w:lvl w:ilvl="3" w:tplc="9766C636" w:tentative="1">
      <w:start w:val="1"/>
      <w:numFmt w:val="bullet"/>
      <w:lvlText w:val=""/>
      <w:lvlJc w:val="left"/>
      <w:pPr>
        <w:ind w:left="2880" w:hanging="360"/>
      </w:pPr>
      <w:rPr>
        <w:rFonts w:ascii="Symbol" w:hAnsi="Symbol" w:hint="default"/>
      </w:rPr>
    </w:lvl>
    <w:lvl w:ilvl="4" w:tplc="980A2AB6" w:tentative="1">
      <w:start w:val="1"/>
      <w:numFmt w:val="bullet"/>
      <w:lvlText w:val="o"/>
      <w:lvlJc w:val="left"/>
      <w:pPr>
        <w:ind w:left="3600" w:hanging="360"/>
      </w:pPr>
      <w:rPr>
        <w:rFonts w:ascii="Courier New" w:hAnsi="Courier New" w:cs="Courier New" w:hint="default"/>
      </w:rPr>
    </w:lvl>
    <w:lvl w:ilvl="5" w:tplc="D3A855DC" w:tentative="1">
      <w:start w:val="1"/>
      <w:numFmt w:val="bullet"/>
      <w:lvlText w:val=""/>
      <w:lvlJc w:val="left"/>
      <w:pPr>
        <w:ind w:left="4320" w:hanging="360"/>
      </w:pPr>
      <w:rPr>
        <w:rFonts w:ascii="Wingdings" w:hAnsi="Wingdings" w:hint="default"/>
      </w:rPr>
    </w:lvl>
    <w:lvl w:ilvl="6" w:tplc="41220B22" w:tentative="1">
      <w:start w:val="1"/>
      <w:numFmt w:val="bullet"/>
      <w:lvlText w:val=""/>
      <w:lvlJc w:val="left"/>
      <w:pPr>
        <w:ind w:left="5040" w:hanging="360"/>
      </w:pPr>
      <w:rPr>
        <w:rFonts w:ascii="Symbol" w:hAnsi="Symbol" w:hint="default"/>
      </w:rPr>
    </w:lvl>
    <w:lvl w:ilvl="7" w:tplc="997EE5BC" w:tentative="1">
      <w:start w:val="1"/>
      <w:numFmt w:val="bullet"/>
      <w:lvlText w:val="o"/>
      <w:lvlJc w:val="left"/>
      <w:pPr>
        <w:ind w:left="5760" w:hanging="360"/>
      </w:pPr>
      <w:rPr>
        <w:rFonts w:ascii="Courier New" w:hAnsi="Courier New" w:cs="Courier New" w:hint="default"/>
      </w:rPr>
    </w:lvl>
    <w:lvl w:ilvl="8" w:tplc="0DDC124C" w:tentative="1">
      <w:start w:val="1"/>
      <w:numFmt w:val="bullet"/>
      <w:lvlText w:val=""/>
      <w:lvlJc w:val="left"/>
      <w:pPr>
        <w:ind w:left="6480" w:hanging="360"/>
      </w:pPr>
      <w:rPr>
        <w:rFonts w:ascii="Wingdings" w:hAnsi="Wingdings" w:hint="default"/>
      </w:rPr>
    </w:lvl>
  </w:abstractNum>
  <w:abstractNum w:abstractNumId="5" w15:restartNumberingAfterBreak="0">
    <w:nsid w:val="4A5A1A62"/>
    <w:multiLevelType w:val="hybridMultilevel"/>
    <w:tmpl w:val="C878612E"/>
    <w:lvl w:ilvl="0" w:tplc="BCB061E0">
      <w:start w:val="1"/>
      <w:numFmt w:val="bullet"/>
      <w:lvlText w:val=""/>
      <w:lvlJc w:val="left"/>
      <w:pPr>
        <w:ind w:left="720" w:hanging="360"/>
      </w:pPr>
      <w:rPr>
        <w:rFonts w:ascii="Symbol" w:hAnsi="Symbol" w:hint="default"/>
      </w:rPr>
    </w:lvl>
    <w:lvl w:ilvl="1" w:tplc="48B26A08" w:tentative="1">
      <w:start w:val="1"/>
      <w:numFmt w:val="bullet"/>
      <w:lvlText w:val="o"/>
      <w:lvlJc w:val="left"/>
      <w:pPr>
        <w:ind w:left="1440" w:hanging="360"/>
      </w:pPr>
      <w:rPr>
        <w:rFonts w:ascii="Courier New" w:hAnsi="Courier New" w:cs="Courier New" w:hint="default"/>
      </w:rPr>
    </w:lvl>
    <w:lvl w:ilvl="2" w:tplc="2A94E100" w:tentative="1">
      <w:start w:val="1"/>
      <w:numFmt w:val="bullet"/>
      <w:lvlText w:val=""/>
      <w:lvlJc w:val="left"/>
      <w:pPr>
        <w:ind w:left="2160" w:hanging="360"/>
      </w:pPr>
      <w:rPr>
        <w:rFonts w:ascii="Wingdings" w:hAnsi="Wingdings" w:hint="default"/>
      </w:rPr>
    </w:lvl>
    <w:lvl w:ilvl="3" w:tplc="5B544200" w:tentative="1">
      <w:start w:val="1"/>
      <w:numFmt w:val="bullet"/>
      <w:lvlText w:val=""/>
      <w:lvlJc w:val="left"/>
      <w:pPr>
        <w:ind w:left="2880" w:hanging="360"/>
      </w:pPr>
      <w:rPr>
        <w:rFonts w:ascii="Symbol" w:hAnsi="Symbol" w:hint="default"/>
      </w:rPr>
    </w:lvl>
    <w:lvl w:ilvl="4" w:tplc="8124E15C" w:tentative="1">
      <w:start w:val="1"/>
      <w:numFmt w:val="bullet"/>
      <w:lvlText w:val="o"/>
      <w:lvlJc w:val="left"/>
      <w:pPr>
        <w:ind w:left="3600" w:hanging="360"/>
      </w:pPr>
      <w:rPr>
        <w:rFonts w:ascii="Courier New" w:hAnsi="Courier New" w:cs="Courier New" w:hint="default"/>
      </w:rPr>
    </w:lvl>
    <w:lvl w:ilvl="5" w:tplc="4C280E86" w:tentative="1">
      <w:start w:val="1"/>
      <w:numFmt w:val="bullet"/>
      <w:lvlText w:val=""/>
      <w:lvlJc w:val="left"/>
      <w:pPr>
        <w:ind w:left="4320" w:hanging="360"/>
      </w:pPr>
      <w:rPr>
        <w:rFonts w:ascii="Wingdings" w:hAnsi="Wingdings" w:hint="default"/>
      </w:rPr>
    </w:lvl>
    <w:lvl w:ilvl="6" w:tplc="A7887728" w:tentative="1">
      <w:start w:val="1"/>
      <w:numFmt w:val="bullet"/>
      <w:lvlText w:val=""/>
      <w:lvlJc w:val="left"/>
      <w:pPr>
        <w:ind w:left="5040" w:hanging="360"/>
      </w:pPr>
      <w:rPr>
        <w:rFonts w:ascii="Symbol" w:hAnsi="Symbol" w:hint="default"/>
      </w:rPr>
    </w:lvl>
    <w:lvl w:ilvl="7" w:tplc="DE169328" w:tentative="1">
      <w:start w:val="1"/>
      <w:numFmt w:val="bullet"/>
      <w:lvlText w:val="o"/>
      <w:lvlJc w:val="left"/>
      <w:pPr>
        <w:ind w:left="5760" w:hanging="360"/>
      </w:pPr>
      <w:rPr>
        <w:rFonts w:ascii="Courier New" w:hAnsi="Courier New" w:cs="Courier New" w:hint="default"/>
      </w:rPr>
    </w:lvl>
    <w:lvl w:ilvl="8" w:tplc="0B74C208" w:tentative="1">
      <w:start w:val="1"/>
      <w:numFmt w:val="bullet"/>
      <w:lvlText w:val=""/>
      <w:lvlJc w:val="left"/>
      <w:pPr>
        <w:ind w:left="6480" w:hanging="360"/>
      </w:pPr>
      <w:rPr>
        <w:rFonts w:ascii="Wingdings" w:hAnsi="Wingdings" w:hint="default"/>
      </w:rPr>
    </w:lvl>
  </w:abstractNum>
  <w:abstractNum w:abstractNumId="6" w15:restartNumberingAfterBreak="0">
    <w:nsid w:val="50D11950"/>
    <w:multiLevelType w:val="hybridMultilevel"/>
    <w:tmpl w:val="8A3A4F36"/>
    <w:lvl w:ilvl="0" w:tplc="FC3AD372">
      <w:numFmt w:val="bullet"/>
      <w:lvlText w:val="-"/>
      <w:lvlJc w:val="left"/>
      <w:pPr>
        <w:ind w:left="720" w:hanging="360"/>
      </w:pPr>
      <w:rPr>
        <w:rFonts w:ascii="Calibri" w:eastAsiaTheme="minorHAnsi" w:hAnsi="Calibri" w:cs="Calibri" w:hint="default"/>
      </w:rPr>
    </w:lvl>
    <w:lvl w:ilvl="1" w:tplc="36302DD4" w:tentative="1">
      <w:start w:val="1"/>
      <w:numFmt w:val="bullet"/>
      <w:lvlText w:val="o"/>
      <w:lvlJc w:val="left"/>
      <w:pPr>
        <w:ind w:left="1440" w:hanging="360"/>
      </w:pPr>
      <w:rPr>
        <w:rFonts w:ascii="Courier New" w:hAnsi="Courier New" w:cs="Courier New" w:hint="default"/>
      </w:rPr>
    </w:lvl>
    <w:lvl w:ilvl="2" w:tplc="AB30EBE4" w:tentative="1">
      <w:start w:val="1"/>
      <w:numFmt w:val="bullet"/>
      <w:lvlText w:val=""/>
      <w:lvlJc w:val="left"/>
      <w:pPr>
        <w:ind w:left="2160" w:hanging="360"/>
      </w:pPr>
      <w:rPr>
        <w:rFonts w:ascii="Wingdings" w:hAnsi="Wingdings" w:hint="default"/>
      </w:rPr>
    </w:lvl>
    <w:lvl w:ilvl="3" w:tplc="4F0256F8" w:tentative="1">
      <w:start w:val="1"/>
      <w:numFmt w:val="bullet"/>
      <w:lvlText w:val=""/>
      <w:lvlJc w:val="left"/>
      <w:pPr>
        <w:ind w:left="2880" w:hanging="360"/>
      </w:pPr>
      <w:rPr>
        <w:rFonts w:ascii="Symbol" w:hAnsi="Symbol" w:hint="default"/>
      </w:rPr>
    </w:lvl>
    <w:lvl w:ilvl="4" w:tplc="C3BC8D7E" w:tentative="1">
      <w:start w:val="1"/>
      <w:numFmt w:val="bullet"/>
      <w:lvlText w:val="o"/>
      <w:lvlJc w:val="left"/>
      <w:pPr>
        <w:ind w:left="3600" w:hanging="360"/>
      </w:pPr>
      <w:rPr>
        <w:rFonts w:ascii="Courier New" w:hAnsi="Courier New" w:cs="Courier New" w:hint="default"/>
      </w:rPr>
    </w:lvl>
    <w:lvl w:ilvl="5" w:tplc="98E05620" w:tentative="1">
      <w:start w:val="1"/>
      <w:numFmt w:val="bullet"/>
      <w:lvlText w:val=""/>
      <w:lvlJc w:val="left"/>
      <w:pPr>
        <w:ind w:left="4320" w:hanging="360"/>
      </w:pPr>
      <w:rPr>
        <w:rFonts w:ascii="Wingdings" w:hAnsi="Wingdings" w:hint="default"/>
      </w:rPr>
    </w:lvl>
    <w:lvl w:ilvl="6" w:tplc="A0D46144" w:tentative="1">
      <w:start w:val="1"/>
      <w:numFmt w:val="bullet"/>
      <w:lvlText w:val=""/>
      <w:lvlJc w:val="left"/>
      <w:pPr>
        <w:ind w:left="5040" w:hanging="360"/>
      </w:pPr>
      <w:rPr>
        <w:rFonts w:ascii="Symbol" w:hAnsi="Symbol" w:hint="default"/>
      </w:rPr>
    </w:lvl>
    <w:lvl w:ilvl="7" w:tplc="DE68FE76" w:tentative="1">
      <w:start w:val="1"/>
      <w:numFmt w:val="bullet"/>
      <w:lvlText w:val="o"/>
      <w:lvlJc w:val="left"/>
      <w:pPr>
        <w:ind w:left="5760" w:hanging="360"/>
      </w:pPr>
      <w:rPr>
        <w:rFonts w:ascii="Courier New" w:hAnsi="Courier New" w:cs="Courier New" w:hint="default"/>
      </w:rPr>
    </w:lvl>
    <w:lvl w:ilvl="8" w:tplc="A85C6616" w:tentative="1">
      <w:start w:val="1"/>
      <w:numFmt w:val="bullet"/>
      <w:lvlText w:val=""/>
      <w:lvlJc w:val="left"/>
      <w:pPr>
        <w:ind w:left="6480" w:hanging="360"/>
      </w:pPr>
      <w:rPr>
        <w:rFonts w:ascii="Wingdings" w:hAnsi="Wingdings" w:hint="default"/>
      </w:rPr>
    </w:lvl>
  </w:abstractNum>
  <w:abstractNum w:abstractNumId="7" w15:restartNumberingAfterBreak="0">
    <w:nsid w:val="686B0F65"/>
    <w:multiLevelType w:val="hybridMultilevel"/>
    <w:tmpl w:val="4FEC7876"/>
    <w:lvl w:ilvl="0" w:tplc="520CF738">
      <w:numFmt w:val="bullet"/>
      <w:lvlText w:val="-"/>
      <w:lvlJc w:val="left"/>
      <w:pPr>
        <w:ind w:left="720" w:hanging="360"/>
      </w:pPr>
      <w:rPr>
        <w:rFonts w:ascii="Calibri" w:eastAsiaTheme="minorHAnsi" w:hAnsi="Calibri" w:cs="Calibri" w:hint="default"/>
      </w:rPr>
    </w:lvl>
    <w:lvl w:ilvl="1" w:tplc="E892D67C" w:tentative="1">
      <w:start w:val="1"/>
      <w:numFmt w:val="bullet"/>
      <w:lvlText w:val="o"/>
      <w:lvlJc w:val="left"/>
      <w:pPr>
        <w:ind w:left="1440" w:hanging="360"/>
      </w:pPr>
      <w:rPr>
        <w:rFonts w:ascii="Courier New" w:hAnsi="Courier New" w:cs="Courier New" w:hint="default"/>
      </w:rPr>
    </w:lvl>
    <w:lvl w:ilvl="2" w:tplc="0E38DBCC" w:tentative="1">
      <w:start w:val="1"/>
      <w:numFmt w:val="bullet"/>
      <w:lvlText w:val=""/>
      <w:lvlJc w:val="left"/>
      <w:pPr>
        <w:ind w:left="2160" w:hanging="360"/>
      </w:pPr>
      <w:rPr>
        <w:rFonts w:ascii="Wingdings" w:hAnsi="Wingdings" w:hint="default"/>
      </w:rPr>
    </w:lvl>
    <w:lvl w:ilvl="3" w:tplc="CB0411B8" w:tentative="1">
      <w:start w:val="1"/>
      <w:numFmt w:val="bullet"/>
      <w:lvlText w:val=""/>
      <w:lvlJc w:val="left"/>
      <w:pPr>
        <w:ind w:left="2880" w:hanging="360"/>
      </w:pPr>
      <w:rPr>
        <w:rFonts w:ascii="Symbol" w:hAnsi="Symbol" w:hint="default"/>
      </w:rPr>
    </w:lvl>
    <w:lvl w:ilvl="4" w:tplc="FE467B2E" w:tentative="1">
      <w:start w:val="1"/>
      <w:numFmt w:val="bullet"/>
      <w:lvlText w:val="o"/>
      <w:lvlJc w:val="left"/>
      <w:pPr>
        <w:ind w:left="3600" w:hanging="360"/>
      </w:pPr>
      <w:rPr>
        <w:rFonts w:ascii="Courier New" w:hAnsi="Courier New" w:cs="Courier New" w:hint="default"/>
      </w:rPr>
    </w:lvl>
    <w:lvl w:ilvl="5" w:tplc="360023AA" w:tentative="1">
      <w:start w:val="1"/>
      <w:numFmt w:val="bullet"/>
      <w:lvlText w:val=""/>
      <w:lvlJc w:val="left"/>
      <w:pPr>
        <w:ind w:left="4320" w:hanging="360"/>
      </w:pPr>
      <w:rPr>
        <w:rFonts w:ascii="Wingdings" w:hAnsi="Wingdings" w:hint="default"/>
      </w:rPr>
    </w:lvl>
    <w:lvl w:ilvl="6" w:tplc="8C702FA6" w:tentative="1">
      <w:start w:val="1"/>
      <w:numFmt w:val="bullet"/>
      <w:lvlText w:val=""/>
      <w:lvlJc w:val="left"/>
      <w:pPr>
        <w:ind w:left="5040" w:hanging="360"/>
      </w:pPr>
      <w:rPr>
        <w:rFonts w:ascii="Symbol" w:hAnsi="Symbol" w:hint="default"/>
      </w:rPr>
    </w:lvl>
    <w:lvl w:ilvl="7" w:tplc="5C861C90" w:tentative="1">
      <w:start w:val="1"/>
      <w:numFmt w:val="bullet"/>
      <w:lvlText w:val="o"/>
      <w:lvlJc w:val="left"/>
      <w:pPr>
        <w:ind w:left="5760" w:hanging="360"/>
      </w:pPr>
      <w:rPr>
        <w:rFonts w:ascii="Courier New" w:hAnsi="Courier New" w:cs="Courier New" w:hint="default"/>
      </w:rPr>
    </w:lvl>
    <w:lvl w:ilvl="8" w:tplc="3A5EB9B4" w:tentative="1">
      <w:start w:val="1"/>
      <w:numFmt w:val="bullet"/>
      <w:lvlText w:val=""/>
      <w:lvlJc w:val="left"/>
      <w:pPr>
        <w:ind w:left="6480" w:hanging="360"/>
      </w:pPr>
      <w:rPr>
        <w:rFonts w:ascii="Wingdings" w:hAnsi="Wingdings" w:hint="default"/>
      </w:rPr>
    </w:lvl>
  </w:abstractNum>
  <w:num w:numId="1" w16cid:durableId="365522642">
    <w:abstractNumId w:val="0"/>
  </w:num>
  <w:num w:numId="2" w16cid:durableId="1591770800">
    <w:abstractNumId w:val="3"/>
  </w:num>
  <w:num w:numId="3" w16cid:durableId="1073703871">
    <w:abstractNumId w:val="1"/>
  </w:num>
  <w:num w:numId="4" w16cid:durableId="902057984">
    <w:abstractNumId w:val="5"/>
  </w:num>
  <w:num w:numId="5" w16cid:durableId="2035811331">
    <w:abstractNumId w:val="2"/>
  </w:num>
  <w:num w:numId="6" w16cid:durableId="628629104">
    <w:abstractNumId w:val="7"/>
  </w:num>
  <w:num w:numId="7" w16cid:durableId="1550144916">
    <w:abstractNumId w:val="6"/>
  </w:num>
  <w:num w:numId="8" w16cid:durableId="11746868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M2NrWwMDQ3NzM3MDJQ0lEKTi0uzszPAykwrgUAToQUwywAAAA="/>
  </w:docVars>
  <w:rsids>
    <w:rsidRoot w:val="008B3CDE"/>
    <w:rsid w:val="00013AD3"/>
    <w:rsid w:val="00030CB0"/>
    <w:rsid w:val="000329FF"/>
    <w:rsid w:val="000408DD"/>
    <w:rsid w:val="000439DD"/>
    <w:rsid w:val="00045051"/>
    <w:rsid w:val="0006377E"/>
    <w:rsid w:val="00072725"/>
    <w:rsid w:val="00077BDB"/>
    <w:rsid w:val="000822F0"/>
    <w:rsid w:val="000835CC"/>
    <w:rsid w:val="000906F0"/>
    <w:rsid w:val="000C22C0"/>
    <w:rsid w:val="000C3909"/>
    <w:rsid w:val="000D0A29"/>
    <w:rsid w:val="000E7719"/>
    <w:rsid w:val="00101CFE"/>
    <w:rsid w:val="001111E4"/>
    <w:rsid w:val="00112973"/>
    <w:rsid w:val="00121377"/>
    <w:rsid w:val="00135959"/>
    <w:rsid w:val="00136B36"/>
    <w:rsid w:val="001430D5"/>
    <w:rsid w:val="0014373C"/>
    <w:rsid w:val="001449FE"/>
    <w:rsid w:val="00146D24"/>
    <w:rsid w:val="00165853"/>
    <w:rsid w:val="00170FAE"/>
    <w:rsid w:val="0017431D"/>
    <w:rsid w:val="00183C99"/>
    <w:rsid w:val="00187D25"/>
    <w:rsid w:val="001B7AD4"/>
    <w:rsid w:val="001C039F"/>
    <w:rsid w:val="001D5C34"/>
    <w:rsid w:val="001E1084"/>
    <w:rsid w:val="001F76A4"/>
    <w:rsid w:val="00206C11"/>
    <w:rsid w:val="002156C6"/>
    <w:rsid w:val="00227A42"/>
    <w:rsid w:val="00235D4D"/>
    <w:rsid w:val="00252A7B"/>
    <w:rsid w:val="00254B3C"/>
    <w:rsid w:val="00256318"/>
    <w:rsid w:val="00257710"/>
    <w:rsid w:val="00265F08"/>
    <w:rsid w:val="002728F6"/>
    <w:rsid w:val="00292BFA"/>
    <w:rsid w:val="00294F37"/>
    <w:rsid w:val="002A0BB0"/>
    <w:rsid w:val="002C497E"/>
    <w:rsid w:val="002F6E37"/>
    <w:rsid w:val="002F7D99"/>
    <w:rsid w:val="00301DB3"/>
    <w:rsid w:val="0030622A"/>
    <w:rsid w:val="00321CDF"/>
    <w:rsid w:val="00337233"/>
    <w:rsid w:val="00341ABF"/>
    <w:rsid w:val="00342652"/>
    <w:rsid w:val="003429EE"/>
    <w:rsid w:val="00345DC7"/>
    <w:rsid w:val="0035048B"/>
    <w:rsid w:val="00355E47"/>
    <w:rsid w:val="003562D5"/>
    <w:rsid w:val="00373E5A"/>
    <w:rsid w:val="00383990"/>
    <w:rsid w:val="003903B7"/>
    <w:rsid w:val="003938EF"/>
    <w:rsid w:val="003A29D8"/>
    <w:rsid w:val="003B0823"/>
    <w:rsid w:val="003F11E5"/>
    <w:rsid w:val="00420B92"/>
    <w:rsid w:val="004326A7"/>
    <w:rsid w:val="004365B8"/>
    <w:rsid w:val="00442350"/>
    <w:rsid w:val="00451618"/>
    <w:rsid w:val="004630C6"/>
    <w:rsid w:val="00463AB1"/>
    <w:rsid w:val="00477F5D"/>
    <w:rsid w:val="00486077"/>
    <w:rsid w:val="0049192F"/>
    <w:rsid w:val="004A6EDB"/>
    <w:rsid w:val="004C11F4"/>
    <w:rsid w:val="004E66C1"/>
    <w:rsid w:val="005124CF"/>
    <w:rsid w:val="005174BD"/>
    <w:rsid w:val="00520F29"/>
    <w:rsid w:val="005241DC"/>
    <w:rsid w:val="0052499C"/>
    <w:rsid w:val="0054215E"/>
    <w:rsid w:val="0054339B"/>
    <w:rsid w:val="00566061"/>
    <w:rsid w:val="00572764"/>
    <w:rsid w:val="005759F3"/>
    <w:rsid w:val="00584BB6"/>
    <w:rsid w:val="0058551C"/>
    <w:rsid w:val="005B2356"/>
    <w:rsid w:val="005B2F5A"/>
    <w:rsid w:val="005C63F0"/>
    <w:rsid w:val="005D6AFE"/>
    <w:rsid w:val="005E2292"/>
    <w:rsid w:val="005F2303"/>
    <w:rsid w:val="006057A9"/>
    <w:rsid w:val="00610A82"/>
    <w:rsid w:val="00617F54"/>
    <w:rsid w:val="00651B9F"/>
    <w:rsid w:val="006608A4"/>
    <w:rsid w:val="00671D84"/>
    <w:rsid w:val="006722F6"/>
    <w:rsid w:val="00697BCE"/>
    <w:rsid w:val="00697D63"/>
    <w:rsid w:val="006A4D84"/>
    <w:rsid w:val="006B06C3"/>
    <w:rsid w:val="006B2617"/>
    <w:rsid w:val="006C30F1"/>
    <w:rsid w:val="006E2A1E"/>
    <w:rsid w:val="006E653B"/>
    <w:rsid w:val="00736940"/>
    <w:rsid w:val="00744988"/>
    <w:rsid w:val="00756411"/>
    <w:rsid w:val="00771FA0"/>
    <w:rsid w:val="00776A92"/>
    <w:rsid w:val="007A6C6D"/>
    <w:rsid w:val="007B25DF"/>
    <w:rsid w:val="007D63F7"/>
    <w:rsid w:val="007E5F3A"/>
    <w:rsid w:val="007F22B8"/>
    <w:rsid w:val="0080002F"/>
    <w:rsid w:val="008001D7"/>
    <w:rsid w:val="0080449F"/>
    <w:rsid w:val="00807872"/>
    <w:rsid w:val="0084598C"/>
    <w:rsid w:val="00847F1C"/>
    <w:rsid w:val="00853FC2"/>
    <w:rsid w:val="008A0CA2"/>
    <w:rsid w:val="008B01D4"/>
    <w:rsid w:val="008B3CDE"/>
    <w:rsid w:val="008B41F4"/>
    <w:rsid w:val="008B4DAE"/>
    <w:rsid w:val="008B7B3A"/>
    <w:rsid w:val="008D058B"/>
    <w:rsid w:val="008E21DE"/>
    <w:rsid w:val="008E2858"/>
    <w:rsid w:val="008F343B"/>
    <w:rsid w:val="008F3C1D"/>
    <w:rsid w:val="008F4A9B"/>
    <w:rsid w:val="00923FAA"/>
    <w:rsid w:val="00963B04"/>
    <w:rsid w:val="00967EA4"/>
    <w:rsid w:val="00980F8E"/>
    <w:rsid w:val="0098633C"/>
    <w:rsid w:val="00986A84"/>
    <w:rsid w:val="0098796F"/>
    <w:rsid w:val="009A0CD8"/>
    <w:rsid w:val="009B7570"/>
    <w:rsid w:val="009B786D"/>
    <w:rsid w:val="009C2FE8"/>
    <w:rsid w:val="009C62D0"/>
    <w:rsid w:val="009E54AB"/>
    <w:rsid w:val="009E5B42"/>
    <w:rsid w:val="00A07DDA"/>
    <w:rsid w:val="00A27C24"/>
    <w:rsid w:val="00A35F25"/>
    <w:rsid w:val="00A3741D"/>
    <w:rsid w:val="00A83837"/>
    <w:rsid w:val="00A840B0"/>
    <w:rsid w:val="00A860A7"/>
    <w:rsid w:val="00AD2AAA"/>
    <w:rsid w:val="00AD2FDD"/>
    <w:rsid w:val="00AD3835"/>
    <w:rsid w:val="00AD73F9"/>
    <w:rsid w:val="00AE067B"/>
    <w:rsid w:val="00B0391D"/>
    <w:rsid w:val="00B06890"/>
    <w:rsid w:val="00B11544"/>
    <w:rsid w:val="00B24D54"/>
    <w:rsid w:val="00B25A62"/>
    <w:rsid w:val="00B3274C"/>
    <w:rsid w:val="00B356B5"/>
    <w:rsid w:val="00B4139F"/>
    <w:rsid w:val="00B420B8"/>
    <w:rsid w:val="00B5197E"/>
    <w:rsid w:val="00B51B03"/>
    <w:rsid w:val="00B57167"/>
    <w:rsid w:val="00B6733B"/>
    <w:rsid w:val="00B70AE1"/>
    <w:rsid w:val="00B70D9F"/>
    <w:rsid w:val="00B7711C"/>
    <w:rsid w:val="00B80B65"/>
    <w:rsid w:val="00B92B7A"/>
    <w:rsid w:val="00B954B7"/>
    <w:rsid w:val="00BA7495"/>
    <w:rsid w:val="00BB4283"/>
    <w:rsid w:val="00BB5517"/>
    <w:rsid w:val="00BB7D9A"/>
    <w:rsid w:val="00BD0227"/>
    <w:rsid w:val="00BD2235"/>
    <w:rsid w:val="00BD29EF"/>
    <w:rsid w:val="00BF7C8F"/>
    <w:rsid w:val="00C038D8"/>
    <w:rsid w:val="00C12CE4"/>
    <w:rsid w:val="00C164CC"/>
    <w:rsid w:val="00C2191F"/>
    <w:rsid w:val="00C24F1F"/>
    <w:rsid w:val="00C263FC"/>
    <w:rsid w:val="00C60977"/>
    <w:rsid w:val="00C72039"/>
    <w:rsid w:val="00C72637"/>
    <w:rsid w:val="00C8162C"/>
    <w:rsid w:val="00C9330A"/>
    <w:rsid w:val="00CC7A68"/>
    <w:rsid w:val="00CE434F"/>
    <w:rsid w:val="00D0753E"/>
    <w:rsid w:val="00D14910"/>
    <w:rsid w:val="00D16579"/>
    <w:rsid w:val="00D21D64"/>
    <w:rsid w:val="00D237F3"/>
    <w:rsid w:val="00D44145"/>
    <w:rsid w:val="00D449E2"/>
    <w:rsid w:val="00D74F10"/>
    <w:rsid w:val="00D759C7"/>
    <w:rsid w:val="00D80028"/>
    <w:rsid w:val="00DE423B"/>
    <w:rsid w:val="00DE6D61"/>
    <w:rsid w:val="00E06FA3"/>
    <w:rsid w:val="00E3366A"/>
    <w:rsid w:val="00E50AED"/>
    <w:rsid w:val="00E61100"/>
    <w:rsid w:val="00E66391"/>
    <w:rsid w:val="00E72EB1"/>
    <w:rsid w:val="00E821CA"/>
    <w:rsid w:val="00E82CC4"/>
    <w:rsid w:val="00E95CD5"/>
    <w:rsid w:val="00EA1E91"/>
    <w:rsid w:val="00EC4CDC"/>
    <w:rsid w:val="00F0552D"/>
    <w:rsid w:val="00F20AE0"/>
    <w:rsid w:val="00F33783"/>
    <w:rsid w:val="00F35020"/>
    <w:rsid w:val="00F41C83"/>
    <w:rsid w:val="00F50BDE"/>
    <w:rsid w:val="00F5291E"/>
    <w:rsid w:val="00F70854"/>
    <w:rsid w:val="00FB134A"/>
    <w:rsid w:val="00FB31DA"/>
    <w:rsid w:val="00FB4E38"/>
    <w:rsid w:val="00FC5798"/>
    <w:rsid w:val="00FE476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A561A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51B03"/>
    <w:pPr>
      <w:keepNext/>
      <w:keepLines/>
      <w:spacing w:before="240" w:after="240" w:line="360" w:lineRule="auto"/>
      <w:jc w:val="both"/>
      <w:outlineLvl w:val="0"/>
    </w:pPr>
    <w:rPr>
      <w:rFonts w:ascii="Arial" w:eastAsiaTheme="majorEastAsia" w:hAnsi="Arial"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5DF"/>
    <w:pPr>
      <w:ind w:left="720"/>
      <w:contextualSpacing/>
    </w:pPr>
  </w:style>
  <w:style w:type="character" w:styleId="Hyperlink">
    <w:name w:val="Hyperlink"/>
    <w:basedOn w:val="DefaultParagraphFont"/>
    <w:uiPriority w:val="99"/>
    <w:unhideWhenUsed/>
    <w:rsid w:val="00294F37"/>
    <w:rPr>
      <w:color w:val="0563C1" w:themeColor="hyperlink"/>
      <w:u w:val="single"/>
    </w:rPr>
  </w:style>
  <w:style w:type="character" w:styleId="UnresolvedMention">
    <w:name w:val="Unresolved Mention"/>
    <w:basedOn w:val="DefaultParagraphFont"/>
    <w:uiPriority w:val="99"/>
    <w:semiHidden/>
    <w:unhideWhenUsed/>
    <w:rsid w:val="00294F37"/>
    <w:rPr>
      <w:color w:val="605E5C"/>
      <w:shd w:val="clear" w:color="auto" w:fill="E1DFDD"/>
    </w:rPr>
  </w:style>
  <w:style w:type="paragraph" w:styleId="Header">
    <w:name w:val="header"/>
    <w:basedOn w:val="Normal"/>
    <w:link w:val="HeaderChar"/>
    <w:uiPriority w:val="99"/>
    <w:unhideWhenUsed/>
    <w:rsid w:val="007A6C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C6D"/>
  </w:style>
  <w:style w:type="paragraph" w:styleId="Footer">
    <w:name w:val="footer"/>
    <w:basedOn w:val="Normal"/>
    <w:link w:val="FooterChar"/>
    <w:uiPriority w:val="99"/>
    <w:unhideWhenUsed/>
    <w:rsid w:val="007A6C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C6D"/>
  </w:style>
  <w:style w:type="character" w:customStyle="1" w:styleId="Heading1Char">
    <w:name w:val="Heading 1 Char"/>
    <w:basedOn w:val="DefaultParagraphFont"/>
    <w:link w:val="Heading1"/>
    <w:uiPriority w:val="9"/>
    <w:rsid w:val="00B51B03"/>
    <w:rPr>
      <w:rFonts w:ascii="Arial" w:eastAsiaTheme="majorEastAsia" w:hAnsi="Arial" w:cstheme="majorBidi"/>
      <w:b/>
      <w:sz w:val="32"/>
      <w:szCs w:val="32"/>
    </w:rPr>
  </w:style>
  <w:style w:type="paragraph" w:styleId="TOCHeading">
    <w:name w:val="TOC Heading"/>
    <w:basedOn w:val="Heading1"/>
    <w:next w:val="Normal"/>
    <w:uiPriority w:val="39"/>
    <w:unhideWhenUsed/>
    <w:qFormat/>
    <w:rsid w:val="00252A7B"/>
    <w:pPr>
      <w:spacing w:after="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252A7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3456</Words>
  <Characters>19702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2023-08-21T21:48:00Z</dcterms:created>
  <dcterms:modified xsi:type="dcterms:W3CDTF">2023-08-30T06:10:00Z</dcterms:modified>
</cp:coreProperties>
</file>