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6096E" w:rsidRDefault="000C4128" w:rsidP="000C4128">
      <w:pPr>
        <w:jc w:val="center"/>
        <w:rPr>
          <w:b/>
          <w:sz w:val="28"/>
          <w:szCs w:val="28"/>
          <w:u w:val="single"/>
        </w:rPr>
      </w:pPr>
      <w:r w:rsidRPr="000C4128">
        <w:rPr>
          <w:b/>
          <w:sz w:val="28"/>
          <w:szCs w:val="28"/>
          <w:u w:val="single"/>
        </w:rPr>
        <w:t>Literature review</w:t>
      </w:r>
    </w:p>
    <w:p w:rsidR="000C4128" w:rsidRDefault="000C4128" w:rsidP="000C4128">
      <w:pPr>
        <w:jc w:val="center"/>
        <w:rPr>
          <w:b/>
          <w:sz w:val="28"/>
          <w:szCs w:val="28"/>
          <w:u w:val="single"/>
        </w:rPr>
      </w:pPr>
    </w:p>
    <w:p w:rsidR="000C4128" w:rsidRDefault="000C4128" w:rsidP="000C4128">
      <w:pPr>
        <w:rPr>
          <w:sz w:val="24"/>
          <w:szCs w:val="24"/>
          <w:u w:val="single"/>
        </w:rPr>
      </w:pPr>
      <w:r>
        <w:rPr>
          <w:sz w:val="24"/>
          <w:szCs w:val="24"/>
          <w:u w:val="single"/>
        </w:rPr>
        <w:t>Armstrong Richard H</w:t>
      </w:r>
      <w:r w:rsidRPr="000C4128">
        <w:rPr>
          <w:sz w:val="24"/>
          <w:szCs w:val="24"/>
          <w:u w:val="single"/>
        </w:rPr>
        <w:t xml:space="preserve">, (2016) ‘A wound, not a Word: Textual Survival and Transmission’ in Blackwell Companion to Greek Literature, Martin Hose &amp; David J </w:t>
      </w:r>
      <w:proofErr w:type="spellStart"/>
      <w:proofErr w:type="gramStart"/>
      <w:r w:rsidRPr="000C4128">
        <w:rPr>
          <w:sz w:val="24"/>
          <w:szCs w:val="24"/>
          <w:u w:val="single"/>
        </w:rPr>
        <w:t>Schenker</w:t>
      </w:r>
      <w:proofErr w:type="spellEnd"/>
      <w:r w:rsidRPr="000C4128">
        <w:rPr>
          <w:sz w:val="24"/>
          <w:szCs w:val="24"/>
          <w:u w:val="single"/>
        </w:rPr>
        <w:t xml:space="preserve">  (</w:t>
      </w:r>
      <w:proofErr w:type="gramEnd"/>
      <w:r w:rsidRPr="000C4128">
        <w:rPr>
          <w:sz w:val="24"/>
          <w:szCs w:val="24"/>
          <w:u w:val="single"/>
        </w:rPr>
        <w:t>eds.) Wiley-Blackwell (880.9 COM)</w:t>
      </w:r>
    </w:p>
    <w:p w:rsidR="000C4128" w:rsidRDefault="000C4128" w:rsidP="000C4128">
      <w:pPr>
        <w:rPr>
          <w:sz w:val="24"/>
          <w:szCs w:val="24"/>
          <w:u w:val="single"/>
        </w:rPr>
      </w:pPr>
    </w:p>
    <w:p w:rsidR="000C4128" w:rsidRDefault="000C4128" w:rsidP="000C4128">
      <w:pPr>
        <w:rPr>
          <w:sz w:val="24"/>
          <w:szCs w:val="24"/>
        </w:rPr>
      </w:pPr>
      <w:r>
        <w:rPr>
          <w:sz w:val="24"/>
          <w:szCs w:val="24"/>
        </w:rPr>
        <w:t>In his article “A Wound not a Word: Textual Survival and Transmission” Richard Armstrong discusses how the literary sources that we have today have been transmitted down through the generations; he also discusses the problems that are presented when dealing with literary sources especially those which have been passed down to us via the medium of manuscripts.</w:t>
      </w:r>
    </w:p>
    <w:p w:rsidR="000C4128" w:rsidRDefault="000C4128" w:rsidP="000C4128">
      <w:pPr>
        <w:rPr>
          <w:sz w:val="24"/>
          <w:szCs w:val="24"/>
        </w:rPr>
      </w:pPr>
      <w:r>
        <w:rPr>
          <w:sz w:val="24"/>
          <w:szCs w:val="24"/>
        </w:rPr>
        <w:t>Richard Armstrong’s article begins using clear language which flows well</w:t>
      </w:r>
      <w:r w:rsidR="001E5056">
        <w:rPr>
          <w:sz w:val="24"/>
          <w:szCs w:val="24"/>
        </w:rPr>
        <w:t>,</w:t>
      </w:r>
      <w:r>
        <w:rPr>
          <w:sz w:val="24"/>
          <w:szCs w:val="24"/>
        </w:rPr>
        <w:t xml:space="preserve"> making this an ideal article for beginners who have not studied manuscripts and the transmission of ancient sources before, although towards the end of the article Armstrong uses more technical terms such as fixity and </w:t>
      </w:r>
      <w:proofErr w:type="spellStart"/>
      <w:r>
        <w:rPr>
          <w:sz w:val="24"/>
          <w:szCs w:val="24"/>
        </w:rPr>
        <w:t>multidirectionality</w:t>
      </w:r>
      <w:proofErr w:type="spellEnd"/>
      <w:r>
        <w:rPr>
          <w:sz w:val="24"/>
          <w:szCs w:val="24"/>
        </w:rPr>
        <w:t xml:space="preserve"> which may seem daunting to beginners and a little confusing</w:t>
      </w:r>
      <w:r w:rsidR="001E5056">
        <w:rPr>
          <w:sz w:val="24"/>
          <w:szCs w:val="24"/>
        </w:rPr>
        <w:t xml:space="preserve">. </w:t>
      </w:r>
      <w:proofErr w:type="gramStart"/>
      <w:r w:rsidR="001E5056">
        <w:rPr>
          <w:sz w:val="24"/>
          <w:szCs w:val="24"/>
        </w:rPr>
        <w:t>However</w:t>
      </w:r>
      <w:proofErr w:type="gramEnd"/>
      <w:r>
        <w:rPr>
          <w:sz w:val="24"/>
          <w:szCs w:val="24"/>
        </w:rPr>
        <w:t xml:space="preserve"> the majority of the article is easy to understand and follow </w:t>
      </w:r>
      <w:r w:rsidR="001E5056">
        <w:rPr>
          <w:sz w:val="24"/>
          <w:szCs w:val="24"/>
        </w:rPr>
        <w:t>for</w:t>
      </w:r>
      <w:r>
        <w:rPr>
          <w:sz w:val="24"/>
          <w:szCs w:val="24"/>
        </w:rPr>
        <w:t xml:space="preserve"> complete beginners.</w:t>
      </w:r>
    </w:p>
    <w:p w:rsidR="000C4128" w:rsidRDefault="000C4128" w:rsidP="000C4128">
      <w:pPr>
        <w:rPr>
          <w:sz w:val="24"/>
          <w:szCs w:val="24"/>
        </w:rPr>
      </w:pPr>
      <w:r>
        <w:rPr>
          <w:sz w:val="24"/>
          <w:szCs w:val="24"/>
        </w:rPr>
        <w:t xml:space="preserve">Throughout this article Armstrong uses </w:t>
      </w:r>
      <w:r w:rsidR="001E5056">
        <w:rPr>
          <w:sz w:val="24"/>
          <w:szCs w:val="24"/>
        </w:rPr>
        <w:t>a</w:t>
      </w:r>
      <w:r>
        <w:rPr>
          <w:sz w:val="24"/>
          <w:szCs w:val="24"/>
        </w:rPr>
        <w:t xml:space="preserve"> wide variety of examples to demonstrates the points that he is making</w:t>
      </w:r>
      <w:r w:rsidR="001E5056">
        <w:rPr>
          <w:sz w:val="24"/>
          <w:szCs w:val="24"/>
        </w:rPr>
        <w:t>,</w:t>
      </w:r>
      <w:r w:rsidR="00D85375">
        <w:rPr>
          <w:sz w:val="24"/>
          <w:szCs w:val="24"/>
        </w:rPr>
        <w:t xml:space="preserve"> especially in his section “the extent of our known losses”</w:t>
      </w:r>
      <w:r w:rsidR="001E5056">
        <w:rPr>
          <w:sz w:val="24"/>
          <w:szCs w:val="24"/>
        </w:rPr>
        <w:t>.</w:t>
      </w:r>
      <w:r w:rsidR="00D85375">
        <w:rPr>
          <w:sz w:val="24"/>
          <w:szCs w:val="24"/>
        </w:rPr>
        <w:t xml:space="preserve"> </w:t>
      </w:r>
      <w:r w:rsidR="001E5056">
        <w:rPr>
          <w:sz w:val="24"/>
          <w:szCs w:val="24"/>
        </w:rPr>
        <w:t>I</w:t>
      </w:r>
      <w:r w:rsidR="00D85375">
        <w:rPr>
          <w:sz w:val="24"/>
          <w:szCs w:val="24"/>
        </w:rPr>
        <w:t>n this section he discusses the extent of written works from the ancient world that have been passed down to us. To</w:t>
      </w:r>
      <w:r w:rsidR="001E5056">
        <w:rPr>
          <w:sz w:val="24"/>
          <w:szCs w:val="24"/>
        </w:rPr>
        <w:t xml:space="preserve"> attempt to</w:t>
      </w:r>
      <w:r w:rsidR="00D85375">
        <w:rPr>
          <w:sz w:val="24"/>
          <w:szCs w:val="24"/>
        </w:rPr>
        <w:t xml:space="preserve"> communicate this</w:t>
      </w:r>
      <w:r w:rsidR="001E5056">
        <w:rPr>
          <w:sz w:val="24"/>
          <w:szCs w:val="24"/>
        </w:rPr>
        <w:t>,</w:t>
      </w:r>
      <w:r w:rsidR="00D85375">
        <w:rPr>
          <w:sz w:val="24"/>
          <w:szCs w:val="24"/>
        </w:rPr>
        <w:t xml:space="preserve"> Armstrong uses a long list of examples which feels repetitive and dull to read as he uses multiple </w:t>
      </w:r>
      <w:r w:rsidR="001E5056">
        <w:rPr>
          <w:sz w:val="24"/>
          <w:szCs w:val="24"/>
        </w:rPr>
        <w:t xml:space="preserve">cases </w:t>
      </w:r>
      <w:r w:rsidR="00D85375">
        <w:rPr>
          <w:sz w:val="24"/>
          <w:szCs w:val="24"/>
        </w:rPr>
        <w:t>to make the same points</w:t>
      </w:r>
      <w:r w:rsidR="001E5056">
        <w:rPr>
          <w:sz w:val="24"/>
          <w:szCs w:val="24"/>
        </w:rPr>
        <w:t>.</w:t>
      </w:r>
      <w:r w:rsidR="00D85375">
        <w:rPr>
          <w:sz w:val="24"/>
          <w:szCs w:val="24"/>
        </w:rPr>
        <w:t xml:space="preserve"> </w:t>
      </w:r>
      <w:r w:rsidR="001E5056">
        <w:rPr>
          <w:sz w:val="24"/>
          <w:szCs w:val="24"/>
        </w:rPr>
        <w:t>O</w:t>
      </w:r>
      <w:r w:rsidR="00D85375">
        <w:rPr>
          <w:sz w:val="24"/>
          <w:szCs w:val="24"/>
        </w:rPr>
        <w:t xml:space="preserve">ne instance of this is on page 28 where Armstrong lists the number of surviving works in comparison to works we know existed for </w:t>
      </w:r>
      <w:proofErr w:type="spellStart"/>
      <w:r w:rsidR="00D85375">
        <w:rPr>
          <w:sz w:val="24"/>
          <w:szCs w:val="24"/>
        </w:rPr>
        <w:t>Aescylus</w:t>
      </w:r>
      <w:proofErr w:type="spellEnd"/>
      <w:r w:rsidR="00D85375">
        <w:rPr>
          <w:sz w:val="24"/>
          <w:szCs w:val="24"/>
        </w:rPr>
        <w:t>, Sophocles and Euripides</w:t>
      </w:r>
      <w:r w:rsidR="001E5056">
        <w:rPr>
          <w:sz w:val="24"/>
          <w:szCs w:val="24"/>
        </w:rPr>
        <w:t>,</w:t>
      </w:r>
      <w:r w:rsidR="00D85375">
        <w:rPr>
          <w:sz w:val="24"/>
          <w:szCs w:val="24"/>
        </w:rPr>
        <w:t xml:space="preserve"> to make</w:t>
      </w:r>
      <w:r w:rsidR="001E5056">
        <w:rPr>
          <w:sz w:val="24"/>
          <w:szCs w:val="24"/>
        </w:rPr>
        <w:t xml:space="preserve"> the</w:t>
      </w:r>
      <w:r w:rsidR="00D85375">
        <w:rPr>
          <w:sz w:val="24"/>
          <w:szCs w:val="24"/>
        </w:rPr>
        <w:t xml:space="preserve"> point that only a small proportion of tragedies have been handed down to us</w:t>
      </w:r>
      <w:r w:rsidR="005C52F9">
        <w:rPr>
          <w:sz w:val="24"/>
          <w:szCs w:val="24"/>
        </w:rPr>
        <w:t>;</w:t>
      </w:r>
      <w:r w:rsidR="00D85375">
        <w:rPr>
          <w:sz w:val="24"/>
          <w:szCs w:val="24"/>
        </w:rPr>
        <w:t xml:space="preserve"> this then </w:t>
      </w:r>
      <w:proofErr w:type="gramStart"/>
      <w:r w:rsidR="00D85375">
        <w:rPr>
          <w:sz w:val="24"/>
          <w:szCs w:val="24"/>
        </w:rPr>
        <w:t>continues on</w:t>
      </w:r>
      <w:proofErr w:type="gramEnd"/>
      <w:r w:rsidR="00D85375">
        <w:rPr>
          <w:sz w:val="24"/>
          <w:szCs w:val="24"/>
        </w:rPr>
        <w:t xml:space="preserve"> page 29 as Armstrong relates to us</w:t>
      </w:r>
      <w:r w:rsidR="009D134D">
        <w:rPr>
          <w:sz w:val="24"/>
          <w:szCs w:val="24"/>
        </w:rPr>
        <w:t xml:space="preserve"> another four ancient writers </w:t>
      </w:r>
      <w:r w:rsidR="001E5056">
        <w:rPr>
          <w:sz w:val="24"/>
          <w:szCs w:val="24"/>
        </w:rPr>
        <w:t>who wrote</w:t>
      </w:r>
      <w:r w:rsidR="009D134D">
        <w:rPr>
          <w:sz w:val="24"/>
          <w:szCs w:val="24"/>
        </w:rPr>
        <w:t xml:space="preserve"> tragedies and how few surviving works we have</w:t>
      </w:r>
      <w:r w:rsidR="00D85375">
        <w:rPr>
          <w:sz w:val="24"/>
          <w:szCs w:val="24"/>
        </w:rPr>
        <w:t>. Armstrong continues to use an unnecessarily large number of examples throughout the section to cover a variety of different types of writing</w:t>
      </w:r>
      <w:r w:rsidR="005C52F9">
        <w:rPr>
          <w:sz w:val="24"/>
          <w:szCs w:val="24"/>
        </w:rPr>
        <w:t>,</w:t>
      </w:r>
      <w:r w:rsidR="00D85375">
        <w:rPr>
          <w:sz w:val="24"/>
          <w:szCs w:val="24"/>
        </w:rPr>
        <w:t xml:space="preserve"> such as </w:t>
      </w:r>
      <w:r w:rsidR="009D134D">
        <w:rPr>
          <w:sz w:val="24"/>
          <w:szCs w:val="24"/>
        </w:rPr>
        <w:t>satires and comedies</w:t>
      </w:r>
      <w:r w:rsidR="005C52F9">
        <w:rPr>
          <w:sz w:val="24"/>
          <w:szCs w:val="24"/>
        </w:rPr>
        <w:t>,</w:t>
      </w:r>
      <w:r w:rsidR="009D134D">
        <w:rPr>
          <w:sz w:val="24"/>
          <w:szCs w:val="24"/>
        </w:rPr>
        <w:t xml:space="preserve"> as well as examining histories and philosophy. This overuse of examples is most prominen</w:t>
      </w:r>
      <w:r w:rsidR="005C52F9">
        <w:rPr>
          <w:sz w:val="24"/>
          <w:szCs w:val="24"/>
        </w:rPr>
        <w:t>t</w:t>
      </w:r>
      <w:r w:rsidR="009D134D">
        <w:rPr>
          <w:sz w:val="24"/>
          <w:szCs w:val="24"/>
        </w:rPr>
        <w:t xml:space="preserve"> in section 1</w:t>
      </w:r>
      <w:r w:rsidR="005C52F9">
        <w:rPr>
          <w:sz w:val="24"/>
          <w:szCs w:val="24"/>
        </w:rPr>
        <w:t>,</w:t>
      </w:r>
      <w:r w:rsidR="009D134D">
        <w:rPr>
          <w:sz w:val="24"/>
          <w:szCs w:val="24"/>
        </w:rPr>
        <w:t xml:space="preserve"> however it is not exclusive to this section</w:t>
      </w:r>
      <w:r w:rsidR="005C52F9">
        <w:rPr>
          <w:sz w:val="24"/>
          <w:szCs w:val="24"/>
        </w:rPr>
        <w:t>,</w:t>
      </w:r>
      <w:r w:rsidR="009D134D">
        <w:rPr>
          <w:sz w:val="24"/>
          <w:szCs w:val="24"/>
        </w:rPr>
        <w:t xml:space="preserve"> for example section 2 begins with a list of works which have been recovered recently which are not </w:t>
      </w:r>
      <w:r w:rsidR="005C52F9">
        <w:rPr>
          <w:sz w:val="24"/>
          <w:szCs w:val="24"/>
        </w:rPr>
        <w:t>apparently relevant to the article;</w:t>
      </w:r>
      <w:r w:rsidR="009170D3">
        <w:rPr>
          <w:sz w:val="24"/>
          <w:szCs w:val="24"/>
        </w:rPr>
        <w:t xml:space="preserve"> he begins by talking about the Amana letters from ancient Egypt</w:t>
      </w:r>
      <w:r w:rsidR="005C52F9">
        <w:rPr>
          <w:sz w:val="24"/>
          <w:szCs w:val="24"/>
        </w:rPr>
        <w:t>,</w:t>
      </w:r>
      <w:r w:rsidR="009D134D">
        <w:rPr>
          <w:sz w:val="24"/>
          <w:szCs w:val="24"/>
        </w:rPr>
        <w:t xml:space="preserve"> </w:t>
      </w:r>
      <w:r w:rsidR="009170D3">
        <w:rPr>
          <w:sz w:val="24"/>
          <w:szCs w:val="24"/>
        </w:rPr>
        <w:t>which although demonstrate how sources can still be found today a</w:t>
      </w:r>
      <w:r w:rsidR="005C52F9">
        <w:rPr>
          <w:sz w:val="24"/>
          <w:szCs w:val="24"/>
        </w:rPr>
        <w:t>ppear to be</w:t>
      </w:r>
      <w:r w:rsidR="009170D3">
        <w:rPr>
          <w:sz w:val="24"/>
          <w:szCs w:val="24"/>
        </w:rPr>
        <w:t xml:space="preserve"> completely irrelevant to Greek literature which the </w:t>
      </w:r>
      <w:r w:rsidR="005C52F9">
        <w:rPr>
          <w:sz w:val="24"/>
          <w:szCs w:val="24"/>
        </w:rPr>
        <w:t>is the focus of the book.</w:t>
      </w:r>
      <w:r w:rsidR="009170D3">
        <w:rPr>
          <w:sz w:val="24"/>
          <w:szCs w:val="24"/>
        </w:rPr>
        <w:t xml:space="preserve"> </w:t>
      </w:r>
      <w:r w:rsidR="005C52F9">
        <w:rPr>
          <w:sz w:val="24"/>
          <w:szCs w:val="24"/>
        </w:rPr>
        <w:t>T</w:t>
      </w:r>
      <w:r w:rsidR="009170D3">
        <w:rPr>
          <w:sz w:val="24"/>
          <w:szCs w:val="24"/>
        </w:rPr>
        <w:t>he pointlessness of these examples is further increased by the fact that he makes the same point about ancient texts be</w:t>
      </w:r>
      <w:r w:rsidR="005C52F9">
        <w:rPr>
          <w:sz w:val="24"/>
          <w:szCs w:val="24"/>
        </w:rPr>
        <w:t>i</w:t>
      </w:r>
      <w:r w:rsidR="009170D3">
        <w:rPr>
          <w:sz w:val="24"/>
          <w:szCs w:val="24"/>
        </w:rPr>
        <w:t>n</w:t>
      </w:r>
      <w:r w:rsidR="005C52F9">
        <w:rPr>
          <w:sz w:val="24"/>
          <w:szCs w:val="24"/>
        </w:rPr>
        <w:t>g</w:t>
      </w:r>
      <w:r w:rsidR="009170D3">
        <w:rPr>
          <w:sz w:val="24"/>
          <w:szCs w:val="24"/>
        </w:rPr>
        <w:t xml:space="preserve"> discovered recently further on in the section on page 33</w:t>
      </w:r>
      <w:r w:rsidR="005C52F9">
        <w:rPr>
          <w:sz w:val="24"/>
          <w:szCs w:val="24"/>
        </w:rPr>
        <w:t>,</w:t>
      </w:r>
      <w:r w:rsidR="009170D3">
        <w:rPr>
          <w:sz w:val="24"/>
          <w:szCs w:val="24"/>
        </w:rPr>
        <w:t xml:space="preserve"> using the example of Epicurus’ </w:t>
      </w:r>
      <w:r w:rsidR="005C52F9">
        <w:rPr>
          <w:i/>
          <w:sz w:val="24"/>
          <w:szCs w:val="24"/>
        </w:rPr>
        <w:t>O</w:t>
      </w:r>
      <w:r w:rsidR="009170D3" w:rsidRPr="005C52F9">
        <w:rPr>
          <w:i/>
          <w:sz w:val="24"/>
          <w:szCs w:val="24"/>
        </w:rPr>
        <w:t xml:space="preserve">n </w:t>
      </w:r>
      <w:r w:rsidR="005C52F9">
        <w:rPr>
          <w:i/>
          <w:sz w:val="24"/>
          <w:szCs w:val="24"/>
        </w:rPr>
        <w:t>N</w:t>
      </w:r>
      <w:r w:rsidR="009170D3" w:rsidRPr="005C52F9">
        <w:rPr>
          <w:i/>
          <w:sz w:val="24"/>
          <w:szCs w:val="24"/>
        </w:rPr>
        <w:t>ature</w:t>
      </w:r>
      <w:r w:rsidR="009170D3">
        <w:rPr>
          <w:sz w:val="24"/>
          <w:szCs w:val="24"/>
        </w:rPr>
        <w:t xml:space="preserve"> which is actually a relevant example to the focus of the article. </w:t>
      </w:r>
      <w:r w:rsidR="009D134D">
        <w:rPr>
          <w:sz w:val="24"/>
          <w:szCs w:val="24"/>
        </w:rPr>
        <w:t>This extensive use of examples means that this article is an incredibly dull read in places</w:t>
      </w:r>
      <w:r w:rsidR="005C52F9">
        <w:rPr>
          <w:sz w:val="24"/>
          <w:szCs w:val="24"/>
        </w:rPr>
        <w:t>,</w:t>
      </w:r>
      <w:r w:rsidR="009D134D">
        <w:rPr>
          <w:sz w:val="24"/>
          <w:szCs w:val="24"/>
        </w:rPr>
        <w:t xml:space="preserve"> that keeps repeating the same point over again with different examples.</w:t>
      </w:r>
    </w:p>
    <w:p w:rsidR="009170D3" w:rsidRDefault="009D134D" w:rsidP="000C4128">
      <w:pPr>
        <w:rPr>
          <w:sz w:val="24"/>
          <w:szCs w:val="24"/>
        </w:rPr>
      </w:pPr>
      <w:r>
        <w:rPr>
          <w:sz w:val="24"/>
          <w:szCs w:val="24"/>
        </w:rPr>
        <w:lastRenderedPageBreak/>
        <w:t xml:space="preserve">As we continue through the article the genres of history and philosophy are barely mentioned again and the article becomes focused on plays and epics such as Homer’s Odyssey and the Iliad. As a </w:t>
      </w:r>
      <w:r w:rsidR="009170D3">
        <w:rPr>
          <w:sz w:val="24"/>
          <w:szCs w:val="24"/>
        </w:rPr>
        <w:t>result,</w:t>
      </w:r>
      <w:r>
        <w:rPr>
          <w:sz w:val="24"/>
          <w:szCs w:val="24"/>
        </w:rPr>
        <w:t xml:space="preserve"> the article demonstrates in detail many of the issues that come with using ancient texts which mostly can be applied to all genres of text</w:t>
      </w:r>
      <w:r w:rsidR="005C52F9">
        <w:rPr>
          <w:sz w:val="24"/>
          <w:szCs w:val="24"/>
        </w:rPr>
        <w:t>,</w:t>
      </w:r>
      <w:r>
        <w:rPr>
          <w:sz w:val="24"/>
          <w:szCs w:val="24"/>
        </w:rPr>
        <w:t xml:space="preserve"> which are passed down to us via manuscripts</w:t>
      </w:r>
      <w:r w:rsidR="009170D3">
        <w:rPr>
          <w:sz w:val="24"/>
          <w:szCs w:val="24"/>
        </w:rPr>
        <w:t>. However other types of text, particularly law texts</w:t>
      </w:r>
      <w:r w:rsidR="005C52F9">
        <w:rPr>
          <w:sz w:val="24"/>
          <w:szCs w:val="24"/>
        </w:rPr>
        <w:t>,</w:t>
      </w:r>
      <w:r w:rsidR="009170D3">
        <w:rPr>
          <w:sz w:val="24"/>
          <w:szCs w:val="24"/>
        </w:rPr>
        <w:t xml:space="preserve"> are often found elsewhere without manuscripts such as the code of Gortyn, which was found inscribed on a wall in Crete</w:t>
      </w:r>
      <w:r w:rsidR="009170D3">
        <w:rPr>
          <w:rStyle w:val="FootnoteReference"/>
          <w:sz w:val="24"/>
          <w:szCs w:val="24"/>
        </w:rPr>
        <w:footnoteReference w:id="1"/>
      </w:r>
      <w:r w:rsidR="009170D3">
        <w:rPr>
          <w:sz w:val="24"/>
          <w:szCs w:val="24"/>
        </w:rPr>
        <w:t>, and Armstrong does not mention these meaning that this article ignores a large body of text which we know about from ancient Greece.</w:t>
      </w:r>
    </w:p>
    <w:p w:rsidR="009D134D" w:rsidRDefault="009170D3" w:rsidP="000C4128">
      <w:pPr>
        <w:rPr>
          <w:sz w:val="24"/>
          <w:szCs w:val="24"/>
        </w:rPr>
      </w:pPr>
      <w:r>
        <w:rPr>
          <w:sz w:val="24"/>
          <w:szCs w:val="24"/>
        </w:rPr>
        <w:t xml:space="preserve">In conclusion this article is a good read for beginners wishing to study ancient texts and consider the limitations of </w:t>
      </w:r>
      <w:r w:rsidR="00014D28">
        <w:rPr>
          <w:sz w:val="24"/>
          <w:szCs w:val="24"/>
        </w:rPr>
        <w:t xml:space="preserve">the </w:t>
      </w:r>
      <w:r>
        <w:rPr>
          <w:sz w:val="24"/>
          <w:szCs w:val="24"/>
        </w:rPr>
        <w:t>manuscript tradition however the extensive use of unnecessary examples makes this article</w:t>
      </w:r>
      <w:r w:rsidR="003F405E">
        <w:rPr>
          <w:sz w:val="24"/>
          <w:szCs w:val="24"/>
        </w:rPr>
        <w:t xml:space="preserve"> </w:t>
      </w:r>
      <w:r w:rsidR="00014D28">
        <w:rPr>
          <w:sz w:val="24"/>
          <w:szCs w:val="24"/>
        </w:rPr>
        <w:t>stale</w:t>
      </w:r>
      <w:bookmarkStart w:id="0" w:name="_GoBack"/>
      <w:bookmarkEnd w:id="0"/>
      <w:r w:rsidR="003F405E">
        <w:rPr>
          <w:sz w:val="24"/>
          <w:szCs w:val="24"/>
        </w:rPr>
        <w:t xml:space="preserve"> in places and this article becomes very focused on drama and epic with minimal mention </w:t>
      </w:r>
      <w:r w:rsidR="00014D28">
        <w:rPr>
          <w:sz w:val="24"/>
          <w:szCs w:val="24"/>
        </w:rPr>
        <w:t>of</w:t>
      </w:r>
      <w:r w:rsidR="003F405E">
        <w:rPr>
          <w:sz w:val="24"/>
          <w:szCs w:val="24"/>
        </w:rPr>
        <w:t xml:space="preserve"> other genres.</w:t>
      </w:r>
    </w:p>
    <w:p w:rsidR="003F405E" w:rsidRDefault="003F405E" w:rsidP="000C4128">
      <w:pPr>
        <w:rPr>
          <w:sz w:val="24"/>
          <w:szCs w:val="24"/>
        </w:rPr>
      </w:pPr>
    </w:p>
    <w:p w:rsidR="003F405E" w:rsidRDefault="003F405E" w:rsidP="000C4128">
      <w:pPr>
        <w:rPr>
          <w:b/>
          <w:sz w:val="24"/>
          <w:szCs w:val="24"/>
          <w:u w:val="single"/>
        </w:rPr>
      </w:pPr>
      <w:r>
        <w:rPr>
          <w:b/>
          <w:sz w:val="24"/>
          <w:szCs w:val="24"/>
          <w:u w:val="single"/>
        </w:rPr>
        <w:t>Bibliography</w:t>
      </w:r>
    </w:p>
    <w:p w:rsidR="003F405E" w:rsidRPr="003F405E" w:rsidRDefault="003F405E" w:rsidP="000C4128">
      <w:pPr>
        <w:rPr>
          <w:sz w:val="24"/>
          <w:szCs w:val="24"/>
        </w:rPr>
      </w:pPr>
      <w:proofErr w:type="spellStart"/>
      <w:r>
        <w:rPr>
          <w:sz w:val="24"/>
          <w:szCs w:val="24"/>
        </w:rPr>
        <w:t>Enclyclopaedia</w:t>
      </w:r>
      <w:proofErr w:type="spellEnd"/>
      <w:r>
        <w:rPr>
          <w:sz w:val="24"/>
          <w:szCs w:val="24"/>
        </w:rPr>
        <w:t xml:space="preserve"> </w:t>
      </w:r>
      <w:proofErr w:type="spellStart"/>
      <w:r>
        <w:rPr>
          <w:sz w:val="24"/>
          <w:szCs w:val="24"/>
        </w:rPr>
        <w:t>Brittanica</w:t>
      </w:r>
      <w:proofErr w:type="spellEnd"/>
      <w:r>
        <w:rPr>
          <w:sz w:val="24"/>
          <w:szCs w:val="24"/>
        </w:rPr>
        <w:t xml:space="preserve"> “</w:t>
      </w:r>
      <w:r>
        <w:rPr>
          <w:i/>
          <w:sz w:val="24"/>
          <w:szCs w:val="24"/>
        </w:rPr>
        <w:t>Gortyn</w:t>
      </w:r>
      <w:r>
        <w:rPr>
          <w:sz w:val="24"/>
          <w:szCs w:val="24"/>
        </w:rPr>
        <w:t xml:space="preserve">” 1999  </w:t>
      </w:r>
      <w:hyperlink r:id="rId7" w:anchor="ref197304" w:history="1">
        <w:r w:rsidRPr="00816649">
          <w:rPr>
            <w:rStyle w:val="Hyperlink"/>
            <w:sz w:val="24"/>
            <w:szCs w:val="24"/>
          </w:rPr>
          <w:t>https://www.britannica.com/place/Gortyn#ref197304</w:t>
        </w:r>
      </w:hyperlink>
      <w:r>
        <w:rPr>
          <w:sz w:val="24"/>
          <w:szCs w:val="24"/>
        </w:rPr>
        <w:t xml:space="preserve"> </w:t>
      </w:r>
    </w:p>
    <w:sectPr w:rsidR="003F405E" w:rsidRPr="003F405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800052" w:rsidRDefault="00800052" w:rsidP="009170D3">
      <w:pPr>
        <w:spacing w:after="0" w:line="240" w:lineRule="auto"/>
      </w:pPr>
      <w:r>
        <w:separator/>
      </w:r>
    </w:p>
  </w:endnote>
  <w:endnote w:type="continuationSeparator" w:id="0">
    <w:p w:rsidR="00800052" w:rsidRDefault="00800052" w:rsidP="009170D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alibri">
    <w:panose1 w:val="020F0502020204030204"/>
    <w:charset w:val="00"/>
    <w:family w:val="swiss"/>
    <w:pitch w:val="variable"/>
    <w:sig w:usb0="E0002AFF" w:usb1="4000ACFF" w:usb2="00000001" w:usb3="00000000" w:csb0="000001F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2AEF" w:usb1="4000207B" w:usb2="00000000"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800052" w:rsidRDefault="00800052" w:rsidP="009170D3">
      <w:pPr>
        <w:spacing w:after="0" w:line="240" w:lineRule="auto"/>
      </w:pPr>
      <w:r>
        <w:separator/>
      </w:r>
    </w:p>
  </w:footnote>
  <w:footnote w:type="continuationSeparator" w:id="0">
    <w:p w:rsidR="00800052" w:rsidRDefault="00800052" w:rsidP="009170D3">
      <w:pPr>
        <w:spacing w:after="0" w:line="240" w:lineRule="auto"/>
      </w:pPr>
      <w:r>
        <w:continuationSeparator/>
      </w:r>
    </w:p>
  </w:footnote>
  <w:footnote w:id="1">
    <w:p w:rsidR="009170D3" w:rsidRDefault="009170D3">
      <w:pPr>
        <w:pStyle w:val="FootnoteText"/>
      </w:pPr>
      <w:r>
        <w:rPr>
          <w:rStyle w:val="FootnoteReference"/>
        </w:rPr>
        <w:footnoteRef/>
      </w:r>
      <w:r>
        <w:t xml:space="preserve"> Encyclopaedia Britannica 1999</w:t>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74"/>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6AC78BE2-C3A2-4825-9E83-D37525F34AF5}"/>
    <w:docVar w:name="dgnword-eventsink" w:val="441102448"/>
  </w:docVars>
  <w:rsids>
    <w:rsidRoot w:val="000C4128"/>
    <w:rsid w:val="00014D28"/>
    <w:rsid w:val="00055B54"/>
    <w:rsid w:val="000C4128"/>
    <w:rsid w:val="00182A34"/>
    <w:rsid w:val="001E5056"/>
    <w:rsid w:val="003F405E"/>
    <w:rsid w:val="005C52F9"/>
    <w:rsid w:val="007C1184"/>
    <w:rsid w:val="00800052"/>
    <w:rsid w:val="008B2D5F"/>
    <w:rsid w:val="009170D3"/>
    <w:rsid w:val="009B4998"/>
    <w:rsid w:val="009D134D"/>
    <w:rsid w:val="00A1646C"/>
    <w:rsid w:val="00B02674"/>
    <w:rsid w:val="00B51AFA"/>
    <w:rsid w:val="00C658F4"/>
    <w:rsid w:val="00D34885"/>
    <w:rsid w:val="00D85375"/>
    <w:rsid w:val="00E22CFA"/>
    <w:rsid w:val="00E56DD6"/>
    <w:rsid w:val="00F57C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8B1511"/>
  <w15:chartTrackingRefBased/>
  <w15:docId w15:val="{109A5209-EF76-4110-8D3C-EA7EE244C1A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5">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noteText">
    <w:name w:val="footnote text"/>
    <w:basedOn w:val="Normal"/>
    <w:link w:val="FootnoteTextChar"/>
    <w:uiPriority w:val="99"/>
    <w:semiHidden/>
    <w:unhideWhenUsed/>
    <w:rsid w:val="009170D3"/>
    <w:pPr>
      <w:spacing w:after="0" w:line="240" w:lineRule="auto"/>
    </w:pPr>
    <w:rPr>
      <w:sz w:val="20"/>
      <w:szCs w:val="20"/>
    </w:rPr>
  </w:style>
  <w:style w:type="character" w:customStyle="1" w:styleId="FootnoteTextChar">
    <w:name w:val="Footnote Text Char"/>
    <w:basedOn w:val="DefaultParagraphFont"/>
    <w:link w:val="FootnoteText"/>
    <w:uiPriority w:val="99"/>
    <w:semiHidden/>
    <w:rsid w:val="009170D3"/>
    <w:rPr>
      <w:sz w:val="20"/>
      <w:szCs w:val="20"/>
    </w:rPr>
  </w:style>
  <w:style w:type="character" w:styleId="FootnoteReference">
    <w:name w:val="footnote reference"/>
    <w:basedOn w:val="DefaultParagraphFont"/>
    <w:uiPriority w:val="99"/>
    <w:semiHidden/>
    <w:unhideWhenUsed/>
    <w:rsid w:val="009170D3"/>
    <w:rPr>
      <w:vertAlign w:val="superscript"/>
    </w:rPr>
  </w:style>
  <w:style w:type="character" w:styleId="Hyperlink">
    <w:name w:val="Hyperlink"/>
    <w:basedOn w:val="DefaultParagraphFont"/>
    <w:uiPriority w:val="99"/>
    <w:unhideWhenUsed/>
    <w:rsid w:val="003F405E"/>
    <w:rPr>
      <w:color w:val="0563C1" w:themeColor="hyperlink"/>
      <w:u w:val="single"/>
    </w:rPr>
  </w:style>
  <w:style w:type="character" w:styleId="UnresolvedMention">
    <w:name w:val="Unresolved Mention"/>
    <w:basedOn w:val="DefaultParagraphFont"/>
    <w:uiPriority w:val="99"/>
    <w:semiHidden/>
    <w:unhideWhenUsed/>
    <w:rsid w:val="003F405E"/>
    <w:rPr>
      <w:color w:val="808080"/>
      <w:shd w:val="clear" w:color="auto" w:fill="E6E6E6"/>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6858667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hyperlink" Target="https://www.britannica.com/place/Gortyn" TargetMode="Externa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19A9E6C1-3C14-4225-AF15-78A2834D2E35}">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77</TotalTime>
  <Pages>2</Pages>
  <Words>629</Words>
  <Characters>3586</Characters>
  <Application>Microsoft Office Word</Application>
  <DocSecurity>0</DocSecurity>
  <Lines>29</Lines>
  <Paragraphs>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4207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Peter Garters (1600311)</dc:creator>
  <cp:keywords/>
  <dc:description/>
  <cp:lastModifiedBy>Peter Garters (1600311)</cp:lastModifiedBy>
  <cp:revision>2</cp:revision>
  <dcterms:created xsi:type="dcterms:W3CDTF">2017-12-01T14:15:00Z</dcterms:created>
  <dcterms:modified xsi:type="dcterms:W3CDTF">2017-12-05T13:01:00Z</dcterms:modified>
</cp:coreProperties>
</file>