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1F7D9" w14:textId="77777777" w:rsidR="00167FD1" w:rsidRDefault="00B14EBE" w:rsidP="00B14EBE">
      <w:pPr>
        <w:jc w:val="center"/>
        <w:rPr>
          <w:rFonts w:cstheme="minorHAnsi"/>
          <w:sz w:val="24"/>
          <w:u w:val="single"/>
        </w:rPr>
      </w:pPr>
      <w:r w:rsidRPr="00B14EBE">
        <w:rPr>
          <w:rFonts w:cstheme="minorHAnsi"/>
          <w:sz w:val="24"/>
          <w:u w:val="single"/>
        </w:rPr>
        <w:t>How can we improve pupil engagement through the use of alternative seating?</w:t>
      </w:r>
    </w:p>
    <w:p w14:paraId="306187DB" w14:textId="65CA555F" w:rsidR="00EE2F83" w:rsidRPr="00C529DB" w:rsidRDefault="00AF5022" w:rsidP="00C529DB">
      <w:pPr>
        <w:spacing w:line="360" w:lineRule="auto"/>
        <w:jc w:val="both"/>
        <w:rPr>
          <w:rFonts w:cstheme="minorHAnsi"/>
          <w:sz w:val="24"/>
        </w:rPr>
      </w:pPr>
      <w:r>
        <w:rPr>
          <w:rFonts w:cstheme="minorHAnsi"/>
          <w:sz w:val="24"/>
        </w:rPr>
        <w:t xml:space="preserve">When visiting my PTE school for the initial tour, it was interesting to observe that year five and six classes were allowed to use alternative seating during lessons. I gained great interest in this and after an informal conversation with the year </w:t>
      </w:r>
      <w:r w:rsidR="008F747B">
        <w:rPr>
          <w:rFonts w:cstheme="minorHAnsi"/>
          <w:sz w:val="24"/>
        </w:rPr>
        <w:t>six</w:t>
      </w:r>
      <w:r>
        <w:rPr>
          <w:rFonts w:cstheme="minorHAnsi"/>
          <w:sz w:val="24"/>
        </w:rPr>
        <w:t xml:space="preserve"> class teacher, she stated that she had undertaken research on the effects of alternative seating and had trialled it within her class. This issue has made me intrigued to investigate if it is the same with foundation phase children. Will</w:t>
      </w:r>
      <w:r w:rsidR="00C6506A">
        <w:rPr>
          <w:rFonts w:cstheme="minorHAnsi"/>
          <w:sz w:val="24"/>
        </w:rPr>
        <w:t xml:space="preserve"> the choice of</w:t>
      </w:r>
      <w:r>
        <w:rPr>
          <w:rFonts w:cstheme="minorHAnsi"/>
          <w:sz w:val="24"/>
        </w:rPr>
        <w:t xml:space="preserve"> </w:t>
      </w:r>
      <w:r w:rsidR="00C6506A">
        <w:rPr>
          <w:rFonts w:cstheme="minorHAnsi"/>
          <w:sz w:val="24"/>
        </w:rPr>
        <w:t>alternative seating give children in foundation phase a higher level of engagement and concentration? In my class the children don’t have access to the use of wobble air cushions as they are primarily ordered for children who have noticeable disengagement or may have a diagnosis of Autistic Spectrum Disorder</w:t>
      </w:r>
      <w:r w:rsidR="00847362">
        <w:rPr>
          <w:rFonts w:cstheme="minorHAnsi"/>
          <w:sz w:val="24"/>
        </w:rPr>
        <w:t xml:space="preserve"> </w:t>
      </w:r>
      <w:r w:rsidR="00C6506A">
        <w:rPr>
          <w:rFonts w:cstheme="minorHAnsi"/>
          <w:sz w:val="24"/>
        </w:rPr>
        <w:t xml:space="preserve">(ASD) or ADHD. </w:t>
      </w:r>
    </w:p>
    <w:p w14:paraId="28A5A684" w14:textId="77777777" w:rsidR="004A1B1F" w:rsidRDefault="00847362" w:rsidP="00F7064D">
      <w:pPr>
        <w:spacing w:line="360" w:lineRule="auto"/>
        <w:jc w:val="both"/>
        <w:rPr>
          <w:rFonts w:cstheme="minorHAnsi"/>
          <w:sz w:val="24"/>
        </w:rPr>
      </w:pPr>
      <w:r w:rsidRPr="00847362">
        <w:rPr>
          <w:rFonts w:cstheme="minorHAnsi"/>
          <w:sz w:val="24"/>
        </w:rPr>
        <w:t>The research project was carried out within the same school as both my partner and I had our PTE1 experience there, the school is in partnership with the University of Wales Trinity Saint David.</w:t>
      </w:r>
      <w:r>
        <w:rPr>
          <w:rFonts w:cstheme="minorHAnsi"/>
          <w:sz w:val="24"/>
        </w:rPr>
        <w:t xml:space="preserve"> The school is a large affluent school in the county borough of Bridgend holding a</w:t>
      </w:r>
      <w:r w:rsidR="004A1B1F">
        <w:rPr>
          <w:rFonts w:cstheme="minorHAnsi"/>
          <w:sz w:val="24"/>
        </w:rPr>
        <w:t>pproximately</w:t>
      </w:r>
      <w:r>
        <w:rPr>
          <w:rFonts w:cstheme="minorHAnsi"/>
          <w:sz w:val="24"/>
        </w:rPr>
        <w:t xml:space="preserve"> 600 children. The research will be carried out with </w:t>
      </w:r>
      <w:r w:rsidR="004A1B1F">
        <w:rPr>
          <w:rFonts w:cstheme="minorHAnsi"/>
          <w:sz w:val="24"/>
        </w:rPr>
        <w:t xml:space="preserve">a group of </w:t>
      </w:r>
      <w:r>
        <w:rPr>
          <w:rFonts w:cstheme="minorHAnsi"/>
          <w:sz w:val="24"/>
        </w:rPr>
        <w:t>6</w:t>
      </w:r>
      <w:r w:rsidR="004A1B1F">
        <w:rPr>
          <w:rFonts w:cstheme="minorHAnsi"/>
          <w:sz w:val="24"/>
        </w:rPr>
        <w:t xml:space="preserve"> mixed ability</w:t>
      </w:r>
      <w:r>
        <w:rPr>
          <w:rFonts w:cstheme="minorHAnsi"/>
          <w:sz w:val="24"/>
        </w:rPr>
        <w:t xml:space="preserve"> children from my class (Year 1) and </w:t>
      </w:r>
      <w:r w:rsidR="004A1B1F">
        <w:rPr>
          <w:rFonts w:cstheme="minorHAnsi"/>
          <w:sz w:val="24"/>
        </w:rPr>
        <w:t xml:space="preserve">6 mixed ability children from (Rec/Year1). </w:t>
      </w:r>
    </w:p>
    <w:p w14:paraId="75F1D424" w14:textId="396A3F80" w:rsidR="00B14EBE" w:rsidRDefault="00B14EBE" w:rsidP="00F7064D">
      <w:pPr>
        <w:spacing w:line="360" w:lineRule="auto"/>
        <w:jc w:val="both"/>
        <w:rPr>
          <w:rFonts w:cstheme="minorHAnsi"/>
          <w:sz w:val="24"/>
        </w:rPr>
      </w:pPr>
      <w:r w:rsidRPr="00B14EBE">
        <w:rPr>
          <w:rFonts w:cstheme="minorHAnsi"/>
          <w:sz w:val="24"/>
        </w:rPr>
        <w:t>In</w:t>
      </w:r>
      <w:r w:rsidR="004A1B1F">
        <w:rPr>
          <w:rFonts w:cstheme="minorHAnsi"/>
          <w:sz w:val="24"/>
        </w:rPr>
        <w:t xml:space="preserve"> school</w:t>
      </w:r>
      <w:r w:rsidR="007E122B">
        <w:rPr>
          <w:rFonts w:cstheme="minorHAnsi"/>
          <w:sz w:val="24"/>
        </w:rPr>
        <w:t xml:space="preserve"> X</w:t>
      </w:r>
      <w:r w:rsidR="008F747B">
        <w:rPr>
          <w:rFonts w:cstheme="minorHAnsi"/>
          <w:sz w:val="24"/>
        </w:rPr>
        <w:t xml:space="preserve">, the children </w:t>
      </w:r>
      <w:r w:rsidR="004A1B1F">
        <w:rPr>
          <w:rFonts w:cstheme="minorHAnsi"/>
          <w:sz w:val="24"/>
        </w:rPr>
        <w:t xml:space="preserve">in foundation phase </w:t>
      </w:r>
      <w:r w:rsidR="008F747B">
        <w:rPr>
          <w:rFonts w:cstheme="minorHAnsi"/>
          <w:sz w:val="24"/>
        </w:rPr>
        <w:t xml:space="preserve">are all expected to sit on the carpet or tables during lessons. It </w:t>
      </w:r>
      <w:r w:rsidR="007E122B">
        <w:rPr>
          <w:rFonts w:cstheme="minorHAnsi"/>
          <w:sz w:val="24"/>
        </w:rPr>
        <w:t>was noticeable</w:t>
      </w:r>
      <w:r w:rsidR="008F747B">
        <w:rPr>
          <w:rFonts w:cstheme="minorHAnsi"/>
          <w:sz w:val="24"/>
        </w:rPr>
        <w:t xml:space="preserve"> that the children often get distracted or find it hard to engage and focus throughout lessons. It was observ</w:t>
      </w:r>
      <w:r w:rsidR="00D1402A">
        <w:rPr>
          <w:rFonts w:cstheme="minorHAnsi"/>
          <w:sz w:val="24"/>
        </w:rPr>
        <w:t>ed</w:t>
      </w:r>
      <w:r w:rsidR="008F747B">
        <w:rPr>
          <w:rFonts w:cstheme="minorHAnsi"/>
          <w:sz w:val="24"/>
        </w:rPr>
        <w:t xml:space="preserve"> in KS2 that the children have access to </w:t>
      </w:r>
      <w:r w:rsidR="00D1402A">
        <w:rPr>
          <w:rFonts w:cstheme="minorHAnsi"/>
          <w:sz w:val="24"/>
        </w:rPr>
        <w:t>alternative</w:t>
      </w:r>
      <w:r w:rsidR="008F747B">
        <w:rPr>
          <w:rFonts w:cstheme="minorHAnsi"/>
          <w:sz w:val="24"/>
        </w:rPr>
        <w:t xml:space="preserve"> seating e.g. bean bags</w:t>
      </w:r>
      <w:r w:rsidR="00D1402A">
        <w:rPr>
          <w:rFonts w:cstheme="minorHAnsi"/>
          <w:sz w:val="24"/>
        </w:rPr>
        <w:t>,</w:t>
      </w:r>
      <w:r w:rsidR="008F747B">
        <w:rPr>
          <w:rFonts w:cstheme="minorHAnsi"/>
          <w:sz w:val="24"/>
        </w:rPr>
        <w:t xml:space="preserve"> lap trays </w:t>
      </w:r>
      <w:r w:rsidR="00D1402A">
        <w:rPr>
          <w:rFonts w:cstheme="minorHAnsi"/>
          <w:sz w:val="24"/>
        </w:rPr>
        <w:t>and</w:t>
      </w:r>
      <w:r w:rsidR="008F747B">
        <w:rPr>
          <w:rFonts w:cstheme="minorHAnsi"/>
          <w:sz w:val="24"/>
        </w:rPr>
        <w:t xml:space="preserve"> </w:t>
      </w:r>
      <w:r w:rsidR="007E122B">
        <w:rPr>
          <w:rFonts w:cstheme="minorHAnsi"/>
          <w:sz w:val="24"/>
        </w:rPr>
        <w:t xml:space="preserve">air-filled </w:t>
      </w:r>
      <w:r w:rsidR="008F747B">
        <w:rPr>
          <w:rFonts w:cstheme="minorHAnsi"/>
          <w:sz w:val="24"/>
        </w:rPr>
        <w:t xml:space="preserve">wobble cushions. A year six class teacher had undertaken research and it was evident from questionnaires that children felt more engaged when they could choose their seating option. </w:t>
      </w:r>
      <w:r w:rsidR="00D1402A">
        <w:rPr>
          <w:rFonts w:cstheme="minorHAnsi"/>
          <w:sz w:val="24"/>
        </w:rPr>
        <w:t>My partner and I discussed this scenario</w:t>
      </w:r>
      <w:r w:rsidR="008F747B">
        <w:rPr>
          <w:rFonts w:cstheme="minorHAnsi"/>
          <w:sz w:val="24"/>
        </w:rPr>
        <w:t xml:space="preserve"> and we were both intrigued to investigate this theory in </w:t>
      </w:r>
      <w:r w:rsidR="004A1B1F">
        <w:rPr>
          <w:rFonts w:cstheme="minorHAnsi"/>
          <w:sz w:val="24"/>
        </w:rPr>
        <w:t>F</w:t>
      </w:r>
      <w:r w:rsidR="008F747B">
        <w:rPr>
          <w:rFonts w:cstheme="minorHAnsi"/>
          <w:sz w:val="24"/>
        </w:rPr>
        <w:t>oundation phase. We decided to focus</w:t>
      </w:r>
      <w:r w:rsidR="009D1CEB">
        <w:rPr>
          <w:rFonts w:cstheme="minorHAnsi"/>
          <w:sz w:val="24"/>
        </w:rPr>
        <w:t xml:space="preserve"> our alternative seating option</w:t>
      </w:r>
      <w:r w:rsidR="008F747B">
        <w:rPr>
          <w:rFonts w:cstheme="minorHAnsi"/>
          <w:sz w:val="24"/>
        </w:rPr>
        <w:t xml:space="preserve"> on </w:t>
      </w:r>
      <w:r w:rsidR="009E1B96">
        <w:rPr>
          <w:rFonts w:cstheme="minorHAnsi"/>
          <w:sz w:val="24"/>
        </w:rPr>
        <w:t xml:space="preserve">air-filled </w:t>
      </w:r>
      <w:r w:rsidR="008F747B">
        <w:rPr>
          <w:rFonts w:cstheme="minorHAnsi"/>
          <w:sz w:val="24"/>
        </w:rPr>
        <w:t>wobble cushions. Our research question is “</w:t>
      </w:r>
      <w:r w:rsidR="008F747B" w:rsidRPr="008F747B">
        <w:rPr>
          <w:rFonts w:cstheme="minorHAnsi"/>
          <w:sz w:val="24"/>
        </w:rPr>
        <w:t>How can we improve pupil engagement through the use of alternative seating?</w:t>
      </w:r>
      <w:r w:rsidR="008F747B">
        <w:rPr>
          <w:rFonts w:cstheme="minorHAnsi"/>
          <w:sz w:val="24"/>
        </w:rPr>
        <w:t xml:space="preserve">” </w:t>
      </w:r>
      <w:r w:rsidR="004A1B1F">
        <w:rPr>
          <w:rFonts w:cstheme="minorHAnsi"/>
          <w:sz w:val="24"/>
        </w:rPr>
        <w:t>We are going to select 3 specific children to observe: a high, middle and low engager then 3 other mixed ability children. T</w:t>
      </w:r>
      <w:r w:rsidR="00D1402A">
        <w:rPr>
          <w:rFonts w:cstheme="minorHAnsi"/>
          <w:sz w:val="24"/>
        </w:rPr>
        <w:t xml:space="preserve">he </w:t>
      </w:r>
      <w:r w:rsidR="004A1B1F">
        <w:rPr>
          <w:rFonts w:cstheme="minorHAnsi"/>
          <w:sz w:val="24"/>
        </w:rPr>
        <w:t xml:space="preserve">children will experience an </w:t>
      </w:r>
      <w:r w:rsidR="00D1402A">
        <w:rPr>
          <w:rFonts w:cstheme="minorHAnsi"/>
          <w:sz w:val="24"/>
        </w:rPr>
        <w:t>opportunity to sit on an ai</w:t>
      </w:r>
      <w:r w:rsidR="004A1B1F">
        <w:rPr>
          <w:rFonts w:cstheme="minorHAnsi"/>
          <w:sz w:val="24"/>
        </w:rPr>
        <w:t>r-</w:t>
      </w:r>
      <w:r w:rsidR="00D1402A">
        <w:rPr>
          <w:rFonts w:cstheme="minorHAnsi"/>
          <w:sz w:val="24"/>
        </w:rPr>
        <w:t xml:space="preserve">filled wobble cushion </w:t>
      </w:r>
      <w:r w:rsidR="008F747B">
        <w:rPr>
          <w:rFonts w:cstheme="minorHAnsi"/>
          <w:sz w:val="24"/>
        </w:rPr>
        <w:t>during a</w:t>
      </w:r>
      <w:r w:rsidR="004A1B1F">
        <w:rPr>
          <w:rFonts w:cstheme="minorHAnsi"/>
          <w:sz w:val="24"/>
        </w:rPr>
        <w:t xml:space="preserve"> specific lesson.</w:t>
      </w:r>
    </w:p>
    <w:p w14:paraId="7AC910AD" w14:textId="2A47DF8A" w:rsidR="00B14EBE" w:rsidRDefault="00EE2F83" w:rsidP="00F7064D">
      <w:pPr>
        <w:jc w:val="both"/>
        <w:rPr>
          <w:rFonts w:cstheme="minorHAnsi"/>
          <w:b/>
          <w:sz w:val="24"/>
        </w:rPr>
      </w:pPr>
      <w:r>
        <w:rPr>
          <w:rFonts w:cstheme="minorHAnsi"/>
          <w:b/>
          <w:sz w:val="24"/>
        </w:rPr>
        <w:t>Lit</w:t>
      </w:r>
      <w:r w:rsidR="00D83D29">
        <w:rPr>
          <w:rFonts w:cstheme="minorHAnsi"/>
          <w:b/>
          <w:sz w:val="24"/>
        </w:rPr>
        <w:t>erature</w:t>
      </w:r>
      <w:r>
        <w:rPr>
          <w:rFonts w:cstheme="minorHAnsi"/>
          <w:b/>
          <w:sz w:val="24"/>
        </w:rPr>
        <w:t xml:space="preserve"> </w:t>
      </w:r>
      <w:r w:rsidR="00D83D29">
        <w:rPr>
          <w:rFonts w:cstheme="minorHAnsi"/>
          <w:b/>
          <w:sz w:val="24"/>
        </w:rPr>
        <w:t>r</w:t>
      </w:r>
      <w:r>
        <w:rPr>
          <w:rFonts w:cstheme="minorHAnsi"/>
          <w:b/>
          <w:sz w:val="24"/>
        </w:rPr>
        <w:t>eview</w:t>
      </w:r>
    </w:p>
    <w:p w14:paraId="09A3BB2A" w14:textId="3C12F47B" w:rsidR="00881D4D" w:rsidRDefault="004A1B1F" w:rsidP="00F7064D">
      <w:pPr>
        <w:spacing w:line="360" w:lineRule="auto"/>
        <w:jc w:val="both"/>
        <w:rPr>
          <w:rFonts w:cstheme="minorHAnsi"/>
          <w:sz w:val="24"/>
        </w:rPr>
      </w:pPr>
      <w:r>
        <w:rPr>
          <w:rFonts w:cstheme="minorHAnsi"/>
          <w:sz w:val="24"/>
        </w:rPr>
        <w:t xml:space="preserve">To help me to understand the possible links between pupil engagement and alternative seating I looked further into it by reading literature surrounding these areas. </w:t>
      </w:r>
      <w:r w:rsidR="004E49E1">
        <w:rPr>
          <w:rFonts w:cstheme="minorHAnsi"/>
          <w:sz w:val="24"/>
        </w:rPr>
        <w:t xml:space="preserve">It has been </w:t>
      </w:r>
      <w:r w:rsidR="004E49E1">
        <w:rPr>
          <w:rFonts w:cstheme="minorHAnsi"/>
          <w:sz w:val="24"/>
        </w:rPr>
        <w:lastRenderedPageBreak/>
        <w:t>stated in</w:t>
      </w:r>
      <w:r w:rsidR="00373298">
        <w:rPr>
          <w:rFonts w:cstheme="minorHAnsi"/>
          <w:sz w:val="24"/>
        </w:rPr>
        <w:t xml:space="preserve"> previous studies by Fredricks,</w:t>
      </w:r>
      <w:r w:rsidR="00373298" w:rsidRPr="00373298">
        <w:rPr>
          <w:rFonts w:cstheme="minorHAnsi"/>
          <w:sz w:val="24"/>
        </w:rPr>
        <w:t xml:space="preserve"> </w:t>
      </w:r>
      <w:r w:rsidR="00373298">
        <w:rPr>
          <w:rFonts w:cstheme="minorHAnsi"/>
          <w:sz w:val="24"/>
        </w:rPr>
        <w:t>Blumenfeld &amp; Paris (2004) that e</w:t>
      </w:r>
      <w:r w:rsidR="00373298" w:rsidRPr="00692751">
        <w:rPr>
          <w:rFonts w:cstheme="minorHAnsi"/>
          <w:sz w:val="24"/>
        </w:rPr>
        <w:t xml:space="preserve">ngaging students in </w:t>
      </w:r>
      <w:r w:rsidR="00373298">
        <w:rPr>
          <w:rFonts w:cstheme="minorHAnsi"/>
          <w:sz w:val="24"/>
        </w:rPr>
        <w:t>school activities and lessons can be</w:t>
      </w:r>
      <w:r w:rsidR="00373298" w:rsidRPr="00692751">
        <w:rPr>
          <w:rFonts w:cstheme="minorHAnsi"/>
          <w:sz w:val="24"/>
        </w:rPr>
        <w:t xml:space="preserve"> critical for the overall success of their </w:t>
      </w:r>
      <w:r w:rsidR="00373298">
        <w:rPr>
          <w:rFonts w:cstheme="minorHAnsi"/>
          <w:sz w:val="24"/>
        </w:rPr>
        <w:t>experience.</w:t>
      </w:r>
      <w:r w:rsidR="00C529DB">
        <w:rPr>
          <w:rFonts w:cstheme="minorHAnsi"/>
          <w:sz w:val="24"/>
        </w:rPr>
        <w:t xml:space="preserve"> </w:t>
      </w:r>
      <w:r w:rsidR="00373298">
        <w:rPr>
          <w:rFonts w:cstheme="minorHAnsi"/>
          <w:sz w:val="24"/>
        </w:rPr>
        <w:t xml:space="preserve">More </w:t>
      </w:r>
      <w:r w:rsidR="004E49E1">
        <w:rPr>
          <w:rFonts w:cstheme="minorHAnsi"/>
          <w:sz w:val="24"/>
        </w:rPr>
        <w:t>recent studies</w:t>
      </w:r>
      <w:r w:rsidR="00E455EA">
        <w:rPr>
          <w:rFonts w:cstheme="minorHAnsi"/>
          <w:sz w:val="24"/>
        </w:rPr>
        <w:t xml:space="preserve"> by </w:t>
      </w:r>
      <w:r w:rsidR="00E455EA" w:rsidRPr="004E49E1">
        <w:rPr>
          <w:rFonts w:cstheme="minorHAnsi"/>
          <w:sz w:val="24"/>
        </w:rPr>
        <w:t>Webber</w:t>
      </w:r>
      <w:r w:rsidR="00E455EA">
        <w:rPr>
          <w:rFonts w:cstheme="minorHAnsi"/>
          <w:sz w:val="24"/>
        </w:rPr>
        <w:t>, Krylow &amp; Zhang (</w:t>
      </w:r>
      <w:r w:rsidR="00E455EA" w:rsidRPr="004E49E1">
        <w:rPr>
          <w:rFonts w:cstheme="minorHAnsi"/>
          <w:sz w:val="24"/>
        </w:rPr>
        <w:t>2013)</w:t>
      </w:r>
      <w:r w:rsidR="00E455EA">
        <w:rPr>
          <w:rFonts w:cstheme="minorHAnsi"/>
          <w:sz w:val="24"/>
        </w:rPr>
        <w:t xml:space="preserve"> also support</w:t>
      </w:r>
      <w:r w:rsidR="00963BD9">
        <w:rPr>
          <w:rFonts w:cstheme="minorHAnsi"/>
          <w:sz w:val="24"/>
        </w:rPr>
        <w:t>s</w:t>
      </w:r>
      <w:r w:rsidR="004E49E1">
        <w:rPr>
          <w:rFonts w:cstheme="minorHAnsi"/>
          <w:sz w:val="24"/>
        </w:rPr>
        <w:t xml:space="preserve"> that s</w:t>
      </w:r>
      <w:r w:rsidR="004E49E1" w:rsidRPr="004E49E1">
        <w:rPr>
          <w:rFonts w:cstheme="minorHAnsi"/>
          <w:sz w:val="24"/>
        </w:rPr>
        <w:t xml:space="preserve">tudent engagement </w:t>
      </w:r>
      <w:r w:rsidR="004E49E1">
        <w:rPr>
          <w:rFonts w:cstheme="minorHAnsi"/>
          <w:sz w:val="24"/>
        </w:rPr>
        <w:t xml:space="preserve">has positive relations </w:t>
      </w:r>
      <w:r w:rsidR="004E49E1" w:rsidRPr="004E49E1">
        <w:rPr>
          <w:rFonts w:cstheme="minorHAnsi"/>
          <w:sz w:val="24"/>
        </w:rPr>
        <w:t>to grades and satisfaction</w:t>
      </w:r>
      <w:r w:rsidR="00E455EA">
        <w:rPr>
          <w:rFonts w:cstheme="minorHAnsi"/>
          <w:sz w:val="24"/>
        </w:rPr>
        <w:t xml:space="preserve">. </w:t>
      </w:r>
      <w:r w:rsidR="00692751">
        <w:rPr>
          <w:rFonts w:cstheme="minorHAnsi"/>
          <w:sz w:val="24"/>
        </w:rPr>
        <w:t>The underlying notion of pupil engagement is focused on how students are engaging with school activities that are linked to high quality student outcomes (Krause and Coates, 2008)</w:t>
      </w:r>
      <w:r w:rsidR="00C529DB">
        <w:rPr>
          <w:rFonts w:cstheme="minorHAnsi"/>
          <w:sz w:val="24"/>
        </w:rPr>
        <w:t>.</w:t>
      </w:r>
      <w:r w:rsidR="00692751">
        <w:rPr>
          <w:rFonts w:cstheme="minorHAnsi"/>
          <w:sz w:val="24"/>
        </w:rPr>
        <w:t xml:space="preserve"> </w:t>
      </w:r>
      <w:r w:rsidR="00FE49E0">
        <w:rPr>
          <w:rFonts w:cstheme="minorHAnsi"/>
          <w:sz w:val="24"/>
        </w:rPr>
        <w:t>An understanding of the factors that influence pupil engagement is extremely important, it is a</w:t>
      </w:r>
      <w:r w:rsidR="00C529DB">
        <w:rPr>
          <w:rFonts w:cstheme="minorHAnsi"/>
          <w:sz w:val="24"/>
        </w:rPr>
        <w:t xml:space="preserve"> continuous</w:t>
      </w:r>
      <w:r w:rsidR="00FE49E0">
        <w:rPr>
          <w:rFonts w:cstheme="minorHAnsi"/>
          <w:sz w:val="24"/>
        </w:rPr>
        <w:t xml:space="preserve"> piece of research that explores how we can help pupils to engage and stay focused. </w:t>
      </w:r>
      <w:r w:rsidR="00435452">
        <w:rPr>
          <w:rFonts w:cstheme="minorHAnsi"/>
          <w:sz w:val="24"/>
        </w:rPr>
        <w:t>Recent</w:t>
      </w:r>
      <w:r w:rsidR="00FE49E0">
        <w:rPr>
          <w:rFonts w:cstheme="minorHAnsi"/>
          <w:sz w:val="24"/>
        </w:rPr>
        <w:t xml:space="preserve"> work by Kahu (2013) proposed that psychosocial influences on student engagement were primarily linear</w:t>
      </w:r>
      <w:r w:rsidR="00435452">
        <w:rPr>
          <w:rFonts w:cstheme="minorHAnsi"/>
          <w:sz w:val="24"/>
        </w:rPr>
        <w:t xml:space="preserve"> but a qualitative study produced years before by Kember (2004) found out that more complex reasons existed.</w:t>
      </w:r>
    </w:p>
    <w:p w14:paraId="694FE7AA" w14:textId="431A9BAC" w:rsidR="00E11BE9" w:rsidRPr="00E11BE9" w:rsidRDefault="0079293E" w:rsidP="00F7064D">
      <w:pPr>
        <w:spacing w:line="360" w:lineRule="auto"/>
        <w:jc w:val="both"/>
        <w:rPr>
          <w:rFonts w:cstheme="minorHAnsi"/>
          <w:sz w:val="28"/>
        </w:rPr>
      </w:pPr>
      <w:r w:rsidRPr="00A468B1">
        <w:rPr>
          <w:sz w:val="24"/>
        </w:rPr>
        <w:t>Al-Eisa, Buragadda, and Melam (2013) suggest</w:t>
      </w:r>
      <w:r>
        <w:rPr>
          <w:sz w:val="24"/>
        </w:rPr>
        <w:t xml:space="preserve"> </w:t>
      </w:r>
      <w:r w:rsidRPr="00A468B1">
        <w:rPr>
          <w:sz w:val="24"/>
        </w:rPr>
        <w:t>that “in order to learn, the brain must achieve an optimum state of arousal”</w:t>
      </w:r>
      <w:r w:rsidR="00981FD5">
        <w:rPr>
          <w:sz w:val="24"/>
        </w:rPr>
        <w:t>.</w:t>
      </w:r>
      <w:r w:rsidRPr="00A468B1">
        <w:rPr>
          <w:sz w:val="24"/>
        </w:rPr>
        <w:t xml:space="preserve"> </w:t>
      </w:r>
      <w:r>
        <w:rPr>
          <w:sz w:val="24"/>
        </w:rPr>
        <w:t xml:space="preserve">This is supported by a statement made by </w:t>
      </w:r>
      <w:bookmarkStart w:id="0" w:name="_Hlk2421262"/>
      <w:r w:rsidRPr="0079293E">
        <w:rPr>
          <w:rFonts w:ascii="Calibri" w:hAnsi="Calibri" w:cs="Calibri"/>
          <w:color w:val="000000"/>
          <w:sz w:val="24"/>
          <w:szCs w:val="20"/>
          <w:shd w:val="clear" w:color="auto" w:fill="FFFFFF"/>
        </w:rPr>
        <w:t>Burgoyne and Ketcham</w:t>
      </w:r>
      <w:r>
        <w:rPr>
          <w:rFonts w:ascii="Calibri" w:hAnsi="Calibri" w:cs="Calibri"/>
          <w:color w:val="000000"/>
          <w:sz w:val="24"/>
          <w:szCs w:val="20"/>
          <w:shd w:val="clear" w:color="auto" w:fill="FFFFFF"/>
        </w:rPr>
        <w:t xml:space="preserve"> (</w:t>
      </w:r>
      <w:r w:rsidRPr="0079293E">
        <w:rPr>
          <w:rFonts w:ascii="Calibri" w:hAnsi="Calibri" w:cs="Calibri"/>
          <w:color w:val="000000"/>
          <w:sz w:val="24"/>
          <w:szCs w:val="20"/>
          <w:shd w:val="clear" w:color="auto" w:fill="FFFFFF"/>
        </w:rPr>
        <w:t>2015</w:t>
      </w:r>
      <w:r>
        <w:rPr>
          <w:rFonts w:ascii="Calibri" w:hAnsi="Calibri" w:cs="Calibri"/>
          <w:color w:val="000000"/>
          <w:sz w:val="24"/>
          <w:szCs w:val="20"/>
          <w:shd w:val="clear" w:color="auto" w:fill="FFFFFF"/>
        </w:rPr>
        <w:t xml:space="preserve">) who are passionate that </w:t>
      </w:r>
      <w:r w:rsidR="00E11BE9">
        <w:rPr>
          <w:sz w:val="24"/>
        </w:rPr>
        <w:t>“</w:t>
      </w:r>
      <w:r w:rsidR="00963BD9">
        <w:rPr>
          <w:sz w:val="24"/>
        </w:rPr>
        <w:t>e</w:t>
      </w:r>
      <w:r w:rsidR="00E11BE9" w:rsidRPr="00E11BE9">
        <w:rPr>
          <w:sz w:val="24"/>
        </w:rPr>
        <w:t>ffective sensory processing is vital to the learning process</w:t>
      </w:r>
      <w:r w:rsidR="00E11BE9">
        <w:rPr>
          <w:sz w:val="24"/>
        </w:rPr>
        <w:t>”</w:t>
      </w:r>
      <w:r w:rsidR="00963BD9">
        <w:rPr>
          <w:sz w:val="24"/>
        </w:rPr>
        <w:t xml:space="preserve">, It is </w:t>
      </w:r>
      <w:r w:rsidR="009E5CEB">
        <w:rPr>
          <w:sz w:val="24"/>
        </w:rPr>
        <w:t>explain</w:t>
      </w:r>
      <w:r w:rsidR="00963BD9">
        <w:rPr>
          <w:sz w:val="24"/>
        </w:rPr>
        <w:t>ed</w:t>
      </w:r>
      <w:r w:rsidR="009E5CEB">
        <w:rPr>
          <w:sz w:val="24"/>
        </w:rPr>
        <w:t xml:space="preserve"> that the</w:t>
      </w:r>
      <w:r w:rsidR="00E11BE9" w:rsidRPr="00E11BE9">
        <w:rPr>
          <w:sz w:val="24"/>
        </w:rPr>
        <w:t xml:space="preserve"> brain</w:t>
      </w:r>
      <w:r w:rsidR="0067417E">
        <w:rPr>
          <w:sz w:val="24"/>
        </w:rPr>
        <w:t xml:space="preserve"> is</w:t>
      </w:r>
      <w:r w:rsidR="00E11BE9" w:rsidRPr="00E11BE9">
        <w:rPr>
          <w:sz w:val="24"/>
        </w:rPr>
        <w:t xml:space="preserve"> </w:t>
      </w:r>
      <w:r w:rsidR="0067417E" w:rsidRPr="00E11BE9">
        <w:rPr>
          <w:sz w:val="24"/>
        </w:rPr>
        <w:t>continuously</w:t>
      </w:r>
      <w:r w:rsidR="00E11BE9" w:rsidRPr="00E11BE9">
        <w:rPr>
          <w:sz w:val="24"/>
        </w:rPr>
        <w:t xml:space="preserve"> receiv</w:t>
      </w:r>
      <w:r w:rsidR="0067417E">
        <w:rPr>
          <w:sz w:val="24"/>
        </w:rPr>
        <w:t>ing</w:t>
      </w:r>
      <w:r w:rsidR="00E11BE9" w:rsidRPr="00E11BE9">
        <w:rPr>
          <w:sz w:val="24"/>
        </w:rPr>
        <w:t xml:space="preserve"> sensory information from the environment</w:t>
      </w:r>
      <w:r w:rsidR="0067417E">
        <w:rPr>
          <w:sz w:val="24"/>
        </w:rPr>
        <w:t xml:space="preserve"> and </w:t>
      </w:r>
      <w:r>
        <w:rPr>
          <w:sz w:val="24"/>
        </w:rPr>
        <w:t xml:space="preserve">its </w:t>
      </w:r>
      <w:r w:rsidR="0067417E">
        <w:rPr>
          <w:sz w:val="24"/>
        </w:rPr>
        <w:t>surroundings</w:t>
      </w:r>
      <w:r w:rsidR="00E11BE9" w:rsidRPr="00E11BE9">
        <w:rPr>
          <w:sz w:val="24"/>
        </w:rPr>
        <w:t>; th</w:t>
      </w:r>
      <w:r w:rsidR="0067417E">
        <w:rPr>
          <w:sz w:val="24"/>
        </w:rPr>
        <w:t>e</w:t>
      </w:r>
      <w:r w:rsidR="00E11BE9" w:rsidRPr="00E11BE9">
        <w:rPr>
          <w:sz w:val="24"/>
        </w:rPr>
        <w:t xml:space="preserve"> sensory input is then processed by the brain to </w:t>
      </w:r>
      <w:r>
        <w:rPr>
          <w:sz w:val="24"/>
        </w:rPr>
        <w:t>decide</w:t>
      </w:r>
      <w:r w:rsidR="00E11BE9" w:rsidRPr="00E11BE9">
        <w:rPr>
          <w:sz w:val="24"/>
        </w:rPr>
        <w:t xml:space="preserve"> the appropriate response for </w:t>
      </w:r>
      <w:r>
        <w:rPr>
          <w:sz w:val="24"/>
        </w:rPr>
        <w:t xml:space="preserve">the </w:t>
      </w:r>
      <w:r w:rsidR="00E11BE9" w:rsidRPr="00E11BE9">
        <w:rPr>
          <w:sz w:val="24"/>
        </w:rPr>
        <w:t>situation.</w:t>
      </w:r>
      <w:r w:rsidR="000A6F78">
        <w:rPr>
          <w:sz w:val="24"/>
        </w:rPr>
        <w:t xml:space="preserve"> However, Coates (2005) implies that students also need to co-operate and involve themselves with activities to</w:t>
      </w:r>
      <w:r w:rsidR="00FB2936">
        <w:rPr>
          <w:sz w:val="24"/>
        </w:rPr>
        <w:t xml:space="preserve"> engage effectively.</w:t>
      </w:r>
    </w:p>
    <w:bookmarkEnd w:id="0"/>
    <w:p w14:paraId="39774172" w14:textId="0A8F6469" w:rsidR="006A3FB3" w:rsidRPr="00A468B1" w:rsidRDefault="00881D4D" w:rsidP="00F7064D">
      <w:pPr>
        <w:spacing w:line="360" w:lineRule="auto"/>
        <w:jc w:val="both"/>
        <w:rPr>
          <w:rFonts w:cstheme="minorHAnsi"/>
          <w:sz w:val="24"/>
        </w:rPr>
      </w:pPr>
      <w:r w:rsidRPr="0016400B">
        <w:rPr>
          <w:rFonts w:cstheme="minorHAnsi"/>
          <w:sz w:val="24"/>
        </w:rPr>
        <w:t>Children</w:t>
      </w:r>
      <w:r w:rsidR="0016400B" w:rsidRPr="0016400B">
        <w:rPr>
          <w:rFonts w:cstheme="minorHAnsi"/>
          <w:sz w:val="24"/>
        </w:rPr>
        <w:t xml:space="preserve"> </w:t>
      </w:r>
      <w:r w:rsidR="0079293E">
        <w:rPr>
          <w:rFonts w:cstheme="minorHAnsi"/>
          <w:sz w:val="24"/>
        </w:rPr>
        <w:t>who are on the Autistic Spectrum Disorder (ASD)</w:t>
      </w:r>
      <w:r w:rsidRPr="0016400B">
        <w:rPr>
          <w:rFonts w:cstheme="minorHAnsi"/>
          <w:sz w:val="24"/>
        </w:rPr>
        <w:t xml:space="preserve"> can often display behaviour </w:t>
      </w:r>
      <w:r w:rsidR="0016400B" w:rsidRPr="0016400B">
        <w:rPr>
          <w:rFonts w:cstheme="minorHAnsi"/>
          <w:sz w:val="24"/>
        </w:rPr>
        <w:t>issues, usually they appear when they are asked to attend adult-focused tasks</w:t>
      </w:r>
      <w:r w:rsidR="0079293E">
        <w:rPr>
          <w:rFonts w:cstheme="minorHAnsi"/>
          <w:sz w:val="24"/>
        </w:rPr>
        <w:t xml:space="preserve">, </w:t>
      </w:r>
      <w:r w:rsidRPr="0016400B">
        <w:rPr>
          <w:rFonts w:cstheme="minorHAnsi"/>
          <w:sz w:val="24"/>
        </w:rPr>
        <w:t>th</w:t>
      </w:r>
      <w:r w:rsidR="0016400B" w:rsidRPr="0016400B">
        <w:rPr>
          <w:rFonts w:cstheme="minorHAnsi"/>
          <w:sz w:val="24"/>
        </w:rPr>
        <w:t>ese types of behaviours</w:t>
      </w:r>
      <w:r w:rsidRPr="0016400B">
        <w:rPr>
          <w:rFonts w:cstheme="minorHAnsi"/>
          <w:sz w:val="24"/>
        </w:rPr>
        <w:t xml:space="preserve"> can lead to daily academic and social disruptions</w:t>
      </w:r>
      <w:r w:rsidR="006A3FB3">
        <w:rPr>
          <w:rFonts w:cstheme="minorHAnsi"/>
          <w:sz w:val="24"/>
        </w:rPr>
        <w:t xml:space="preserve"> (</w:t>
      </w:r>
      <w:r w:rsidR="006A3FB3" w:rsidRPr="006A3FB3">
        <w:rPr>
          <w:rFonts w:cstheme="minorHAnsi"/>
          <w:sz w:val="24"/>
        </w:rPr>
        <w:t>Bagatel</w:t>
      </w:r>
      <w:r w:rsidR="006A3FB3">
        <w:rPr>
          <w:rFonts w:cstheme="minorHAnsi"/>
          <w:sz w:val="24"/>
        </w:rPr>
        <w:t>l et al</w:t>
      </w:r>
      <w:r w:rsidR="006A3FB3" w:rsidRPr="006A3FB3">
        <w:rPr>
          <w:rFonts w:cstheme="minorHAnsi"/>
          <w:sz w:val="24"/>
        </w:rPr>
        <w:t>, 2010)</w:t>
      </w:r>
      <w:r w:rsidRPr="0016400B">
        <w:rPr>
          <w:rFonts w:cstheme="minorHAnsi"/>
          <w:sz w:val="24"/>
        </w:rPr>
        <w:t xml:space="preserve">. </w:t>
      </w:r>
      <w:r w:rsidR="007C50EE">
        <w:rPr>
          <w:rFonts w:cstheme="minorHAnsi"/>
          <w:sz w:val="24"/>
        </w:rPr>
        <w:t xml:space="preserve"> It is noted by </w:t>
      </w:r>
      <w:r w:rsidR="007C50EE" w:rsidRPr="007C50EE">
        <w:rPr>
          <w:sz w:val="24"/>
        </w:rPr>
        <w:t>Lemov</w:t>
      </w:r>
      <w:r w:rsidR="007C50EE">
        <w:rPr>
          <w:sz w:val="24"/>
        </w:rPr>
        <w:t xml:space="preserve"> (</w:t>
      </w:r>
      <w:r w:rsidR="007C50EE" w:rsidRPr="007C50EE">
        <w:rPr>
          <w:sz w:val="24"/>
        </w:rPr>
        <w:t>2010</w:t>
      </w:r>
      <w:r w:rsidR="007C50EE">
        <w:rPr>
          <w:sz w:val="24"/>
        </w:rPr>
        <w:t>)</w:t>
      </w:r>
      <w:r w:rsidR="007C50EE" w:rsidRPr="007C50EE">
        <w:rPr>
          <w:rFonts w:cstheme="minorHAnsi"/>
          <w:sz w:val="28"/>
        </w:rPr>
        <w:t xml:space="preserve"> </w:t>
      </w:r>
      <w:r w:rsidR="007C50EE">
        <w:rPr>
          <w:rFonts w:cstheme="minorHAnsi"/>
          <w:sz w:val="24"/>
        </w:rPr>
        <w:t xml:space="preserve">that off-task behaviours are recognised in literature as one of the most </w:t>
      </w:r>
      <w:r w:rsidR="00963BD9">
        <w:rPr>
          <w:rFonts w:cstheme="minorHAnsi"/>
          <w:sz w:val="24"/>
        </w:rPr>
        <w:t>disruptive</w:t>
      </w:r>
      <w:r w:rsidR="007C50EE">
        <w:rPr>
          <w:rFonts w:cstheme="minorHAnsi"/>
          <w:sz w:val="24"/>
        </w:rPr>
        <w:t xml:space="preserve"> barriers to learning </w:t>
      </w:r>
      <w:r w:rsidR="00981FD5">
        <w:rPr>
          <w:rFonts w:cstheme="minorHAnsi"/>
          <w:sz w:val="24"/>
        </w:rPr>
        <w:t>i</w:t>
      </w:r>
      <w:r w:rsidR="007C50EE">
        <w:rPr>
          <w:rFonts w:cstheme="minorHAnsi"/>
          <w:sz w:val="24"/>
        </w:rPr>
        <w:t>n the classroom.</w:t>
      </w:r>
      <w:r w:rsidR="00737921">
        <w:rPr>
          <w:rFonts w:cstheme="minorHAnsi"/>
          <w:sz w:val="24"/>
        </w:rPr>
        <w:t xml:space="preserve"> </w:t>
      </w:r>
      <w:r w:rsidR="0016400B" w:rsidRPr="0016400B">
        <w:rPr>
          <w:sz w:val="24"/>
        </w:rPr>
        <w:t>Krombach (2016) states that this</w:t>
      </w:r>
      <w:r w:rsidRPr="0016400B">
        <w:rPr>
          <w:rFonts w:cstheme="minorHAnsi"/>
          <w:sz w:val="24"/>
        </w:rPr>
        <w:t xml:space="preserve"> </w:t>
      </w:r>
      <w:r w:rsidR="006A3FB3">
        <w:rPr>
          <w:rFonts w:cstheme="minorHAnsi"/>
          <w:sz w:val="24"/>
        </w:rPr>
        <w:t xml:space="preserve">has </w:t>
      </w:r>
      <w:r w:rsidRPr="0016400B">
        <w:rPr>
          <w:rFonts w:cstheme="minorHAnsi"/>
          <w:sz w:val="24"/>
        </w:rPr>
        <w:t>encouraged many teachers and therapists to derive and create classroom interventions that w</w:t>
      </w:r>
      <w:r w:rsidR="006A3FB3">
        <w:rPr>
          <w:rFonts w:cstheme="minorHAnsi"/>
          <w:sz w:val="24"/>
        </w:rPr>
        <w:t>ill</w:t>
      </w:r>
      <w:r w:rsidRPr="0016400B">
        <w:rPr>
          <w:rFonts w:cstheme="minorHAnsi"/>
          <w:sz w:val="24"/>
        </w:rPr>
        <w:t xml:space="preserve"> help improve the length of time a child stays engaged and focused on the task. </w:t>
      </w:r>
      <w:r w:rsidR="00981FD5">
        <w:rPr>
          <w:rFonts w:cstheme="minorHAnsi"/>
          <w:sz w:val="24"/>
        </w:rPr>
        <w:t>The</w:t>
      </w:r>
      <w:r w:rsidRPr="0016400B">
        <w:rPr>
          <w:rFonts w:cstheme="minorHAnsi"/>
          <w:sz w:val="24"/>
        </w:rPr>
        <w:t xml:space="preserve"> introduction of stability balls </w:t>
      </w:r>
      <w:r w:rsidR="006A3FB3">
        <w:rPr>
          <w:rFonts w:cstheme="minorHAnsi"/>
          <w:sz w:val="24"/>
        </w:rPr>
        <w:t>was</w:t>
      </w:r>
      <w:r w:rsidRPr="0016400B">
        <w:rPr>
          <w:rFonts w:cstheme="minorHAnsi"/>
          <w:sz w:val="24"/>
        </w:rPr>
        <w:t xml:space="preserve"> designed as an alternative seating method for children</w:t>
      </w:r>
      <w:r w:rsidR="006A3FB3">
        <w:rPr>
          <w:rFonts w:cstheme="minorHAnsi"/>
          <w:sz w:val="24"/>
        </w:rPr>
        <w:t xml:space="preserve"> and used for children with</w:t>
      </w:r>
      <w:r w:rsidRPr="0016400B">
        <w:rPr>
          <w:rFonts w:cstheme="minorHAnsi"/>
          <w:sz w:val="24"/>
        </w:rPr>
        <w:t xml:space="preserve"> low engagement</w:t>
      </w:r>
      <w:r w:rsidR="006A3FB3">
        <w:rPr>
          <w:rFonts w:cstheme="minorHAnsi"/>
          <w:sz w:val="24"/>
        </w:rPr>
        <w:t xml:space="preserve"> and ASD</w:t>
      </w:r>
      <w:r w:rsidRPr="0016400B">
        <w:rPr>
          <w:rFonts w:cstheme="minorHAnsi"/>
          <w:sz w:val="24"/>
        </w:rPr>
        <w:t xml:space="preserve">. </w:t>
      </w:r>
    </w:p>
    <w:p w14:paraId="2F168057" w14:textId="501ED4EF" w:rsidR="009A133C" w:rsidRDefault="00893E32" w:rsidP="00F7064D">
      <w:pPr>
        <w:spacing w:line="360" w:lineRule="auto"/>
        <w:jc w:val="both"/>
      </w:pPr>
      <w:r w:rsidRPr="00893E32">
        <w:rPr>
          <w:sz w:val="24"/>
        </w:rPr>
        <w:t xml:space="preserve">Most research </w:t>
      </w:r>
      <w:r>
        <w:rPr>
          <w:sz w:val="24"/>
        </w:rPr>
        <w:t>that has been carried out has examined</w:t>
      </w:r>
      <w:r w:rsidRPr="00893E32">
        <w:rPr>
          <w:sz w:val="24"/>
        </w:rPr>
        <w:t xml:space="preserve"> the effect</w:t>
      </w:r>
      <w:r>
        <w:rPr>
          <w:sz w:val="24"/>
        </w:rPr>
        <w:t>s</w:t>
      </w:r>
      <w:r w:rsidRPr="00893E32">
        <w:rPr>
          <w:sz w:val="24"/>
        </w:rPr>
        <w:t xml:space="preserve"> of traditional seating and arrangements on classroom behavio</w:t>
      </w:r>
      <w:r>
        <w:rPr>
          <w:sz w:val="24"/>
        </w:rPr>
        <w:t xml:space="preserve">ur </w:t>
      </w:r>
      <w:r w:rsidRPr="00893E32">
        <w:rPr>
          <w:sz w:val="24"/>
        </w:rPr>
        <w:t>(Bicard</w:t>
      </w:r>
      <w:r>
        <w:rPr>
          <w:sz w:val="24"/>
        </w:rPr>
        <w:t xml:space="preserve"> et al,</w:t>
      </w:r>
      <w:r w:rsidR="00EE52AC">
        <w:rPr>
          <w:sz w:val="24"/>
        </w:rPr>
        <w:t xml:space="preserve"> </w:t>
      </w:r>
      <w:r w:rsidRPr="00893E32">
        <w:rPr>
          <w:sz w:val="24"/>
        </w:rPr>
        <w:t>2012</w:t>
      </w:r>
      <w:r>
        <w:rPr>
          <w:sz w:val="24"/>
        </w:rPr>
        <w:t xml:space="preserve">). This is due to the fact that most classrooms </w:t>
      </w:r>
      <w:r w:rsidR="00981FD5">
        <w:rPr>
          <w:sz w:val="24"/>
        </w:rPr>
        <w:t>have a</w:t>
      </w:r>
      <w:r>
        <w:rPr>
          <w:sz w:val="24"/>
        </w:rPr>
        <w:t xml:space="preserve"> standard procedure </w:t>
      </w:r>
      <w:r w:rsidR="00981FD5">
        <w:rPr>
          <w:sz w:val="24"/>
        </w:rPr>
        <w:t>where</w:t>
      </w:r>
      <w:r>
        <w:rPr>
          <w:sz w:val="24"/>
        </w:rPr>
        <w:t xml:space="preserve"> children are to sit at desks</w:t>
      </w:r>
      <w:r w:rsidR="00981FD5">
        <w:rPr>
          <w:sz w:val="24"/>
        </w:rPr>
        <w:t xml:space="preserve"> with</w:t>
      </w:r>
      <w:r>
        <w:rPr>
          <w:sz w:val="24"/>
        </w:rPr>
        <w:t xml:space="preserve"> standard school chairs to do their work. </w:t>
      </w:r>
      <w:r w:rsidRPr="00893E32">
        <w:rPr>
          <w:sz w:val="24"/>
          <w:szCs w:val="24"/>
        </w:rPr>
        <w:t xml:space="preserve">It has been proven through </w:t>
      </w:r>
      <w:r>
        <w:rPr>
          <w:sz w:val="24"/>
          <w:szCs w:val="24"/>
        </w:rPr>
        <w:t>research</w:t>
      </w:r>
      <w:r w:rsidRPr="00893E32">
        <w:rPr>
          <w:sz w:val="24"/>
          <w:szCs w:val="24"/>
        </w:rPr>
        <w:t xml:space="preserve"> by (Ramaswamy, 2015) that an average child </w:t>
      </w:r>
      <w:r>
        <w:rPr>
          <w:sz w:val="24"/>
          <w:szCs w:val="24"/>
        </w:rPr>
        <w:t>“</w:t>
      </w:r>
      <w:r w:rsidRPr="00893E32">
        <w:rPr>
          <w:sz w:val="24"/>
          <w:szCs w:val="24"/>
        </w:rPr>
        <w:t>spends approximately 15,000 hours of their school life sitting in a chair</w:t>
      </w:r>
      <w:r>
        <w:rPr>
          <w:sz w:val="24"/>
          <w:szCs w:val="24"/>
        </w:rPr>
        <w:t>”</w:t>
      </w:r>
      <w:r w:rsidR="00FB2936">
        <w:rPr>
          <w:sz w:val="24"/>
          <w:szCs w:val="24"/>
        </w:rPr>
        <w:t>.</w:t>
      </w:r>
      <w:r>
        <w:rPr>
          <w:sz w:val="24"/>
          <w:szCs w:val="24"/>
        </w:rPr>
        <w:t xml:space="preserve"> </w:t>
      </w:r>
      <w:r w:rsidR="009A133C">
        <w:rPr>
          <w:sz w:val="24"/>
          <w:szCs w:val="24"/>
        </w:rPr>
        <w:lastRenderedPageBreak/>
        <w:t>Expecting</w:t>
      </w:r>
      <w:r>
        <w:rPr>
          <w:sz w:val="24"/>
          <w:szCs w:val="24"/>
        </w:rPr>
        <w:t xml:space="preserve"> a child to sit in an upright position for this extensive amount of time provides</w:t>
      </w:r>
      <w:r w:rsidR="00963BD9">
        <w:rPr>
          <w:sz w:val="24"/>
          <w:szCs w:val="24"/>
        </w:rPr>
        <w:t xml:space="preserve"> limited</w:t>
      </w:r>
      <w:r>
        <w:rPr>
          <w:sz w:val="24"/>
          <w:szCs w:val="24"/>
        </w:rPr>
        <w:t xml:space="preserve"> </w:t>
      </w:r>
      <w:r w:rsidR="009A133C">
        <w:rPr>
          <w:sz w:val="24"/>
          <w:szCs w:val="24"/>
        </w:rPr>
        <w:t>opportunities</w:t>
      </w:r>
      <w:r>
        <w:rPr>
          <w:sz w:val="24"/>
          <w:szCs w:val="24"/>
        </w:rPr>
        <w:t xml:space="preserve"> for them to naturally move their body and to release any energy that has been built up throughout the school day. </w:t>
      </w:r>
      <w:r w:rsidR="009A133C" w:rsidRPr="009A133C">
        <w:rPr>
          <w:sz w:val="24"/>
          <w:szCs w:val="24"/>
        </w:rPr>
        <w:t xml:space="preserve">It is evident through research that inadequate furniture in a school setting can have a very negative impact on a child’s </w:t>
      </w:r>
      <w:r w:rsidR="00570EBD">
        <w:rPr>
          <w:sz w:val="24"/>
          <w:szCs w:val="24"/>
        </w:rPr>
        <w:t>engagement</w:t>
      </w:r>
      <w:r w:rsidR="009A133C" w:rsidRPr="009A133C">
        <w:rPr>
          <w:sz w:val="24"/>
          <w:szCs w:val="24"/>
        </w:rPr>
        <w:t xml:space="preserve"> or on-task behaviour (Ramaswamy, 2015)</w:t>
      </w:r>
      <w:r w:rsidR="009A133C">
        <w:rPr>
          <w:sz w:val="24"/>
          <w:szCs w:val="24"/>
        </w:rPr>
        <w:t xml:space="preserve">. </w:t>
      </w:r>
      <w:r w:rsidR="00570EBD">
        <w:rPr>
          <w:sz w:val="24"/>
          <w:szCs w:val="24"/>
        </w:rPr>
        <w:t>It was made evident</w:t>
      </w:r>
      <w:r w:rsidR="009A133C">
        <w:rPr>
          <w:sz w:val="24"/>
          <w:szCs w:val="24"/>
        </w:rPr>
        <w:t xml:space="preserve"> 19 years ago that teachers should be engaging students in a variety of positions throughout the day as it helps to promote stimulation and physical activity which eventually increases their learning capacity (Jensen, 2000).</w:t>
      </w:r>
    </w:p>
    <w:p w14:paraId="0D465FDA" w14:textId="6242602A" w:rsidR="00154305" w:rsidRDefault="00A468B1" w:rsidP="00F7064D">
      <w:pPr>
        <w:spacing w:line="360" w:lineRule="auto"/>
        <w:jc w:val="both"/>
        <w:rPr>
          <w:sz w:val="24"/>
        </w:rPr>
      </w:pPr>
      <w:r w:rsidRPr="00A468B1">
        <w:rPr>
          <w:sz w:val="24"/>
        </w:rPr>
        <w:t xml:space="preserve">Schilling et al (2003) suggests creating a seat adjustment is a method of adapting the child’s environment in a way that meets the child’s specific needs. The stability ball will provide the child with the movement they seek and provide motivating factors for them to stay seated, knowing they will </w:t>
      </w:r>
      <w:r w:rsidR="00FB2936" w:rsidRPr="00A468B1">
        <w:rPr>
          <w:sz w:val="24"/>
        </w:rPr>
        <w:t>fulfil</w:t>
      </w:r>
      <w:r w:rsidRPr="00A468B1">
        <w:rPr>
          <w:sz w:val="24"/>
        </w:rPr>
        <w:t xml:space="preserve"> their energy and stimulation needs. </w:t>
      </w:r>
      <w:r>
        <w:rPr>
          <w:sz w:val="24"/>
        </w:rPr>
        <w:t xml:space="preserve">A research lesson by Schilling and </w:t>
      </w:r>
      <w:r w:rsidR="00C0572C">
        <w:rPr>
          <w:sz w:val="24"/>
        </w:rPr>
        <w:t>Schwartz</w:t>
      </w:r>
      <w:r>
        <w:rPr>
          <w:sz w:val="24"/>
        </w:rPr>
        <w:t xml:space="preserve"> (2004) </w:t>
      </w:r>
      <w:r w:rsidR="00C0572C">
        <w:rPr>
          <w:sz w:val="24"/>
        </w:rPr>
        <w:t xml:space="preserve">gave evidence that using stability balls within their usual carpet time routine showed considerable improvements in pupils engagement during tasks. </w:t>
      </w:r>
      <w:r w:rsidR="00154305">
        <w:rPr>
          <w:sz w:val="24"/>
        </w:rPr>
        <w:t xml:space="preserve">Fedewa </w:t>
      </w:r>
      <w:r w:rsidR="00DA6B39">
        <w:rPr>
          <w:sz w:val="24"/>
        </w:rPr>
        <w:t>and Erwin</w:t>
      </w:r>
      <w:r w:rsidR="00154305">
        <w:rPr>
          <w:sz w:val="24"/>
        </w:rPr>
        <w:t xml:space="preserve"> (2011) focused on children with attention and hyperactivity concerns. They also found improvements for each participant involved in the study. </w:t>
      </w:r>
      <w:r w:rsidR="00DA6B39">
        <w:rPr>
          <w:sz w:val="24"/>
        </w:rPr>
        <w:t xml:space="preserve">This research was used as a baseline of what our results may look like from our lesson </w:t>
      </w:r>
      <w:r w:rsidR="001F5A00">
        <w:rPr>
          <w:sz w:val="24"/>
        </w:rPr>
        <w:t>study,</w:t>
      </w:r>
      <w:r w:rsidR="00DA6B39">
        <w:rPr>
          <w:sz w:val="24"/>
        </w:rPr>
        <w:t xml:space="preserve"> but we were highly aware that it cannot be generalised as the studies focused on children with ASD.</w:t>
      </w:r>
    </w:p>
    <w:p w14:paraId="5FD7E44B" w14:textId="56DF4530" w:rsidR="0092792E" w:rsidRDefault="00DA6B39" w:rsidP="00F7064D">
      <w:pPr>
        <w:spacing w:line="360" w:lineRule="auto"/>
        <w:jc w:val="both"/>
        <w:rPr>
          <w:sz w:val="24"/>
        </w:rPr>
      </w:pPr>
      <w:r>
        <w:rPr>
          <w:sz w:val="24"/>
        </w:rPr>
        <w:t>Additionally</w:t>
      </w:r>
      <w:r w:rsidR="00154305">
        <w:rPr>
          <w:sz w:val="24"/>
        </w:rPr>
        <w:t xml:space="preserve">, despite many studies showing improvements in behaviour there are some limitations of the studies previously carried out. </w:t>
      </w:r>
      <w:bookmarkStart w:id="1" w:name="_Hlk2422817"/>
      <w:r w:rsidR="00154305">
        <w:rPr>
          <w:sz w:val="24"/>
        </w:rPr>
        <w:t>Schilling et al (2003) stated that</w:t>
      </w:r>
      <w:r>
        <w:rPr>
          <w:sz w:val="24"/>
        </w:rPr>
        <w:t xml:space="preserve"> the</w:t>
      </w:r>
      <w:r w:rsidR="00154305">
        <w:rPr>
          <w:sz w:val="24"/>
        </w:rPr>
        <w:t xml:space="preserve"> observ</w:t>
      </w:r>
      <w:r>
        <w:rPr>
          <w:sz w:val="24"/>
        </w:rPr>
        <w:t>ation of</w:t>
      </w:r>
      <w:r w:rsidR="00154305">
        <w:rPr>
          <w:sz w:val="24"/>
        </w:rPr>
        <w:t xml:space="preserve"> children’s behaviour </w:t>
      </w:r>
      <w:r>
        <w:rPr>
          <w:sz w:val="24"/>
        </w:rPr>
        <w:t>when using</w:t>
      </w:r>
      <w:r w:rsidR="00154305">
        <w:rPr>
          <w:sz w:val="24"/>
        </w:rPr>
        <w:t xml:space="preserve"> </w:t>
      </w:r>
      <w:r w:rsidR="00D56067">
        <w:rPr>
          <w:sz w:val="24"/>
        </w:rPr>
        <w:t>alternative seating</w:t>
      </w:r>
      <w:r w:rsidR="00154305">
        <w:rPr>
          <w:sz w:val="24"/>
        </w:rPr>
        <w:t xml:space="preserve"> needs to</w:t>
      </w:r>
      <w:r w:rsidR="003E5C6B">
        <w:rPr>
          <w:sz w:val="24"/>
        </w:rPr>
        <w:t xml:space="preserve"> be</w:t>
      </w:r>
      <w:r w:rsidR="00154305">
        <w:rPr>
          <w:sz w:val="24"/>
        </w:rPr>
        <w:t xml:space="preserve"> carried out over a longer length study</w:t>
      </w:r>
      <w:r>
        <w:rPr>
          <w:sz w:val="24"/>
        </w:rPr>
        <w:t xml:space="preserve">. This is because </w:t>
      </w:r>
      <w:r w:rsidR="00154305">
        <w:rPr>
          <w:sz w:val="24"/>
        </w:rPr>
        <w:t xml:space="preserve">the novelty of the </w:t>
      </w:r>
      <w:r w:rsidR="00D56067">
        <w:rPr>
          <w:sz w:val="24"/>
        </w:rPr>
        <w:t>products</w:t>
      </w:r>
      <w:r w:rsidR="00154305">
        <w:rPr>
          <w:sz w:val="24"/>
        </w:rPr>
        <w:t xml:space="preserve"> may have adverse effects on the </w:t>
      </w:r>
      <w:r w:rsidR="00D56067">
        <w:rPr>
          <w:sz w:val="24"/>
        </w:rPr>
        <w:t>child’</w:t>
      </w:r>
      <w:r w:rsidR="00154305">
        <w:rPr>
          <w:sz w:val="24"/>
        </w:rPr>
        <w:t>s behaviour</w:t>
      </w:r>
      <w:r>
        <w:rPr>
          <w:sz w:val="24"/>
        </w:rPr>
        <w:t xml:space="preserve"> during that lesson</w:t>
      </w:r>
      <w:r w:rsidR="00154305">
        <w:rPr>
          <w:sz w:val="24"/>
        </w:rPr>
        <w:t xml:space="preserve">. While the child is exploring the </w:t>
      </w:r>
      <w:r w:rsidR="00D56067">
        <w:rPr>
          <w:sz w:val="24"/>
        </w:rPr>
        <w:t>different type</w:t>
      </w:r>
      <w:r>
        <w:rPr>
          <w:sz w:val="24"/>
        </w:rPr>
        <w:t>s</w:t>
      </w:r>
      <w:r w:rsidR="00D56067">
        <w:rPr>
          <w:sz w:val="24"/>
        </w:rPr>
        <w:t xml:space="preserve"> of seating</w:t>
      </w:r>
      <w:r w:rsidR="00154305">
        <w:rPr>
          <w:sz w:val="24"/>
        </w:rPr>
        <w:t xml:space="preserve">, they may display problematic behaviour initially until they have become less distracted by </w:t>
      </w:r>
      <w:r>
        <w:rPr>
          <w:sz w:val="24"/>
        </w:rPr>
        <w:t>it</w:t>
      </w:r>
      <w:r w:rsidR="00154305">
        <w:rPr>
          <w:sz w:val="24"/>
        </w:rPr>
        <w:t xml:space="preserve"> and start to </w:t>
      </w:r>
      <w:r w:rsidR="00D56067">
        <w:rPr>
          <w:sz w:val="24"/>
        </w:rPr>
        <w:t>gain the sensory feelings from it</w:t>
      </w:r>
      <w:bookmarkStart w:id="2" w:name="_Hlk2422851"/>
      <w:bookmarkEnd w:id="1"/>
      <w:r w:rsidR="00D56067">
        <w:rPr>
          <w:sz w:val="24"/>
        </w:rPr>
        <w:t xml:space="preserve">. </w:t>
      </w:r>
      <w:r w:rsidR="00D401D4">
        <w:rPr>
          <w:sz w:val="24"/>
        </w:rPr>
        <w:t>In other contexts, the novelty of the alternative seating may cause the child to engage in the lesson while it is still unfamiliar, but after a length of time the behaviour and disengagement may re-emerge</w:t>
      </w:r>
      <w:r w:rsidR="00FB2936">
        <w:rPr>
          <w:sz w:val="24"/>
        </w:rPr>
        <w:t xml:space="preserve"> </w:t>
      </w:r>
      <w:r w:rsidR="007233C0">
        <w:rPr>
          <w:sz w:val="24"/>
        </w:rPr>
        <w:t>(Krombach, 2016)</w:t>
      </w:r>
      <w:r w:rsidR="00FB2936">
        <w:rPr>
          <w:rFonts w:cstheme="minorHAnsi"/>
          <w:sz w:val="24"/>
        </w:rPr>
        <w:t>.</w:t>
      </w:r>
      <w:bookmarkEnd w:id="2"/>
      <w:r w:rsidR="00FB2936">
        <w:rPr>
          <w:rFonts w:cstheme="minorHAnsi"/>
          <w:sz w:val="24"/>
        </w:rPr>
        <w:t xml:space="preserve"> </w:t>
      </w:r>
      <w:r w:rsidR="002408B5" w:rsidRPr="00B14EBE">
        <w:rPr>
          <w:rFonts w:cstheme="minorHAnsi"/>
          <w:sz w:val="24"/>
        </w:rPr>
        <w:t xml:space="preserve">This reading </w:t>
      </w:r>
      <w:r w:rsidR="001E741F">
        <w:rPr>
          <w:rFonts w:cstheme="minorHAnsi"/>
          <w:sz w:val="24"/>
        </w:rPr>
        <w:t>fuelled</w:t>
      </w:r>
      <w:r w:rsidR="002408B5" w:rsidRPr="00B14EBE">
        <w:rPr>
          <w:rFonts w:cstheme="minorHAnsi"/>
          <w:sz w:val="24"/>
        </w:rPr>
        <w:t xml:space="preserve"> </w:t>
      </w:r>
      <w:r>
        <w:rPr>
          <w:rFonts w:cstheme="minorHAnsi"/>
          <w:sz w:val="24"/>
        </w:rPr>
        <w:t xml:space="preserve">the structure of </w:t>
      </w:r>
      <w:r w:rsidR="002408B5" w:rsidRPr="00B14EBE">
        <w:rPr>
          <w:rFonts w:cstheme="minorHAnsi"/>
          <w:sz w:val="24"/>
        </w:rPr>
        <w:t xml:space="preserve">our </w:t>
      </w:r>
      <w:r w:rsidR="002408B5">
        <w:rPr>
          <w:rFonts w:cstheme="minorHAnsi"/>
          <w:sz w:val="24"/>
        </w:rPr>
        <w:t>lesson</w:t>
      </w:r>
      <w:r>
        <w:rPr>
          <w:rFonts w:cstheme="minorHAnsi"/>
          <w:sz w:val="24"/>
        </w:rPr>
        <w:t>s</w:t>
      </w:r>
      <w:r w:rsidR="002408B5">
        <w:rPr>
          <w:rFonts w:cstheme="minorHAnsi"/>
          <w:sz w:val="24"/>
        </w:rPr>
        <w:t xml:space="preserve"> as we decided to start the first lesson straight away, giving the children a decision to choose the spikey or smooth side. However, in the second part of the lesson study we allowed children to explore the wobble cushions to limit any distractions throughout the lesson. </w:t>
      </w:r>
    </w:p>
    <w:p w14:paraId="785DF0A0" w14:textId="77777777" w:rsidR="00373298" w:rsidRPr="009E198C" w:rsidRDefault="0092792E" w:rsidP="00F7064D">
      <w:pPr>
        <w:spacing w:line="360" w:lineRule="auto"/>
        <w:jc w:val="both"/>
        <w:rPr>
          <w:rFonts w:ascii="Calibri" w:hAnsi="Calibri" w:cs="Calibri"/>
          <w:sz w:val="32"/>
        </w:rPr>
      </w:pPr>
      <w:r w:rsidRPr="009E198C">
        <w:rPr>
          <w:rFonts w:ascii="Calibri" w:hAnsi="Calibri" w:cs="Calibri"/>
          <w:color w:val="000000"/>
          <w:sz w:val="24"/>
          <w:szCs w:val="20"/>
          <w:shd w:val="clear" w:color="auto" w:fill="FFFFFF"/>
        </w:rPr>
        <w:lastRenderedPageBreak/>
        <w:t xml:space="preserve">Most of the alternative seating literature and research that has been produced provides </w:t>
      </w:r>
      <w:r w:rsidR="009E198C" w:rsidRPr="009E198C">
        <w:rPr>
          <w:rFonts w:ascii="Calibri" w:hAnsi="Calibri" w:cs="Calibri"/>
          <w:color w:val="000000"/>
          <w:sz w:val="24"/>
          <w:szCs w:val="20"/>
          <w:shd w:val="clear" w:color="auto" w:fill="FFFFFF"/>
        </w:rPr>
        <w:t>similar positive results however there is limited research on the use of air</w:t>
      </w:r>
      <w:r w:rsidR="009E198C">
        <w:rPr>
          <w:rFonts w:ascii="Calibri" w:hAnsi="Calibri" w:cs="Calibri"/>
          <w:color w:val="000000"/>
          <w:sz w:val="24"/>
          <w:szCs w:val="20"/>
          <w:shd w:val="clear" w:color="auto" w:fill="FFFFFF"/>
        </w:rPr>
        <w:t>-</w:t>
      </w:r>
      <w:r w:rsidR="009E198C" w:rsidRPr="009E198C">
        <w:rPr>
          <w:rFonts w:ascii="Calibri" w:hAnsi="Calibri" w:cs="Calibri"/>
          <w:color w:val="000000"/>
          <w:sz w:val="24"/>
          <w:szCs w:val="20"/>
          <w:shd w:val="clear" w:color="auto" w:fill="FFFFFF"/>
        </w:rPr>
        <w:t xml:space="preserve">filled wobble cushions. This led to </w:t>
      </w:r>
      <w:r w:rsidR="009E198C">
        <w:rPr>
          <w:rFonts w:ascii="Calibri" w:hAnsi="Calibri" w:cs="Calibri"/>
          <w:color w:val="000000"/>
          <w:sz w:val="24"/>
          <w:szCs w:val="20"/>
          <w:shd w:val="clear" w:color="auto" w:fill="FFFFFF"/>
        </w:rPr>
        <w:t xml:space="preserve">our interest in researching how they worked with foundation phase children and their engagement. It is specified by </w:t>
      </w:r>
      <w:r w:rsidR="009E198C" w:rsidRPr="009E198C">
        <w:rPr>
          <w:rFonts w:ascii="Calibri" w:hAnsi="Calibri" w:cs="Calibri"/>
          <w:color w:val="000000"/>
          <w:sz w:val="24"/>
          <w:szCs w:val="20"/>
          <w:shd w:val="clear" w:color="auto" w:fill="FFFFFF"/>
        </w:rPr>
        <w:t>Umeda and Deitz (2011)</w:t>
      </w:r>
      <w:r w:rsidR="009E198C">
        <w:rPr>
          <w:rFonts w:ascii="Calibri" w:hAnsi="Calibri" w:cs="Calibri"/>
          <w:color w:val="000000"/>
          <w:sz w:val="24"/>
          <w:szCs w:val="20"/>
          <w:shd w:val="clear" w:color="auto" w:fill="FFFFFF"/>
        </w:rPr>
        <w:t xml:space="preserve"> that air-filled wobble cushions are inflatable discs that were originally designed to strengthen the core and to train the bodies balance. They have a similar function to a therapy ball and provide pupils with a seated surface that provides them with more sensory feedback than a basic classroom chair. There are many positives to using wobble filled cushions compared to a therapy ball. They are smaller in size</w:t>
      </w:r>
      <w:r w:rsidR="002C69D6">
        <w:rPr>
          <w:rFonts w:ascii="Calibri" w:hAnsi="Calibri" w:cs="Calibri"/>
          <w:color w:val="000000"/>
          <w:sz w:val="24"/>
          <w:szCs w:val="20"/>
          <w:shd w:val="clear" w:color="auto" w:fill="FFFFFF"/>
        </w:rPr>
        <w:t xml:space="preserve"> and are easier to store</w:t>
      </w:r>
      <w:r w:rsidR="009E198C">
        <w:rPr>
          <w:rFonts w:ascii="Calibri" w:hAnsi="Calibri" w:cs="Calibri"/>
          <w:color w:val="000000"/>
          <w:sz w:val="24"/>
          <w:szCs w:val="20"/>
          <w:shd w:val="clear" w:color="auto" w:fill="FFFFFF"/>
        </w:rPr>
        <w:t xml:space="preserve"> so their </w:t>
      </w:r>
      <w:r w:rsidR="002C69D6">
        <w:rPr>
          <w:rFonts w:ascii="Calibri" w:hAnsi="Calibri" w:cs="Calibri"/>
          <w:color w:val="000000"/>
          <w:sz w:val="24"/>
          <w:szCs w:val="20"/>
          <w:shd w:val="clear" w:color="auto" w:fill="FFFFFF"/>
        </w:rPr>
        <w:t xml:space="preserve">more practical, they are portable which allows students to transport them from activity to activity and </w:t>
      </w:r>
      <w:r w:rsidR="004F09D3">
        <w:rPr>
          <w:rFonts w:ascii="Calibri" w:hAnsi="Calibri" w:cs="Calibri"/>
          <w:color w:val="000000"/>
          <w:sz w:val="24"/>
          <w:szCs w:val="20"/>
          <w:shd w:val="clear" w:color="auto" w:fill="FFFFFF"/>
        </w:rPr>
        <w:t>lastly,</w:t>
      </w:r>
      <w:r w:rsidR="002C69D6">
        <w:rPr>
          <w:rFonts w:ascii="Calibri" w:hAnsi="Calibri" w:cs="Calibri"/>
          <w:color w:val="000000"/>
          <w:sz w:val="24"/>
          <w:szCs w:val="20"/>
          <w:shd w:val="clear" w:color="auto" w:fill="FFFFFF"/>
        </w:rPr>
        <w:t xml:space="preserve"> they can be used discreetly in a classroom setting </w:t>
      </w:r>
      <w:r w:rsidR="0067687B">
        <w:rPr>
          <w:rFonts w:ascii="Calibri" w:hAnsi="Calibri" w:cs="Calibri"/>
          <w:color w:val="000000"/>
          <w:sz w:val="24"/>
          <w:szCs w:val="20"/>
          <w:shd w:val="clear" w:color="auto" w:fill="FFFFFF"/>
        </w:rPr>
        <w:t>without singling children out from their peers as requiring ‘special support’ (</w:t>
      </w:r>
      <w:r w:rsidR="0067687B" w:rsidRPr="009E198C">
        <w:rPr>
          <w:rFonts w:ascii="Calibri" w:hAnsi="Calibri" w:cs="Calibri"/>
          <w:color w:val="000000"/>
          <w:sz w:val="24"/>
          <w:szCs w:val="20"/>
          <w:shd w:val="clear" w:color="auto" w:fill="FFFFFF"/>
        </w:rPr>
        <w:t>Umeda and Deitz</w:t>
      </w:r>
      <w:r w:rsidR="0067687B">
        <w:rPr>
          <w:rFonts w:ascii="Calibri" w:hAnsi="Calibri" w:cs="Calibri"/>
          <w:color w:val="000000"/>
          <w:sz w:val="24"/>
          <w:szCs w:val="20"/>
          <w:shd w:val="clear" w:color="auto" w:fill="FFFFFF"/>
        </w:rPr>
        <w:t>, 2</w:t>
      </w:r>
      <w:r w:rsidR="0067687B" w:rsidRPr="009E198C">
        <w:rPr>
          <w:rFonts w:ascii="Calibri" w:hAnsi="Calibri" w:cs="Calibri"/>
          <w:color w:val="000000"/>
          <w:sz w:val="24"/>
          <w:szCs w:val="20"/>
          <w:shd w:val="clear" w:color="auto" w:fill="FFFFFF"/>
        </w:rPr>
        <w:t>011</w:t>
      </w:r>
      <w:r w:rsidR="0067687B">
        <w:rPr>
          <w:rFonts w:ascii="Calibri" w:hAnsi="Calibri" w:cs="Calibri"/>
          <w:color w:val="000000"/>
          <w:sz w:val="24"/>
          <w:szCs w:val="20"/>
          <w:shd w:val="clear" w:color="auto" w:fill="FFFFFF"/>
        </w:rPr>
        <w:t>).</w:t>
      </w:r>
    </w:p>
    <w:p w14:paraId="46E53318" w14:textId="4342277E" w:rsidR="00B7505F" w:rsidRPr="000456AA" w:rsidRDefault="002808C4" w:rsidP="00B14EBE">
      <w:pPr>
        <w:rPr>
          <w:rFonts w:cstheme="minorHAnsi"/>
          <w:b/>
          <w:sz w:val="24"/>
        </w:rPr>
      </w:pPr>
      <w:r w:rsidRPr="000456AA">
        <w:rPr>
          <w:rFonts w:cstheme="minorHAnsi"/>
          <w:b/>
          <w:sz w:val="24"/>
        </w:rPr>
        <w:t>Lesson study</w:t>
      </w:r>
    </w:p>
    <w:p w14:paraId="2C8D75FC" w14:textId="61F5D2EF" w:rsidR="00067A91" w:rsidRDefault="00817FE3" w:rsidP="00E46447">
      <w:pPr>
        <w:spacing w:line="360" w:lineRule="auto"/>
        <w:jc w:val="both"/>
        <w:rPr>
          <w:rFonts w:ascii="Calibri" w:hAnsi="Calibri" w:cs="Calibri"/>
          <w:sz w:val="24"/>
          <w:szCs w:val="24"/>
        </w:rPr>
      </w:pPr>
      <w:r>
        <w:rPr>
          <w:rFonts w:cstheme="minorHAnsi"/>
          <w:sz w:val="24"/>
        </w:rPr>
        <w:t xml:space="preserve">The methodology used </w:t>
      </w:r>
      <w:r w:rsidR="001E741F">
        <w:rPr>
          <w:rFonts w:cstheme="minorHAnsi"/>
          <w:sz w:val="24"/>
        </w:rPr>
        <w:t>wa</w:t>
      </w:r>
      <w:r>
        <w:rPr>
          <w:rFonts w:cstheme="minorHAnsi"/>
          <w:sz w:val="24"/>
        </w:rPr>
        <w:t xml:space="preserve">s </w:t>
      </w:r>
      <w:r w:rsidR="00A61A08">
        <w:rPr>
          <w:rFonts w:cstheme="minorHAnsi"/>
          <w:sz w:val="24"/>
        </w:rPr>
        <w:t>“</w:t>
      </w:r>
      <w:r>
        <w:rPr>
          <w:rFonts w:cstheme="minorHAnsi"/>
          <w:sz w:val="24"/>
        </w:rPr>
        <w:t>lesson study</w:t>
      </w:r>
      <w:r w:rsidR="00A61A08">
        <w:rPr>
          <w:rFonts w:cstheme="minorHAnsi"/>
          <w:sz w:val="24"/>
        </w:rPr>
        <w:t>”</w:t>
      </w:r>
      <w:r w:rsidR="00A3764B">
        <w:rPr>
          <w:rFonts w:cstheme="minorHAnsi"/>
          <w:sz w:val="24"/>
        </w:rPr>
        <w:t xml:space="preserve"> </w:t>
      </w:r>
      <w:r>
        <w:rPr>
          <w:rFonts w:cstheme="minorHAnsi"/>
          <w:sz w:val="24"/>
        </w:rPr>
        <w:t>which is a form of action research. Lesson study research methodology is</w:t>
      </w:r>
      <w:r w:rsidRPr="00131519">
        <w:rPr>
          <w:rFonts w:ascii="Calibri" w:hAnsi="Calibri" w:cs="Calibri"/>
          <w:sz w:val="24"/>
          <w:szCs w:val="24"/>
        </w:rPr>
        <w:t xml:space="preserve"> a highly specified form of classroom action research focusing on the development of teacher practice knowledge (Dudley, 2014)</w:t>
      </w:r>
      <w:r>
        <w:rPr>
          <w:rFonts w:ascii="Calibri" w:hAnsi="Calibri" w:cs="Calibri"/>
          <w:sz w:val="24"/>
          <w:szCs w:val="24"/>
        </w:rPr>
        <w:t>.</w:t>
      </w:r>
      <w:r w:rsidRPr="00131519">
        <w:rPr>
          <w:rFonts w:ascii="Calibri" w:hAnsi="Calibri" w:cs="Calibri"/>
          <w:sz w:val="24"/>
          <w:szCs w:val="24"/>
        </w:rPr>
        <w:t xml:space="preserve"> </w:t>
      </w:r>
      <w:r w:rsidR="00B17B93">
        <w:rPr>
          <w:sz w:val="24"/>
        </w:rPr>
        <w:t>Lesson study is a form of collaborative classroom investigation where a group of teachers work together to find ways to improve their pupils</w:t>
      </w:r>
      <w:r w:rsidR="00A3764B">
        <w:rPr>
          <w:sz w:val="24"/>
        </w:rPr>
        <w:t>’</w:t>
      </w:r>
      <w:r w:rsidR="00B17B93">
        <w:rPr>
          <w:sz w:val="24"/>
        </w:rPr>
        <w:t xml:space="preserve"> </w:t>
      </w:r>
      <w:r w:rsidR="00A3764B">
        <w:rPr>
          <w:sz w:val="24"/>
        </w:rPr>
        <w:t xml:space="preserve">learning by observing and questioning how they each teach aspects of the curriculum, knowledge or skills and how they develop their learners to reach their maximum potential (Norwich </w:t>
      </w:r>
      <w:r w:rsidR="00380151">
        <w:rPr>
          <w:sz w:val="24"/>
        </w:rPr>
        <w:t>and</w:t>
      </w:r>
      <w:r w:rsidR="00A3764B">
        <w:rPr>
          <w:sz w:val="24"/>
        </w:rPr>
        <w:t xml:space="preserve"> Jones, 2014</w:t>
      </w:r>
      <w:r w:rsidR="00380151">
        <w:rPr>
          <w:sz w:val="24"/>
        </w:rPr>
        <w:t>, p.17</w:t>
      </w:r>
      <w:r w:rsidR="00A3764B">
        <w:rPr>
          <w:sz w:val="24"/>
        </w:rPr>
        <w:t>). During l</w:t>
      </w:r>
      <w:r w:rsidR="00A3764B" w:rsidRPr="00131519">
        <w:rPr>
          <w:rFonts w:ascii="Calibri" w:hAnsi="Calibri" w:cs="Calibri"/>
          <w:sz w:val="24"/>
          <w:szCs w:val="24"/>
        </w:rPr>
        <w:t>esson stud</w:t>
      </w:r>
      <w:r w:rsidR="00A3764B">
        <w:rPr>
          <w:rFonts w:ascii="Calibri" w:hAnsi="Calibri" w:cs="Calibri"/>
          <w:sz w:val="24"/>
          <w:szCs w:val="24"/>
        </w:rPr>
        <w:t>ies</w:t>
      </w:r>
      <w:r w:rsidR="00A3764B" w:rsidRPr="00131519">
        <w:rPr>
          <w:rFonts w:ascii="Calibri" w:hAnsi="Calibri" w:cs="Calibri"/>
          <w:sz w:val="24"/>
          <w:szCs w:val="24"/>
        </w:rPr>
        <w:t xml:space="preserve"> groups of teachers</w:t>
      </w:r>
      <w:r w:rsidR="00A3764B">
        <w:rPr>
          <w:rFonts w:ascii="Calibri" w:hAnsi="Calibri" w:cs="Calibri"/>
          <w:sz w:val="24"/>
          <w:szCs w:val="24"/>
        </w:rPr>
        <w:t xml:space="preserve"> </w:t>
      </w:r>
      <w:r w:rsidR="00A3764B" w:rsidRPr="00131519">
        <w:rPr>
          <w:rFonts w:ascii="Calibri" w:hAnsi="Calibri" w:cs="Calibri"/>
          <w:sz w:val="24"/>
          <w:szCs w:val="24"/>
        </w:rPr>
        <w:t>plan, teach, obser</w:t>
      </w:r>
      <w:r w:rsidR="00A3764B">
        <w:rPr>
          <w:rFonts w:ascii="Calibri" w:hAnsi="Calibri" w:cs="Calibri"/>
          <w:sz w:val="24"/>
          <w:szCs w:val="24"/>
        </w:rPr>
        <w:t>ve</w:t>
      </w:r>
      <w:r w:rsidR="00A3764B" w:rsidRPr="00131519">
        <w:rPr>
          <w:rFonts w:ascii="Calibri" w:hAnsi="Calibri" w:cs="Calibri"/>
          <w:sz w:val="24"/>
          <w:szCs w:val="24"/>
        </w:rPr>
        <w:t xml:space="preserve"> and analys</w:t>
      </w:r>
      <w:r w:rsidR="00A3764B">
        <w:rPr>
          <w:rFonts w:ascii="Calibri" w:hAnsi="Calibri" w:cs="Calibri"/>
          <w:sz w:val="24"/>
          <w:szCs w:val="24"/>
        </w:rPr>
        <w:t>e the lear</w:t>
      </w:r>
      <w:r w:rsidR="00A3764B" w:rsidRPr="00131519">
        <w:rPr>
          <w:rFonts w:ascii="Calibri" w:hAnsi="Calibri" w:cs="Calibri"/>
          <w:sz w:val="24"/>
          <w:szCs w:val="24"/>
        </w:rPr>
        <w:t>ning and teaching</w:t>
      </w:r>
      <w:r w:rsidR="00A3764B">
        <w:rPr>
          <w:rFonts w:ascii="Calibri" w:hAnsi="Calibri" w:cs="Calibri"/>
          <w:sz w:val="24"/>
          <w:szCs w:val="24"/>
        </w:rPr>
        <w:t xml:space="preserve"> from </w:t>
      </w:r>
      <w:r w:rsidR="001E2974">
        <w:rPr>
          <w:rFonts w:ascii="Calibri" w:hAnsi="Calibri" w:cs="Calibri"/>
          <w:sz w:val="24"/>
          <w:szCs w:val="24"/>
        </w:rPr>
        <w:t>each other’s</w:t>
      </w:r>
      <w:r w:rsidR="00A3764B">
        <w:rPr>
          <w:rFonts w:ascii="Calibri" w:hAnsi="Calibri" w:cs="Calibri"/>
          <w:sz w:val="24"/>
          <w:szCs w:val="24"/>
        </w:rPr>
        <w:t xml:space="preserve"> lessons, th</w:t>
      </w:r>
      <w:r w:rsidR="001E741F">
        <w:rPr>
          <w:rFonts w:ascii="Calibri" w:hAnsi="Calibri" w:cs="Calibri"/>
          <w:sz w:val="24"/>
          <w:szCs w:val="24"/>
        </w:rPr>
        <w:t>is must be done</w:t>
      </w:r>
      <w:r w:rsidR="00A3764B">
        <w:rPr>
          <w:rFonts w:ascii="Calibri" w:hAnsi="Calibri" w:cs="Calibri"/>
          <w:sz w:val="24"/>
          <w:szCs w:val="24"/>
        </w:rPr>
        <w:t xml:space="preserve"> collaboratively. </w:t>
      </w:r>
      <w:r w:rsidR="00B17B93" w:rsidRPr="00B17B93">
        <w:rPr>
          <w:sz w:val="24"/>
        </w:rPr>
        <w:t xml:space="preserve">A lesson study has to consist of a cycle of at least three </w:t>
      </w:r>
      <w:r w:rsidR="001E2974">
        <w:rPr>
          <w:sz w:val="24"/>
        </w:rPr>
        <w:t>“r</w:t>
      </w:r>
      <w:r w:rsidR="00B17B93" w:rsidRPr="00B17B93">
        <w:rPr>
          <w:sz w:val="24"/>
        </w:rPr>
        <w:t>esearch lessons</w:t>
      </w:r>
      <w:r w:rsidR="001E2974">
        <w:rPr>
          <w:sz w:val="24"/>
        </w:rPr>
        <w:t>”</w:t>
      </w:r>
      <w:r w:rsidR="0070469B">
        <w:rPr>
          <w:sz w:val="24"/>
        </w:rPr>
        <w:t xml:space="preserve"> </w:t>
      </w:r>
      <w:r w:rsidR="003E5C6B">
        <w:rPr>
          <w:sz w:val="24"/>
        </w:rPr>
        <w:t>(Dudley, 2014)</w:t>
      </w:r>
      <w:r w:rsidR="00067A91">
        <w:rPr>
          <w:sz w:val="24"/>
        </w:rPr>
        <w:t>.</w:t>
      </w:r>
      <w:r w:rsidR="00B17B93">
        <w:rPr>
          <w:sz w:val="24"/>
        </w:rPr>
        <w:t xml:space="preserve"> A </w:t>
      </w:r>
      <w:r w:rsidR="001E2974">
        <w:rPr>
          <w:sz w:val="24"/>
        </w:rPr>
        <w:t>“</w:t>
      </w:r>
      <w:r w:rsidR="00A3764B">
        <w:rPr>
          <w:sz w:val="24"/>
        </w:rPr>
        <w:t>research lesson</w:t>
      </w:r>
      <w:r w:rsidR="001E2974">
        <w:rPr>
          <w:sz w:val="24"/>
        </w:rPr>
        <w:t>”</w:t>
      </w:r>
      <w:r w:rsidR="00A3764B">
        <w:rPr>
          <w:sz w:val="24"/>
        </w:rPr>
        <w:t xml:space="preserve"> </w:t>
      </w:r>
      <w:r w:rsidR="001E2974">
        <w:rPr>
          <w:sz w:val="24"/>
        </w:rPr>
        <w:t xml:space="preserve">is not just a single lesson which is being observed, it is thought of as a window looking at the larger vision of education which is shared amongst a group of teachers (Lewis, Perry &amp; Murata, 2006). One teacher will agree to teach the lesson whilst the group of teachers within the lesson study will observe and make notes that will provide feedback that will help improve the following lesson that is taught. </w:t>
      </w:r>
      <w:r w:rsidR="00FC32C2">
        <w:rPr>
          <w:sz w:val="24"/>
        </w:rPr>
        <w:t>These are known as non-participant observers (discussed in more detail later).</w:t>
      </w:r>
      <w:r w:rsidR="004B4CEE">
        <w:rPr>
          <w:rFonts w:ascii="Calibri" w:hAnsi="Calibri" w:cs="Calibri"/>
          <w:sz w:val="24"/>
          <w:szCs w:val="24"/>
        </w:rPr>
        <w:t xml:space="preserve"> </w:t>
      </w:r>
    </w:p>
    <w:p w14:paraId="0F7BADD9" w14:textId="6333F172" w:rsidR="00FC32C2" w:rsidRPr="004B4CEE" w:rsidRDefault="00067A91" w:rsidP="00E46447">
      <w:pPr>
        <w:spacing w:line="360" w:lineRule="auto"/>
        <w:jc w:val="both"/>
        <w:rPr>
          <w:rFonts w:ascii="Calibri" w:hAnsi="Calibri" w:cs="Calibri"/>
          <w:sz w:val="24"/>
          <w:szCs w:val="24"/>
        </w:rPr>
      </w:pPr>
      <w:r w:rsidRPr="00131519">
        <w:rPr>
          <w:rFonts w:ascii="Calibri" w:hAnsi="Calibri" w:cs="Calibri"/>
          <w:sz w:val="24"/>
          <w:szCs w:val="24"/>
        </w:rPr>
        <w:t xml:space="preserve">Research lessons are carried out in a cycle to help </w:t>
      </w:r>
      <w:r>
        <w:rPr>
          <w:rFonts w:ascii="Calibri" w:hAnsi="Calibri" w:cs="Calibri"/>
          <w:sz w:val="24"/>
          <w:szCs w:val="24"/>
        </w:rPr>
        <w:t>develop</w:t>
      </w:r>
      <w:r w:rsidRPr="00131519">
        <w:rPr>
          <w:rFonts w:ascii="Calibri" w:hAnsi="Calibri" w:cs="Calibri"/>
          <w:sz w:val="24"/>
          <w:szCs w:val="24"/>
        </w:rPr>
        <w:t xml:space="preserve"> or improve a pedagogical approach that will benefit pupils learning and can be shared with other teaching professionals</w:t>
      </w:r>
      <w:r>
        <w:rPr>
          <w:rFonts w:ascii="Calibri" w:hAnsi="Calibri" w:cs="Calibri"/>
          <w:sz w:val="24"/>
          <w:szCs w:val="24"/>
        </w:rPr>
        <w:t xml:space="preserve"> (Robinson et al, 2009).</w:t>
      </w:r>
      <w:r w:rsidRPr="00131519">
        <w:rPr>
          <w:rFonts w:ascii="Calibri" w:hAnsi="Calibri" w:cs="Calibri"/>
          <w:sz w:val="24"/>
          <w:szCs w:val="24"/>
        </w:rPr>
        <w:t xml:space="preserve"> </w:t>
      </w:r>
      <w:r w:rsidR="0041343B" w:rsidRPr="00067A91">
        <w:rPr>
          <w:rFonts w:ascii="Calibri" w:hAnsi="Calibri" w:cs="Calibri"/>
          <w:sz w:val="24"/>
          <w:szCs w:val="24"/>
        </w:rPr>
        <w:t>D</w:t>
      </w:r>
      <w:r>
        <w:rPr>
          <w:rFonts w:ascii="Calibri" w:hAnsi="Calibri" w:cs="Calibri"/>
          <w:sz w:val="24"/>
          <w:szCs w:val="24"/>
        </w:rPr>
        <w:t xml:space="preserve">epartment of Education </w:t>
      </w:r>
      <w:r w:rsidR="00E46447" w:rsidRPr="00067A91">
        <w:rPr>
          <w:rFonts w:ascii="Calibri" w:hAnsi="Calibri" w:cs="Calibri"/>
          <w:sz w:val="24"/>
          <w:szCs w:val="24"/>
        </w:rPr>
        <w:t>(</w:t>
      </w:r>
      <w:r w:rsidR="008435FE" w:rsidRPr="00067A91">
        <w:rPr>
          <w:rFonts w:ascii="Calibri" w:hAnsi="Calibri" w:cs="Calibri"/>
          <w:sz w:val="24"/>
          <w:szCs w:val="24"/>
        </w:rPr>
        <w:t>20</w:t>
      </w:r>
      <w:r w:rsidRPr="00067A91">
        <w:rPr>
          <w:rFonts w:ascii="Calibri" w:hAnsi="Calibri" w:cs="Calibri"/>
          <w:sz w:val="24"/>
          <w:szCs w:val="24"/>
        </w:rPr>
        <w:t>10</w:t>
      </w:r>
      <w:r w:rsidR="00E46447" w:rsidRPr="00067A91">
        <w:rPr>
          <w:rFonts w:ascii="Calibri" w:hAnsi="Calibri" w:cs="Calibri"/>
          <w:sz w:val="24"/>
          <w:szCs w:val="24"/>
        </w:rPr>
        <w:t xml:space="preserve">) </w:t>
      </w:r>
      <w:r w:rsidR="00E46447" w:rsidRPr="00E46447">
        <w:rPr>
          <w:rFonts w:ascii="Calibri" w:hAnsi="Calibri" w:cs="Calibri"/>
          <w:sz w:val="24"/>
          <w:szCs w:val="24"/>
        </w:rPr>
        <w:t>s</w:t>
      </w:r>
      <w:r>
        <w:rPr>
          <w:rFonts w:ascii="Calibri" w:hAnsi="Calibri" w:cs="Calibri"/>
          <w:sz w:val="24"/>
          <w:szCs w:val="24"/>
        </w:rPr>
        <w:t>upport this statement by agreeing</w:t>
      </w:r>
      <w:r w:rsidR="00E46447" w:rsidRPr="00E46447">
        <w:rPr>
          <w:rFonts w:ascii="Calibri" w:hAnsi="Calibri" w:cs="Calibri"/>
          <w:sz w:val="24"/>
          <w:szCs w:val="24"/>
        </w:rPr>
        <w:t xml:space="preserve"> </w:t>
      </w:r>
      <w:r w:rsidR="00E46447" w:rsidRPr="00E46447">
        <w:rPr>
          <w:rFonts w:ascii="Calibri" w:hAnsi="Calibri" w:cs="Calibri"/>
          <w:sz w:val="24"/>
          <w:szCs w:val="24"/>
        </w:rPr>
        <w:lastRenderedPageBreak/>
        <w:t>th</w:t>
      </w:r>
      <w:r w:rsidR="008435FE">
        <w:rPr>
          <w:rFonts w:ascii="Calibri" w:hAnsi="Calibri" w:cs="Calibri"/>
          <w:sz w:val="24"/>
          <w:szCs w:val="24"/>
        </w:rPr>
        <w:t>at</w:t>
      </w:r>
      <w:r w:rsidR="004B4CEE">
        <w:rPr>
          <w:rFonts w:ascii="Calibri" w:hAnsi="Calibri" w:cs="Calibri"/>
          <w:sz w:val="24"/>
          <w:szCs w:val="24"/>
        </w:rPr>
        <w:t xml:space="preserve"> lesson study is a </w:t>
      </w:r>
      <w:r w:rsidR="008435FE">
        <w:rPr>
          <w:rFonts w:ascii="Calibri" w:hAnsi="Calibri" w:cs="Calibri"/>
          <w:sz w:val="24"/>
          <w:szCs w:val="24"/>
        </w:rPr>
        <w:t>professional learning process</w:t>
      </w:r>
      <w:r>
        <w:rPr>
          <w:rFonts w:ascii="Calibri" w:hAnsi="Calibri" w:cs="Calibri"/>
          <w:sz w:val="24"/>
          <w:szCs w:val="24"/>
        </w:rPr>
        <w:t xml:space="preserve"> and is </w:t>
      </w:r>
      <w:r w:rsidR="008435FE" w:rsidRPr="008435FE">
        <w:rPr>
          <w:rFonts w:ascii="Calibri" w:hAnsi="Calibri" w:cs="Calibri"/>
          <w:sz w:val="24"/>
          <w:szCs w:val="24"/>
        </w:rPr>
        <w:t>successful because the focal point is the</w:t>
      </w:r>
      <w:r w:rsidR="008435FE" w:rsidRPr="008435FE">
        <w:rPr>
          <w:sz w:val="24"/>
          <w:szCs w:val="24"/>
        </w:rPr>
        <w:t xml:space="preserve"> learning and progress that is made by the children</w:t>
      </w:r>
      <w:r w:rsidR="0041343B">
        <w:rPr>
          <w:sz w:val="24"/>
          <w:szCs w:val="24"/>
        </w:rPr>
        <w:t xml:space="preserve"> </w:t>
      </w:r>
      <w:r w:rsidR="008435FE" w:rsidRPr="008435FE">
        <w:rPr>
          <w:sz w:val="24"/>
          <w:szCs w:val="24"/>
        </w:rPr>
        <w:t>as their teachers develop specific pedagogic</w:t>
      </w:r>
      <w:r w:rsidR="0041343B">
        <w:rPr>
          <w:sz w:val="24"/>
          <w:szCs w:val="24"/>
        </w:rPr>
        <w:t xml:space="preserve">al </w:t>
      </w:r>
      <w:r w:rsidR="008435FE" w:rsidRPr="008435FE">
        <w:rPr>
          <w:sz w:val="24"/>
          <w:szCs w:val="24"/>
        </w:rPr>
        <w:t xml:space="preserve">techniques that </w:t>
      </w:r>
      <w:r w:rsidR="008435FE">
        <w:rPr>
          <w:sz w:val="24"/>
          <w:szCs w:val="24"/>
        </w:rPr>
        <w:t>intend t</w:t>
      </w:r>
      <w:r w:rsidR="008435FE" w:rsidRPr="008435FE">
        <w:rPr>
          <w:sz w:val="24"/>
          <w:szCs w:val="24"/>
        </w:rPr>
        <w:t>o</w:t>
      </w:r>
      <w:r w:rsidR="008435FE">
        <w:rPr>
          <w:sz w:val="24"/>
          <w:szCs w:val="24"/>
        </w:rPr>
        <w:t xml:space="preserve"> improve a particular aspect of teaching.</w:t>
      </w:r>
      <w:r w:rsidR="008435FE">
        <w:t xml:space="preserve"> </w:t>
      </w:r>
      <w:r w:rsidR="00FC32C2">
        <w:rPr>
          <w:sz w:val="24"/>
          <w:szCs w:val="24"/>
        </w:rPr>
        <w:t>However, there are limitations that need to be considered</w:t>
      </w:r>
      <w:r w:rsidR="004B4CEE">
        <w:rPr>
          <w:sz w:val="24"/>
          <w:szCs w:val="24"/>
        </w:rPr>
        <w:t xml:space="preserve"> (see</w:t>
      </w:r>
      <w:r w:rsidR="0041343B">
        <w:rPr>
          <w:sz w:val="24"/>
          <w:szCs w:val="24"/>
        </w:rPr>
        <w:t xml:space="preserve"> in</w:t>
      </w:r>
      <w:r w:rsidR="004B4CEE">
        <w:rPr>
          <w:sz w:val="24"/>
          <w:szCs w:val="24"/>
        </w:rPr>
        <w:t xml:space="preserve"> discussion section).</w:t>
      </w:r>
    </w:p>
    <w:p w14:paraId="4EDD3209" w14:textId="251ED7C8" w:rsidR="00817FE3" w:rsidRPr="00E46447" w:rsidRDefault="00817FE3" w:rsidP="00E46447">
      <w:pPr>
        <w:spacing w:line="360" w:lineRule="auto"/>
        <w:jc w:val="both"/>
        <w:rPr>
          <w:rFonts w:ascii="Calibri" w:eastAsia="Times New Roman" w:hAnsi="Calibri" w:cs="Calibri"/>
          <w:sz w:val="24"/>
          <w:szCs w:val="24"/>
        </w:rPr>
      </w:pPr>
      <w:r w:rsidRPr="00131519">
        <w:rPr>
          <w:rFonts w:ascii="Calibri" w:hAnsi="Calibri" w:cs="Calibri"/>
          <w:sz w:val="24"/>
          <w:szCs w:val="24"/>
        </w:rPr>
        <w:t xml:space="preserve">According to Robinson et al (2009) the participation in collaborative enquiries to improve teaching and learning in the school has the greatest impact on how a school leader can improve educational outcomes for the pupils. </w:t>
      </w:r>
      <w:r w:rsidR="007678E4">
        <w:rPr>
          <w:rFonts w:ascii="Calibri" w:hAnsi="Calibri" w:cs="Calibri"/>
          <w:sz w:val="24"/>
          <w:szCs w:val="24"/>
        </w:rPr>
        <w:t xml:space="preserve">It is </w:t>
      </w:r>
      <w:r w:rsidRPr="00131519">
        <w:rPr>
          <w:rFonts w:ascii="Calibri" w:hAnsi="Calibri" w:cs="Calibri"/>
          <w:sz w:val="24"/>
          <w:szCs w:val="24"/>
        </w:rPr>
        <w:t>implie</w:t>
      </w:r>
      <w:r w:rsidR="007678E4">
        <w:rPr>
          <w:rFonts w:ascii="Calibri" w:hAnsi="Calibri" w:cs="Calibri"/>
          <w:sz w:val="24"/>
          <w:szCs w:val="24"/>
        </w:rPr>
        <w:t>d</w:t>
      </w:r>
      <w:r w:rsidRPr="00131519">
        <w:rPr>
          <w:rFonts w:ascii="Calibri" w:hAnsi="Calibri" w:cs="Calibri"/>
          <w:sz w:val="24"/>
          <w:szCs w:val="24"/>
        </w:rPr>
        <w:t xml:space="preserve"> that lesson study has many advantages and can be highly effective because it: </w:t>
      </w:r>
      <w:r w:rsidRPr="00E46447">
        <w:rPr>
          <w:rFonts w:ascii="Calibri" w:eastAsia="Times New Roman" w:hAnsi="Calibri" w:cs="Calibri"/>
          <w:sz w:val="24"/>
          <w:szCs w:val="24"/>
        </w:rPr>
        <w:t xml:space="preserve">is used </w:t>
      </w:r>
      <w:r w:rsidR="007678E4">
        <w:rPr>
          <w:rFonts w:ascii="Calibri" w:eastAsia="Times New Roman" w:hAnsi="Calibri" w:cs="Calibri"/>
          <w:sz w:val="24"/>
          <w:szCs w:val="24"/>
        </w:rPr>
        <w:t xml:space="preserve">with classroom pupils </w:t>
      </w:r>
      <w:r w:rsidRPr="00E46447">
        <w:rPr>
          <w:rFonts w:ascii="Calibri" w:eastAsia="Times New Roman" w:hAnsi="Calibri" w:cs="Calibri"/>
          <w:sz w:val="24"/>
          <w:szCs w:val="24"/>
        </w:rPr>
        <w:t>so feedback can be adapted and applied to lessons almost instantly</w:t>
      </w:r>
      <w:r w:rsidR="00E46447">
        <w:rPr>
          <w:rFonts w:ascii="Calibri" w:eastAsia="Times New Roman" w:hAnsi="Calibri" w:cs="Calibri"/>
          <w:sz w:val="24"/>
          <w:szCs w:val="24"/>
        </w:rPr>
        <w:t xml:space="preserve">; </w:t>
      </w:r>
      <w:r w:rsidRPr="00131519">
        <w:rPr>
          <w:rFonts w:ascii="Calibri" w:eastAsia="Times New Roman" w:hAnsi="Calibri" w:cs="Calibri"/>
          <w:sz w:val="24"/>
          <w:szCs w:val="24"/>
        </w:rPr>
        <w:t xml:space="preserve">is a series of lessons so </w:t>
      </w:r>
      <w:r w:rsidR="00AF2E0A">
        <w:rPr>
          <w:rFonts w:ascii="Calibri" w:eastAsia="Times New Roman" w:hAnsi="Calibri" w:cs="Calibri"/>
          <w:sz w:val="24"/>
          <w:szCs w:val="24"/>
        </w:rPr>
        <w:t>happens more than once</w:t>
      </w:r>
      <w:r w:rsidR="00E46447">
        <w:rPr>
          <w:rFonts w:ascii="Calibri" w:eastAsia="Times New Roman" w:hAnsi="Calibri" w:cs="Calibri"/>
          <w:sz w:val="24"/>
          <w:szCs w:val="24"/>
        </w:rPr>
        <w:t xml:space="preserve"> and it can </w:t>
      </w:r>
      <w:r w:rsidRPr="00E46447">
        <w:rPr>
          <w:rFonts w:ascii="Calibri" w:eastAsia="Times New Roman" w:hAnsi="Calibri" w:cs="Calibri"/>
          <w:sz w:val="24"/>
          <w:szCs w:val="24"/>
        </w:rPr>
        <w:t>help teachers to</w:t>
      </w:r>
      <w:r w:rsidR="00AF2E0A">
        <w:rPr>
          <w:rFonts w:ascii="Calibri" w:eastAsia="Times New Roman" w:hAnsi="Calibri" w:cs="Calibri"/>
          <w:sz w:val="24"/>
          <w:szCs w:val="24"/>
        </w:rPr>
        <w:t xml:space="preserve"> see</w:t>
      </w:r>
      <w:r w:rsidRPr="00E46447">
        <w:rPr>
          <w:rFonts w:ascii="Calibri" w:eastAsia="Times New Roman" w:hAnsi="Calibri" w:cs="Calibri"/>
          <w:sz w:val="24"/>
          <w:szCs w:val="24"/>
        </w:rPr>
        <w:t xml:space="preserve"> pupil’s learning occurring in much more detai</w:t>
      </w:r>
      <w:r w:rsidR="00AF2E0A">
        <w:rPr>
          <w:rFonts w:ascii="Calibri" w:eastAsia="Times New Roman" w:hAnsi="Calibri" w:cs="Calibri"/>
          <w:sz w:val="24"/>
          <w:szCs w:val="24"/>
        </w:rPr>
        <w:t>l</w:t>
      </w:r>
      <w:r w:rsidR="007678E4">
        <w:rPr>
          <w:rFonts w:ascii="Calibri" w:eastAsia="Times New Roman" w:hAnsi="Calibri" w:cs="Calibri"/>
          <w:sz w:val="24"/>
          <w:szCs w:val="24"/>
        </w:rPr>
        <w:t xml:space="preserve"> (</w:t>
      </w:r>
      <w:r w:rsidR="007678E4" w:rsidRPr="00131519">
        <w:rPr>
          <w:rFonts w:ascii="Calibri" w:hAnsi="Calibri" w:cs="Calibri"/>
          <w:sz w:val="24"/>
          <w:szCs w:val="24"/>
        </w:rPr>
        <w:t>Cordingley</w:t>
      </w:r>
      <w:r w:rsidR="007678E4">
        <w:rPr>
          <w:rFonts w:ascii="Calibri" w:hAnsi="Calibri" w:cs="Calibri"/>
          <w:sz w:val="24"/>
          <w:szCs w:val="24"/>
        </w:rPr>
        <w:t xml:space="preserve">, </w:t>
      </w:r>
      <w:r w:rsidR="007678E4" w:rsidRPr="00131519">
        <w:rPr>
          <w:rFonts w:ascii="Calibri" w:hAnsi="Calibri" w:cs="Calibri"/>
          <w:sz w:val="24"/>
          <w:szCs w:val="24"/>
        </w:rPr>
        <w:t>2004)</w:t>
      </w:r>
      <w:r w:rsidR="007079D1">
        <w:rPr>
          <w:rFonts w:ascii="Calibri" w:hAnsi="Calibri" w:cs="Calibri"/>
          <w:sz w:val="24"/>
          <w:szCs w:val="24"/>
        </w:rPr>
        <w:t>.</w:t>
      </w:r>
      <w:r w:rsidR="0006726F">
        <w:rPr>
          <w:rFonts w:ascii="Calibri" w:hAnsi="Calibri" w:cs="Calibri"/>
          <w:sz w:val="24"/>
          <w:szCs w:val="24"/>
        </w:rPr>
        <w:t xml:space="preserve"> </w:t>
      </w:r>
      <w:r w:rsidR="00073309">
        <w:rPr>
          <w:rFonts w:ascii="Calibri" w:hAnsi="Calibri" w:cs="Calibri"/>
          <w:sz w:val="24"/>
          <w:szCs w:val="24"/>
        </w:rPr>
        <w:t>Recent</w:t>
      </w:r>
      <w:r w:rsidR="0006726F">
        <w:rPr>
          <w:rFonts w:ascii="Calibri" w:hAnsi="Calibri" w:cs="Calibri"/>
          <w:sz w:val="24"/>
          <w:szCs w:val="24"/>
        </w:rPr>
        <w:t xml:space="preserve"> </w:t>
      </w:r>
      <w:r w:rsidR="00B17B93">
        <w:rPr>
          <w:rFonts w:ascii="Calibri" w:hAnsi="Calibri" w:cs="Calibri"/>
          <w:sz w:val="24"/>
          <w:szCs w:val="24"/>
        </w:rPr>
        <w:t>r</w:t>
      </w:r>
      <w:r w:rsidR="0006726F">
        <w:rPr>
          <w:rFonts w:ascii="Calibri" w:hAnsi="Calibri" w:cs="Calibri"/>
          <w:sz w:val="24"/>
          <w:szCs w:val="24"/>
        </w:rPr>
        <w:t xml:space="preserve">esearch by (Dudley, 2012) </w:t>
      </w:r>
      <w:r w:rsidR="00B17B93">
        <w:rPr>
          <w:rFonts w:ascii="Calibri" w:hAnsi="Calibri" w:cs="Calibri"/>
          <w:sz w:val="24"/>
          <w:szCs w:val="24"/>
        </w:rPr>
        <w:t>provides evidence that the use of lesson study within coasting schools showed a considerable impact on children’s progression and was consistent from year to year.</w:t>
      </w:r>
    </w:p>
    <w:p w14:paraId="16D556F8" w14:textId="190FD111" w:rsidR="00BD4324" w:rsidRDefault="00131519" w:rsidP="00131519">
      <w:pPr>
        <w:spacing w:line="360" w:lineRule="auto"/>
        <w:rPr>
          <w:rFonts w:ascii="Calibri" w:hAnsi="Calibri" w:cs="Calibri"/>
          <w:sz w:val="24"/>
          <w:szCs w:val="24"/>
        </w:rPr>
      </w:pPr>
      <w:r w:rsidRPr="00131519">
        <w:rPr>
          <w:rFonts w:ascii="Calibri" w:hAnsi="Calibri" w:cs="Calibri"/>
          <w:sz w:val="24"/>
          <w:szCs w:val="24"/>
        </w:rPr>
        <w:t xml:space="preserve">The </w:t>
      </w:r>
      <w:r w:rsidR="00B7505F">
        <w:rPr>
          <w:rFonts w:ascii="Calibri" w:hAnsi="Calibri" w:cs="Calibri"/>
          <w:sz w:val="24"/>
          <w:szCs w:val="24"/>
        </w:rPr>
        <w:t xml:space="preserve">methods of data collection </w:t>
      </w:r>
      <w:r w:rsidRPr="00131519">
        <w:rPr>
          <w:rFonts w:ascii="Calibri" w:hAnsi="Calibri" w:cs="Calibri"/>
          <w:sz w:val="24"/>
          <w:szCs w:val="24"/>
        </w:rPr>
        <w:t xml:space="preserve">used </w:t>
      </w:r>
      <w:r w:rsidR="0034770E">
        <w:rPr>
          <w:rFonts w:ascii="Calibri" w:hAnsi="Calibri" w:cs="Calibri"/>
          <w:sz w:val="24"/>
          <w:szCs w:val="24"/>
        </w:rPr>
        <w:t>were</w:t>
      </w:r>
      <w:r w:rsidRPr="00131519">
        <w:rPr>
          <w:rFonts w:ascii="Calibri" w:hAnsi="Calibri" w:cs="Calibri"/>
          <w:sz w:val="24"/>
          <w:szCs w:val="24"/>
        </w:rPr>
        <w:t xml:space="preserve">: </w:t>
      </w:r>
      <w:r w:rsidR="0034770E">
        <w:rPr>
          <w:rFonts w:ascii="Calibri" w:hAnsi="Calibri" w:cs="Calibri"/>
          <w:sz w:val="24"/>
          <w:szCs w:val="24"/>
        </w:rPr>
        <w:t xml:space="preserve">non-participant </w:t>
      </w:r>
      <w:r w:rsidRPr="00131519">
        <w:rPr>
          <w:rFonts w:ascii="Calibri" w:hAnsi="Calibri" w:cs="Calibri"/>
          <w:sz w:val="24"/>
          <w:szCs w:val="24"/>
        </w:rPr>
        <w:t>observation</w:t>
      </w:r>
      <w:r w:rsidR="0034770E">
        <w:rPr>
          <w:rFonts w:ascii="Calibri" w:hAnsi="Calibri" w:cs="Calibri"/>
          <w:sz w:val="24"/>
          <w:szCs w:val="24"/>
        </w:rPr>
        <w:t xml:space="preserve">, </w:t>
      </w:r>
      <w:r w:rsidRPr="00131519">
        <w:rPr>
          <w:rFonts w:ascii="Calibri" w:hAnsi="Calibri" w:cs="Calibri"/>
          <w:sz w:val="24"/>
          <w:szCs w:val="24"/>
        </w:rPr>
        <w:t>t</w:t>
      </w:r>
      <w:r w:rsidR="00106A44">
        <w:rPr>
          <w:rFonts w:ascii="Calibri" w:hAnsi="Calibri" w:cs="Calibri"/>
          <w:sz w:val="24"/>
          <w:szCs w:val="24"/>
        </w:rPr>
        <w:t>eacher</w:t>
      </w:r>
      <w:r w:rsidRPr="00131519">
        <w:rPr>
          <w:rFonts w:ascii="Calibri" w:hAnsi="Calibri" w:cs="Calibri"/>
          <w:sz w:val="24"/>
          <w:szCs w:val="24"/>
        </w:rPr>
        <w:t xml:space="preserve"> reflective notes and semi-structured focus group interviews. </w:t>
      </w:r>
    </w:p>
    <w:p w14:paraId="11761774" w14:textId="4A5A4EFA" w:rsidR="00BD4324" w:rsidRPr="000456AA" w:rsidRDefault="00BD4324" w:rsidP="00131519">
      <w:pPr>
        <w:spacing w:line="360" w:lineRule="auto"/>
        <w:rPr>
          <w:rFonts w:ascii="Calibri" w:hAnsi="Calibri" w:cs="Calibri"/>
          <w:b/>
          <w:sz w:val="24"/>
          <w:szCs w:val="24"/>
        </w:rPr>
      </w:pPr>
      <w:r w:rsidRPr="000456AA">
        <w:rPr>
          <w:rFonts w:ascii="Calibri" w:hAnsi="Calibri" w:cs="Calibri"/>
          <w:b/>
          <w:sz w:val="24"/>
          <w:szCs w:val="24"/>
        </w:rPr>
        <w:t>Observation method</w:t>
      </w:r>
      <w:r w:rsidR="0034770E" w:rsidRPr="000456AA">
        <w:rPr>
          <w:rFonts w:ascii="Calibri" w:hAnsi="Calibri" w:cs="Calibri"/>
          <w:b/>
          <w:sz w:val="24"/>
          <w:szCs w:val="24"/>
        </w:rPr>
        <w:t xml:space="preserve"> </w:t>
      </w:r>
    </w:p>
    <w:p w14:paraId="7A6E68D2" w14:textId="57961EFE" w:rsidR="00BD4324" w:rsidRDefault="00BD4324" w:rsidP="0068466F">
      <w:pPr>
        <w:spacing w:line="360" w:lineRule="auto"/>
        <w:jc w:val="both"/>
        <w:rPr>
          <w:rFonts w:ascii="Calibri" w:hAnsi="Calibri" w:cs="Calibri"/>
          <w:sz w:val="24"/>
        </w:rPr>
      </w:pPr>
      <w:r w:rsidRPr="00BD4324">
        <w:rPr>
          <w:rFonts w:ascii="Calibri" w:hAnsi="Calibri" w:cs="Calibri"/>
          <w:sz w:val="24"/>
        </w:rPr>
        <w:t>My partner and I chose to use a checklist adapted from the Leuven scale (Lavers, 1994) to guide our observations</w:t>
      </w:r>
      <w:r w:rsidR="00D12452">
        <w:rPr>
          <w:rFonts w:ascii="Calibri" w:hAnsi="Calibri" w:cs="Calibri"/>
          <w:sz w:val="24"/>
        </w:rPr>
        <w:t xml:space="preserve"> (see appendix B)</w:t>
      </w:r>
      <w:r w:rsidRPr="00BD4324">
        <w:rPr>
          <w:rFonts w:ascii="Calibri" w:hAnsi="Calibri" w:cs="Calibri"/>
          <w:sz w:val="24"/>
        </w:rPr>
        <w:t xml:space="preserve">. We added </w:t>
      </w:r>
      <w:r>
        <w:rPr>
          <w:rFonts w:ascii="Calibri" w:hAnsi="Calibri" w:cs="Calibri"/>
          <w:sz w:val="24"/>
        </w:rPr>
        <w:t>more fields</w:t>
      </w:r>
      <w:r w:rsidRPr="00BD4324">
        <w:rPr>
          <w:rFonts w:ascii="Calibri" w:hAnsi="Calibri" w:cs="Calibri"/>
          <w:sz w:val="24"/>
        </w:rPr>
        <w:t xml:space="preserve"> to the </w:t>
      </w:r>
      <w:r>
        <w:rPr>
          <w:rFonts w:ascii="Calibri" w:hAnsi="Calibri" w:cs="Calibri"/>
          <w:sz w:val="24"/>
        </w:rPr>
        <w:t>tabl</w:t>
      </w:r>
      <w:r w:rsidR="007C2ECA">
        <w:rPr>
          <w:rFonts w:ascii="Calibri" w:hAnsi="Calibri" w:cs="Calibri"/>
          <w:sz w:val="24"/>
        </w:rPr>
        <w:t>e</w:t>
      </w:r>
      <w:r w:rsidRPr="00BD4324">
        <w:rPr>
          <w:rFonts w:ascii="Calibri" w:hAnsi="Calibri" w:cs="Calibri"/>
          <w:sz w:val="24"/>
        </w:rPr>
        <w:t xml:space="preserve"> </w:t>
      </w:r>
      <w:r w:rsidR="0034770E">
        <w:rPr>
          <w:rFonts w:ascii="Calibri" w:hAnsi="Calibri" w:cs="Calibri"/>
          <w:sz w:val="24"/>
        </w:rPr>
        <w:t>to</w:t>
      </w:r>
      <w:r w:rsidRPr="00BD4324">
        <w:rPr>
          <w:rFonts w:ascii="Calibri" w:hAnsi="Calibri" w:cs="Calibri"/>
          <w:sz w:val="24"/>
        </w:rPr>
        <w:t xml:space="preserve"> </w:t>
      </w:r>
      <w:r w:rsidR="00106A44">
        <w:rPr>
          <w:rFonts w:ascii="Calibri" w:hAnsi="Calibri" w:cs="Calibri"/>
          <w:sz w:val="24"/>
        </w:rPr>
        <w:t xml:space="preserve">allow us </w:t>
      </w:r>
      <w:r w:rsidR="0034770E">
        <w:rPr>
          <w:rFonts w:ascii="Calibri" w:hAnsi="Calibri" w:cs="Calibri"/>
          <w:sz w:val="24"/>
        </w:rPr>
        <w:t>to make</w:t>
      </w:r>
      <w:r w:rsidRPr="00BD4324">
        <w:rPr>
          <w:rFonts w:ascii="Calibri" w:hAnsi="Calibri" w:cs="Calibri"/>
          <w:sz w:val="24"/>
        </w:rPr>
        <w:t xml:space="preserve"> written </w:t>
      </w:r>
      <w:r w:rsidR="007C2ECA">
        <w:rPr>
          <w:rFonts w:ascii="Calibri" w:hAnsi="Calibri" w:cs="Calibri"/>
          <w:sz w:val="24"/>
        </w:rPr>
        <w:t>observations</w:t>
      </w:r>
      <w:r w:rsidRPr="00BD4324">
        <w:rPr>
          <w:rFonts w:ascii="Calibri" w:hAnsi="Calibri" w:cs="Calibri"/>
          <w:sz w:val="24"/>
        </w:rPr>
        <w:t xml:space="preserve">. </w:t>
      </w:r>
      <w:r>
        <w:rPr>
          <w:rFonts w:ascii="Calibri" w:hAnsi="Calibri" w:cs="Calibri"/>
          <w:sz w:val="24"/>
        </w:rPr>
        <w:t xml:space="preserve">During analysis, this helped us to provide an explanation of why we thought the children came out at the level they did and to discuss whether we thought that they had been appropriately ranked. </w:t>
      </w:r>
      <w:r w:rsidR="007C2ECA">
        <w:rPr>
          <w:rFonts w:ascii="Calibri" w:hAnsi="Calibri" w:cs="Calibri"/>
          <w:sz w:val="24"/>
        </w:rPr>
        <w:t>Non-participant observation is where someone observes the research lesson silently without getting involved</w:t>
      </w:r>
      <w:r w:rsidR="0068466F">
        <w:rPr>
          <w:rFonts w:ascii="Calibri" w:hAnsi="Calibri" w:cs="Calibri"/>
          <w:sz w:val="24"/>
        </w:rPr>
        <w:t xml:space="preserve"> </w:t>
      </w:r>
      <w:r w:rsidR="0068466F" w:rsidRPr="0068466F">
        <w:rPr>
          <w:rFonts w:ascii="Calibri" w:hAnsi="Calibri" w:cs="Calibri"/>
          <w:color w:val="000000"/>
          <w:sz w:val="24"/>
          <w:szCs w:val="24"/>
          <w:shd w:val="clear" w:color="auto" w:fill="FFFFFF"/>
        </w:rPr>
        <w:t>(Scott and Marshall, 2009)</w:t>
      </w:r>
      <w:r w:rsidR="007C2ECA" w:rsidRPr="0068466F">
        <w:rPr>
          <w:rFonts w:ascii="Calibri" w:hAnsi="Calibri" w:cs="Calibri"/>
          <w:sz w:val="24"/>
          <w:szCs w:val="24"/>
        </w:rPr>
        <w:t>.</w:t>
      </w:r>
      <w:r>
        <w:rPr>
          <w:rFonts w:ascii="Calibri" w:hAnsi="Calibri" w:cs="Calibri"/>
          <w:sz w:val="24"/>
        </w:rPr>
        <w:t xml:space="preserve"> In recent years, the field of education has seen a rise in the number of qualitative studies that use another participant to observe and collect information (</w:t>
      </w:r>
      <w:r w:rsidR="0044697B" w:rsidRPr="0044697B">
        <w:rPr>
          <w:rFonts w:ascii="Calibri" w:hAnsi="Calibri" w:cs="Calibri"/>
          <w:color w:val="000000"/>
          <w:sz w:val="24"/>
          <w:szCs w:val="24"/>
          <w:shd w:val="clear" w:color="auto" w:fill="FFFFFF"/>
        </w:rPr>
        <w:t>Qualitative-research.net, 2019</w:t>
      </w:r>
      <w:r w:rsidR="00D7654C" w:rsidRPr="0044697B">
        <w:rPr>
          <w:rFonts w:ascii="Calibri" w:hAnsi="Calibri" w:cs="Calibri"/>
          <w:sz w:val="24"/>
          <w:szCs w:val="24"/>
        </w:rPr>
        <w:t>)</w:t>
      </w:r>
      <w:r w:rsidR="00063282" w:rsidRPr="0044697B">
        <w:rPr>
          <w:rFonts w:ascii="Calibri" w:hAnsi="Calibri" w:cs="Calibri"/>
          <w:sz w:val="24"/>
          <w:szCs w:val="24"/>
        </w:rPr>
        <w:t xml:space="preserve">. </w:t>
      </w:r>
    </w:p>
    <w:p w14:paraId="4E38B712" w14:textId="38408A9B" w:rsidR="00342A42" w:rsidRPr="00477A74" w:rsidRDefault="00342A42" w:rsidP="0068466F">
      <w:pPr>
        <w:spacing w:line="360" w:lineRule="auto"/>
        <w:jc w:val="both"/>
        <w:rPr>
          <w:rFonts w:ascii="Calibri" w:hAnsi="Calibri" w:cs="Calibri"/>
          <w:sz w:val="24"/>
          <w:szCs w:val="24"/>
        </w:rPr>
      </w:pPr>
      <w:r w:rsidRPr="00E70051">
        <w:rPr>
          <w:rFonts w:ascii="Calibri" w:hAnsi="Calibri" w:cs="Calibri"/>
          <w:sz w:val="24"/>
          <w:szCs w:val="24"/>
        </w:rPr>
        <w:t>The methods of data collection used ar</w:t>
      </w:r>
      <w:r w:rsidR="00E70051" w:rsidRPr="00E70051">
        <w:rPr>
          <w:rFonts w:ascii="Calibri" w:hAnsi="Calibri" w:cs="Calibri"/>
          <w:sz w:val="24"/>
          <w:szCs w:val="24"/>
        </w:rPr>
        <w:t>e</w:t>
      </w:r>
      <w:r w:rsidRPr="00E70051">
        <w:rPr>
          <w:rFonts w:ascii="Calibri" w:hAnsi="Calibri" w:cs="Calibri"/>
          <w:sz w:val="24"/>
          <w:szCs w:val="24"/>
        </w:rPr>
        <w:t xml:space="preserve"> </w:t>
      </w:r>
      <w:r w:rsidR="00E70051" w:rsidRPr="00E70051">
        <w:rPr>
          <w:rFonts w:ascii="Calibri" w:hAnsi="Calibri" w:cs="Calibri"/>
          <w:sz w:val="24"/>
          <w:szCs w:val="24"/>
        </w:rPr>
        <w:t>qual</w:t>
      </w:r>
      <w:r w:rsidR="0019338C">
        <w:rPr>
          <w:rFonts w:ascii="Calibri" w:hAnsi="Calibri" w:cs="Calibri"/>
          <w:sz w:val="24"/>
          <w:szCs w:val="24"/>
        </w:rPr>
        <w:t>itative methods of research</w:t>
      </w:r>
      <w:r w:rsidR="00E70051" w:rsidRPr="00E70051">
        <w:rPr>
          <w:rFonts w:ascii="Calibri" w:hAnsi="Calibri" w:cs="Calibri"/>
          <w:sz w:val="24"/>
          <w:szCs w:val="24"/>
        </w:rPr>
        <w:t>.</w:t>
      </w:r>
      <w:r w:rsidRPr="00E70051">
        <w:rPr>
          <w:rFonts w:ascii="Calibri" w:hAnsi="Calibri" w:cs="Calibri"/>
          <w:sz w:val="24"/>
          <w:szCs w:val="24"/>
        </w:rPr>
        <w:t xml:space="preserve"> </w:t>
      </w:r>
      <w:r w:rsidR="0019338C">
        <w:rPr>
          <w:rFonts w:ascii="Calibri" w:hAnsi="Calibri" w:cs="Calibri"/>
          <w:sz w:val="24"/>
          <w:szCs w:val="24"/>
        </w:rPr>
        <w:t>Qualitative research is a type of scientific research, an investigation that collects evidence; produces findings and seeks answers to a question</w:t>
      </w:r>
      <w:r w:rsidR="004719BA">
        <w:rPr>
          <w:rFonts w:ascii="Calibri" w:hAnsi="Calibri" w:cs="Calibri"/>
          <w:sz w:val="24"/>
          <w:szCs w:val="24"/>
        </w:rPr>
        <w:t xml:space="preserve"> </w:t>
      </w:r>
      <w:r w:rsidR="004719BA">
        <w:rPr>
          <w:sz w:val="24"/>
          <w:szCs w:val="24"/>
        </w:rPr>
        <w:t>(Mack et al, 2005)</w:t>
      </w:r>
      <w:r w:rsidR="0019338C">
        <w:rPr>
          <w:rFonts w:ascii="Calibri" w:hAnsi="Calibri" w:cs="Calibri"/>
          <w:sz w:val="24"/>
          <w:szCs w:val="24"/>
        </w:rPr>
        <w:t xml:space="preserve">. </w:t>
      </w:r>
      <w:r w:rsidR="00E70051" w:rsidRPr="00E70051">
        <w:rPr>
          <w:sz w:val="24"/>
          <w:szCs w:val="24"/>
        </w:rPr>
        <w:t xml:space="preserve">Qualitative methods have become important tools within </w:t>
      </w:r>
      <w:r w:rsidR="00E70051">
        <w:rPr>
          <w:sz w:val="24"/>
          <w:szCs w:val="24"/>
        </w:rPr>
        <w:t>a wider</w:t>
      </w:r>
      <w:r w:rsidR="00E70051" w:rsidRPr="00E70051">
        <w:rPr>
          <w:sz w:val="24"/>
          <w:szCs w:val="24"/>
        </w:rPr>
        <w:t xml:space="preserve"> approach to applied research, mainly because the</w:t>
      </w:r>
      <w:r w:rsidR="00E70051">
        <w:rPr>
          <w:sz w:val="24"/>
          <w:szCs w:val="24"/>
        </w:rPr>
        <w:t xml:space="preserve"> data</w:t>
      </w:r>
      <w:r w:rsidR="00E70051" w:rsidRPr="00E70051">
        <w:rPr>
          <w:sz w:val="24"/>
          <w:szCs w:val="24"/>
        </w:rPr>
        <w:t xml:space="preserve"> provide</w:t>
      </w:r>
      <w:r w:rsidR="00E70051">
        <w:rPr>
          <w:sz w:val="24"/>
          <w:szCs w:val="24"/>
        </w:rPr>
        <w:t>s</w:t>
      </w:r>
      <w:r w:rsidR="00E70051" w:rsidRPr="00E70051">
        <w:rPr>
          <w:sz w:val="24"/>
          <w:szCs w:val="24"/>
        </w:rPr>
        <w:t xml:space="preserve"> valuable</w:t>
      </w:r>
      <w:r w:rsidR="00E70051">
        <w:rPr>
          <w:sz w:val="24"/>
          <w:szCs w:val="24"/>
        </w:rPr>
        <w:t xml:space="preserve"> information</w:t>
      </w:r>
      <w:r w:rsidR="00E70051" w:rsidRPr="00E70051">
        <w:rPr>
          <w:sz w:val="24"/>
          <w:szCs w:val="24"/>
        </w:rPr>
        <w:t xml:space="preserve"> </w:t>
      </w:r>
      <w:r w:rsidR="003C17CF">
        <w:rPr>
          <w:sz w:val="24"/>
          <w:szCs w:val="24"/>
        </w:rPr>
        <w:t xml:space="preserve">from </w:t>
      </w:r>
      <w:r w:rsidR="00E70051" w:rsidRPr="00E70051">
        <w:rPr>
          <w:sz w:val="24"/>
          <w:szCs w:val="24"/>
        </w:rPr>
        <w:t>the local perspectives of study populations</w:t>
      </w:r>
      <w:r w:rsidR="003C17CF">
        <w:rPr>
          <w:sz w:val="24"/>
          <w:szCs w:val="24"/>
        </w:rPr>
        <w:t xml:space="preserve"> (Mack et al, 2005). </w:t>
      </w:r>
      <w:r w:rsidRPr="0019338C">
        <w:rPr>
          <w:rFonts w:ascii="Calibri" w:hAnsi="Calibri" w:cs="Calibri"/>
          <w:sz w:val="24"/>
          <w:szCs w:val="24"/>
        </w:rPr>
        <w:t xml:space="preserve">Qualitative methods </w:t>
      </w:r>
      <w:r w:rsidR="00E70051" w:rsidRPr="0019338C">
        <w:rPr>
          <w:rFonts w:ascii="Calibri" w:hAnsi="Calibri" w:cs="Calibri"/>
          <w:sz w:val="24"/>
          <w:szCs w:val="24"/>
        </w:rPr>
        <w:t xml:space="preserve">are useful </w:t>
      </w:r>
      <w:r w:rsidRPr="0019338C">
        <w:rPr>
          <w:rFonts w:ascii="Calibri" w:hAnsi="Calibri" w:cs="Calibri"/>
          <w:sz w:val="24"/>
          <w:szCs w:val="24"/>
        </w:rPr>
        <w:t xml:space="preserve">as literature by (Lapan, Quartaroli and Riemer, 2011) </w:t>
      </w:r>
      <w:r w:rsidR="00477A74" w:rsidRPr="0019338C">
        <w:rPr>
          <w:rFonts w:ascii="Calibri" w:hAnsi="Calibri" w:cs="Calibri"/>
          <w:sz w:val="24"/>
          <w:szCs w:val="24"/>
        </w:rPr>
        <w:t>states</w:t>
      </w:r>
      <w:r w:rsidRPr="0019338C">
        <w:rPr>
          <w:rFonts w:ascii="Calibri" w:hAnsi="Calibri" w:cs="Calibri"/>
          <w:sz w:val="24"/>
          <w:szCs w:val="24"/>
        </w:rPr>
        <w:t xml:space="preserve"> that </w:t>
      </w:r>
      <w:r w:rsidRPr="0019338C">
        <w:rPr>
          <w:rFonts w:ascii="Calibri" w:hAnsi="Calibri" w:cs="Calibri"/>
          <w:sz w:val="24"/>
          <w:szCs w:val="24"/>
        </w:rPr>
        <w:lastRenderedPageBreak/>
        <w:t xml:space="preserve">qualitative research applies more emphasis on the study of phenomena from the </w:t>
      </w:r>
      <w:r w:rsidR="0068466F" w:rsidRPr="0019338C">
        <w:rPr>
          <w:rFonts w:ascii="Calibri" w:hAnsi="Calibri" w:cs="Calibri"/>
          <w:sz w:val="24"/>
          <w:szCs w:val="24"/>
        </w:rPr>
        <w:t>viewpoint</w:t>
      </w:r>
      <w:r w:rsidRPr="0019338C">
        <w:rPr>
          <w:rFonts w:ascii="Calibri" w:hAnsi="Calibri" w:cs="Calibri"/>
          <w:sz w:val="24"/>
          <w:szCs w:val="24"/>
        </w:rPr>
        <w:t xml:space="preserve"> of insiders. </w:t>
      </w:r>
      <w:r w:rsidR="004B3D83" w:rsidRPr="0019338C">
        <w:rPr>
          <w:rFonts w:ascii="Calibri" w:hAnsi="Calibri" w:cs="Calibri"/>
          <w:sz w:val="24"/>
          <w:szCs w:val="24"/>
        </w:rPr>
        <w:t xml:space="preserve">There are many strengths to qualitative data which encouraged us to use these types of research methods. An essential feature of qualitative methods </w:t>
      </w:r>
      <w:r w:rsidR="0019338C" w:rsidRPr="0019338C">
        <w:rPr>
          <w:rFonts w:ascii="Calibri" w:hAnsi="Calibri" w:cs="Calibri"/>
          <w:sz w:val="24"/>
          <w:szCs w:val="24"/>
        </w:rPr>
        <w:t>is</w:t>
      </w:r>
      <w:r w:rsidR="004B3D83" w:rsidRPr="0019338C">
        <w:rPr>
          <w:rFonts w:ascii="Calibri" w:hAnsi="Calibri" w:cs="Calibri"/>
          <w:sz w:val="24"/>
          <w:szCs w:val="24"/>
        </w:rPr>
        <w:t xml:space="preserve"> that they involve building meaning form specific, rich descriptions of people and settings and that they are not based on </w:t>
      </w:r>
      <w:r w:rsidR="0068466F" w:rsidRPr="0019338C">
        <w:rPr>
          <w:rFonts w:ascii="Calibri" w:hAnsi="Calibri" w:cs="Calibri"/>
          <w:sz w:val="24"/>
          <w:szCs w:val="24"/>
        </w:rPr>
        <w:t>statistics</w:t>
      </w:r>
      <w:r w:rsidR="004B3D83" w:rsidRPr="0019338C">
        <w:rPr>
          <w:rFonts w:ascii="Calibri" w:hAnsi="Calibri" w:cs="Calibri"/>
          <w:sz w:val="24"/>
          <w:szCs w:val="24"/>
        </w:rPr>
        <w:t xml:space="preserve">. </w:t>
      </w:r>
      <w:r w:rsidR="006F1EFC">
        <w:rPr>
          <w:rFonts w:ascii="Calibri" w:hAnsi="Calibri" w:cs="Calibri"/>
          <w:sz w:val="24"/>
          <w:szCs w:val="24"/>
        </w:rPr>
        <w:t xml:space="preserve">It is </w:t>
      </w:r>
      <w:r w:rsidR="00477A74" w:rsidRPr="0019338C">
        <w:rPr>
          <w:rFonts w:ascii="Calibri" w:hAnsi="Calibri" w:cs="Calibri"/>
          <w:sz w:val="24"/>
          <w:szCs w:val="24"/>
        </w:rPr>
        <w:t>state</w:t>
      </w:r>
      <w:r w:rsidR="006F1EFC">
        <w:rPr>
          <w:rFonts w:ascii="Calibri" w:hAnsi="Calibri" w:cs="Calibri"/>
          <w:sz w:val="24"/>
          <w:szCs w:val="24"/>
        </w:rPr>
        <w:t>d</w:t>
      </w:r>
      <w:r w:rsidR="00477A74" w:rsidRPr="0019338C">
        <w:rPr>
          <w:rFonts w:ascii="Calibri" w:hAnsi="Calibri" w:cs="Calibri"/>
          <w:sz w:val="24"/>
          <w:szCs w:val="24"/>
        </w:rPr>
        <w:t xml:space="preserve"> that</w:t>
      </w:r>
      <w:r w:rsidR="0068466F">
        <w:rPr>
          <w:rFonts w:ascii="Calibri" w:hAnsi="Calibri" w:cs="Calibri"/>
          <w:sz w:val="24"/>
          <w:szCs w:val="24"/>
        </w:rPr>
        <w:t xml:space="preserve"> a</w:t>
      </w:r>
      <w:r w:rsidR="0019338C">
        <w:rPr>
          <w:rFonts w:ascii="Calibri" w:hAnsi="Calibri" w:cs="Calibri"/>
          <w:sz w:val="24"/>
          <w:szCs w:val="24"/>
        </w:rPr>
        <w:t xml:space="preserve"> major strength of</w:t>
      </w:r>
      <w:r w:rsidR="00477A74" w:rsidRPr="0019338C">
        <w:rPr>
          <w:rFonts w:ascii="Calibri" w:hAnsi="Calibri" w:cs="Calibri"/>
          <w:sz w:val="24"/>
          <w:szCs w:val="24"/>
        </w:rPr>
        <w:t xml:space="preserve"> </w:t>
      </w:r>
      <w:r w:rsidR="00477A74" w:rsidRPr="0019338C">
        <w:rPr>
          <w:sz w:val="24"/>
          <w:szCs w:val="24"/>
        </w:rPr>
        <w:t>qualitative research</w:t>
      </w:r>
      <w:r w:rsidR="0019338C">
        <w:rPr>
          <w:sz w:val="24"/>
          <w:szCs w:val="24"/>
        </w:rPr>
        <w:t xml:space="preserve"> </w:t>
      </w:r>
      <w:r w:rsidR="0068466F">
        <w:rPr>
          <w:sz w:val="24"/>
          <w:szCs w:val="24"/>
        </w:rPr>
        <w:t>is t</w:t>
      </w:r>
      <w:r w:rsidR="0019338C">
        <w:rPr>
          <w:sz w:val="24"/>
          <w:szCs w:val="24"/>
        </w:rPr>
        <w:t>hat it</w:t>
      </w:r>
      <w:r w:rsidR="00477A74" w:rsidRPr="0019338C">
        <w:rPr>
          <w:sz w:val="24"/>
          <w:szCs w:val="24"/>
        </w:rPr>
        <w:t xml:space="preserve"> produces </w:t>
      </w:r>
      <w:r w:rsidR="003E5C6B">
        <w:rPr>
          <w:sz w:val="24"/>
          <w:szCs w:val="24"/>
        </w:rPr>
        <w:t>culturally specific</w:t>
      </w:r>
      <w:r w:rsidR="00477A74" w:rsidRPr="0019338C">
        <w:rPr>
          <w:sz w:val="24"/>
          <w:szCs w:val="24"/>
        </w:rPr>
        <w:t xml:space="preserve"> and contextually rich data</w:t>
      </w:r>
      <w:r w:rsidR="0019338C">
        <w:rPr>
          <w:sz w:val="24"/>
          <w:szCs w:val="24"/>
        </w:rPr>
        <w:t xml:space="preserve">; </w:t>
      </w:r>
      <w:r w:rsidR="0068466F">
        <w:rPr>
          <w:sz w:val="24"/>
          <w:szCs w:val="24"/>
        </w:rPr>
        <w:t xml:space="preserve">as well as </w:t>
      </w:r>
      <w:r w:rsidR="0019338C">
        <w:rPr>
          <w:sz w:val="24"/>
          <w:szCs w:val="24"/>
        </w:rPr>
        <w:t>provid</w:t>
      </w:r>
      <w:r w:rsidR="0068466F">
        <w:rPr>
          <w:sz w:val="24"/>
          <w:szCs w:val="24"/>
        </w:rPr>
        <w:t>ing</w:t>
      </w:r>
      <w:r w:rsidR="0019338C">
        <w:rPr>
          <w:sz w:val="24"/>
          <w:szCs w:val="24"/>
        </w:rPr>
        <w:t xml:space="preserve"> information about personal sides of the issue e.g.</w:t>
      </w:r>
      <w:r w:rsidR="006F1EFC">
        <w:rPr>
          <w:sz w:val="24"/>
          <w:szCs w:val="24"/>
        </w:rPr>
        <w:t xml:space="preserve"> behaviours, beliefs, opinions, emotions</w:t>
      </w:r>
      <w:r w:rsidR="0068466F">
        <w:rPr>
          <w:sz w:val="24"/>
          <w:szCs w:val="24"/>
        </w:rPr>
        <w:t xml:space="preserve"> </w:t>
      </w:r>
      <w:r w:rsidR="006F1EFC">
        <w:rPr>
          <w:sz w:val="24"/>
          <w:szCs w:val="24"/>
        </w:rPr>
        <w:t>(</w:t>
      </w:r>
      <w:r w:rsidR="006F1EFC" w:rsidRPr="0019338C">
        <w:rPr>
          <w:rFonts w:ascii="Calibri" w:hAnsi="Calibri" w:cs="Calibri"/>
          <w:sz w:val="24"/>
          <w:szCs w:val="24"/>
        </w:rPr>
        <w:t>Mack et al</w:t>
      </w:r>
      <w:r w:rsidR="006F1EFC">
        <w:rPr>
          <w:rFonts w:ascii="Calibri" w:hAnsi="Calibri" w:cs="Calibri"/>
          <w:sz w:val="24"/>
          <w:szCs w:val="24"/>
        </w:rPr>
        <w:t>,</w:t>
      </w:r>
      <w:r w:rsidR="006F1EFC" w:rsidRPr="0019338C">
        <w:rPr>
          <w:rFonts w:ascii="Calibri" w:hAnsi="Calibri" w:cs="Calibri"/>
          <w:sz w:val="24"/>
          <w:szCs w:val="24"/>
        </w:rPr>
        <w:t>2005)</w:t>
      </w:r>
      <w:r w:rsidR="006F1EFC">
        <w:rPr>
          <w:rFonts w:ascii="Calibri" w:hAnsi="Calibri" w:cs="Calibri"/>
          <w:sz w:val="24"/>
          <w:szCs w:val="24"/>
        </w:rPr>
        <w:t xml:space="preserve">. We have used qualitative research rather than quantitative as generally quantitative methods are quite inflexible as they provide results through </w:t>
      </w:r>
      <w:r w:rsidR="0068466F">
        <w:rPr>
          <w:rFonts w:ascii="Calibri" w:hAnsi="Calibri" w:cs="Calibri"/>
          <w:sz w:val="24"/>
          <w:szCs w:val="24"/>
        </w:rPr>
        <w:t>figures</w:t>
      </w:r>
      <w:r w:rsidR="006F1EFC">
        <w:rPr>
          <w:rFonts w:ascii="Calibri" w:hAnsi="Calibri" w:cs="Calibri"/>
          <w:sz w:val="24"/>
          <w:szCs w:val="24"/>
        </w:rPr>
        <w:t xml:space="preserve">. </w:t>
      </w:r>
      <w:r w:rsidR="00482464">
        <w:rPr>
          <w:rFonts w:ascii="Calibri" w:hAnsi="Calibri" w:cs="Calibri"/>
          <w:sz w:val="24"/>
          <w:szCs w:val="24"/>
        </w:rPr>
        <w:t>Throughout our lesson study we have used a triangulation of data</w:t>
      </w:r>
      <w:r w:rsidR="008C6598">
        <w:rPr>
          <w:rFonts w:ascii="Calibri" w:hAnsi="Calibri" w:cs="Calibri"/>
          <w:sz w:val="24"/>
          <w:szCs w:val="24"/>
        </w:rPr>
        <w:t>. A triangulation of data combines data drawn from different sources, periods, places or people</w:t>
      </w:r>
      <w:r w:rsidR="008C6598" w:rsidRPr="008C6598">
        <w:rPr>
          <w:rFonts w:ascii="Arial" w:hAnsi="Arial" w:cs="Arial"/>
          <w:color w:val="000000"/>
          <w:sz w:val="20"/>
          <w:szCs w:val="20"/>
          <w:shd w:val="clear" w:color="auto" w:fill="FFFFFF"/>
        </w:rPr>
        <w:t xml:space="preserve"> </w:t>
      </w:r>
      <w:r w:rsidR="008C6598" w:rsidRPr="001B436A">
        <w:rPr>
          <w:rFonts w:ascii="Calibri" w:hAnsi="Calibri" w:cs="Calibri"/>
          <w:color w:val="000000"/>
          <w:sz w:val="24"/>
          <w:szCs w:val="24"/>
          <w:shd w:val="clear" w:color="auto" w:fill="FFFFFF"/>
        </w:rPr>
        <w:t>(Flick, Kardorff and Steinke, 2005</w:t>
      </w:r>
      <w:r w:rsidR="00130336">
        <w:rPr>
          <w:rFonts w:ascii="Calibri" w:hAnsi="Calibri" w:cs="Calibri"/>
          <w:color w:val="000000"/>
          <w:sz w:val="24"/>
          <w:szCs w:val="24"/>
          <w:shd w:val="clear" w:color="auto" w:fill="FFFFFF"/>
        </w:rPr>
        <w:t>, p.179</w:t>
      </w:r>
      <w:r w:rsidR="008C6598" w:rsidRPr="001B436A">
        <w:rPr>
          <w:rFonts w:ascii="Calibri" w:hAnsi="Calibri" w:cs="Calibri"/>
          <w:sz w:val="24"/>
          <w:szCs w:val="24"/>
        </w:rPr>
        <w:t xml:space="preserve">). </w:t>
      </w:r>
      <w:r w:rsidR="008C6598">
        <w:rPr>
          <w:rFonts w:ascii="Calibri" w:hAnsi="Calibri" w:cs="Calibri"/>
          <w:sz w:val="24"/>
          <w:szCs w:val="24"/>
        </w:rPr>
        <w:t>Primary and secondary sources have been used which allows us to approach the data with more than one perspective and hypotheses in mind. Evidence is clear that a triangulation of data stops us relying on what we think about a situation and allows us to bring several sources of data together</w:t>
      </w:r>
      <w:r w:rsidR="0068466F">
        <w:rPr>
          <w:rFonts w:ascii="Calibri" w:hAnsi="Calibri" w:cs="Calibri"/>
          <w:sz w:val="24"/>
          <w:szCs w:val="24"/>
        </w:rPr>
        <w:t xml:space="preserve"> (Creswell, 2015).</w:t>
      </w:r>
    </w:p>
    <w:p w14:paraId="78B83C84" w14:textId="51B3AC0A" w:rsidR="00BD4324" w:rsidRPr="000456AA" w:rsidRDefault="006F1EFC" w:rsidP="00131519">
      <w:pPr>
        <w:spacing w:line="360" w:lineRule="auto"/>
        <w:rPr>
          <w:rFonts w:ascii="Calibri" w:hAnsi="Calibri" w:cs="Calibri"/>
          <w:b/>
          <w:sz w:val="24"/>
        </w:rPr>
      </w:pPr>
      <w:r w:rsidRPr="000456AA">
        <w:rPr>
          <w:rFonts w:ascii="Calibri" w:hAnsi="Calibri" w:cs="Calibri"/>
          <w:b/>
          <w:sz w:val="24"/>
        </w:rPr>
        <w:t>Reflective method</w:t>
      </w:r>
    </w:p>
    <w:p w14:paraId="648B3AAD" w14:textId="7C132AE7" w:rsidR="00FE074E" w:rsidRPr="00132105" w:rsidRDefault="006F1EFC" w:rsidP="002808C4">
      <w:pPr>
        <w:spacing w:line="360" w:lineRule="auto"/>
        <w:jc w:val="both"/>
        <w:rPr>
          <w:b/>
          <w:sz w:val="24"/>
        </w:rPr>
      </w:pPr>
      <w:r w:rsidRPr="006F1EFC">
        <w:rPr>
          <w:rFonts w:ascii="Calibri" w:hAnsi="Calibri" w:cs="Calibri"/>
          <w:sz w:val="24"/>
        </w:rPr>
        <w:t>The reflections were captured usin</w:t>
      </w:r>
      <w:r>
        <w:rPr>
          <w:rFonts w:ascii="Calibri" w:hAnsi="Calibri" w:cs="Calibri"/>
          <w:sz w:val="24"/>
        </w:rPr>
        <w:t xml:space="preserve">g a reflective proforma that was adapted from </w:t>
      </w:r>
      <w:r w:rsidR="00D256FC">
        <w:rPr>
          <w:rFonts w:ascii="Calibri" w:hAnsi="Calibri" w:cs="Calibri"/>
          <w:sz w:val="24"/>
        </w:rPr>
        <w:t>Gibbs’ reflective cycle</w:t>
      </w:r>
      <w:r w:rsidR="00FE074E">
        <w:rPr>
          <w:rFonts w:ascii="Calibri" w:hAnsi="Calibri" w:cs="Calibri"/>
          <w:sz w:val="24"/>
        </w:rPr>
        <w:t xml:space="preserve"> (1998) (see appendi</w:t>
      </w:r>
      <w:r w:rsidR="002808C4">
        <w:rPr>
          <w:rFonts w:ascii="Calibri" w:hAnsi="Calibri" w:cs="Calibri"/>
          <w:sz w:val="24"/>
        </w:rPr>
        <w:t>x</w:t>
      </w:r>
      <w:r w:rsidR="00FE074E">
        <w:rPr>
          <w:rFonts w:ascii="Calibri" w:hAnsi="Calibri" w:cs="Calibri"/>
          <w:sz w:val="24"/>
        </w:rPr>
        <w:t xml:space="preserve"> </w:t>
      </w:r>
      <w:r w:rsidR="002808C4">
        <w:rPr>
          <w:rFonts w:ascii="Calibri" w:hAnsi="Calibri" w:cs="Calibri"/>
          <w:sz w:val="24"/>
        </w:rPr>
        <w:t>A</w:t>
      </w:r>
      <w:r w:rsidR="00FE074E">
        <w:rPr>
          <w:rFonts w:ascii="Calibri" w:hAnsi="Calibri" w:cs="Calibri"/>
          <w:sz w:val="24"/>
        </w:rPr>
        <w:t>).</w:t>
      </w:r>
      <w:r w:rsidR="00D256FC">
        <w:rPr>
          <w:rFonts w:ascii="Calibri" w:hAnsi="Calibri" w:cs="Calibri"/>
          <w:sz w:val="24"/>
        </w:rPr>
        <w:t xml:space="preserve"> We chose this type of reflective proforma as it is similar to the U</w:t>
      </w:r>
      <w:r>
        <w:rPr>
          <w:rFonts w:ascii="Calibri" w:hAnsi="Calibri" w:cs="Calibri"/>
          <w:sz w:val="24"/>
        </w:rPr>
        <w:t>niversity</w:t>
      </w:r>
      <w:r w:rsidR="00D256FC">
        <w:rPr>
          <w:rFonts w:ascii="Calibri" w:hAnsi="Calibri" w:cs="Calibri"/>
          <w:sz w:val="24"/>
        </w:rPr>
        <w:t>’s</w:t>
      </w:r>
      <w:r>
        <w:rPr>
          <w:rFonts w:ascii="Calibri" w:hAnsi="Calibri" w:cs="Calibri"/>
          <w:sz w:val="24"/>
        </w:rPr>
        <w:t xml:space="preserve"> reflective model (ARC)</w:t>
      </w:r>
      <w:r w:rsidR="00FE074E">
        <w:rPr>
          <w:rFonts w:ascii="Calibri" w:hAnsi="Calibri" w:cs="Calibri"/>
          <w:sz w:val="24"/>
        </w:rPr>
        <w:t>,</w:t>
      </w:r>
      <w:r w:rsidR="00D256FC">
        <w:rPr>
          <w:rFonts w:ascii="Calibri" w:hAnsi="Calibri" w:cs="Calibri"/>
          <w:sz w:val="24"/>
        </w:rPr>
        <w:t xml:space="preserve"> and we felt that when you have appropriate questions </w:t>
      </w:r>
      <w:r w:rsidR="00791580">
        <w:rPr>
          <w:rFonts w:ascii="Calibri" w:hAnsi="Calibri" w:cs="Calibri"/>
          <w:sz w:val="24"/>
        </w:rPr>
        <w:t>it provides o</w:t>
      </w:r>
      <w:r w:rsidR="00D256FC">
        <w:rPr>
          <w:rFonts w:ascii="Calibri" w:hAnsi="Calibri" w:cs="Calibri"/>
          <w:sz w:val="24"/>
        </w:rPr>
        <w:t>pportunit</w:t>
      </w:r>
      <w:r w:rsidR="00791580">
        <w:rPr>
          <w:rFonts w:ascii="Calibri" w:hAnsi="Calibri" w:cs="Calibri"/>
          <w:sz w:val="24"/>
        </w:rPr>
        <w:t>ies</w:t>
      </w:r>
      <w:r w:rsidR="00D256FC">
        <w:rPr>
          <w:rFonts w:ascii="Calibri" w:hAnsi="Calibri" w:cs="Calibri"/>
          <w:sz w:val="24"/>
        </w:rPr>
        <w:t xml:space="preserve"> to reflect and analyse what happened during the lesson in </w:t>
      </w:r>
      <w:r w:rsidR="00791580">
        <w:rPr>
          <w:rFonts w:ascii="Calibri" w:hAnsi="Calibri" w:cs="Calibri"/>
          <w:sz w:val="24"/>
        </w:rPr>
        <w:t xml:space="preserve">more </w:t>
      </w:r>
      <w:r w:rsidR="00D256FC">
        <w:rPr>
          <w:rFonts w:ascii="Calibri" w:hAnsi="Calibri" w:cs="Calibri"/>
          <w:sz w:val="24"/>
        </w:rPr>
        <w:t xml:space="preserve">detail. </w:t>
      </w:r>
      <w:r w:rsidR="00D256FC" w:rsidRPr="00FE074E">
        <w:rPr>
          <w:sz w:val="24"/>
        </w:rPr>
        <w:t xml:space="preserve">Moon (2004) suggests that reflections purpose is to lead some learning or a change of behaviour. </w:t>
      </w:r>
      <w:r w:rsidR="00FE074E">
        <w:rPr>
          <w:sz w:val="24"/>
        </w:rPr>
        <w:t xml:space="preserve">The strengths of adapting Gibbs reflective cycle (1998) is that </w:t>
      </w:r>
      <w:r w:rsidR="00791580">
        <w:rPr>
          <w:sz w:val="24"/>
        </w:rPr>
        <w:t>the learning cycle was built from Kolb’s reflective model</w:t>
      </w:r>
      <w:r w:rsidR="0070469B">
        <w:rPr>
          <w:sz w:val="24"/>
        </w:rPr>
        <w:t xml:space="preserve"> (Kolb, 1974)</w:t>
      </w:r>
      <w:r w:rsidR="00791580">
        <w:rPr>
          <w:sz w:val="24"/>
        </w:rPr>
        <w:t>, it provides evidence that theory and practice enhance each other in a continuous circle</w:t>
      </w:r>
      <w:r w:rsidR="006A7D80">
        <w:rPr>
          <w:sz w:val="24"/>
        </w:rPr>
        <w:t xml:space="preserve"> (Finlay, 2008).</w:t>
      </w:r>
      <w:r w:rsidR="00132105">
        <w:rPr>
          <w:sz w:val="24"/>
        </w:rPr>
        <w:t xml:space="preserve"> </w:t>
      </w:r>
      <w:r w:rsidR="002808C4">
        <w:rPr>
          <w:sz w:val="24"/>
        </w:rPr>
        <w:t>Gibbs’ model</w:t>
      </w:r>
      <w:r w:rsidR="0070469B">
        <w:rPr>
          <w:sz w:val="24"/>
        </w:rPr>
        <w:t xml:space="preserve"> (</w:t>
      </w:r>
      <w:r w:rsidR="002808C4">
        <w:rPr>
          <w:sz w:val="24"/>
        </w:rPr>
        <w:t xml:space="preserve">1998) is based on generalised questions that can be adapted to any lesson. Although the questions are quite broad they can be narrowed in with specific details linked to your lesson. “What will you do differently </w:t>
      </w:r>
      <w:r w:rsidR="00D3109C">
        <w:rPr>
          <w:sz w:val="24"/>
        </w:rPr>
        <w:t>i</w:t>
      </w:r>
      <w:r w:rsidR="002808C4">
        <w:rPr>
          <w:sz w:val="24"/>
        </w:rPr>
        <w:t>n the future?” (Gibbs, 1998)</w:t>
      </w:r>
      <w:r w:rsidR="00B359E9">
        <w:rPr>
          <w:sz w:val="24"/>
        </w:rPr>
        <w:t>, t</w:t>
      </w:r>
      <w:r w:rsidR="00D3109C">
        <w:rPr>
          <w:sz w:val="24"/>
        </w:rPr>
        <w:t>his question</w:t>
      </w:r>
      <w:r w:rsidR="002B3FFD">
        <w:rPr>
          <w:sz w:val="24"/>
        </w:rPr>
        <w:t xml:space="preserve"> allow</w:t>
      </w:r>
      <w:r w:rsidR="00D3109C">
        <w:rPr>
          <w:sz w:val="24"/>
        </w:rPr>
        <w:t>s</w:t>
      </w:r>
      <w:r w:rsidR="002B3FFD">
        <w:rPr>
          <w:sz w:val="24"/>
        </w:rPr>
        <w:t xml:space="preserve"> you to self-reflect</w:t>
      </w:r>
      <w:r w:rsidR="00D3109C">
        <w:rPr>
          <w:sz w:val="24"/>
        </w:rPr>
        <w:t xml:space="preserve">, </w:t>
      </w:r>
      <w:r w:rsidR="002B3FFD">
        <w:rPr>
          <w:sz w:val="24"/>
        </w:rPr>
        <w:t>analyse</w:t>
      </w:r>
      <w:r w:rsidR="00D3109C">
        <w:rPr>
          <w:sz w:val="24"/>
        </w:rPr>
        <w:t xml:space="preserve"> and plan </w:t>
      </w:r>
      <w:r w:rsidR="002B3FFD">
        <w:rPr>
          <w:sz w:val="24"/>
        </w:rPr>
        <w:t xml:space="preserve">for future lessons based on the </w:t>
      </w:r>
      <w:r w:rsidR="00B359E9">
        <w:rPr>
          <w:sz w:val="24"/>
        </w:rPr>
        <w:t>observations</w:t>
      </w:r>
      <w:r w:rsidR="002B3FFD">
        <w:rPr>
          <w:sz w:val="24"/>
        </w:rPr>
        <w:t xml:space="preserve">. We decided on this method as we felt it was </w:t>
      </w:r>
      <w:r w:rsidR="00D3109C">
        <w:rPr>
          <w:sz w:val="24"/>
        </w:rPr>
        <w:t>relative</w:t>
      </w:r>
      <w:r w:rsidR="002B3FFD">
        <w:rPr>
          <w:sz w:val="24"/>
        </w:rPr>
        <w:t xml:space="preserve"> to our lesson study as it is a series of lessons which may not necessarily be taught at a similar </w:t>
      </w:r>
      <w:r w:rsidR="00D3109C">
        <w:rPr>
          <w:sz w:val="24"/>
        </w:rPr>
        <w:t>period.</w:t>
      </w:r>
      <w:r w:rsidR="002B3FFD">
        <w:rPr>
          <w:sz w:val="24"/>
        </w:rPr>
        <w:t xml:space="preserve"> Using the reflective cycle model by Gibbs (1998) allow</w:t>
      </w:r>
      <w:r w:rsidR="00D3109C">
        <w:rPr>
          <w:sz w:val="24"/>
        </w:rPr>
        <w:t>s</w:t>
      </w:r>
      <w:r w:rsidR="002B3FFD">
        <w:rPr>
          <w:sz w:val="24"/>
        </w:rPr>
        <w:t xml:space="preserve"> you to look back and picture the lesson using the detail provided which</w:t>
      </w:r>
      <w:r w:rsidR="00D0306A">
        <w:rPr>
          <w:sz w:val="24"/>
        </w:rPr>
        <w:t xml:space="preserve"> would</w:t>
      </w:r>
      <w:r w:rsidR="002B3FFD">
        <w:rPr>
          <w:sz w:val="24"/>
        </w:rPr>
        <w:t xml:space="preserve"> be </w:t>
      </w:r>
      <w:r w:rsidR="002B3FFD">
        <w:rPr>
          <w:sz w:val="24"/>
        </w:rPr>
        <w:lastRenderedPageBreak/>
        <w:t>effective for future research lessons. Links to theory can also be made which provides evidence for certain aspects of the learning.</w:t>
      </w:r>
      <w:r w:rsidR="00D0306A">
        <w:rPr>
          <w:sz w:val="24"/>
        </w:rPr>
        <w:t xml:space="preserve"> </w:t>
      </w:r>
    </w:p>
    <w:p w14:paraId="4BCC6683" w14:textId="573613AE" w:rsidR="00304B0E" w:rsidRPr="000456AA" w:rsidRDefault="006A542B" w:rsidP="00D256FC">
      <w:pPr>
        <w:spacing w:line="360" w:lineRule="auto"/>
        <w:rPr>
          <w:rFonts w:ascii="Calibri" w:hAnsi="Calibri" w:cs="Calibri"/>
          <w:b/>
          <w:sz w:val="24"/>
          <w:szCs w:val="24"/>
        </w:rPr>
      </w:pPr>
      <w:r w:rsidRPr="000456AA">
        <w:rPr>
          <w:rFonts w:ascii="Calibri" w:hAnsi="Calibri" w:cs="Calibri"/>
          <w:b/>
          <w:sz w:val="24"/>
          <w:szCs w:val="24"/>
        </w:rPr>
        <w:t>Focus groups/</w:t>
      </w:r>
      <w:r w:rsidR="00304B0E" w:rsidRPr="000456AA">
        <w:rPr>
          <w:rFonts w:ascii="Calibri" w:hAnsi="Calibri" w:cs="Calibri"/>
          <w:b/>
          <w:sz w:val="24"/>
          <w:szCs w:val="24"/>
        </w:rPr>
        <w:t>Semi-structured interviews</w:t>
      </w:r>
    </w:p>
    <w:p w14:paraId="714BE40E" w14:textId="5995223F" w:rsidR="00304B0E" w:rsidRDefault="00132105" w:rsidP="004A147E">
      <w:pPr>
        <w:spacing w:line="360" w:lineRule="auto"/>
        <w:jc w:val="both"/>
        <w:rPr>
          <w:rFonts w:ascii="Calibri" w:hAnsi="Calibri" w:cs="Calibri"/>
          <w:sz w:val="24"/>
        </w:rPr>
      </w:pPr>
      <w:r w:rsidRPr="00AB0C4A">
        <w:rPr>
          <w:rFonts w:ascii="Calibri" w:hAnsi="Calibri" w:cs="Calibri"/>
          <w:sz w:val="24"/>
        </w:rPr>
        <w:t>The focus group</w:t>
      </w:r>
      <w:r w:rsidR="006A542B">
        <w:rPr>
          <w:rFonts w:ascii="Calibri" w:hAnsi="Calibri" w:cs="Calibri"/>
          <w:sz w:val="24"/>
        </w:rPr>
        <w:t>s</w:t>
      </w:r>
      <w:r w:rsidRPr="00AB0C4A">
        <w:rPr>
          <w:rFonts w:ascii="Calibri" w:hAnsi="Calibri" w:cs="Calibri"/>
          <w:sz w:val="24"/>
        </w:rPr>
        <w:t xml:space="preserve"> were chosen as a</w:t>
      </w:r>
      <w:r w:rsidR="00AB0C4A" w:rsidRPr="00AB0C4A">
        <w:rPr>
          <w:rFonts w:ascii="Calibri" w:hAnsi="Calibri" w:cs="Calibri"/>
          <w:sz w:val="24"/>
        </w:rPr>
        <w:t xml:space="preserve"> </w:t>
      </w:r>
      <w:r w:rsidRPr="00AB0C4A">
        <w:rPr>
          <w:rFonts w:ascii="Calibri" w:hAnsi="Calibri" w:cs="Calibri"/>
          <w:sz w:val="24"/>
        </w:rPr>
        <w:t xml:space="preserve">sample depending on their level of engagement during school life. We </w:t>
      </w:r>
      <w:r w:rsidR="00AB0C4A" w:rsidRPr="00AB0C4A">
        <w:rPr>
          <w:rFonts w:ascii="Calibri" w:hAnsi="Calibri" w:cs="Calibri"/>
          <w:sz w:val="24"/>
        </w:rPr>
        <w:t>both taught</w:t>
      </w:r>
      <w:r w:rsidRPr="00AB0C4A">
        <w:rPr>
          <w:rFonts w:ascii="Calibri" w:hAnsi="Calibri" w:cs="Calibri"/>
          <w:sz w:val="24"/>
        </w:rPr>
        <w:t xml:space="preserve"> a group of 6 mixed ability children </w:t>
      </w:r>
      <w:r w:rsidR="00AB0C4A" w:rsidRPr="00AB0C4A">
        <w:rPr>
          <w:rFonts w:ascii="Calibri" w:hAnsi="Calibri" w:cs="Calibri"/>
          <w:sz w:val="24"/>
        </w:rPr>
        <w:t xml:space="preserve">specifically choosing 3 children: one with continuous high engagement, one with moderate and one with low engagement. We chose this sample because we felt it would be a representative sample from our class and were interested to observe how the results differed depending on the child’s typical engagement levels. We both used mixed ability children but focused on making it a representative sample of boys and girls depending on the class number. </w:t>
      </w:r>
      <w:r w:rsidR="008275D5">
        <w:rPr>
          <w:rFonts w:ascii="Calibri" w:hAnsi="Calibri" w:cs="Calibri"/>
          <w:sz w:val="24"/>
        </w:rPr>
        <w:t>We decided that s</w:t>
      </w:r>
      <w:r w:rsidR="004A147E">
        <w:rPr>
          <w:rFonts w:ascii="Calibri" w:hAnsi="Calibri" w:cs="Calibri"/>
          <w:sz w:val="24"/>
        </w:rPr>
        <w:t>emi</w:t>
      </w:r>
      <w:r w:rsidR="008275D5">
        <w:rPr>
          <w:rFonts w:ascii="Calibri" w:hAnsi="Calibri" w:cs="Calibri"/>
          <w:sz w:val="24"/>
        </w:rPr>
        <w:t>-</w:t>
      </w:r>
      <w:r w:rsidR="004A147E">
        <w:rPr>
          <w:rFonts w:ascii="Calibri" w:hAnsi="Calibri" w:cs="Calibri"/>
          <w:sz w:val="24"/>
        </w:rPr>
        <w:t>structured interviews</w:t>
      </w:r>
      <w:r w:rsidR="008275D5">
        <w:rPr>
          <w:rFonts w:ascii="Calibri" w:hAnsi="Calibri" w:cs="Calibri"/>
          <w:sz w:val="24"/>
        </w:rPr>
        <w:t xml:space="preserve"> would be the most appropriate as it</w:t>
      </w:r>
      <w:r w:rsidR="004A147E">
        <w:rPr>
          <w:rFonts w:ascii="Calibri" w:hAnsi="Calibri" w:cs="Calibri"/>
          <w:sz w:val="24"/>
        </w:rPr>
        <w:t xml:space="preserve"> allow</w:t>
      </w:r>
      <w:r w:rsidR="008275D5">
        <w:rPr>
          <w:rFonts w:ascii="Calibri" w:hAnsi="Calibri" w:cs="Calibri"/>
          <w:sz w:val="24"/>
        </w:rPr>
        <w:t>s</w:t>
      </w:r>
      <w:r w:rsidR="004A147E">
        <w:rPr>
          <w:rFonts w:ascii="Calibri" w:hAnsi="Calibri" w:cs="Calibri"/>
          <w:sz w:val="24"/>
        </w:rPr>
        <w:t xml:space="preserve"> the interviewer to control and structure how the features are discussed using sub-ordinate questions</w:t>
      </w:r>
      <w:r w:rsidR="00665058">
        <w:rPr>
          <w:rFonts w:ascii="Calibri" w:hAnsi="Calibri" w:cs="Calibri"/>
          <w:sz w:val="24"/>
        </w:rPr>
        <w:t xml:space="preserve"> (Longhurst, 2003 cited in </w:t>
      </w:r>
      <w:r w:rsidR="00665058" w:rsidRPr="00665058">
        <w:rPr>
          <w:rFonts w:ascii="Calibri" w:hAnsi="Calibri" w:cs="Calibri"/>
          <w:color w:val="000000"/>
          <w:szCs w:val="20"/>
          <w:shd w:val="clear" w:color="auto" w:fill="FFFFFF"/>
        </w:rPr>
        <w:t>Clifford et al, 2016</w:t>
      </w:r>
      <w:r w:rsidR="00665058">
        <w:rPr>
          <w:rFonts w:ascii="Arial" w:hAnsi="Arial" w:cs="Arial"/>
          <w:color w:val="000000"/>
          <w:sz w:val="20"/>
          <w:szCs w:val="20"/>
          <w:shd w:val="clear" w:color="auto" w:fill="FFFFFF"/>
        </w:rPr>
        <w:t>).</w:t>
      </w:r>
      <w:r w:rsidR="00665058">
        <w:rPr>
          <w:rFonts w:ascii="Calibri" w:hAnsi="Calibri" w:cs="Calibri"/>
          <w:sz w:val="24"/>
        </w:rPr>
        <w:t xml:space="preserve"> </w:t>
      </w:r>
      <w:r w:rsidR="004A147E">
        <w:rPr>
          <w:rFonts w:ascii="Calibri" w:hAnsi="Calibri" w:cs="Calibri"/>
          <w:sz w:val="24"/>
        </w:rPr>
        <w:t xml:space="preserve">There are main characteristics of a semi-structured interview that </w:t>
      </w:r>
      <w:r w:rsidR="00CC788D">
        <w:rPr>
          <w:rFonts w:ascii="Calibri" w:hAnsi="Calibri" w:cs="Calibri"/>
          <w:sz w:val="24"/>
        </w:rPr>
        <w:t xml:space="preserve">shows its strengths: </w:t>
      </w:r>
    </w:p>
    <w:p w14:paraId="020E66F8" w14:textId="71345002" w:rsidR="00CC788D" w:rsidRDefault="00CC788D" w:rsidP="00CC788D">
      <w:pPr>
        <w:pStyle w:val="ListParagraph"/>
        <w:numPr>
          <w:ilvl w:val="0"/>
          <w:numId w:val="8"/>
        </w:numPr>
        <w:spacing w:line="360" w:lineRule="auto"/>
        <w:jc w:val="both"/>
        <w:rPr>
          <w:rFonts w:ascii="Calibri" w:hAnsi="Calibri" w:cs="Calibri"/>
          <w:sz w:val="24"/>
        </w:rPr>
      </w:pPr>
      <w:r>
        <w:rPr>
          <w:rFonts w:ascii="Calibri" w:hAnsi="Calibri" w:cs="Calibri"/>
          <w:sz w:val="24"/>
        </w:rPr>
        <w:t>It is a formal encounter that is on an agreed subject</w:t>
      </w:r>
    </w:p>
    <w:p w14:paraId="7EEE629F" w14:textId="0A091260" w:rsidR="00CC788D" w:rsidRDefault="00CC788D" w:rsidP="00CC788D">
      <w:pPr>
        <w:pStyle w:val="ListParagraph"/>
        <w:numPr>
          <w:ilvl w:val="0"/>
          <w:numId w:val="8"/>
        </w:numPr>
        <w:spacing w:line="360" w:lineRule="auto"/>
        <w:jc w:val="both"/>
        <w:rPr>
          <w:rFonts w:ascii="Calibri" w:hAnsi="Calibri" w:cs="Calibri"/>
          <w:sz w:val="24"/>
        </w:rPr>
      </w:pPr>
      <w:r>
        <w:rPr>
          <w:rFonts w:ascii="Calibri" w:hAnsi="Calibri" w:cs="Calibri"/>
          <w:sz w:val="24"/>
        </w:rPr>
        <w:t>The main questions are set and structured by the interviewer</w:t>
      </w:r>
    </w:p>
    <w:p w14:paraId="6BA091DF" w14:textId="70256C71" w:rsidR="00CC788D" w:rsidRDefault="00CC788D" w:rsidP="00CC788D">
      <w:pPr>
        <w:pStyle w:val="ListParagraph"/>
        <w:numPr>
          <w:ilvl w:val="0"/>
          <w:numId w:val="8"/>
        </w:numPr>
        <w:spacing w:line="360" w:lineRule="auto"/>
        <w:jc w:val="both"/>
        <w:rPr>
          <w:rFonts w:ascii="Calibri" w:hAnsi="Calibri" w:cs="Calibri"/>
          <w:sz w:val="24"/>
        </w:rPr>
      </w:pPr>
      <w:r>
        <w:rPr>
          <w:rFonts w:ascii="Calibri" w:hAnsi="Calibri" w:cs="Calibri"/>
          <w:sz w:val="24"/>
        </w:rPr>
        <w:t>Prompts and probes allow the interviewer to fill in the structure</w:t>
      </w:r>
    </w:p>
    <w:p w14:paraId="66BE2029" w14:textId="2C84CE35" w:rsidR="00CC788D" w:rsidRDefault="00CC788D" w:rsidP="00CC788D">
      <w:pPr>
        <w:pStyle w:val="ListParagraph"/>
        <w:numPr>
          <w:ilvl w:val="0"/>
          <w:numId w:val="8"/>
        </w:numPr>
        <w:spacing w:line="360" w:lineRule="auto"/>
        <w:jc w:val="both"/>
        <w:rPr>
          <w:rFonts w:ascii="Calibri" w:hAnsi="Calibri" w:cs="Calibri"/>
          <w:sz w:val="24"/>
        </w:rPr>
      </w:pPr>
      <w:r>
        <w:rPr>
          <w:rFonts w:ascii="Calibri" w:hAnsi="Calibri" w:cs="Calibri"/>
          <w:sz w:val="24"/>
        </w:rPr>
        <w:t>A mixture of open and closed questions can be used</w:t>
      </w:r>
    </w:p>
    <w:p w14:paraId="7DE7825E" w14:textId="481D76E0" w:rsidR="00CC788D" w:rsidRDefault="00CC788D" w:rsidP="00CC788D">
      <w:pPr>
        <w:pStyle w:val="ListParagraph"/>
        <w:numPr>
          <w:ilvl w:val="0"/>
          <w:numId w:val="8"/>
        </w:numPr>
        <w:spacing w:line="360" w:lineRule="auto"/>
        <w:jc w:val="both"/>
        <w:rPr>
          <w:rFonts w:ascii="Calibri" w:hAnsi="Calibri" w:cs="Calibri"/>
          <w:sz w:val="24"/>
        </w:rPr>
      </w:pPr>
      <w:r>
        <w:rPr>
          <w:rFonts w:ascii="Calibri" w:hAnsi="Calibri" w:cs="Calibri"/>
          <w:sz w:val="24"/>
        </w:rPr>
        <w:t>The interviewee has a sense of freedom: it doesn’t matter how much they say or how they say it</w:t>
      </w:r>
    </w:p>
    <w:p w14:paraId="2C3DEE07" w14:textId="41429A70" w:rsidR="00CC788D" w:rsidRDefault="00CC788D" w:rsidP="00CC788D">
      <w:pPr>
        <w:pStyle w:val="ListParagraph"/>
        <w:numPr>
          <w:ilvl w:val="0"/>
          <w:numId w:val="8"/>
        </w:numPr>
        <w:spacing w:line="360" w:lineRule="auto"/>
        <w:jc w:val="both"/>
        <w:rPr>
          <w:rFonts w:ascii="Calibri" w:hAnsi="Calibri" w:cs="Calibri"/>
          <w:sz w:val="24"/>
        </w:rPr>
      </w:pPr>
      <w:r>
        <w:rPr>
          <w:rFonts w:ascii="Calibri" w:hAnsi="Calibri" w:cs="Calibri"/>
          <w:sz w:val="24"/>
        </w:rPr>
        <w:t>Control can be asserted when necessary</w:t>
      </w:r>
    </w:p>
    <w:p w14:paraId="047DB09F" w14:textId="276CCD8E" w:rsidR="00CC788D" w:rsidRPr="00CC788D" w:rsidRDefault="00CC788D" w:rsidP="00B6617F">
      <w:pPr>
        <w:spacing w:line="360" w:lineRule="auto"/>
        <w:ind w:left="6480" w:firstLine="720"/>
        <w:jc w:val="both"/>
        <w:rPr>
          <w:rFonts w:ascii="Calibri" w:hAnsi="Calibri" w:cs="Calibri"/>
          <w:sz w:val="24"/>
        </w:rPr>
      </w:pPr>
      <w:r>
        <w:rPr>
          <w:rFonts w:ascii="Calibri" w:hAnsi="Calibri" w:cs="Calibri"/>
          <w:sz w:val="24"/>
        </w:rPr>
        <w:t>(Drever,200</w:t>
      </w:r>
      <w:r w:rsidR="00B6617F">
        <w:rPr>
          <w:rFonts w:ascii="Calibri" w:hAnsi="Calibri" w:cs="Calibri"/>
          <w:sz w:val="24"/>
        </w:rPr>
        <w:t>3)</w:t>
      </w:r>
    </w:p>
    <w:p w14:paraId="2D665C52" w14:textId="72EDD8C3" w:rsidR="00CC788D" w:rsidRDefault="00CC788D" w:rsidP="00CC788D">
      <w:pPr>
        <w:spacing w:line="360" w:lineRule="auto"/>
        <w:jc w:val="both"/>
        <w:rPr>
          <w:rFonts w:ascii="Calibri" w:hAnsi="Calibri" w:cs="Calibri"/>
          <w:sz w:val="24"/>
        </w:rPr>
      </w:pPr>
      <w:r>
        <w:rPr>
          <w:rFonts w:ascii="Calibri" w:hAnsi="Calibri" w:cs="Calibri"/>
          <w:sz w:val="24"/>
        </w:rPr>
        <w:t>Additionally, looking at the strengths of semi-structured interviews provides evidence that it</w:t>
      </w:r>
      <w:r w:rsidRPr="00CC788D">
        <w:rPr>
          <w:rFonts w:ascii="Calibri" w:hAnsi="Calibri" w:cs="Calibri"/>
          <w:sz w:val="24"/>
        </w:rPr>
        <w:t xml:space="preserve"> </w:t>
      </w:r>
      <w:r>
        <w:rPr>
          <w:rFonts w:ascii="Calibri" w:hAnsi="Calibri" w:cs="Calibri"/>
          <w:sz w:val="24"/>
        </w:rPr>
        <w:t>allows the interview to be business</w:t>
      </w:r>
      <w:r w:rsidR="008275D5">
        <w:rPr>
          <w:rFonts w:ascii="Calibri" w:hAnsi="Calibri" w:cs="Calibri"/>
          <w:sz w:val="24"/>
        </w:rPr>
        <w:t>-</w:t>
      </w:r>
      <w:r>
        <w:rPr>
          <w:rFonts w:ascii="Calibri" w:hAnsi="Calibri" w:cs="Calibri"/>
          <w:sz w:val="24"/>
        </w:rPr>
        <w:t xml:space="preserve">like but also child friendly. The variable control throughout the interview including the probes and prompts </w:t>
      </w:r>
      <w:r w:rsidR="00665058">
        <w:rPr>
          <w:rFonts w:ascii="Calibri" w:hAnsi="Calibri" w:cs="Calibri"/>
          <w:sz w:val="24"/>
        </w:rPr>
        <w:t xml:space="preserve">provides more </w:t>
      </w:r>
      <w:r w:rsidR="00942FCE">
        <w:rPr>
          <w:rFonts w:ascii="Calibri" w:hAnsi="Calibri" w:cs="Calibri"/>
          <w:sz w:val="24"/>
        </w:rPr>
        <w:t>flexibility</w:t>
      </w:r>
      <w:r w:rsidR="003E5C6B">
        <w:rPr>
          <w:rFonts w:ascii="Calibri" w:hAnsi="Calibri" w:cs="Calibri"/>
          <w:sz w:val="24"/>
        </w:rPr>
        <w:t xml:space="preserve"> (Drever, 2003)</w:t>
      </w:r>
      <w:r>
        <w:rPr>
          <w:rFonts w:ascii="Calibri" w:hAnsi="Calibri" w:cs="Calibri"/>
          <w:sz w:val="24"/>
        </w:rPr>
        <w:t xml:space="preserve">. </w:t>
      </w:r>
      <w:r w:rsidR="00942FCE">
        <w:rPr>
          <w:rFonts w:ascii="Calibri" w:hAnsi="Calibri" w:cs="Calibri"/>
          <w:sz w:val="24"/>
        </w:rPr>
        <w:t>The</w:t>
      </w:r>
      <w:r>
        <w:rPr>
          <w:rFonts w:ascii="Calibri" w:hAnsi="Calibri" w:cs="Calibri"/>
          <w:sz w:val="24"/>
        </w:rPr>
        <w:t xml:space="preserve"> mixture of open and closed questions allow</w:t>
      </w:r>
      <w:r w:rsidR="008275D5">
        <w:rPr>
          <w:rFonts w:ascii="Calibri" w:hAnsi="Calibri" w:cs="Calibri"/>
          <w:sz w:val="24"/>
        </w:rPr>
        <w:t>s</w:t>
      </w:r>
      <w:r>
        <w:rPr>
          <w:rFonts w:ascii="Calibri" w:hAnsi="Calibri" w:cs="Calibri"/>
          <w:sz w:val="24"/>
        </w:rPr>
        <w:t xml:space="preserve"> the children to expand their answers </w:t>
      </w:r>
      <w:r w:rsidR="00942FCE">
        <w:rPr>
          <w:rFonts w:ascii="Calibri" w:hAnsi="Calibri" w:cs="Calibri"/>
          <w:sz w:val="24"/>
        </w:rPr>
        <w:t xml:space="preserve">which will generate a fair amount of detail </w:t>
      </w:r>
      <w:r>
        <w:rPr>
          <w:rFonts w:ascii="Calibri" w:hAnsi="Calibri" w:cs="Calibri"/>
          <w:sz w:val="24"/>
        </w:rPr>
        <w:t>but also</w:t>
      </w:r>
      <w:r w:rsidR="008275D5">
        <w:rPr>
          <w:rFonts w:ascii="Calibri" w:hAnsi="Calibri" w:cs="Calibri"/>
          <w:sz w:val="24"/>
        </w:rPr>
        <w:t xml:space="preserve"> </w:t>
      </w:r>
      <w:r w:rsidR="00942FCE">
        <w:rPr>
          <w:rFonts w:ascii="Calibri" w:hAnsi="Calibri" w:cs="Calibri"/>
          <w:sz w:val="24"/>
        </w:rPr>
        <w:t>allows</w:t>
      </w:r>
      <w:r w:rsidR="008275D5">
        <w:rPr>
          <w:rFonts w:ascii="Calibri" w:hAnsi="Calibri" w:cs="Calibri"/>
          <w:sz w:val="24"/>
        </w:rPr>
        <w:t xml:space="preserve"> them </w:t>
      </w:r>
      <w:r>
        <w:rPr>
          <w:rFonts w:ascii="Calibri" w:hAnsi="Calibri" w:cs="Calibri"/>
          <w:sz w:val="24"/>
        </w:rPr>
        <w:t>freedom</w:t>
      </w:r>
      <w:r w:rsidR="008275D5">
        <w:rPr>
          <w:rFonts w:ascii="Calibri" w:hAnsi="Calibri" w:cs="Calibri"/>
          <w:sz w:val="24"/>
        </w:rPr>
        <w:t xml:space="preserve"> </w:t>
      </w:r>
      <w:r>
        <w:rPr>
          <w:rFonts w:ascii="Calibri" w:hAnsi="Calibri" w:cs="Calibri"/>
          <w:sz w:val="24"/>
        </w:rPr>
        <w:t>to answer with a single word</w:t>
      </w:r>
      <w:r w:rsidR="00942FCE">
        <w:rPr>
          <w:rFonts w:ascii="Calibri" w:hAnsi="Calibri" w:cs="Calibri"/>
          <w:sz w:val="24"/>
        </w:rPr>
        <w:t>.</w:t>
      </w:r>
      <w:r>
        <w:rPr>
          <w:rFonts w:ascii="Calibri" w:hAnsi="Calibri" w:cs="Calibri"/>
          <w:sz w:val="24"/>
        </w:rPr>
        <w:t xml:space="preserve"> </w:t>
      </w:r>
      <w:r w:rsidR="00942FCE">
        <w:rPr>
          <w:rFonts w:ascii="Calibri" w:hAnsi="Calibri" w:cs="Calibri"/>
          <w:sz w:val="24"/>
        </w:rPr>
        <w:t xml:space="preserve">This method supports the child’s human rights and allows them to have a ‘voice’ in conjunction to the United Nation Rights of the Child (UNCRC) article 12. </w:t>
      </w:r>
      <w:r>
        <w:rPr>
          <w:rFonts w:ascii="Calibri" w:hAnsi="Calibri" w:cs="Calibri"/>
          <w:sz w:val="24"/>
        </w:rPr>
        <w:t>We felt this was the most appropriate type of interview for foundation phase, as it allowed them to</w:t>
      </w:r>
      <w:r w:rsidR="00D3109C">
        <w:rPr>
          <w:rFonts w:ascii="Calibri" w:hAnsi="Calibri" w:cs="Calibri"/>
          <w:sz w:val="24"/>
        </w:rPr>
        <w:t xml:space="preserve"> </w:t>
      </w:r>
      <w:r>
        <w:rPr>
          <w:rFonts w:ascii="Calibri" w:hAnsi="Calibri" w:cs="Calibri"/>
          <w:sz w:val="24"/>
        </w:rPr>
        <w:t xml:space="preserve">gain a </w:t>
      </w:r>
      <w:r>
        <w:rPr>
          <w:rFonts w:ascii="Calibri" w:hAnsi="Calibri" w:cs="Calibri"/>
          <w:sz w:val="24"/>
        </w:rPr>
        <w:lastRenderedPageBreak/>
        <w:t>sense of freedom, by understanding that it doesn’t matter how much they tell us or how they express it.</w:t>
      </w:r>
      <w:r w:rsidR="00486B37">
        <w:rPr>
          <w:rFonts w:ascii="Calibri" w:hAnsi="Calibri" w:cs="Calibri"/>
          <w:sz w:val="24"/>
        </w:rPr>
        <w:t xml:space="preserve"> Although we chose these research tools, we are aware of limitations that need to be considered</w:t>
      </w:r>
      <w:r w:rsidR="00942FCE">
        <w:rPr>
          <w:rFonts w:ascii="Calibri" w:hAnsi="Calibri" w:cs="Calibri"/>
          <w:sz w:val="24"/>
        </w:rPr>
        <w:t xml:space="preserve"> (discussed in more detail in the discussion).</w:t>
      </w:r>
    </w:p>
    <w:p w14:paraId="5652568D" w14:textId="52119E1A" w:rsidR="00B14EBE" w:rsidRPr="001D4369" w:rsidRDefault="00B14EBE" w:rsidP="00B14EBE">
      <w:pPr>
        <w:rPr>
          <w:rFonts w:cstheme="minorHAnsi"/>
          <w:b/>
          <w:sz w:val="24"/>
        </w:rPr>
      </w:pPr>
      <w:r w:rsidRPr="001D4369">
        <w:rPr>
          <w:rFonts w:cstheme="minorHAnsi"/>
          <w:b/>
          <w:sz w:val="24"/>
        </w:rPr>
        <w:t>Ethical consideration</w:t>
      </w:r>
      <w:r w:rsidR="00486B37">
        <w:rPr>
          <w:rFonts w:cstheme="minorHAnsi"/>
          <w:b/>
          <w:sz w:val="24"/>
        </w:rPr>
        <w:t>s</w:t>
      </w:r>
    </w:p>
    <w:p w14:paraId="2FBABC5B" w14:textId="5A87F5A0" w:rsidR="007837E3" w:rsidRPr="00927F87" w:rsidRDefault="00927F87" w:rsidP="00283030">
      <w:pPr>
        <w:spacing w:line="360" w:lineRule="auto"/>
        <w:jc w:val="both"/>
        <w:rPr>
          <w:rFonts w:cstheme="minorHAnsi"/>
          <w:sz w:val="24"/>
        </w:rPr>
      </w:pPr>
      <w:r>
        <w:rPr>
          <w:rFonts w:cstheme="minorHAnsi"/>
          <w:sz w:val="24"/>
        </w:rPr>
        <w:t>T</w:t>
      </w:r>
      <w:r w:rsidR="00B14EBE" w:rsidRPr="00927F87">
        <w:rPr>
          <w:rFonts w:cstheme="minorHAnsi"/>
          <w:sz w:val="24"/>
        </w:rPr>
        <w:t xml:space="preserve">here are ethical considerations </w:t>
      </w:r>
      <w:r w:rsidR="007837E3">
        <w:rPr>
          <w:rFonts w:cstheme="minorHAnsi"/>
          <w:sz w:val="24"/>
        </w:rPr>
        <w:t>that need to be accounted for when</w:t>
      </w:r>
      <w:r w:rsidR="00B14EBE" w:rsidRPr="00927F87">
        <w:rPr>
          <w:rFonts w:cstheme="minorHAnsi"/>
          <w:sz w:val="24"/>
        </w:rPr>
        <w:t xml:space="preserve"> doing research in a classroom</w:t>
      </w:r>
      <w:r w:rsidR="007837E3">
        <w:rPr>
          <w:rFonts w:cstheme="minorHAnsi"/>
          <w:sz w:val="24"/>
        </w:rPr>
        <w:t>. These are:</w:t>
      </w:r>
      <w:r w:rsidRPr="00927F87">
        <w:rPr>
          <w:rFonts w:cstheme="minorHAnsi"/>
          <w:sz w:val="24"/>
        </w:rPr>
        <w:t xml:space="preserve"> </w:t>
      </w:r>
      <w:r>
        <w:rPr>
          <w:rFonts w:cstheme="minorHAnsi"/>
          <w:sz w:val="24"/>
        </w:rPr>
        <w:t>anonymity, confidentiality, informed consent and assent</w:t>
      </w:r>
      <w:r w:rsidR="007837E3">
        <w:rPr>
          <w:rFonts w:cstheme="minorHAnsi"/>
          <w:sz w:val="24"/>
        </w:rPr>
        <w:t xml:space="preserve">. These considerations follow guidelines from </w:t>
      </w:r>
      <w:r w:rsidR="007837E3" w:rsidRPr="00927F87">
        <w:rPr>
          <w:rFonts w:cstheme="minorHAnsi"/>
          <w:sz w:val="24"/>
        </w:rPr>
        <w:t>BERA (2018) Ethical Guidelines for Educational Research</w:t>
      </w:r>
      <w:r w:rsidR="007837E3">
        <w:rPr>
          <w:rFonts w:cstheme="minorHAnsi"/>
          <w:sz w:val="24"/>
        </w:rPr>
        <w:t xml:space="preserve">, </w:t>
      </w:r>
      <w:r w:rsidR="007837E3" w:rsidRPr="00927F87">
        <w:rPr>
          <w:rFonts w:cstheme="minorHAnsi"/>
          <w:sz w:val="24"/>
        </w:rPr>
        <w:t>UWTSD Research Ethics &amp; Integrity Code of Practice</w:t>
      </w:r>
      <w:r w:rsidR="00A33A4D">
        <w:rPr>
          <w:rFonts w:cstheme="minorHAnsi"/>
          <w:sz w:val="24"/>
        </w:rPr>
        <w:t xml:space="preserve"> (2017)</w:t>
      </w:r>
      <w:r w:rsidR="007837E3">
        <w:rPr>
          <w:rFonts w:cstheme="minorHAnsi"/>
          <w:sz w:val="24"/>
        </w:rPr>
        <w:t xml:space="preserve"> and </w:t>
      </w:r>
      <w:r w:rsidR="007837E3" w:rsidRPr="00927F87">
        <w:rPr>
          <w:rFonts w:cstheme="minorHAnsi"/>
          <w:sz w:val="24"/>
        </w:rPr>
        <w:t>EWC Ethical Practice Guidelines</w:t>
      </w:r>
      <w:r w:rsidR="007837E3">
        <w:rPr>
          <w:rFonts w:cstheme="minorHAnsi"/>
          <w:sz w:val="24"/>
        </w:rPr>
        <w:t>.</w:t>
      </w:r>
      <w:r w:rsidR="00613E9A">
        <w:rPr>
          <w:rFonts w:cstheme="minorHAnsi"/>
          <w:sz w:val="24"/>
        </w:rPr>
        <w:t xml:space="preserve"> All data records have been stored securely in a password protected folder on the UWTSD cloud storage until my research partner and I have completed the Primary-Postgraduate Certificate in Education at which point it will be deleted.</w:t>
      </w:r>
    </w:p>
    <w:p w14:paraId="6622E691" w14:textId="389FD648" w:rsidR="00927F87" w:rsidRDefault="00927F87" w:rsidP="00283030">
      <w:pPr>
        <w:autoSpaceDE w:val="0"/>
        <w:autoSpaceDN w:val="0"/>
        <w:adjustRightInd w:val="0"/>
        <w:spacing w:line="360" w:lineRule="auto"/>
        <w:jc w:val="both"/>
        <w:rPr>
          <w:rFonts w:ascii="Calibri" w:hAnsi="Calibri" w:cs="Calibri"/>
          <w:sz w:val="24"/>
        </w:rPr>
      </w:pPr>
      <w:r w:rsidRPr="00927F87">
        <w:rPr>
          <w:rFonts w:ascii="Calibri" w:hAnsi="Calibri" w:cs="Calibri"/>
          <w:sz w:val="24"/>
        </w:rPr>
        <w:t xml:space="preserve">Informed consent </w:t>
      </w:r>
      <w:r w:rsidR="009D74C8">
        <w:rPr>
          <w:rFonts w:ascii="Calibri" w:hAnsi="Calibri" w:cs="Calibri"/>
          <w:sz w:val="24"/>
        </w:rPr>
        <w:t xml:space="preserve">was </w:t>
      </w:r>
      <w:r w:rsidRPr="00927F87">
        <w:rPr>
          <w:rFonts w:ascii="Calibri" w:hAnsi="Calibri" w:cs="Calibri"/>
          <w:sz w:val="24"/>
        </w:rPr>
        <w:t xml:space="preserve">collected from the parents of </w:t>
      </w:r>
      <w:r w:rsidR="009D74C8">
        <w:rPr>
          <w:rFonts w:ascii="Calibri" w:hAnsi="Calibri" w:cs="Calibri"/>
          <w:sz w:val="24"/>
        </w:rPr>
        <w:t xml:space="preserve">the </w:t>
      </w:r>
      <w:r w:rsidRPr="00927F87">
        <w:rPr>
          <w:rFonts w:ascii="Calibri" w:hAnsi="Calibri" w:cs="Calibri"/>
          <w:sz w:val="24"/>
        </w:rPr>
        <w:t>participants in line with</w:t>
      </w:r>
      <w:r w:rsidR="009D74C8">
        <w:rPr>
          <w:rFonts w:ascii="Calibri" w:hAnsi="Calibri" w:cs="Calibri"/>
          <w:sz w:val="24"/>
        </w:rPr>
        <w:t xml:space="preserve"> the</w:t>
      </w:r>
      <w:r w:rsidRPr="00927F87">
        <w:rPr>
          <w:rFonts w:ascii="Calibri" w:hAnsi="Calibri" w:cs="Calibri"/>
          <w:sz w:val="24"/>
        </w:rPr>
        <w:t xml:space="preserve"> school policy</w:t>
      </w:r>
      <w:r>
        <w:rPr>
          <w:rFonts w:ascii="Calibri" w:hAnsi="Calibri" w:cs="Calibri"/>
          <w:sz w:val="24"/>
        </w:rPr>
        <w:t xml:space="preserve">, the informed </w:t>
      </w:r>
      <w:r w:rsidRPr="00927F87">
        <w:rPr>
          <w:rFonts w:ascii="Calibri" w:hAnsi="Calibri" w:cs="Calibri"/>
          <w:sz w:val="24"/>
        </w:rPr>
        <w:t xml:space="preserve">consent </w:t>
      </w:r>
      <w:r w:rsidR="009D74C8">
        <w:rPr>
          <w:rFonts w:ascii="Calibri" w:hAnsi="Calibri" w:cs="Calibri"/>
          <w:sz w:val="24"/>
        </w:rPr>
        <w:t>was returned</w:t>
      </w:r>
      <w:r w:rsidRPr="00927F87">
        <w:rPr>
          <w:rFonts w:ascii="Calibri" w:hAnsi="Calibri" w:cs="Calibri"/>
          <w:sz w:val="24"/>
        </w:rPr>
        <w:t xml:space="preserve"> by parents via written confirmation in the form of a signature on a consent letter which </w:t>
      </w:r>
      <w:r w:rsidR="009D74C8">
        <w:rPr>
          <w:rFonts w:ascii="Calibri" w:hAnsi="Calibri" w:cs="Calibri"/>
          <w:sz w:val="24"/>
        </w:rPr>
        <w:t>was</w:t>
      </w:r>
      <w:r w:rsidRPr="00927F87">
        <w:rPr>
          <w:rFonts w:ascii="Calibri" w:hAnsi="Calibri" w:cs="Calibri"/>
          <w:sz w:val="24"/>
        </w:rPr>
        <w:t xml:space="preserve"> sent out from and returned to the school prior to data collection</w:t>
      </w:r>
      <w:r w:rsidR="00D12452">
        <w:rPr>
          <w:rFonts w:ascii="Calibri" w:hAnsi="Calibri" w:cs="Calibri"/>
          <w:sz w:val="24"/>
        </w:rPr>
        <w:t xml:space="preserve"> (See appendix E)</w:t>
      </w:r>
      <w:r w:rsidRPr="00927F87">
        <w:rPr>
          <w:rFonts w:ascii="Calibri" w:hAnsi="Calibri" w:cs="Calibri"/>
          <w:sz w:val="24"/>
        </w:rPr>
        <w:t>.</w:t>
      </w:r>
      <w:r>
        <w:rPr>
          <w:rFonts w:ascii="Calibri" w:hAnsi="Calibri" w:cs="Calibri"/>
          <w:sz w:val="24"/>
        </w:rPr>
        <w:t xml:space="preserve"> We also </w:t>
      </w:r>
      <w:r w:rsidR="009D74C8">
        <w:rPr>
          <w:rFonts w:ascii="Calibri" w:hAnsi="Calibri" w:cs="Calibri"/>
          <w:sz w:val="24"/>
        </w:rPr>
        <w:t xml:space="preserve">gained </w:t>
      </w:r>
      <w:r w:rsidRPr="00927F87">
        <w:rPr>
          <w:rFonts w:ascii="Calibri" w:hAnsi="Calibri" w:cs="Calibri"/>
          <w:sz w:val="24"/>
        </w:rPr>
        <w:t>assent from the focus learners prior to and during the lesson observation and interview via verbal confirmation and through observation of body language. This assent w</w:t>
      </w:r>
      <w:r w:rsidR="007837E3">
        <w:rPr>
          <w:rFonts w:ascii="Calibri" w:hAnsi="Calibri" w:cs="Calibri"/>
          <w:sz w:val="24"/>
        </w:rPr>
        <w:t xml:space="preserve">as </w:t>
      </w:r>
      <w:r w:rsidRPr="00927F87">
        <w:rPr>
          <w:rFonts w:ascii="Calibri" w:hAnsi="Calibri" w:cs="Calibri"/>
          <w:sz w:val="24"/>
        </w:rPr>
        <w:t>sought and confirmed in the presence of the class teacher.</w:t>
      </w:r>
    </w:p>
    <w:p w14:paraId="5E49EC0F" w14:textId="77777777" w:rsidR="00A42E01" w:rsidRDefault="007837E3" w:rsidP="00283030">
      <w:pPr>
        <w:autoSpaceDE w:val="0"/>
        <w:autoSpaceDN w:val="0"/>
        <w:adjustRightInd w:val="0"/>
        <w:spacing w:line="360" w:lineRule="auto"/>
        <w:jc w:val="both"/>
        <w:rPr>
          <w:rFonts w:ascii="Calibri" w:hAnsi="Calibri" w:cs="Calibri"/>
          <w:sz w:val="24"/>
        </w:rPr>
      </w:pPr>
      <w:r>
        <w:rPr>
          <w:rFonts w:ascii="Calibri" w:hAnsi="Calibri" w:cs="Calibri"/>
          <w:sz w:val="24"/>
        </w:rPr>
        <w:t xml:space="preserve">Confidentiality and anonymity was paramount throughout the research in adhere to BERA and EWC’s guidelines. We made sure we ensured confidentiality throughout by </w:t>
      </w:r>
      <w:r w:rsidR="00F77EC1">
        <w:rPr>
          <w:rFonts w:ascii="Calibri" w:hAnsi="Calibri" w:cs="Calibri"/>
          <w:sz w:val="24"/>
        </w:rPr>
        <w:t xml:space="preserve">changing </w:t>
      </w:r>
      <w:r>
        <w:rPr>
          <w:rFonts w:ascii="Calibri" w:hAnsi="Calibri" w:cs="Calibri"/>
          <w:sz w:val="24"/>
        </w:rPr>
        <w:t>the names of the participants and the research school</w:t>
      </w:r>
      <w:r w:rsidR="00F77EC1">
        <w:rPr>
          <w:rFonts w:ascii="Calibri" w:hAnsi="Calibri" w:cs="Calibri"/>
          <w:sz w:val="24"/>
        </w:rPr>
        <w:t xml:space="preserve">, which </w:t>
      </w:r>
      <w:r>
        <w:rPr>
          <w:rFonts w:ascii="Calibri" w:hAnsi="Calibri" w:cs="Calibri"/>
          <w:sz w:val="24"/>
        </w:rPr>
        <w:t xml:space="preserve">were omitted from any of our data records. We used 3 focus pupils during the data collection but referred to them as Child 1a, 2a and 3a and for the partners research lesson child 1b, 2b and 3b. </w:t>
      </w:r>
    </w:p>
    <w:p w14:paraId="041C2A63" w14:textId="42BA9599" w:rsidR="00B14EBE" w:rsidRDefault="00B14EBE" w:rsidP="00B14EBE">
      <w:pPr>
        <w:rPr>
          <w:rFonts w:cstheme="minorHAnsi"/>
          <w:b/>
          <w:sz w:val="24"/>
        </w:rPr>
      </w:pPr>
      <w:r w:rsidRPr="00B14EBE">
        <w:rPr>
          <w:rFonts w:cstheme="minorHAnsi"/>
          <w:b/>
          <w:sz w:val="24"/>
        </w:rPr>
        <w:t>Lesson study 1:</w:t>
      </w:r>
    </w:p>
    <w:p w14:paraId="2595650D" w14:textId="206BF67E" w:rsidR="00A42E01" w:rsidRDefault="00A42E01" w:rsidP="00942FCE">
      <w:pPr>
        <w:spacing w:line="360" w:lineRule="auto"/>
        <w:jc w:val="both"/>
        <w:rPr>
          <w:rFonts w:cstheme="minorHAnsi"/>
          <w:color w:val="FF0000"/>
          <w:sz w:val="24"/>
        </w:rPr>
      </w:pPr>
      <w:r>
        <w:rPr>
          <w:rFonts w:cstheme="minorHAnsi"/>
          <w:sz w:val="24"/>
        </w:rPr>
        <w:t>In lesson 1 all of the participants met the lesson objective “to show an awareness of internet safety and know when to ask an adult for help.” AFL strategies were used such as differentiated questioning to assess their awareness and understanding of cyberbullying and internet safety. During the research, my research partner and I were intrigued by pupils’ engagement levels when sitting on air-filled wobble cushions for the duration of a lesson.</w:t>
      </w:r>
      <w:r w:rsidR="005C6A4A">
        <w:rPr>
          <w:rFonts w:cstheme="minorHAnsi"/>
          <w:sz w:val="24"/>
        </w:rPr>
        <w:t xml:space="preserve"> My </w:t>
      </w:r>
      <w:r>
        <w:rPr>
          <w:rFonts w:cstheme="minorHAnsi"/>
          <w:sz w:val="24"/>
        </w:rPr>
        <w:t>research partner taught the</w:t>
      </w:r>
      <w:r w:rsidR="005C6A4A">
        <w:rPr>
          <w:rFonts w:cstheme="minorHAnsi"/>
          <w:sz w:val="24"/>
        </w:rPr>
        <w:t xml:space="preserve"> first</w:t>
      </w:r>
      <w:r>
        <w:rPr>
          <w:rFonts w:cstheme="minorHAnsi"/>
          <w:sz w:val="24"/>
        </w:rPr>
        <w:t xml:space="preserve"> lesson whilst I made observational notes on 3 focus children, one with high engagement one with middle and one with low.</w:t>
      </w:r>
      <w:r w:rsidR="005C6A4A">
        <w:rPr>
          <w:rFonts w:cstheme="minorHAnsi"/>
          <w:sz w:val="24"/>
        </w:rPr>
        <w:t xml:space="preserve"> The second research lesson, I </w:t>
      </w:r>
      <w:r w:rsidR="005C6A4A">
        <w:rPr>
          <w:rFonts w:cstheme="minorHAnsi"/>
          <w:sz w:val="24"/>
        </w:rPr>
        <w:lastRenderedPageBreak/>
        <w:t>taught, and my research partner made the observational notes</w:t>
      </w:r>
      <w:r w:rsidR="00283030">
        <w:rPr>
          <w:rFonts w:cstheme="minorHAnsi"/>
          <w:sz w:val="24"/>
        </w:rPr>
        <w:t>,</w:t>
      </w:r>
      <w:r w:rsidR="005C6A4A">
        <w:rPr>
          <w:rFonts w:cstheme="minorHAnsi"/>
          <w:sz w:val="24"/>
        </w:rPr>
        <w:t xml:space="preserve"> again, based on 3 focus children with different levels of engagement. </w:t>
      </w:r>
      <w:r w:rsidR="00283030">
        <w:rPr>
          <w:rFonts w:cstheme="minorHAnsi"/>
          <w:sz w:val="24"/>
        </w:rPr>
        <w:t xml:space="preserve">After making the observational notes, I ranked the pupils’ engagement using the Leuven scale for engagement </w:t>
      </w:r>
      <w:r w:rsidR="00283030" w:rsidRPr="00942FCE">
        <w:rPr>
          <w:rFonts w:cstheme="minorHAnsi"/>
          <w:sz w:val="24"/>
        </w:rPr>
        <w:t xml:space="preserve">(Lavers, 1994) (See appendix </w:t>
      </w:r>
      <w:r w:rsidR="00283030">
        <w:rPr>
          <w:rFonts w:cstheme="minorHAnsi"/>
          <w:sz w:val="24"/>
        </w:rPr>
        <w:t>B</w:t>
      </w:r>
      <w:r w:rsidR="00283030" w:rsidRPr="00942FCE">
        <w:rPr>
          <w:rFonts w:cstheme="minorHAnsi"/>
          <w:sz w:val="24"/>
        </w:rPr>
        <w:t>)</w:t>
      </w:r>
      <w:r w:rsidR="00283030">
        <w:rPr>
          <w:rFonts w:cstheme="minorHAnsi"/>
          <w:sz w:val="24"/>
        </w:rPr>
        <w:t>.</w:t>
      </w:r>
      <w:r w:rsidR="00283030">
        <w:rPr>
          <w:rFonts w:cstheme="minorHAnsi"/>
          <w:sz w:val="24"/>
        </w:rPr>
        <w:t xml:space="preserve"> </w:t>
      </w:r>
      <w:r w:rsidR="005C6A4A">
        <w:rPr>
          <w:rFonts w:cstheme="minorHAnsi"/>
          <w:sz w:val="24"/>
        </w:rPr>
        <w:t>For t</w:t>
      </w:r>
      <w:r>
        <w:rPr>
          <w:rFonts w:cstheme="minorHAnsi"/>
          <w:sz w:val="24"/>
        </w:rPr>
        <w:t>he purpose of this essay the children</w:t>
      </w:r>
      <w:r w:rsidR="005C6A4A">
        <w:rPr>
          <w:rFonts w:cstheme="minorHAnsi"/>
          <w:sz w:val="24"/>
        </w:rPr>
        <w:t xml:space="preserve"> in research lesson 1</w:t>
      </w:r>
      <w:r>
        <w:rPr>
          <w:rFonts w:cstheme="minorHAnsi"/>
          <w:sz w:val="24"/>
        </w:rPr>
        <w:t xml:space="preserve"> will be referred to as child 1a,2a and 3a. </w:t>
      </w:r>
    </w:p>
    <w:p w14:paraId="48276415" w14:textId="639DED53" w:rsidR="002A3FC3" w:rsidRPr="006D3816" w:rsidRDefault="002A3FC3" w:rsidP="00B14EBE">
      <w:pPr>
        <w:rPr>
          <w:rFonts w:cstheme="minorHAnsi"/>
          <w:i/>
          <w:sz w:val="24"/>
        </w:rPr>
      </w:pPr>
      <w:r w:rsidRPr="006D3816">
        <w:rPr>
          <w:rFonts w:cstheme="minorHAnsi"/>
          <w:i/>
          <w:sz w:val="24"/>
        </w:rPr>
        <w:t>Child 1a – High engager</w:t>
      </w:r>
    </w:p>
    <w:p w14:paraId="49977049" w14:textId="53AC7367" w:rsidR="00A42E01" w:rsidRDefault="002A3FC3" w:rsidP="00E26732">
      <w:pPr>
        <w:spacing w:line="360" w:lineRule="auto"/>
        <w:jc w:val="both"/>
        <w:rPr>
          <w:rFonts w:cstheme="minorHAnsi"/>
          <w:sz w:val="24"/>
        </w:rPr>
      </w:pPr>
      <w:r>
        <w:rPr>
          <w:rFonts w:cstheme="minorHAnsi"/>
          <w:sz w:val="24"/>
        </w:rPr>
        <w:t>Child 1a was selected as she had generally good engagement levels throughout normal school lessons. She was given an engagement score of level 4(high)</w:t>
      </w:r>
      <w:r w:rsidR="00501104">
        <w:rPr>
          <w:rFonts w:cstheme="minorHAnsi"/>
          <w:sz w:val="24"/>
        </w:rPr>
        <w:t xml:space="preserve"> on the Leuven </w:t>
      </w:r>
      <w:r w:rsidR="00E26732">
        <w:rPr>
          <w:rFonts w:cstheme="minorHAnsi"/>
          <w:sz w:val="24"/>
        </w:rPr>
        <w:t>scale,</w:t>
      </w:r>
      <w:r>
        <w:rPr>
          <w:rFonts w:cstheme="minorHAnsi"/>
          <w:sz w:val="24"/>
        </w:rPr>
        <w:t xml:space="preserve"> but she also showed elements of level 5(extremely high). She displayed a continuous level of engagement throughout the lesson</w:t>
      </w:r>
      <w:r w:rsidR="006D3816">
        <w:rPr>
          <w:rFonts w:cstheme="minorHAnsi"/>
          <w:sz w:val="24"/>
        </w:rPr>
        <w:t xml:space="preserve"> with intense moments of energy, she</w:t>
      </w:r>
      <w:r>
        <w:rPr>
          <w:rFonts w:cstheme="minorHAnsi"/>
          <w:sz w:val="24"/>
        </w:rPr>
        <w:t xml:space="preserve"> was always the child who raised her hand first to answer questions, even tr</w:t>
      </w:r>
      <w:r w:rsidR="006D3816">
        <w:rPr>
          <w:rFonts w:cstheme="minorHAnsi"/>
          <w:sz w:val="24"/>
        </w:rPr>
        <w:t>ying</w:t>
      </w:r>
      <w:r>
        <w:rPr>
          <w:rFonts w:cstheme="minorHAnsi"/>
          <w:sz w:val="24"/>
        </w:rPr>
        <w:t xml:space="preserve"> to produce an answer when difficult questions were posed. Strong eye contact with the teacher was provided throughout the whole lesson not just when she was listening and answering questions. </w:t>
      </w:r>
      <w:r w:rsidR="006D3816">
        <w:rPr>
          <w:rFonts w:cstheme="minorHAnsi"/>
          <w:sz w:val="24"/>
        </w:rPr>
        <w:t xml:space="preserve">When working in talk partners, where children discuss their thoughts in pairs, child 1a dominated the conversation making sure she got her point across. However, she did listen to her partners feedback attentively. </w:t>
      </w:r>
    </w:p>
    <w:p w14:paraId="2222337C" w14:textId="71564FB6" w:rsidR="006D3816" w:rsidRDefault="006D3816" w:rsidP="00B14EBE">
      <w:pPr>
        <w:rPr>
          <w:rFonts w:cstheme="minorHAnsi"/>
          <w:i/>
          <w:sz w:val="24"/>
        </w:rPr>
      </w:pPr>
      <w:r w:rsidRPr="006D3816">
        <w:rPr>
          <w:rFonts w:cstheme="minorHAnsi"/>
          <w:i/>
          <w:sz w:val="24"/>
        </w:rPr>
        <w:t>Child 2a – low engager</w:t>
      </w:r>
    </w:p>
    <w:p w14:paraId="173CF880" w14:textId="340B96AE" w:rsidR="006D3816" w:rsidRDefault="006D3816" w:rsidP="00E26732">
      <w:pPr>
        <w:spacing w:line="360" w:lineRule="auto"/>
        <w:jc w:val="both"/>
        <w:rPr>
          <w:rFonts w:cstheme="minorHAnsi"/>
          <w:sz w:val="24"/>
        </w:rPr>
      </w:pPr>
      <w:r>
        <w:rPr>
          <w:rFonts w:cstheme="minorHAnsi"/>
          <w:sz w:val="24"/>
        </w:rPr>
        <w:t>Child 2a was selected a</w:t>
      </w:r>
      <w:r w:rsidR="00024A8A">
        <w:rPr>
          <w:rFonts w:cstheme="minorHAnsi"/>
          <w:sz w:val="24"/>
        </w:rPr>
        <w:t>s</w:t>
      </w:r>
      <w:r>
        <w:rPr>
          <w:rFonts w:cstheme="minorHAnsi"/>
          <w:sz w:val="24"/>
        </w:rPr>
        <w:t xml:space="preserve"> he has poor concentration and engagement throughout daily lessons. He was given an engagement level 2(low)</w:t>
      </w:r>
      <w:r w:rsidR="00501104">
        <w:rPr>
          <w:rFonts w:cstheme="minorHAnsi"/>
          <w:sz w:val="24"/>
        </w:rPr>
        <w:t xml:space="preserve"> </w:t>
      </w:r>
      <w:r w:rsidR="00E26732">
        <w:rPr>
          <w:rFonts w:cstheme="minorHAnsi"/>
          <w:sz w:val="24"/>
        </w:rPr>
        <w:t>compared to</w:t>
      </w:r>
      <w:r w:rsidR="00501104">
        <w:rPr>
          <w:rFonts w:cstheme="minorHAnsi"/>
          <w:sz w:val="24"/>
        </w:rPr>
        <w:t xml:space="preserve"> the Leuven scale</w:t>
      </w:r>
      <w:r w:rsidR="00E26732">
        <w:rPr>
          <w:rFonts w:cstheme="minorHAnsi"/>
          <w:sz w:val="24"/>
        </w:rPr>
        <w:t xml:space="preserve"> </w:t>
      </w:r>
      <w:r w:rsidR="0069695E" w:rsidRPr="00E26732">
        <w:rPr>
          <w:rFonts w:cstheme="minorHAnsi"/>
          <w:sz w:val="24"/>
        </w:rPr>
        <w:t>(Lavers</w:t>
      </w:r>
      <w:r w:rsidR="00E26732" w:rsidRPr="00E26732">
        <w:rPr>
          <w:rFonts w:cstheme="minorHAnsi"/>
          <w:sz w:val="24"/>
        </w:rPr>
        <w:t>, 1994</w:t>
      </w:r>
      <w:r w:rsidR="0069695E" w:rsidRPr="00E26732">
        <w:rPr>
          <w:rFonts w:cstheme="minorHAnsi"/>
          <w:sz w:val="24"/>
        </w:rPr>
        <w:t>)</w:t>
      </w:r>
      <w:r w:rsidRPr="00E26732">
        <w:rPr>
          <w:rFonts w:cstheme="minorHAnsi"/>
          <w:sz w:val="24"/>
        </w:rPr>
        <w:t xml:space="preserve"> </w:t>
      </w:r>
      <w:r>
        <w:rPr>
          <w:rFonts w:cstheme="minorHAnsi"/>
          <w:sz w:val="24"/>
        </w:rPr>
        <w:t xml:space="preserve">as he was continuously distracted by the cushion and was feeling the bumps with his hands rather than focusing on the lesson. During the lesson, he turned the cushion over multiple times to explore the texture despite being told to choose a side and keep it at that side for the duration of the lesson. Although child 2a was scored as a low he did engage with the lesson for some of the time, he showed interest and engagement with certain slides but was more focused on the features of the slides rather than the content. During the middle of the lesson he announced to the rest of the group that the title slide said “But…” and that it was written in bubble writing. </w:t>
      </w:r>
      <w:r w:rsidR="00CE5DF1">
        <w:rPr>
          <w:rFonts w:cstheme="minorHAnsi"/>
          <w:sz w:val="24"/>
        </w:rPr>
        <w:t xml:space="preserve">Although this is showing some engagement with the PowerPoint slides it is also interrupting the lesson and causing distraction to the group. </w:t>
      </w:r>
      <w:r w:rsidR="00EA5E33">
        <w:rPr>
          <w:rFonts w:cstheme="minorHAnsi"/>
          <w:sz w:val="24"/>
        </w:rPr>
        <w:t>When the teacher was using differentiated questioning with the children, child 2a</w:t>
      </w:r>
      <w:r w:rsidR="00024A8A">
        <w:rPr>
          <w:rFonts w:cstheme="minorHAnsi"/>
          <w:sz w:val="24"/>
        </w:rPr>
        <w:t xml:space="preserve"> showed some engagement when answering them but very little. When he did offer to answer a question posed by the teacher, he went off on a tangent talking about his mother buying him his favourite magazine afterschool. However, i</w:t>
      </w:r>
      <w:r w:rsidR="00CE5DF1">
        <w:rPr>
          <w:rFonts w:cstheme="minorHAnsi"/>
          <w:sz w:val="24"/>
        </w:rPr>
        <w:t>n the middle of the lesson</w:t>
      </w:r>
      <w:r w:rsidR="00024A8A">
        <w:rPr>
          <w:rFonts w:cstheme="minorHAnsi"/>
          <w:sz w:val="24"/>
        </w:rPr>
        <w:t>,</w:t>
      </w:r>
      <w:r w:rsidR="00CE5DF1">
        <w:rPr>
          <w:rFonts w:cstheme="minorHAnsi"/>
          <w:sz w:val="24"/>
        </w:rPr>
        <w:t xml:space="preserve"> child 2a </w:t>
      </w:r>
      <w:r w:rsidR="00EA5E33">
        <w:rPr>
          <w:rFonts w:cstheme="minorHAnsi"/>
          <w:sz w:val="24"/>
        </w:rPr>
        <w:t xml:space="preserve">was expressing his opinion about </w:t>
      </w:r>
      <w:r w:rsidR="00EA5E33">
        <w:rPr>
          <w:rFonts w:cstheme="minorHAnsi"/>
          <w:sz w:val="24"/>
        </w:rPr>
        <w:lastRenderedPageBreak/>
        <w:t xml:space="preserve">a question the teacher had asked but with the pupil next to him, talking over the teacher and his peers’ discussion. This supports how he was ranked as it shows he is frequently interrupting the activity. Additionally, during set time for paired discussion child 2a exhibited little engagement and displayed signs of vacancy. </w:t>
      </w:r>
    </w:p>
    <w:p w14:paraId="4D499EFC" w14:textId="46D70D1C" w:rsidR="00024A8A" w:rsidRDefault="00024A8A" w:rsidP="00EA5E33">
      <w:pPr>
        <w:jc w:val="both"/>
        <w:rPr>
          <w:rFonts w:cstheme="minorHAnsi"/>
          <w:i/>
          <w:sz w:val="24"/>
        </w:rPr>
      </w:pPr>
      <w:r w:rsidRPr="00024A8A">
        <w:rPr>
          <w:rFonts w:cstheme="minorHAnsi"/>
          <w:i/>
          <w:sz w:val="24"/>
        </w:rPr>
        <w:t>Child 3a</w:t>
      </w:r>
    </w:p>
    <w:p w14:paraId="431EC05E" w14:textId="6597989B" w:rsidR="00024A8A" w:rsidRPr="00024A8A" w:rsidRDefault="00024A8A" w:rsidP="005C6A4A">
      <w:pPr>
        <w:spacing w:line="360" w:lineRule="auto"/>
        <w:jc w:val="both"/>
        <w:rPr>
          <w:rFonts w:cstheme="minorHAnsi"/>
          <w:sz w:val="24"/>
        </w:rPr>
      </w:pPr>
      <w:r>
        <w:rPr>
          <w:rFonts w:cstheme="minorHAnsi"/>
          <w:sz w:val="24"/>
        </w:rPr>
        <w:t xml:space="preserve">Child 3a was selected as he has intermediate levels of engagement throughout his daily lessons. He was ranked at a level 3 on the Leuven scale </w:t>
      </w:r>
      <w:r w:rsidRPr="00E26732">
        <w:rPr>
          <w:rFonts w:cstheme="minorHAnsi"/>
          <w:sz w:val="24"/>
        </w:rPr>
        <w:t>(Lavers</w:t>
      </w:r>
      <w:r w:rsidR="00E26732" w:rsidRPr="00E26732">
        <w:rPr>
          <w:rFonts w:cstheme="minorHAnsi"/>
          <w:sz w:val="24"/>
        </w:rPr>
        <w:t>, 1994</w:t>
      </w:r>
      <w:r w:rsidRPr="00E26732">
        <w:rPr>
          <w:rFonts w:cstheme="minorHAnsi"/>
          <w:sz w:val="24"/>
        </w:rPr>
        <w:t xml:space="preserve">) </w:t>
      </w:r>
      <w:r>
        <w:rPr>
          <w:rFonts w:cstheme="minorHAnsi"/>
          <w:sz w:val="24"/>
        </w:rPr>
        <w:t>which shows he ha</w:t>
      </w:r>
      <w:r w:rsidR="00A9481E">
        <w:rPr>
          <w:rFonts w:cstheme="minorHAnsi"/>
          <w:sz w:val="24"/>
        </w:rPr>
        <w:t>d</w:t>
      </w:r>
      <w:r w:rsidR="005C6A4A">
        <w:rPr>
          <w:rFonts w:cstheme="minorHAnsi"/>
          <w:sz w:val="24"/>
        </w:rPr>
        <w:t xml:space="preserve"> a</w:t>
      </w:r>
      <w:r>
        <w:rPr>
          <w:rFonts w:cstheme="minorHAnsi"/>
          <w:sz w:val="24"/>
        </w:rPr>
        <w:t xml:space="preserve"> “moderate” </w:t>
      </w:r>
      <w:r w:rsidR="00A9481E">
        <w:rPr>
          <w:rFonts w:cstheme="minorHAnsi"/>
          <w:sz w:val="24"/>
        </w:rPr>
        <w:t>engagement level. It was observant that child 3a created a lot of movement on the cushion, as well as feeling the bumps, but was still showing signs he was listening and engaging with the lesson</w:t>
      </w:r>
      <w:r w:rsidR="00283030">
        <w:rPr>
          <w:rFonts w:cstheme="minorHAnsi"/>
          <w:sz w:val="24"/>
        </w:rPr>
        <w:t>. H</w:t>
      </w:r>
      <w:r w:rsidR="00A9481E">
        <w:rPr>
          <w:rFonts w:cstheme="minorHAnsi"/>
          <w:sz w:val="24"/>
        </w:rPr>
        <w:t>e was eager to show that he was interested and</w:t>
      </w:r>
      <w:r w:rsidR="00283030">
        <w:rPr>
          <w:rFonts w:cstheme="minorHAnsi"/>
          <w:sz w:val="24"/>
        </w:rPr>
        <w:t xml:space="preserve"> keen to</w:t>
      </w:r>
      <w:r w:rsidR="00A9481E">
        <w:rPr>
          <w:rFonts w:cstheme="minorHAnsi"/>
          <w:sz w:val="24"/>
        </w:rPr>
        <w:t xml:space="preserve"> express his opinions during periods of the lesson. During discussion</w:t>
      </w:r>
      <w:r w:rsidR="006D1133">
        <w:rPr>
          <w:rFonts w:cstheme="minorHAnsi"/>
          <w:sz w:val="24"/>
        </w:rPr>
        <w:t xml:space="preserve"> time</w:t>
      </w:r>
      <w:r w:rsidR="00A9481E">
        <w:rPr>
          <w:rFonts w:cstheme="minorHAnsi"/>
          <w:sz w:val="24"/>
        </w:rPr>
        <w:t xml:space="preserve"> with</w:t>
      </w:r>
      <w:r w:rsidR="006D1133">
        <w:rPr>
          <w:rFonts w:cstheme="minorHAnsi"/>
          <w:sz w:val="24"/>
        </w:rPr>
        <w:t xml:space="preserve"> his</w:t>
      </w:r>
      <w:r w:rsidR="00A9481E">
        <w:rPr>
          <w:rFonts w:cstheme="minorHAnsi"/>
          <w:sz w:val="24"/>
        </w:rPr>
        <w:t xml:space="preserve"> partner</w:t>
      </w:r>
      <w:r w:rsidR="006D1133">
        <w:rPr>
          <w:rFonts w:cstheme="minorHAnsi"/>
          <w:sz w:val="24"/>
        </w:rPr>
        <w:t xml:space="preserve">, </w:t>
      </w:r>
      <w:r w:rsidR="00A9481E">
        <w:rPr>
          <w:rFonts w:cstheme="minorHAnsi"/>
          <w:sz w:val="24"/>
        </w:rPr>
        <w:t>even though he was slightly distracted by the cush</w:t>
      </w:r>
      <w:r w:rsidR="006D1133">
        <w:rPr>
          <w:rFonts w:cstheme="minorHAnsi"/>
          <w:sz w:val="24"/>
        </w:rPr>
        <w:t>ion, child 3a</w:t>
      </w:r>
      <w:r w:rsidR="00A9481E">
        <w:rPr>
          <w:rFonts w:cstheme="minorHAnsi"/>
          <w:sz w:val="24"/>
        </w:rPr>
        <w:t xml:space="preserve"> showed interest throughout and </w:t>
      </w:r>
      <w:r w:rsidR="00283030">
        <w:rPr>
          <w:rFonts w:cstheme="minorHAnsi"/>
          <w:sz w:val="24"/>
        </w:rPr>
        <w:t>was clearly involved</w:t>
      </w:r>
      <w:r w:rsidR="00A9481E">
        <w:rPr>
          <w:rFonts w:cstheme="minorHAnsi"/>
          <w:sz w:val="24"/>
        </w:rPr>
        <w:t>.</w:t>
      </w:r>
      <w:r w:rsidR="006D1133">
        <w:rPr>
          <w:rFonts w:cstheme="minorHAnsi"/>
          <w:sz w:val="24"/>
        </w:rPr>
        <w:t xml:space="preserve"> As the lesson progressed, signs of distraction and low engagement were </w:t>
      </w:r>
      <w:r w:rsidR="00125B0B">
        <w:rPr>
          <w:rFonts w:cstheme="minorHAnsi"/>
          <w:sz w:val="24"/>
        </w:rPr>
        <w:t>vibrant</w:t>
      </w:r>
      <w:r w:rsidR="006D1133">
        <w:rPr>
          <w:rFonts w:cstheme="minorHAnsi"/>
          <w:sz w:val="24"/>
        </w:rPr>
        <w:t>. He lost concentration towards of the lesson but his movement on the cushion seemed to bring his engagement back as h</w:t>
      </w:r>
      <w:r w:rsidR="00B10533">
        <w:rPr>
          <w:rFonts w:cstheme="minorHAnsi"/>
          <w:sz w:val="24"/>
        </w:rPr>
        <w:t>e</w:t>
      </w:r>
      <w:r w:rsidR="006D1133">
        <w:rPr>
          <w:rFonts w:cstheme="minorHAnsi"/>
          <w:sz w:val="24"/>
        </w:rPr>
        <w:t xml:space="preserve"> was able to answer the questions at the plenary of the lesson, these were intentionally used as a</w:t>
      </w:r>
      <w:r w:rsidR="00501104">
        <w:rPr>
          <w:rFonts w:cstheme="minorHAnsi"/>
          <w:sz w:val="24"/>
        </w:rPr>
        <w:t>n</w:t>
      </w:r>
      <w:r w:rsidR="006D1133">
        <w:rPr>
          <w:rFonts w:cstheme="minorHAnsi"/>
          <w:sz w:val="24"/>
        </w:rPr>
        <w:t xml:space="preserve"> AFL strategy to assess his levels of engagement as it was more difficult to rank him. </w:t>
      </w:r>
    </w:p>
    <w:p w14:paraId="7FF5C768" w14:textId="6DA86E55" w:rsidR="00CE5DF1" w:rsidRDefault="00B10533" w:rsidP="005C6A4A">
      <w:pPr>
        <w:spacing w:line="360" w:lineRule="auto"/>
        <w:jc w:val="both"/>
        <w:rPr>
          <w:rFonts w:cstheme="minorHAnsi"/>
          <w:sz w:val="24"/>
        </w:rPr>
      </w:pPr>
      <w:r>
        <w:rPr>
          <w:rFonts w:cstheme="minorHAnsi"/>
          <w:sz w:val="24"/>
        </w:rPr>
        <w:t xml:space="preserve">During reflection, it was evident that the PowerPoint needed editing for the </w:t>
      </w:r>
      <w:r w:rsidR="00EE3C74">
        <w:rPr>
          <w:rFonts w:cstheme="minorHAnsi"/>
          <w:sz w:val="24"/>
        </w:rPr>
        <w:t>future</w:t>
      </w:r>
      <w:r>
        <w:rPr>
          <w:rFonts w:cstheme="minorHAnsi"/>
          <w:sz w:val="24"/>
        </w:rPr>
        <w:t xml:space="preserve"> lesson</w:t>
      </w:r>
      <w:r w:rsidR="00EE3C74">
        <w:rPr>
          <w:rFonts w:cstheme="minorHAnsi"/>
          <w:sz w:val="24"/>
        </w:rPr>
        <w:t>s</w:t>
      </w:r>
      <w:r>
        <w:rPr>
          <w:rFonts w:cstheme="minorHAnsi"/>
          <w:sz w:val="24"/>
        </w:rPr>
        <w:t>. Responses from the children during the interview supported that there was too much text on the PowerPoint and not enough pictures and talk time. Child 2a felt the teacher was “talking a little too much” and that the “middle part of the lesson was boring as there was too much text and not enough pictures” on the slides. This was supported by child 3a who stated there “were a lot of big words which were tricky to read”</w:t>
      </w:r>
      <w:r w:rsidR="00125B0B">
        <w:rPr>
          <w:rFonts w:cstheme="minorHAnsi"/>
          <w:sz w:val="24"/>
        </w:rPr>
        <w:t>.</w:t>
      </w:r>
      <w:r w:rsidR="00AE2A49">
        <w:rPr>
          <w:rFonts w:cstheme="minorHAnsi"/>
          <w:sz w:val="24"/>
        </w:rPr>
        <w:t xml:space="preserve"> For the next lesson, it was decided that I would adapt the Powerpoint by only adding important points and pictures to minimise disruptions and enflame the pupils thinking. We were able to notice that a page of writing with a small picture immediately put them off and as the lesson progressed they started to become distracted and lose focus.  </w:t>
      </w:r>
      <w:r w:rsidR="00B92112">
        <w:rPr>
          <w:rFonts w:cstheme="minorHAnsi"/>
          <w:sz w:val="24"/>
        </w:rPr>
        <w:t xml:space="preserve">We also decided to allow exploration time for the children time to experiment with the wobble cushions before the lesson had started. We felt that if they had a chance to explore both sides of the cushion it would minimise the exploration of them during the lessons which we found caused distractions. </w:t>
      </w:r>
    </w:p>
    <w:p w14:paraId="4FB5D356" w14:textId="19089B06" w:rsidR="008B33F7" w:rsidRDefault="008B33F7" w:rsidP="005C6A4A">
      <w:pPr>
        <w:spacing w:line="360" w:lineRule="auto"/>
        <w:jc w:val="both"/>
        <w:rPr>
          <w:rFonts w:cstheme="minorHAnsi"/>
          <w:sz w:val="24"/>
        </w:rPr>
      </w:pPr>
      <w:r>
        <w:rPr>
          <w:rFonts w:cstheme="minorHAnsi"/>
          <w:sz w:val="24"/>
        </w:rPr>
        <w:lastRenderedPageBreak/>
        <w:t>From this research lesson, it was evident that we needed to make slight modifications to our research tools to make them more effective. The observation schedule was originally printed on an A4 sheet but during the observation of the first research lesson I had to make further notes on the back of the sheet. When analysing we felt it would’ve been better to make another table on the next page clearly stating child 1a,2a and 3a columns so it was cle</w:t>
      </w:r>
      <w:r w:rsidR="00125B0B">
        <w:rPr>
          <w:rFonts w:cstheme="minorHAnsi"/>
          <w:sz w:val="24"/>
        </w:rPr>
        <w:t>arer</w:t>
      </w:r>
      <w:r>
        <w:rPr>
          <w:rFonts w:cstheme="minorHAnsi"/>
          <w:sz w:val="24"/>
        </w:rPr>
        <w:t xml:space="preserve"> and more organised when analysing it. </w:t>
      </w:r>
      <w:r w:rsidR="001B71E7">
        <w:rPr>
          <w:rFonts w:cstheme="minorHAnsi"/>
          <w:sz w:val="24"/>
        </w:rPr>
        <w:t>We also identified that our</w:t>
      </w:r>
      <w:r>
        <w:rPr>
          <w:rFonts w:cstheme="minorHAnsi"/>
          <w:sz w:val="24"/>
        </w:rPr>
        <w:t xml:space="preserve"> interview table needed adapting</w:t>
      </w:r>
      <w:r w:rsidR="001B71E7">
        <w:rPr>
          <w:rFonts w:cstheme="minorHAnsi"/>
          <w:sz w:val="24"/>
        </w:rPr>
        <w:t xml:space="preserve"> as we only had the figures 1-7 written in the box. During the interview, I found it hard to follow the questions and know which box to put them in as the children were naturally flowing into another question. We adapted the interview sheet by replacing the figures with the questions to make the interview notes more effective. Lastly, we decided we would ask the children to go to different areas in the classroom to fill in their sheet stating what they felt happened to their</w:t>
      </w:r>
      <w:r w:rsidR="00DE5E95">
        <w:rPr>
          <w:rFonts w:cstheme="minorHAnsi"/>
          <w:sz w:val="24"/>
        </w:rPr>
        <w:t xml:space="preserve"> concentration</w:t>
      </w:r>
      <w:r w:rsidR="001B71E7">
        <w:rPr>
          <w:rFonts w:cstheme="minorHAnsi"/>
          <w:sz w:val="24"/>
        </w:rPr>
        <w:t xml:space="preserve"> level when sitting on the cushions (see appendix</w:t>
      </w:r>
      <w:r w:rsidR="005C6A4A">
        <w:rPr>
          <w:rFonts w:cstheme="minorHAnsi"/>
          <w:sz w:val="24"/>
        </w:rPr>
        <w:t xml:space="preserve"> C</w:t>
      </w:r>
      <w:r w:rsidR="001B71E7">
        <w:rPr>
          <w:rFonts w:cstheme="minorHAnsi"/>
          <w:sz w:val="24"/>
        </w:rPr>
        <w:t xml:space="preserve">) as we felt it would give us </w:t>
      </w:r>
      <w:r w:rsidR="009F66AB">
        <w:rPr>
          <w:rFonts w:cstheme="minorHAnsi"/>
          <w:sz w:val="24"/>
        </w:rPr>
        <w:t>an</w:t>
      </w:r>
      <w:r w:rsidR="001B71E7">
        <w:rPr>
          <w:rFonts w:cstheme="minorHAnsi"/>
          <w:sz w:val="24"/>
        </w:rPr>
        <w:t xml:space="preserve"> honest and more reliable answer as children tend to copy due to low confidence/wanting to please the teacher.</w:t>
      </w:r>
    </w:p>
    <w:p w14:paraId="6FE9E404" w14:textId="26978CAF" w:rsidR="00B10533" w:rsidRPr="000456AA" w:rsidRDefault="001B71E7" w:rsidP="00B14EBE">
      <w:pPr>
        <w:rPr>
          <w:rFonts w:cstheme="minorHAnsi"/>
          <w:b/>
          <w:sz w:val="24"/>
        </w:rPr>
      </w:pPr>
      <w:r w:rsidRPr="000456AA">
        <w:rPr>
          <w:rFonts w:cstheme="minorHAnsi"/>
          <w:b/>
          <w:sz w:val="24"/>
        </w:rPr>
        <w:t>Lesson Study 2</w:t>
      </w:r>
    </w:p>
    <w:p w14:paraId="30826615" w14:textId="11B897EE" w:rsidR="009F66AB" w:rsidRPr="008C35F8" w:rsidRDefault="009F66AB" w:rsidP="00DE5E95">
      <w:pPr>
        <w:spacing w:line="360" w:lineRule="auto"/>
        <w:jc w:val="both"/>
        <w:rPr>
          <w:rFonts w:cstheme="minorHAnsi"/>
          <w:sz w:val="24"/>
        </w:rPr>
      </w:pPr>
      <w:r>
        <w:rPr>
          <w:rFonts w:cstheme="minorHAnsi"/>
          <w:sz w:val="24"/>
        </w:rPr>
        <w:t xml:space="preserve">In </w:t>
      </w:r>
      <w:r w:rsidR="00DE5E95">
        <w:rPr>
          <w:rFonts w:cstheme="minorHAnsi"/>
          <w:sz w:val="24"/>
        </w:rPr>
        <w:t xml:space="preserve">research </w:t>
      </w:r>
      <w:r>
        <w:rPr>
          <w:rFonts w:cstheme="minorHAnsi"/>
          <w:sz w:val="24"/>
        </w:rPr>
        <w:t>lesson 2 all of the participants met the lesson objective “to show an awareness of internet safety and know when to ask an adult for help”</w:t>
      </w:r>
      <w:r w:rsidR="008C35F8">
        <w:rPr>
          <w:rFonts w:cstheme="minorHAnsi"/>
          <w:sz w:val="24"/>
        </w:rPr>
        <w:t xml:space="preserve"> but did display a lot of low-level disruptions throughout the lesson.</w:t>
      </w:r>
      <w:r>
        <w:rPr>
          <w:rFonts w:cstheme="minorHAnsi"/>
          <w:sz w:val="24"/>
        </w:rPr>
        <w:t xml:space="preserve"> </w:t>
      </w:r>
      <w:r w:rsidR="008C35F8">
        <w:rPr>
          <w:rFonts w:cstheme="minorHAnsi"/>
          <w:sz w:val="24"/>
        </w:rPr>
        <w:t>As the lesson</w:t>
      </w:r>
      <w:r w:rsidR="00125B0B">
        <w:rPr>
          <w:rFonts w:cstheme="minorHAnsi"/>
          <w:sz w:val="24"/>
        </w:rPr>
        <w:t xml:space="preserve"> was taught</w:t>
      </w:r>
      <w:r w:rsidR="008C35F8">
        <w:rPr>
          <w:rFonts w:cstheme="minorHAnsi"/>
          <w:sz w:val="24"/>
        </w:rPr>
        <w:t xml:space="preserve"> in the computer suite, a lot of staff were interrupting using the photocopier which caused the children to become frequently distracted</w:t>
      </w:r>
      <w:r w:rsidR="002F098F">
        <w:rPr>
          <w:rFonts w:cstheme="minorHAnsi"/>
          <w:sz w:val="24"/>
        </w:rPr>
        <w:t xml:space="preserve"> and chatty</w:t>
      </w:r>
      <w:r w:rsidR="008C35F8">
        <w:rPr>
          <w:rFonts w:cstheme="minorHAnsi"/>
          <w:sz w:val="24"/>
        </w:rPr>
        <w:t>.</w:t>
      </w:r>
      <w:r w:rsidR="00125B0B">
        <w:rPr>
          <w:rFonts w:cstheme="minorHAnsi"/>
          <w:sz w:val="24"/>
        </w:rPr>
        <w:t xml:space="preserve"> We felt this may not give us a true reflection of the effectiveness of the wobble cushions. </w:t>
      </w:r>
      <w:r w:rsidR="008C35F8">
        <w:rPr>
          <w:rFonts w:cstheme="minorHAnsi"/>
          <w:sz w:val="24"/>
        </w:rPr>
        <w:t xml:space="preserve">Similar </w:t>
      </w:r>
      <w:r>
        <w:rPr>
          <w:rFonts w:cstheme="minorHAnsi"/>
          <w:sz w:val="24"/>
        </w:rPr>
        <w:t xml:space="preserve">AFL strategies were used such as differentiated questioning to assess their awareness and understanding of cyberbullying and internet </w:t>
      </w:r>
      <w:r w:rsidR="00A33A4D">
        <w:rPr>
          <w:rFonts w:cstheme="minorHAnsi"/>
          <w:sz w:val="24"/>
        </w:rPr>
        <w:t>safety,</w:t>
      </w:r>
      <w:r w:rsidR="00125B0B">
        <w:rPr>
          <w:rFonts w:cstheme="minorHAnsi"/>
          <w:sz w:val="24"/>
        </w:rPr>
        <w:t xml:space="preserve"> but we added a “child plays teacher” as a plenary, a chosen child assessed the rest of the class on key words they should have learnt throughout the lesson</w:t>
      </w:r>
      <w:r>
        <w:rPr>
          <w:rFonts w:cstheme="minorHAnsi"/>
          <w:sz w:val="24"/>
        </w:rPr>
        <w:t xml:space="preserve">. </w:t>
      </w:r>
      <w:r w:rsidR="005C6A4A">
        <w:rPr>
          <w:rFonts w:cstheme="minorHAnsi"/>
          <w:sz w:val="24"/>
        </w:rPr>
        <w:t xml:space="preserve">For the purpose of this essay, children from the second research lesson will be referred to as child 1b, 2b and 3b. </w:t>
      </w:r>
    </w:p>
    <w:p w14:paraId="1592F4E5" w14:textId="04ED4586" w:rsidR="009F66AB" w:rsidRPr="006D3816" w:rsidRDefault="009F66AB" w:rsidP="009F66AB">
      <w:pPr>
        <w:rPr>
          <w:rFonts w:cstheme="minorHAnsi"/>
          <w:i/>
          <w:sz w:val="24"/>
        </w:rPr>
      </w:pPr>
      <w:r w:rsidRPr="006D3816">
        <w:rPr>
          <w:rFonts w:cstheme="minorHAnsi"/>
          <w:i/>
          <w:sz w:val="24"/>
        </w:rPr>
        <w:t>Child 1</w:t>
      </w:r>
      <w:r w:rsidR="002F098F">
        <w:rPr>
          <w:rFonts w:cstheme="minorHAnsi"/>
          <w:i/>
          <w:sz w:val="24"/>
        </w:rPr>
        <w:t>b</w:t>
      </w:r>
      <w:r w:rsidRPr="006D3816">
        <w:rPr>
          <w:rFonts w:cstheme="minorHAnsi"/>
          <w:i/>
          <w:sz w:val="24"/>
        </w:rPr>
        <w:t xml:space="preserve"> – High engager</w:t>
      </w:r>
    </w:p>
    <w:p w14:paraId="196E7053" w14:textId="2F8F651E" w:rsidR="00501104" w:rsidRDefault="009F66AB" w:rsidP="00DE5E95">
      <w:pPr>
        <w:spacing w:line="360" w:lineRule="auto"/>
        <w:jc w:val="both"/>
        <w:rPr>
          <w:rFonts w:cstheme="minorHAnsi"/>
          <w:sz w:val="24"/>
        </w:rPr>
      </w:pPr>
      <w:r>
        <w:rPr>
          <w:rFonts w:cstheme="minorHAnsi"/>
          <w:sz w:val="24"/>
        </w:rPr>
        <w:t>Child 1</w:t>
      </w:r>
      <w:r w:rsidR="002F098F">
        <w:rPr>
          <w:rFonts w:cstheme="minorHAnsi"/>
          <w:sz w:val="24"/>
        </w:rPr>
        <w:t>b</w:t>
      </w:r>
      <w:r>
        <w:rPr>
          <w:rFonts w:cstheme="minorHAnsi"/>
          <w:sz w:val="24"/>
        </w:rPr>
        <w:t xml:space="preserve"> was selected as she had </w:t>
      </w:r>
      <w:r w:rsidR="002F098F">
        <w:rPr>
          <w:rFonts w:cstheme="minorHAnsi"/>
          <w:sz w:val="24"/>
        </w:rPr>
        <w:t xml:space="preserve">high levels of engagement throughout daily lessons but often showed signs of distraction. </w:t>
      </w:r>
      <w:r>
        <w:rPr>
          <w:rFonts w:cstheme="minorHAnsi"/>
          <w:sz w:val="24"/>
        </w:rPr>
        <w:t>She was given an engagement score of level 4</w:t>
      </w:r>
      <w:r w:rsidR="00DE5E95">
        <w:rPr>
          <w:rFonts w:cstheme="minorHAnsi"/>
          <w:sz w:val="24"/>
        </w:rPr>
        <w:t xml:space="preserve"> </w:t>
      </w:r>
      <w:r>
        <w:rPr>
          <w:rFonts w:cstheme="minorHAnsi"/>
          <w:sz w:val="24"/>
        </w:rPr>
        <w:t>(high)</w:t>
      </w:r>
      <w:r w:rsidR="00DE5E95">
        <w:rPr>
          <w:rFonts w:cstheme="minorHAnsi"/>
          <w:sz w:val="24"/>
        </w:rPr>
        <w:t xml:space="preserve"> based on the Leuven scale (Lavers,1994)</w:t>
      </w:r>
      <w:r>
        <w:rPr>
          <w:rFonts w:cstheme="minorHAnsi"/>
          <w:sz w:val="24"/>
        </w:rPr>
        <w:t xml:space="preserve"> </w:t>
      </w:r>
      <w:r w:rsidR="00501104">
        <w:rPr>
          <w:rFonts w:cstheme="minorHAnsi"/>
          <w:sz w:val="24"/>
        </w:rPr>
        <w:t xml:space="preserve">as she showed continuous activity with intense moments of energy, she was always eager to answer questions and </w:t>
      </w:r>
      <w:r w:rsidR="00E42EF0">
        <w:rPr>
          <w:rFonts w:cstheme="minorHAnsi"/>
          <w:sz w:val="24"/>
        </w:rPr>
        <w:t>her</w:t>
      </w:r>
      <w:r w:rsidR="00501104">
        <w:rPr>
          <w:rFonts w:cstheme="minorHAnsi"/>
          <w:sz w:val="24"/>
        </w:rPr>
        <w:t xml:space="preserve"> answers always showed a clear link to the question</w:t>
      </w:r>
      <w:r w:rsidR="00CE1EA4">
        <w:rPr>
          <w:rFonts w:cstheme="minorHAnsi"/>
          <w:sz w:val="24"/>
        </w:rPr>
        <w:t>s asked</w:t>
      </w:r>
      <w:r w:rsidR="00501104">
        <w:rPr>
          <w:rFonts w:cstheme="minorHAnsi"/>
          <w:sz w:val="24"/>
        </w:rPr>
        <w:t>.</w:t>
      </w:r>
      <w:r w:rsidR="00137B7B">
        <w:rPr>
          <w:rFonts w:cstheme="minorHAnsi"/>
          <w:sz w:val="24"/>
        </w:rPr>
        <w:t xml:space="preserve"> Throughout the lesson child 1b was seemingly always engaged </w:t>
      </w:r>
      <w:r w:rsidR="00137B7B">
        <w:rPr>
          <w:rFonts w:cstheme="minorHAnsi"/>
          <w:sz w:val="24"/>
        </w:rPr>
        <w:lastRenderedPageBreak/>
        <w:t xml:space="preserve">but did display moments where she lost concentration. A few minor disruptions exhibited from child 1b as she interrupted the </w:t>
      </w:r>
      <w:r w:rsidR="00D7339A">
        <w:rPr>
          <w:rFonts w:cstheme="minorHAnsi"/>
          <w:sz w:val="24"/>
        </w:rPr>
        <w:t>discussions</w:t>
      </w:r>
      <w:r w:rsidR="00137B7B">
        <w:rPr>
          <w:rFonts w:cstheme="minorHAnsi"/>
          <w:sz w:val="24"/>
        </w:rPr>
        <w:t xml:space="preserve"> a few times and had to be reminded to raise her hand to take turns answering but she would always offer answers to posed questions. Child 1b showed minimal distractions linked to the cushion as she only turned it over to the spikey side once throughout the lesson</w:t>
      </w:r>
      <w:r w:rsidR="00D7339A">
        <w:rPr>
          <w:rFonts w:cstheme="minorHAnsi"/>
          <w:sz w:val="24"/>
        </w:rPr>
        <w:t xml:space="preserve">, she displayed a lot of eye contact towards the teacher which showed </w:t>
      </w:r>
      <w:r w:rsidR="00ED317E">
        <w:rPr>
          <w:rFonts w:cstheme="minorHAnsi"/>
          <w:sz w:val="24"/>
        </w:rPr>
        <w:t>evidence</w:t>
      </w:r>
      <w:r w:rsidR="00D7339A">
        <w:rPr>
          <w:rFonts w:cstheme="minorHAnsi"/>
          <w:sz w:val="24"/>
        </w:rPr>
        <w:t xml:space="preserve"> of continuous engagement.</w:t>
      </w:r>
    </w:p>
    <w:p w14:paraId="48D7C40D" w14:textId="6697FAE4" w:rsidR="00D7339A" w:rsidRDefault="00D7339A" w:rsidP="009F66AB">
      <w:pPr>
        <w:jc w:val="both"/>
        <w:rPr>
          <w:rFonts w:cstheme="minorHAnsi"/>
          <w:i/>
          <w:sz w:val="24"/>
        </w:rPr>
      </w:pPr>
      <w:r w:rsidRPr="00D7339A">
        <w:rPr>
          <w:rFonts w:cstheme="minorHAnsi"/>
          <w:i/>
          <w:sz w:val="24"/>
        </w:rPr>
        <w:t xml:space="preserve">Child 2b – </w:t>
      </w:r>
      <w:r>
        <w:rPr>
          <w:rFonts w:cstheme="minorHAnsi"/>
          <w:i/>
          <w:sz w:val="24"/>
        </w:rPr>
        <w:t>I</w:t>
      </w:r>
      <w:r w:rsidRPr="00D7339A">
        <w:rPr>
          <w:rFonts w:cstheme="minorHAnsi"/>
          <w:i/>
          <w:sz w:val="24"/>
        </w:rPr>
        <w:t>ntermediate engage</w:t>
      </w:r>
      <w:r w:rsidR="002F45C3">
        <w:rPr>
          <w:rFonts w:cstheme="minorHAnsi"/>
          <w:i/>
          <w:sz w:val="24"/>
        </w:rPr>
        <w:t>ment</w:t>
      </w:r>
    </w:p>
    <w:p w14:paraId="7D5B8674" w14:textId="0653F466" w:rsidR="009B4630" w:rsidRDefault="00D7339A" w:rsidP="00DE5E95">
      <w:pPr>
        <w:spacing w:line="360" w:lineRule="auto"/>
        <w:jc w:val="both"/>
        <w:rPr>
          <w:rFonts w:cstheme="minorHAnsi"/>
          <w:sz w:val="24"/>
        </w:rPr>
      </w:pPr>
      <w:r>
        <w:rPr>
          <w:rFonts w:cstheme="minorHAnsi"/>
          <w:sz w:val="24"/>
        </w:rPr>
        <w:t>Child 2</w:t>
      </w:r>
      <w:r w:rsidR="009B4630">
        <w:rPr>
          <w:rFonts w:cstheme="minorHAnsi"/>
          <w:sz w:val="24"/>
        </w:rPr>
        <w:t>b</w:t>
      </w:r>
      <w:r>
        <w:rPr>
          <w:rFonts w:cstheme="minorHAnsi"/>
          <w:sz w:val="24"/>
        </w:rPr>
        <w:t xml:space="preserve"> was selected as he has poor concentration throughout daily lessons but is a member of the higher ability</w:t>
      </w:r>
      <w:r w:rsidR="000F30A0">
        <w:rPr>
          <w:rFonts w:cstheme="minorHAnsi"/>
          <w:sz w:val="24"/>
        </w:rPr>
        <w:t xml:space="preserve"> group</w:t>
      </w:r>
      <w:r>
        <w:rPr>
          <w:rFonts w:cstheme="minorHAnsi"/>
          <w:sz w:val="24"/>
        </w:rPr>
        <w:t>.</w:t>
      </w:r>
      <w:r w:rsidR="000F30A0">
        <w:rPr>
          <w:rFonts w:cstheme="minorHAnsi"/>
          <w:sz w:val="24"/>
        </w:rPr>
        <w:t xml:space="preserve"> </w:t>
      </w:r>
      <w:r w:rsidR="009B4630">
        <w:rPr>
          <w:rFonts w:cstheme="minorHAnsi"/>
          <w:sz w:val="24"/>
        </w:rPr>
        <w:t>We came to</w:t>
      </w:r>
      <w:r w:rsidR="00DE5E95">
        <w:rPr>
          <w:rFonts w:cstheme="minorHAnsi"/>
          <w:sz w:val="24"/>
        </w:rPr>
        <w:t xml:space="preserve"> a</w:t>
      </w:r>
      <w:r w:rsidR="009B4630">
        <w:rPr>
          <w:rFonts w:cstheme="minorHAnsi"/>
          <w:sz w:val="24"/>
        </w:rPr>
        <w:t xml:space="preserve"> conclusion that he</w:t>
      </w:r>
      <w:r>
        <w:rPr>
          <w:rFonts w:cstheme="minorHAnsi"/>
          <w:sz w:val="24"/>
        </w:rPr>
        <w:t xml:space="preserve"> was given an engagement level of 2(low) on the Leuven scale</w:t>
      </w:r>
      <w:r w:rsidR="00DE5E95">
        <w:rPr>
          <w:rFonts w:cstheme="minorHAnsi"/>
          <w:sz w:val="24"/>
        </w:rPr>
        <w:t xml:space="preserve"> </w:t>
      </w:r>
      <w:r w:rsidRPr="00DE5E95">
        <w:rPr>
          <w:rFonts w:cstheme="minorHAnsi"/>
          <w:sz w:val="24"/>
        </w:rPr>
        <w:t>(Lavers</w:t>
      </w:r>
      <w:r w:rsidR="00DE5E95" w:rsidRPr="00DE5E95">
        <w:rPr>
          <w:rFonts w:cstheme="minorHAnsi"/>
          <w:sz w:val="24"/>
        </w:rPr>
        <w:t>, 1994</w:t>
      </w:r>
      <w:r w:rsidRPr="00DE5E95">
        <w:rPr>
          <w:rFonts w:cstheme="minorHAnsi"/>
          <w:sz w:val="24"/>
        </w:rPr>
        <w:t>)</w:t>
      </w:r>
      <w:r>
        <w:rPr>
          <w:rFonts w:cstheme="minorHAnsi"/>
          <w:sz w:val="24"/>
        </w:rPr>
        <w:t xml:space="preserve"> </w:t>
      </w:r>
      <w:r w:rsidR="009B4630">
        <w:rPr>
          <w:rFonts w:cstheme="minorHAnsi"/>
          <w:sz w:val="24"/>
        </w:rPr>
        <w:t xml:space="preserve">which was a difficult decision as he started at level 4(high) </w:t>
      </w:r>
      <w:r w:rsidR="00ED317E">
        <w:rPr>
          <w:rFonts w:cstheme="minorHAnsi"/>
          <w:sz w:val="24"/>
        </w:rPr>
        <w:t>but</w:t>
      </w:r>
      <w:r w:rsidR="009B4630">
        <w:rPr>
          <w:rFonts w:cstheme="minorHAnsi"/>
          <w:sz w:val="24"/>
        </w:rPr>
        <w:t xml:space="preserve"> deteriated down the scale quite quickly. At the start of the lesson, child 2b sat still initially, slowly starting to rock side to side on the wobble cushion. Quite quickly into the lesson he was constantly staring and displayed low energy. During times where AFL questioning strategies</w:t>
      </w:r>
      <w:r w:rsidR="00ED317E">
        <w:rPr>
          <w:rFonts w:cstheme="minorHAnsi"/>
          <w:sz w:val="24"/>
        </w:rPr>
        <w:t xml:space="preserve"> were used</w:t>
      </w:r>
      <w:r w:rsidR="009B4630">
        <w:rPr>
          <w:rFonts w:cstheme="minorHAnsi"/>
          <w:sz w:val="24"/>
        </w:rPr>
        <w:t>, he seemed to be listening as he could answer a couple of the questions but showed few signs of real engagement and interest.</w:t>
      </w:r>
      <w:r w:rsidR="00161CCA">
        <w:rPr>
          <w:rFonts w:cstheme="minorHAnsi"/>
          <w:sz w:val="24"/>
        </w:rPr>
        <w:t xml:space="preserve"> However, when the class</w:t>
      </w:r>
      <w:r w:rsidR="00ED317E">
        <w:rPr>
          <w:rFonts w:cstheme="minorHAnsi"/>
          <w:sz w:val="24"/>
        </w:rPr>
        <w:t xml:space="preserve"> were asked</w:t>
      </w:r>
      <w:r w:rsidR="00161CCA">
        <w:rPr>
          <w:rFonts w:cstheme="minorHAnsi"/>
          <w:sz w:val="24"/>
        </w:rPr>
        <w:t xml:space="preserve"> to sing the internet safety song from a previous lesson to remind </w:t>
      </w:r>
      <w:r w:rsidR="00ED317E">
        <w:rPr>
          <w:rFonts w:cstheme="minorHAnsi"/>
          <w:sz w:val="24"/>
        </w:rPr>
        <w:t>them</w:t>
      </w:r>
      <w:r w:rsidR="00161CCA">
        <w:rPr>
          <w:rFonts w:cstheme="minorHAnsi"/>
          <w:sz w:val="24"/>
        </w:rPr>
        <w:t xml:space="preserve"> of good decision making, he was the first child to sing the song from start to finish!</w:t>
      </w:r>
      <w:r w:rsidR="009B4630">
        <w:rPr>
          <w:rFonts w:cstheme="minorHAnsi"/>
          <w:sz w:val="24"/>
        </w:rPr>
        <w:t xml:space="preserve"> Throughout the duration of the lesson, he was regularly feeling the cushion with his hands and was hesitant in answering questions unless prompted to do so. While asking the children a question to which I required a physical </w:t>
      </w:r>
      <w:r w:rsidR="00161CCA">
        <w:rPr>
          <w:rFonts w:cstheme="minorHAnsi"/>
          <w:sz w:val="24"/>
        </w:rPr>
        <w:t>response</w:t>
      </w:r>
      <w:r w:rsidR="009B4630">
        <w:rPr>
          <w:rFonts w:cstheme="minorHAnsi"/>
          <w:sz w:val="24"/>
        </w:rPr>
        <w:t xml:space="preserve"> to assess their answer, “Hands on your head if you would let a stranger take you to the shop?”, child 2b was very hesitant</w:t>
      </w:r>
      <w:r w:rsidR="00161CCA">
        <w:rPr>
          <w:rFonts w:cstheme="minorHAnsi"/>
          <w:sz w:val="24"/>
        </w:rPr>
        <w:t xml:space="preserve"> to </w:t>
      </w:r>
      <w:r w:rsidR="009B4630">
        <w:rPr>
          <w:rFonts w:cstheme="minorHAnsi"/>
          <w:sz w:val="24"/>
        </w:rPr>
        <w:t>perform</w:t>
      </w:r>
      <w:r w:rsidR="00161CCA">
        <w:rPr>
          <w:rFonts w:cstheme="minorHAnsi"/>
          <w:sz w:val="24"/>
        </w:rPr>
        <w:t xml:space="preserve"> an</w:t>
      </w:r>
      <w:r w:rsidR="009B4630">
        <w:rPr>
          <w:rFonts w:cstheme="minorHAnsi"/>
          <w:sz w:val="24"/>
        </w:rPr>
        <w:t xml:space="preserve"> action looking around to observe what others do before making his decision. By the end of the lesson child 2b was sitting on the edge of the chair, not making contact with the cushion at all. </w:t>
      </w:r>
    </w:p>
    <w:p w14:paraId="560618FD" w14:textId="4359BCA3" w:rsidR="00D7339A" w:rsidRDefault="00161CCA" w:rsidP="009F66AB">
      <w:pPr>
        <w:jc w:val="both"/>
        <w:rPr>
          <w:rFonts w:cstheme="minorHAnsi"/>
          <w:i/>
          <w:sz w:val="24"/>
        </w:rPr>
      </w:pPr>
      <w:r w:rsidRPr="00161CCA">
        <w:rPr>
          <w:rFonts w:cstheme="minorHAnsi"/>
          <w:i/>
          <w:sz w:val="24"/>
        </w:rPr>
        <w:t>Child 3b – Low engage</w:t>
      </w:r>
      <w:r w:rsidR="002F45C3">
        <w:rPr>
          <w:rFonts w:cstheme="minorHAnsi"/>
          <w:i/>
          <w:sz w:val="24"/>
        </w:rPr>
        <w:t>ment</w:t>
      </w:r>
    </w:p>
    <w:p w14:paraId="1600C3F6" w14:textId="096DEE80" w:rsidR="00331283" w:rsidRDefault="002F45C3" w:rsidP="00DE5E95">
      <w:pPr>
        <w:spacing w:line="360" w:lineRule="auto"/>
        <w:jc w:val="both"/>
        <w:rPr>
          <w:rFonts w:cstheme="minorHAnsi"/>
          <w:sz w:val="24"/>
        </w:rPr>
      </w:pPr>
      <w:r>
        <w:rPr>
          <w:rFonts w:cstheme="minorHAnsi"/>
          <w:sz w:val="24"/>
        </w:rPr>
        <w:t xml:space="preserve">Child 3b was chosen as </w:t>
      </w:r>
      <w:r w:rsidR="00331283">
        <w:rPr>
          <w:rFonts w:cstheme="minorHAnsi"/>
          <w:sz w:val="24"/>
        </w:rPr>
        <w:t>the teacher is querying her</w:t>
      </w:r>
      <w:r>
        <w:rPr>
          <w:rFonts w:cstheme="minorHAnsi"/>
          <w:sz w:val="24"/>
        </w:rPr>
        <w:t xml:space="preserve"> being tested for ADD</w:t>
      </w:r>
      <w:r w:rsidR="00331283">
        <w:rPr>
          <w:rFonts w:cstheme="minorHAnsi"/>
          <w:sz w:val="24"/>
        </w:rPr>
        <w:t>, the</w:t>
      </w:r>
      <w:r>
        <w:rPr>
          <w:rFonts w:cstheme="minorHAnsi"/>
          <w:sz w:val="24"/>
        </w:rPr>
        <w:t xml:space="preserve"> teacher is questioning </w:t>
      </w:r>
      <w:r w:rsidR="00331283">
        <w:rPr>
          <w:rFonts w:cstheme="minorHAnsi"/>
          <w:sz w:val="24"/>
        </w:rPr>
        <w:t xml:space="preserve">her </w:t>
      </w:r>
      <w:r>
        <w:rPr>
          <w:rFonts w:cstheme="minorHAnsi"/>
          <w:sz w:val="24"/>
        </w:rPr>
        <w:t xml:space="preserve">severe low concentration levels which is affecting her ability level. She is an able child, but the class teacher stated </w:t>
      </w:r>
      <w:r w:rsidR="00331283">
        <w:rPr>
          <w:rFonts w:cstheme="minorHAnsi"/>
          <w:sz w:val="24"/>
        </w:rPr>
        <w:t xml:space="preserve">that </w:t>
      </w:r>
      <w:r>
        <w:rPr>
          <w:rFonts w:cstheme="minorHAnsi"/>
          <w:sz w:val="24"/>
        </w:rPr>
        <w:t>she finds it</w:t>
      </w:r>
      <w:r w:rsidR="00331283">
        <w:rPr>
          <w:rFonts w:cstheme="minorHAnsi"/>
          <w:sz w:val="24"/>
        </w:rPr>
        <w:t xml:space="preserve"> extremely</w:t>
      </w:r>
      <w:r>
        <w:rPr>
          <w:rFonts w:cstheme="minorHAnsi"/>
          <w:sz w:val="24"/>
        </w:rPr>
        <w:t xml:space="preserve"> difficult to assess whether she can or can’t do something based on child 3b rushing to complete the level with minimal effort. She was ranked as level </w:t>
      </w:r>
      <w:r w:rsidR="00B94B62">
        <w:rPr>
          <w:rFonts w:cstheme="minorHAnsi"/>
          <w:sz w:val="24"/>
        </w:rPr>
        <w:t>2</w:t>
      </w:r>
      <w:r>
        <w:rPr>
          <w:rFonts w:cstheme="minorHAnsi"/>
          <w:sz w:val="24"/>
        </w:rPr>
        <w:t xml:space="preserve">(low) on the Leuven scale </w:t>
      </w:r>
      <w:r w:rsidRPr="00DE5E95">
        <w:rPr>
          <w:rFonts w:cstheme="minorHAnsi"/>
          <w:sz w:val="24"/>
        </w:rPr>
        <w:t>(Lavers</w:t>
      </w:r>
      <w:r w:rsidR="00DE5E95" w:rsidRPr="00DE5E95">
        <w:rPr>
          <w:rFonts w:cstheme="minorHAnsi"/>
          <w:sz w:val="24"/>
        </w:rPr>
        <w:t>, 1994</w:t>
      </w:r>
      <w:r w:rsidRPr="00DE5E95">
        <w:rPr>
          <w:rFonts w:cstheme="minorHAnsi"/>
          <w:sz w:val="24"/>
        </w:rPr>
        <w:t xml:space="preserve">) </w:t>
      </w:r>
      <w:r>
        <w:rPr>
          <w:rFonts w:cstheme="minorHAnsi"/>
          <w:sz w:val="24"/>
        </w:rPr>
        <w:t>because even though she is involved in the lesson she</w:t>
      </w:r>
      <w:r w:rsidR="00331283">
        <w:rPr>
          <w:rFonts w:cstheme="minorHAnsi"/>
          <w:sz w:val="24"/>
        </w:rPr>
        <w:t xml:space="preserve"> continuously</w:t>
      </w:r>
      <w:r>
        <w:rPr>
          <w:rFonts w:cstheme="minorHAnsi"/>
          <w:sz w:val="24"/>
        </w:rPr>
        <w:t xml:space="preserve"> causes mi</w:t>
      </w:r>
      <w:r w:rsidR="00331283">
        <w:rPr>
          <w:rFonts w:cstheme="minorHAnsi"/>
          <w:sz w:val="24"/>
        </w:rPr>
        <w:t>nor</w:t>
      </w:r>
      <w:r>
        <w:rPr>
          <w:rFonts w:cstheme="minorHAnsi"/>
          <w:sz w:val="24"/>
        </w:rPr>
        <w:t xml:space="preserve"> disruptions</w:t>
      </w:r>
      <w:r w:rsidR="008F6C28">
        <w:rPr>
          <w:rFonts w:cstheme="minorHAnsi"/>
          <w:sz w:val="24"/>
        </w:rPr>
        <w:t xml:space="preserve">. At the start of the </w:t>
      </w:r>
      <w:r w:rsidR="008F6C28">
        <w:rPr>
          <w:rFonts w:cstheme="minorHAnsi"/>
          <w:sz w:val="24"/>
        </w:rPr>
        <w:lastRenderedPageBreak/>
        <w:t xml:space="preserve">lesson, child 3b was able to sit still for approximately 5 minutes, answering questions and showing interest. A short period later she was continuously moving on the cushion, </w:t>
      </w:r>
      <w:r w:rsidR="00331283">
        <w:rPr>
          <w:rFonts w:cstheme="minorHAnsi"/>
          <w:sz w:val="24"/>
        </w:rPr>
        <w:t xml:space="preserve">often </w:t>
      </w:r>
      <w:r w:rsidR="008F6C28">
        <w:rPr>
          <w:rFonts w:cstheme="minorHAnsi"/>
          <w:sz w:val="24"/>
        </w:rPr>
        <w:t xml:space="preserve">standing up and sitting down. She is extremely eager to answer questions but tends to ramble taking a very long time to get to the actual answer. As the lesson went on, child 3b was rocking all the way forward, applying her head between her knees but constantly feeling the cushion with her hand throughout. </w:t>
      </w:r>
      <w:r w:rsidR="00265554">
        <w:rPr>
          <w:rFonts w:cstheme="minorHAnsi"/>
          <w:sz w:val="24"/>
        </w:rPr>
        <w:t xml:space="preserve">She showed engagement for some of the time but was </w:t>
      </w:r>
      <w:r w:rsidR="00ED317E">
        <w:rPr>
          <w:rFonts w:cstheme="minorHAnsi"/>
          <w:sz w:val="24"/>
        </w:rPr>
        <w:t>continuously</w:t>
      </w:r>
      <w:r w:rsidR="00265554">
        <w:rPr>
          <w:rFonts w:cstheme="minorHAnsi"/>
          <w:sz w:val="24"/>
        </w:rPr>
        <w:t xml:space="preserve"> shouting </w:t>
      </w:r>
      <w:r w:rsidR="00ED317E">
        <w:rPr>
          <w:rFonts w:cstheme="minorHAnsi"/>
          <w:sz w:val="24"/>
        </w:rPr>
        <w:t xml:space="preserve">out </w:t>
      </w:r>
      <w:r w:rsidR="00265554">
        <w:rPr>
          <w:rFonts w:cstheme="minorHAnsi"/>
          <w:sz w:val="24"/>
        </w:rPr>
        <w:t>answer, even if there</w:t>
      </w:r>
      <w:bookmarkStart w:id="3" w:name="_GoBack"/>
      <w:bookmarkEnd w:id="3"/>
      <w:r w:rsidR="00265554">
        <w:rPr>
          <w:rFonts w:cstheme="minorHAnsi"/>
          <w:sz w:val="24"/>
        </w:rPr>
        <w:t xml:space="preserve"> was no reasoning to her answer, she just wanted to express something</w:t>
      </w:r>
      <w:r w:rsidR="00ED317E">
        <w:rPr>
          <w:rFonts w:cstheme="minorHAnsi"/>
          <w:sz w:val="24"/>
        </w:rPr>
        <w:t>.</w:t>
      </w:r>
      <w:r w:rsidR="00265554">
        <w:rPr>
          <w:rFonts w:cstheme="minorHAnsi"/>
          <w:sz w:val="24"/>
        </w:rPr>
        <w:t xml:space="preserve"> Frequent disruptions were made throughout the lesson by child 3b and she tends to dominate the lesson as she continuously needs to be told to sit properly and allow others t</w:t>
      </w:r>
      <w:r w:rsidR="008E25F7">
        <w:rPr>
          <w:rFonts w:cstheme="minorHAnsi"/>
          <w:sz w:val="24"/>
        </w:rPr>
        <w:t>o</w:t>
      </w:r>
      <w:r w:rsidR="00265554">
        <w:rPr>
          <w:rFonts w:cstheme="minorHAnsi"/>
          <w:sz w:val="24"/>
        </w:rPr>
        <w:t xml:space="preserve"> speak without speaking over them. During the latter stages of the lesson, child 3b was standing up</w:t>
      </w:r>
      <w:r w:rsidR="00ED317E">
        <w:rPr>
          <w:rFonts w:cstheme="minorHAnsi"/>
          <w:sz w:val="24"/>
        </w:rPr>
        <w:t>,</w:t>
      </w:r>
      <w:r w:rsidR="00265554">
        <w:rPr>
          <w:rFonts w:cstheme="minorHAnsi"/>
          <w:sz w:val="24"/>
        </w:rPr>
        <w:t xml:space="preserve"> sitting down and removing her feet from the floor. She was showing signs of continuous movement and ended the lesson by crouching on the floor. Although she seemed distracted throughout she showed signs of engagements during periods of the lessons as she answered some really good questions!</w:t>
      </w:r>
    </w:p>
    <w:p w14:paraId="556A4E14" w14:textId="0D82CCD6" w:rsidR="000456AA" w:rsidRPr="000456AA" w:rsidRDefault="00B94B62" w:rsidP="00EE3C74">
      <w:pPr>
        <w:spacing w:line="360" w:lineRule="auto"/>
        <w:jc w:val="both"/>
        <w:rPr>
          <w:rFonts w:cstheme="minorHAnsi"/>
          <w:sz w:val="24"/>
        </w:rPr>
      </w:pPr>
      <w:r>
        <w:rPr>
          <w:rFonts w:cstheme="minorHAnsi"/>
          <w:sz w:val="24"/>
        </w:rPr>
        <w:t>During our reflection and analysis, although stated by the children that “nothing needed to be changed”</w:t>
      </w:r>
      <w:r w:rsidR="00883A4E">
        <w:rPr>
          <w:rFonts w:cstheme="minorHAnsi"/>
          <w:sz w:val="24"/>
        </w:rPr>
        <w:t>,</w:t>
      </w:r>
      <w:r w:rsidR="00DE5E95">
        <w:rPr>
          <w:rFonts w:cstheme="minorHAnsi"/>
          <w:sz w:val="24"/>
        </w:rPr>
        <w:t xml:space="preserve"> </w:t>
      </w:r>
      <w:r w:rsidR="00883A4E">
        <w:rPr>
          <w:rFonts w:cstheme="minorHAnsi"/>
          <w:sz w:val="24"/>
        </w:rPr>
        <w:t>w</w:t>
      </w:r>
      <w:r>
        <w:rPr>
          <w:rFonts w:cstheme="minorHAnsi"/>
          <w:sz w:val="24"/>
        </w:rPr>
        <w:t xml:space="preserve">e came to the conclusion that </w:t>
      </w:r>
      <w:r w:rsidR="00DE5E95">
        <w:rPr>
          <w:rFonts w:cstheme="minorHAnsi"/>
          <w:sz w:val="24"/>
        </w:rPr>
        <w:t>for future planning, i</w:t>
      </w:r>
      <w:r>
        <w:rPr>
          <w:rFonts w:cstheme="minorHAnsi"/>
          <w:sz w:val="24"/>
        </w:rPr>
        <w:t xml:space="preserve">t would be useful to group the children using ability groups as some of the higher ability and more confident children dominated the lessons questions. I would also pilot using wobble cushions in previous </w:t>
      </w:r>
      <w:r w:rsidR="00DE5E95">
        <w:rPr>
          <w:rFonts w:cstheme="minorHAnsi"/>
          <w:sz w:val="24"/>
        </w:rPr>
        <w:t>lessons,</w:t>
      </w:r>
      <w:r>
        <w:rPr>
          <w:rFonts w:cstheme="minorHAnsi"/>
          <w:sz w:val="24"/>
        </w:rPr>
        <w:t xml:space="preserve"> so the</w:t>
      </w:r>
      <w:r w:rsidR="00ED317E">
        <w:rPr>
          <w:rFonts w:cstheme="minorHAnsi"/>
          <w:sz w:val="24"/>
        </w:rPr>
        <w:t xml:space="preserve">y are no longer a novelty </w:t>
      </w:r>
      <w:r>
        <w:rPr>
          <w:rFonts w:cstheme="minorHAnsi"/>
          <w:sz w:val="24"/>
        </w:rPr>
        <w:t xml:space="preserve">to </w:t>
      </w:r>
      <w:r w:rsidR="00ED317E">
        <w:rPr>
          <w:rFonts w:cstheme="minorHAnsi"/>
          <w:sz w:val="24"/>
        </w:rPr>
        <w:t>the children</w:t>
      </w:r>
      <w:r>
        <w:rPr>
          <w:rFonts w:cstheme="minorHAnsi"/>
          <w:sz w:val="24"/>
        </w:rPr>
        <w:t xml:space="preserve">. Although we gave them time to explore and climatise to them it still seemed to be a novelty to the children as they hadn’t experienced using them before. This would help to minimise distractions and improve the engagement of the children. Communication with school staff members would be key as I felt continuous disruptions from staff using the photocopier caused added problems, the children were more focused on the photocopier than the actual lesson which lowered the chance of them focusing and engaging. </w:t>
      </w:r>
    </w:p>
    <w:p w14:paraId="36DD2991" w14:textId="72EBD1B4" w:rsidR="004461A5" w:rsidRDefault="004461A5" w:rsidP="00EE3C74">
      <w:pPr>
        <w:spacing w:line="360" w:lineRule="auto"/>
        <w:jc w:val="both"/>
        <w:rPr>
          <w:sz w:val="24"/>
        </w:rPr>
      </w:pPr>
      <w:r>
        <w:rPr>
          <w:sz w:val="24"/>
        </w:rPr>
        <w:t xml:space="preserve">As discussed above in the literature review </w:t>
      </w:r>
      <w:r w:rsidRPr="004461A5">
        <w:rPr>
          <w:sz w:val="24"/>
        </w:rPr>
        <w:t>Schilling et al (2003)</w:t>
      </w:r>
      <w:r>
        <w:rPr>
          <w:sz w:val="24"/>
        </w:rPr>
        <w:t xml:space="preserve"> stated that the observation of children’s behaviour when using alternative seating needs to</w:t>
      </w:r>
      <w:r w:rsidR="001F5A00">
        <w:rPr>
          <w:sz w:val="24"/>
        </w:rPr>
        <w:t xml:space="preserve"> be</w:t>
      </w:r>
      <w:r>
        <w:rPr>
          <w:sz w:val="24"/>
        </w:rPr>
        <w:t xml:space="preserve"> carried out over a longer length study as children may display problematic behaviour due to exploration.</w:t>
      </w:r>
      <w:r w:rsidR="00BA4A67">
        <w:rPr>
          <w:sz w:val="24"/>
        </w:rPr>
        <w:t xml:space="preserve"> From our results and analysis, we found that this was true. The children needed time to climitise and explore the cushions for a longer period of time which is why using a pilot study was addressed as a recommendation for future lesson studies. The term ‘pilot study’ refers to a </w:t>
      </w:r>
      <w:r w:rsidR="00BA4A67">
        <w:rPr>
          <w:sz w:val="24"/>
        </w:rPr>
        <w:lastRenderedPageBreak/>
        <w:t xml:space="preserve">smaller version of the full-scale study where the testing of a specific instrument is </w:t>
      </w:r>
      <w:r w:rsidR="00FE694B">
        <w:rPr>
          <w:sz w:val="24"/>
        </w:rPr>
        <w:t xml:space="preserve">explored </w:t>
      </w:r>
      <w:r w:rsidR="00FE694B" w:rsidRPr="00FE694B">
        <w:rPr>
          <w:sz w:val="24"/>
        </w:rPr>
        <w:t>(Teijlingen and Hundley, 2002)</w:t>
      </w:r>
      <w:r w:rsidR="00FE694B">
        <w:rPr>
          <w:sz w:val="24"/>
        </w:rPr>
        <w:t xml:space="preserve"> </w:t>
      </w:r>
      <w:r w:rsidR="00BA4A67">
        <w:rPr>
          <w:sz w:val="24"/>
        </w:rPr>
        <w:t xml:space="preserve">in our case the air-filled wobble cushions. </w:t>
      </w:r>
      <w:r w:rsidR="00CE5054">
        <w:rPr>
          <w:sz w:val="24"/>
        </w:rPr>
        <w:t xml:space="preserve">Research from the literature review by </w:t>
      </w:r>
      <w:r w:rsidR="00FE694B" w:rsidRPr="00FE694B">
        <w:rPr>
          <w:rFonts w:ascii="Calibri" w:hAnsi="Calibri" w:cs="Calibri"/>
          <w:color w:val="000000"/>
          <w:sz w:val="24"/>
          <w:szCs w:val="20"/>
          <w:shd w:val="clear" w:color="auto" w:fill="FFFFFF"/>
        </w:rPr>
        <w:t>Burgoyne and Ketcham (2015)</w:t>
      </w:r>
      <w:r w:rsidR="00FE694B">
        <w:rPr>
          <w:rFonts w:ascii="Calibri" w:hAnsi="Calibri" w:cs="Calibri"/>
          <w:color w:val="000000"/>
          <w:sz w:val="24"/>
          <w:szCs w:val="20"/>
          <w:shd w:val="clear" w:color="auto" w:fill="FFFFFF"/>
        </w:rPr>
        <w:t xml:space="preserve"> </w:t>
      </w:r>
      <w:r w:rsidR="00CE5054">
        <w:rPr>
          <w:rFonts w:ascii="Calibri" w:hAnsi="Calibri" w:cs="Calibri"/>
          <w:color w:val="000000"/>
          <w:sz w:val="24"/>
          <w:szCs w:val="20"/>
          <w:shd w:val="clear" w:color="auto" w:fill="FFFFFF"/>
        </w:rPr>
        <w:t xml:space="preserve">explained </w:t>
      </w:r>
      <w:r w:rsidR="00FE694B">
        <w:rPr>
          <w:sz w:val="24"/>
        </w:rPr>
        <w:t>that the</w:t>
      </w:r>
      <w:r w:rsidR="00FE694B" w:rsidRPr="00E11BE9">
        <w:rPr>
          <w:sz w:val="24"/>
        </w:rPr>
        <w:t xml:space="preserve"> brain</w:t>
      </w:r>
      <w:r w:rsidR="00FE694B">
        <w:rPr>
          <w:sz w:val="24"/>
        </w:rPr>
        <w:t xml:space="preserve"> is</w:t>
      </w:r>
      <w:r w:rsidR="00FE694B" w:rsidRPr="00E11BE9">
        <w:rPr>
          <w:sz w:val="24"/>
        </w:rPr>
        <w:t xml:space="preserve"> continuously receiv</w:t>
      </w:r>
      <w:r w:rsidR="00FE694B">
        <w:rPr>
          <w:sz w:val="24"/>
        </w:rPr>
        <w:t>ing</w:t>
      </w:r>
      <w:r w:rsidR="00FE694B" w:rsidRPr="00E11BE9">
        <w:rPr>
          <w:sz w:val="24"/>
        </w:rPr>
        <w:t xml:space="preserve"> sensory information from the environment</w:t>
      </w:r>
      <w:r w:rsidR="00FE694B">
        <w:rPr>
          <w:sz w:val="24"/>
        </w:rPr>
        <w:t xml:space="preserve"> and its surroundings</w:t>
      </w:r>
      <w:r w:rsidR="00CE5054">
        <w:rPr>
          <w:sz w:val="24"/>
        </w:rPr>
        <w:t xml:space="preserve"> but it</w:t>
      </w:r>
      <w:r w:rsidR="00ED317E">
        <w:rPr>
          <w:sz w:val="24"/>
        </w:rPr>
        <w:t xml:space="preserve"> i</w:t>
      </w:r>
      <w:r w:rsidR="00CE5054">
        <w:rPr>
          <w:sz w:val="24"/>
        </w:rPr>
        <w:t xml:space="preserve">s up to the brain to process it and decide the appropriate response, we found this evident throughout the second research lesson as child 2b and 3b were </w:t>
      </w:r>
      <w:r w:rsidR="00D85BBC">
        <w:rPr>
          <w:sz w:val="24"/>
        </w:rPr>
        <w:t xml:space="preserve">enjoying the sensory process at the start of the lesson and seemed really engaged however after a short period of time they soon became distracted and </w:t>
      </w:r>
      <w:r w:rsidR="001D45EC">
        <w:rPr>
          <w:sz w:val="24"/>
        </w:rPr>
        <w:t>started displaying</w:t>
      </w:r>
      <w:r w:rsidR="00D85BBC">
        <w:rPr>
          <w:sz w:val="24"/>
        </w:rPr>
        <w:t xml:space="preserve"> signs of low engagement</w:t>
      </w:r>
      <w:r w:rsidR="001D45EC">
        <w:rPr>
          <w:sz w:val="24"/>
        </w:rPr>
        <w:t>, however this could’ve been to do with the distraction of the photocopier</w:t>
      </w:r>
      <w:r w:rsidR="00D85BBC">
        <w:rPr>
          <w:sz w:val="24"/>
        </w:rPr>
        <w:t xml:space="preserve">. Observations of the whole lesson study highlighted that the air-filled wobble cushions helped to stimulate a number of children and develop their engagement throughout the lesson, however, results and analysis from the focus children identified that the novelty of the seating supported the children’s engagement for periods of the </w:t>
      </w:r>
      <w:r w:rsidR="001854CA">
        <w:rPr>
          <w:sz w:val="24"/>
        </w:rPr>
        <w:t>lesson,</w:t>
      </w:r>
      <w:r w:rsidR="00D85BBC">
        <w:rPr>
          <w:sz w:val="24"/>
        </w:rPr>
        <w:t xml:space="preserve"> but the novelty soon wore off with a number of children. The results and analysis supported a study mentioned in the literature review by </w:t>
      </w:r>
      <w:r w:rsidR="001854CA">
        <w:rPr>
          <w:sz w:val="24"/>
        </w:rPr>
        <w:t>Krombach</w:t>
      </w:r>
      <w:r w:rsidR="004E5669">
        <w:rPr>
          <w:sz w:val="24"/>
        </w:rPr>
        <w:t xml:space="preserve"> </w:t>
      </w:r>
      <w:r w:rsidR="00D85BBC">
        <w:rPr>
          <w:sz w:val="24"/>
        </w:rPr>
        <w:t>(2016) by addressing that alternative seating wi</w:t>
      </w:r>
      <w:r w:rsidR="001D45EC">
        <w:rPr>
          <w:sz w:val="24"/>
        </w:rPr>
        <w:t>ll</w:t>
      </w:r>
      <w:r w:rsidR="00D85BBC">
        <w:rPr>
          <w:sz w:val="24"/>
        </w:rPr>
        <w:t xml:space="preserve"> help the children to engage while the instrument is unfamiliar. We found this statement true as disengagement re-emerged after a short period of time</w:t>
      </w:r>
      <w:r w:rsidR="004E5669">
        <w:rPr>
          <w:sz w:val="24"/>
        </w:rPr>
        <w:t xml:space="preserve"> for some children which makes it evident t</w:t>
      </w:r>
      <w:r w:rsidR="00D85BBC">
        <w:rPr>
          <w:sz w:val="24"/>
        </w:rPr>
        <w:t xml:space="preserve">he cushions didn’t fully arouse them. </w:t>
      </w:r>
    </w:p>
    <w:p w14:paraId="588325A7" w14:textId="05353D62" w:rsidR="004E5669" w:rsidRDefault="004E5669" w:rsidP="00EE3C74">
      <w:pPr>
        <w:spacing w:line="360" w:lineRule="auto"/>
        <w:jc w:val="both"/>
        <w:rPr>
          <w:sz w:val="24"/>
        </w:rPr>
      </w:pPr>
      <w:r>
        <w:rPr>
          <w:sz w:val="24"/>
        </w:rPr>
        <w:t xml:space="preserve">Linking findings to literature helped us to become aware that the children would need to familiarise themselves with the air-filled wobble cushions during piloting sessions before further research was undertaken. Discussions with the teacher after the lesson allowed her to </w:t>
      </w:r>
      <w:r w:rsidR="00ED317E">
        <w:rPr>
          <w:sz w:val="24"/>
        </w:rPr>
        <w:t>recognise</w:t>
      </w:r>
      <w:r>
        <w:rPr>
          <w:sz w:val="24"/>
        </w:rPr>
        <w:t xml:space="preserve"> the effects of air-filled wobble cushions and gave her the desire to try them out with a variety of children that struggle with low concentration/engagement during carpet time. </w:t>
      </w:r>
      <w:r w:rsidR="001D45EC">
        <w:rPr>
          <w:sz w:val="24"/>
        </w:rPr>
        <w:t xml:space="preserve">It was evident that across both research lessons the children who didn’t seem effected by the use of the wobble cushions were the two higher ability children (child 1a and </w:t>
      </w:r>
      <w:r w:rsidR="00ED317E">
        <w:rPr>
          <w:sz w:val="24"/>
        </w:rPr>
        <w:t>1b</w:t>
      </w:r>
      <w:r w:rsidR="001D45EC">
        <w:rPr>
          <w:sz w:val="24"/>
        </w:rPr>
        <w:t xml:space="preserve">), this could be because </w:t>
      </w:r>
      <w:r w:rsidR="006C600E">
        <w:rPr>
          <w:sz w:val="24"/>
        </w:rPr>
        <w:t>they</w:t>
      </w:r>
      <w:r w:rsidR="001D45EC">
        <w:rPr>
          <w:sz w:val="24"/>
        </w:rPr>
        <w:t xml:space="preserve"> don’t feel the need for sensory stimulation in order to concentrate/engage.</w:t>
      </w:r>
      <w:r w:rsidR="006A0FA6">
        <w:rPr>
          <w:sz w:val="24"/>
        </w:rPr>
        <w:t xml:space="preserve"> </w:t>
      </w:r>
      <w:r w:rsidR="006C600E">
        <w:rPr>
          <w:sz w:val="24"/>
        </w:rPr>
        <w:t xml:space="preserve">However, it was clear that all children are different as child 2b and 2c are also higher achievers but lack concentration and engagement during lessons. </w:t>
      </w:r>
      <w:r w:rsidR="006A0FA6" w:rsidRPr="006A0FA6">
        <w:rPr>
          <w:sz w:val="24"/>
          <w:szCs w:val="24"/>
        </w:rPr>
        <w:t>Research</w:t>
      </w:r>
      <w:r w:rsidR="006A0FA6">
        <w:rPr>
          <w:sz w:val="24"/>
          <w:szCs w:val="24"/>
        </w:rPr>
        <w:t xml:space="preserve"> linked to the literature review</w:t>
      </w:r>
      <w:r w:rsidR="006A0FA6" w:rsidRPr="006A0FA6">
        <w:rPr>
          <w:sz w:val="24"/>
          <w:szCs w:val="24"/>
        </w:rPr>
        <w:t xml:space="preserve"> from Umeda and Deitz (2011) </w:t>
      </w:r>
      <w:r w:rsidR="006A0FA6">
        <w:rPr>
          <w:sz w:val="24"/>
          <w:szCs w:val="24"/>
        </w:rPr>
        <w:t>indicate</w:t>
      </w:r>
      <w:r w:rsidR="006A0FA6" w:rsidRPr="006A0FA6">
        <w:rPr>
          <w:sz w:val="24"/>
          <w:szCs w:val="24"/>
        </w:rPr>
        <w:t xml:space="preserve"> that during a study using air-filled wobble cushions with two children who have ASD</w:t>
      </w:r>
      <w:r w:rsidR="006A0FA6">
        <w:rPr>
          <w:sz w:val="24"/>
          <w:szCs w:val="24"/>
        </w:rPr>
        <w:t xml:space="preserve">, </w:t>
      </w:r>
      <w:r w:rsidR="006A0FA6" w:rsidRPr="006A0FA6">
        <w:rPr>
          <w:sz w:val="24"/>
        </w:rPr>
        <w:t>the results did not reveal substantial changes in sitting or task-related behavio</w:t>
      </w:r>
      <w:r w:rsidR="006A0FA6">
        <w:rPr>
          <w:sz w:val="24"/>
        </w:rPr>
        <w:t>u</w:t>
      </w:r>
      <w:r w:rsidR="006A0FA6" w:rsidRPr="006A0FA6">
        <w:rPr>
          <w:sz w:val="24"/>
        </w:rPr>
        <w:t>r for either study participant when seated on cushions</w:t>
      </w:r>
      <w:r w:rsidR="006A0FA6">
        <w:rPr>
          <w:sz w:val="24"/>
        </w:rPr>
        <w:t xml:space="preserve"> which is comparable to our study results. Although it held two low </w:t>
      </w:r>
      <w:r w:rsidR="006A0FA6">
        <w:rPr>
          <w:sz w:val="24"/>
        </w:rPr>
        <w:lastRenderedPageBreak/>
        <w:t xml:space="preserve">engaging children’s motivation for a short period, overall it didn’t change their ‘normal’ classroom engagement levels if anything it caused some children more vacant periods as they were </w:t>
      </w:r>
      <w:r w:rsidR="00ED317E">
        <w:rPr>
          <w:sz w:val="24"/>
        </w:rPr>
        <w:t>seemed over-</w:t>
      </w:r>
      <w:r w:rsidR="006A0FA6">
        <w:rPr>
          <w:sz w:val="24"/>
        </w:rPr>
        <w:t xml:space="preserve">stimulated. </w:t>
      </w:r>
      <w:r w:rsidR="006A0FA6" w:rsidRPr="0027162C">
        <w:rPr>
          <w:sz w:val="24"/>
          <w:szCs w:val="24"/>
        </w:rPr>
        <w:t>It is said that therapy cushions possible lack a quality that is unique to therapy balls. Wobble cushions are placed on the seat of standard chairs, preserving a relatively stable seating surface</w:t>
      </w:r>
      <w:r w:rsidR="00073A40">
        <w:rPr>
          <w:sz w:val="24"/>
          <w:szCs w:val="24"/>
        </w:rPr>
        <w:t>, u</w:t>
      </w:r>
      <w:r w:rsidR="006A0FA6" w:rsidRPr="0027162C">
        <w:rPr>
          <w:sz w:val="24"/>
          <w:szCs w:val="24"/>
        </w:rPr>
        <w:t>nlike cushions,</w:t>
      </w:r>
      <w:r w:rsidR="00073A40">
        <w:rPr>
          <w:sz w:val="24"/>
          <w:szCs w:val="24"/>
        </w:rPr>
        <w:t xml:space="preserve"> the therapy</w:t>
      </w:r>
      <w:r w:rsidR="006A0FA6" w:rsidRPr="0027162C">
        <w:rPr>
          <w:sz w:val="24"/>
          <w:szCs w:val="24"/>
        </w:rPr>
        <w:t xml:space="preserve"> balls provide a very unstable surface, demanding children to respond actively</w:t>
      </w:r>
      <w:r w:rsidR="00073A40">
        <w:rPr>
          <w:sz w:val="24"/>
          <w:szCs w:val="24"/>
        </w:rPr>
        <w:t xml:space="preserve"> (</w:t>
      </w:r>
      <w:r w:rsidR="00073A40" w:rsidRPr="006A0FA6">
        <w:rPr>
          <w:sz w:val="24"/>
          <w:szCs w:val="24"/>
        </w:rPr>
        <w:t>Umeda and Deitz</w:t>
      </w:r>
      <w:r w:rsidR="00073A40">
        <w:rPr>
          <w:sz w:val="24"/>
          <w:szCs w:val="24"/>
        </w:rPr>
        <w:t xml:space="preserve">, </w:t>
      </w:r>
      <w:r w:rsidR="00073A40" w:rsidRPr="006A0FA6">
        <w:rPr>
          <w:sz w:val="24"/>
          <w:szCs w:val="24"/>
        </w:rPr>
        <w:t>2011)</w:t>
      </w:r>
      <w:r w:rsidR="006A0FA6" w:rsidRPr="0027162C">
        <w:rPr>
          <w:sz w:val="24"/>
          <w:szCs w:val="24"/>
        </w:rPr>
        <w:t xml:space="preserve">. This is information </w:t>
      </w:r>
      <w:r w:rsidR="0027162C" w:rsidRPr="0027162C">
        <w:rPr>
          <w:sz w:val="24"/>
          <w:szCs w:val="24"/>
        </w:rPr>
        <w:t>that would be</w:t>
      </w:r>
      <w:r w:rsidR="006A0FA6" w:rsidRPr="0027162C">
        <w:rPr>
          <w:sz w:val="24"/>
          <w:szCs w:val="24"/>
        </w:rPr>
        <w:t xml:space="preserve"> document</w:t>
      </w:r>
      <w:r w:rsidR="0027162C" w:rsidRPr="0027162C">
        <w:rPr>
          <w:sz w:val="24"/>
          <w:szCs w:val="24"/>
        </w:rPr>
        <w:t>ed</w:t>
      </w:r>
      <w:r w:rsidR="006A0FA6" w:rsidRPr="0027162C">
        <w:rPr>
          <w:sz w:val="24"/>
          <w:szCs w:val="24"/>
        </w:rPr>
        <w:t xml:space="preserve"> and experimented </w:t>
      </w:r>
      <w:r w:rsidR="0027162C" w:rsidRPr="0027162C">
        <w:rPr>
          <w:sz w:val="24"/>
          <w:szCs w:val="24"/>
        </w:rPr>
        <w:t xml:space="preserve">for </w:t>
      </w:r>
      <w:r w:rsidR="006A0FA6" w:rsidRPr="0027162C">
        <w:rPr>
          <w:sz w:val="24"/>
          <w:szCs w:val="24"/>
        </w:rPr>
        <w:t>future studies.</w:t>
      </w:r>
      <w:r w:rsidR="006A0FA6">
        <w:t xml:space="preserve"> </w:t>
      </w:r>
    </w:p>
    <w:p w14:paraId="4759D6F5" w14:textId="4669A959" w:rsidR="00073A40" w:rsidRDefault="00653A44" w:rsidP="00073A40">
      <w:pPr>
        <w:spacing w:line="360" w:lineRule="auto"/>
        <w:jc w:val="both"/>
        <w:rPr>
          <w:sz w:val="24"/>
          <w:szCs w:val="24"/>
        </w:rPr>
      </w:pPr>
      <w:r>
        <w:rPr>
          <w:sz w:val="24"/>
        </w:rPr>
        <w:t>In conclusion, the s</w:t>
      </w:r>
      <w:r w:rsidR="0027162C">
        <w:rPr>
          <w:sz w:val="24"/>
        </w:rPr>
        <w:t xml:space="preserve">trengths of each research tool have been identified previously and led to our decision of choosing them. Although, we have found using lesson study useful there are also limitations, according to Murata (2011) even with collaboration, some professionals may </w:t>
      </w:r>
      <w:r w:rsidR="00073A40">
        <w:rPr>
          <w:sz w:val="24"/>
        </w:rPr>
        <w:t>feel</w:t>
      </w:r>
      <w:r w:rsidR="0027162C">
        <w:rPr>
          <w:sz w:val="24"/>
        </w:rPr>
        <w:t xml:space="preserve"> </w:t>
      </w:r>
      <w:r w:rsidR="00073A40">
        <w:rPr>
          <w:sz w:val="24"/>
        </w:rPr>
        <w:t>uneasy</w:t>
      </w:r>
      <w:r w:rsidR="0027162C">
        <w:rPr>
          <w:sz w:val="24"/>
        </w:rPr>
        <w:t xml:space="preserve"> to follow colleagues’ recommendations and</w:t>
      </w:r>
      <w:r w:rsidR="00073A40">
        <w:rPr>
          <w:sz w:val="24"/>
        </w:rPr>
        <w:t xml:space="preserve"> will</w:t>
      </w:r>
      <w:r w:rsidR="0027162C">
        <w:rPr>
          <w:sz w:val="24"/>
        </w:rPr>
        <w:t xml:space="preserve"> </w:t>
      </w:r>
      <w:r w:rsidR="00073A40">
        <w:rPr>
          <w:sz w:val="24"/>
        </w:rPr>
        <w:t>abandon</w:t>
      </w:r>
      <w:r w:rsidR="0027162C">
        <w:rPr>
          <w:sz w:val="24"/>
        </w:rPr>
        <w:t xml:space="preserve"> valuable criticism. </w:t>
      </w:r>
      <w:r w:rsidR="0027162C" w:rsidRPr="00D331B3">
        <w:rPr>
          <w:sz w:val="24"/>
          <w:szCs w:val="24"/>
        </w:rPr>
        <w:t>Fernandez and Yoshida</w:t>
      </w:r>
      <w:r w:rsidR="00A33A4D">
        <w:rPr>
          <w:sz w:val="24"/>
          <w:szCs w:val="24"/>
        </w:rPr>
        <w:t xml:space="preserve"> </w:t>
      </w:r>
      <w:r w:rsidR="00073A40">
        <w:rPr>
          <w:sz w:val="24"/>
          <w:szCs w:val="24"/>
        </w:rPr>
        <w:t>(</w:t>
      </w:r>
      <w:r w:rsidR="0027162C" w:rsidRPr="00D331B3">
        <w:rPr>
          <w:sz w:val="24"/>
          <w:szCs w:val="24"/>
        </w:rPr>
        <w:t xml:space="preserve">2004) </w:t>
      </w:r>
      <w:r w:rsidR="0027162C">
        <w:rPr>
          <w:sz w:val="24"/>
          <w:szCs w:val="24"/>
        </w:rPr>
        <w:t xml:space="preserve">also </w:t>
      </w:r>
      <w:r w:rsidR="0027162C" w:rsidRPr="00D331B3">
        <w:rPr>
          <w:sz w:val="24"/>
          <w:szCs w:val="24"/>
        </w:rPr>
        <w:t>indicate that even though lesson study has progressed to world-wide, there is little that has been written about how Japanese lesson study groups function and how they organise their work.</w:t>
      </w:r>
      <w:r w:rsidR="0027162C">
        <w:rPr>
          <w:sz w:val="24"/>
          <w:szCs w:val="24"/>
        </w:rPr>
        <w:t xml:space="preserve"> However, we have found using a cycle of lessons beneficial as it is a good way to</w:t>
      </w:r>
      <w:r w:rsidR="00073A40">
        <w:rPr>
          <w:sz w:val="24"/>
          <w:szCs w:val="24"/>
        </w:rPr>
        <w:t xml:space="preserve"> collaboratively plan, observe and</w:t>
      </w:r>
      <w:r w:rsidR="0027162C">
        <w:rPr>
          <w:sz w:val="24"/>
          <w:szCs w:val="24"/>
        </w:rPr>
        <w:t xml:space="preserve"> make improvements using a practical and real-life situation.</w:t>
      </w:r>
      <w:r w:rsidR="00073A40">
        <w:rPr>
          <w:sz w:val="24"/>
          <w:szCs w:val="24"/>
        </w:rPr>
        <w:t xml:space="preserve"> We also found it useful as the feedback is almost instant during analysis of the lesson which means improvements can be made before the next lesson is taught. </w:t>
      </w:r>
      <w:r w:rsidR="0027162C" w:rsidRPr="0026634C">
        <w:rPr>
          <w:sz w:val="24"/>
          <w:szCs w:val="24"/>
        </w:rPr>
        <w:t xml:space="preserve">Although it has been previously stated by </w:t>
      </w:r>
      <w:r w:rsidR="00073A40" w:rsidRPr="0019338C">
        <w:rPr>
          <w:rFonts w:ascii="Calibri" w:hAnsi="Calibri" w:cs="Calibri"/>
          <w:sz w:val="24"/>
          <w:szCs w:val="24"/>
        </w:rPr>
        <w:t>Mack et al</w:t>
      </w:r>
      <w:r w:rsidR="00E10990">
        <w:rPr>
          <w:rFonts w:ascii="Calibri" w:hAnsi="Calibri" w:cs="Calibri"/>
          <w:sz w:val="24"/>
          <w:szCs w:val="24"/>
        </w:rPr>
        <w:t xml:space="preserve"> </w:t>
      </w:r>
      <w:r w:rsidR="00073A40">
        <w:rPr>
          <w:rFonts w:ascii="Calibri" w:hAnsi="Calibri" w:cs="Calibri"/>
          <w:sz w:val="24"/>
          <w:szCs w:val="24"/>
        </w:rPr>
        <w:t>(</w:t>
      </w:r>
      <w:r w:rsidR="00073A40" w:rsidRPr="0019338C">
        <w:rPr>
          <w:rFonts w:ascii="Calibri" w:hAnsi="Calibri" w:cs="Calibri"/>
          <w:sz w:val="24"/>
          <w:szCs w:val="24"/>
        </w:rPr>
        <w:t>2005</w:t>
      </w:r>
      <w:r w:rsidR="00073A40">
        <w:rPr>
          <w:rFonts w:ascii="Calibri" w:hAnsi="Calibri" w:cs="Calibri"/>
          <w:sz w:val="24"/>
          <w:szCs w:val="24"/>
        </w:rPr>
        <w:t>)</w:t>
      </w:r>
      <w:r w:rsidR="0027162C" w:rsidRPr="0026634C">
        <w:rPr>
          <w:sz w:val="24"/>
          <w:szCs w:val="24"/>
        </w:rPr>
        <w:t xml:space="preserve"> that qualitative dat</w:t>
      </w:r>
      <w:r w:rsidR="0027162C">
        <w:rPr>
          <w:sz w:val="24"/>
          <w:szCs w:val="24"/>
        </w:rPr>
        <w:t xml:space="preserve">a is </w:t>
      </w:r>
      <w:r w:rsidR="00E10990">
        <w:rPr>
          <w:sz w:val="24"/>
          <w:szCs w:val="24"/>
        </w:rPr>
        <w:t>more effective data</w:t>
      </w:r>
      <w:r w:rsidR="0027162C">
        <w:rPr>
          <w:sz w:val="24"/>
          <w:szCs w:val="24"/>
        </w:rPr>
        <w:t>, t</w:t>
      </w:r>
      <w:r w:rsidR="0027162C" w:rsidRPr="0026634C">
        <w:rPr>
          <w:sz w:val="24"/>
          <w:szCs w:val="24"/>
        </w:rPr>
        <w:t>here are clear limitations of using this type of data</w:t>
      </w:r>
      <w:r w:rsidR="0027162C">
        <w:rPr>
          <w:sz w:val="24"/>
          <w:szCs w:val="24"/>
        </w:rPr>
        <w:t>. Q</w:t>
      </w:r>
      <w:r w:rsidR="0027162C" w:rsidRPr="0026634C">
        <w:rPr>
          <w:sz w:val="24"/>
          <w:szCs w:val="24"/>
        </w:rPr>
        <w:t>ualitative researchers are themselves a primary instrument in data collection which means they rely partly or entirely on their feelings, impressions and judgement in data collecting (Borg and Gall, 1989)</w:t>
      </w:r>
      <w:r w:rsidR="0027162C">
        <w:rPr>
          <w:sz w:val="24"/>
          <w:szCs w:val="24"/>
        </w:rPr>
        <w:t>.</w:t>
      </w:r>
    </w:p>
    <w:p w14:paraId="57763151" w14:textId="2CD0BAEB" w:rsidR="008613FF" w:rsidRPr="00073A40" w:rsidRDefault="00073A40" w:rsidP="00073A40">
      <w:pPr>
        <w:spacing w:line="360" w:lineRule="auto"/>
        <w:jc w:val="both"/>
        <w:rPr>
          <w:sz w:val="24"/>
          <w:szCs w:val="24"/>
        </w:rPr>
      </w:pPr>
      <w:r>
        <w:rPr>
          <w:rFonts w:ascii="Calibri" w:hAnsi="Calibri" w:cs="Calibri"/>
          <w:sz w:val="24"/>
          <w:szCs w:val="24"/>
        </w:rPr>
        <w:t>It has been agreed that even though</w:t>
      </w:r>
      <w:r w:rsidR="008613FF" w:rsidRPr="00613E9A">
        <w:rPr>
          <w:rFonts w:ascii="Calibri" w:hAnsi="Calibri" w:cs="Calibri"/>
          <w:sz w:val="24"/>
          <w:szCs w:val="24"/>
        </w:rPr>
        <w:t xml:space="preserve"> we felt our reflective proforma was effective,</w:t>
      </w:r>
      <w:r>
        <w:rPr>
          <w:rFonts w:ascii="Calibri" w:hAnsi="Calibri" w:cs="Calibri"/>
          <w:sz w:val="24"/>
          <w:szCs w:val="24"/>
        </w:rPr>
        <w:t xml:space="preserve"> we</w:t>
      </w:r>
      <w:r w:rsidR="008613FF" w:rsidRPr="00613E9A">
        <w:rPr>
          <w:rFonts w:ascii="Calibri" w:hAnsi="Calibri" w:cs="Calibri"/>
          <w:sz w:val="24"/>
          <w:szCs w:val="24"/>
        </w:rPr>
        <w:t xml:space="preserve"> could’ve combined Brookfield’s 4 lenses with Gibbs’ cycle model to enable us to look and analyse the lesson from four different perspectives. However, my research partner and I felt we had effective results and were able to analyse them in order to develop further lessons. </w:t>
      </w:r>
    </w:p>
    <w:p w14:paraId="24D0F46A" w14:textId="15604B72" w:rsidR="00653A44" w:rsidRPr="00613E9A" w:rsidRDefault="0018505F" w:rsidP="00073A40">
      <w:pPr>
        <w:spacing w:line="360" w:lineRule="auto"/>
        <w:jc w:val="both"/>
        <w:rPr>
          <w:rFonts w:ascii="Calibri" w:hAnsi="Calibri" w:cs="Calibri"/>
          <w:color w:val="333333"/>
          <w:sz w:val="24"/>
          <w:szCs w:val="24"/>
          <w:shd w:val="clear" w:color="auto" w:fill="FFFFFF"/>
        </w:rPr>
      </w:pPr>
      <w:r w:rsidRPr="00613E9A">
        <w:rPr>
          <w:rFonts w:ascii="Calibri" w:hAnsi="Calibri" w:cs="Calibri"/>
          <w:sz w:val="24"/>
          <w:szCs w:val="24"/>
        </w:rPr>
        <w:t>Using s</w:t>
      </w:r>
      <w:r w:rsidR="00653A44" w:rsidRPr="00613E9A">
        <w:rPr>
          <w:rFonts w:ascii="Calibri" w:hAnsi="Calibri" w:cs="Calibri"/>
          <w:sz w:val="24"/>
          <w:szCs w:val="24"/>
        </w:rPr>
        <w:t>emi-structured interview</w:t>
      </w:r>
      <w:r w:rsidRPr="00613E9A">
        <w:rPr>
          <w:rFonts w:ascii="Calibri" w:hAnsi="Calibri" w:cs="Calibri"/>
          <w:sz w:val="24"/>
          <w:szCs w:val="24"/>
        </w:rPr>
        <w:t>s</w:t>
      </w:r>
      <w:r w:rsidR="00653A44" w:rsidRPr="00613E9A">
        <w:rPr>
          <w:rFonts w:ascii="Calibri" w:hAnsi="Calibri" w:cs="Calibri"/>
          <w:sz w:val="24"/>
          <w:szCs w:val="24"/>
        </w:rPr>
        <w:t xml:space="preserve"> give the children the freedom to be involved in research</w:t>
      </w:r>
      <w:r w:rsidR="00FF15D5" w:rsidRPr="00613E9A">
        <w:rPr>
          <w:rFonts w:ascii="Calibri" w:hAnsi="Calibri" w:cs="Calibri"/>
          <w:sz w:val="24"/>
          <w:szCs w:val="24"/>
        </w:rPr>
        <w:t xml:space="preserve"> in relation to UNCRC article 12</w:t>
      </w:r>
      <w:r w:rsidR="00653A44" w:rsidRPr="00613E9A">
        <w:rPr>
          <w:rFonts w:ascii="Calibri" w:hAnsi="Calibri" w:cs="Calibri"/>
          <w:sz w:val="24"/>
          <w:szCs w:val="24"/>
        </w:rPr>
        <w:t>, however</w:t>
      </w:r>
      <w:r w:rsidR="00FF15D5" w:rsidRPr="00613E9A">
        <w:rPr>
          <w:rFonts w:ascii="Calibri" w:hAnsi="Calibri" w:cs="Calibri"/>
          <w:sz w:val="24"/>
          <w:szCs w:val="24"/>
        </w:rPr>
        <w:t>, research by (McIntosh and Morse, 2015) state that</w:t>
      </w:r>
      <w:r w:rsidR="00FF15D5" w:rsidRPr="00613E9A">
        <w:rPr>
          <w:rFonts w:ascii="Calibri" w:hAnsi="Calibri" w:cs="Calibri"/>
          <w:color w:val="333333"/>
          <w:sz w:val="24"/>
          <w:szCs w:val="24"/>
          <w:shd w:val="clear" w:color="auto" w:fill="FFFFFF"/>
        </w:rPr>
        <w:t xml:space="preserve"> limited attention is given to the individuals diversity and underlying assumptions.</w:t>
      </w:r>
      <w:r w:rsidR="00E366A6" w:rsidRPr="00613E9A">
        <w:rPr>
          <w:rFonts w:ascii="Calibri" w:hAnsi="Calibri" w:cs="Calibri"/>
          <w:color w:val="333333"/>
          <w:sz w:val="24"/>
          <w:szCs w:val="24"/>
          <w:shd w:val="clear" w:color="auto" w:fill="FFFFFF"/>
        </w:rPr>
        <w:t xml:space="preserve"> It is also difficult to be certain if what the children are saying is the truth as they will often copy their peers or simply say what they you want to hear. </w:t>
      </w:r>
      <w:r w:rsidR="00FC0EE5" w:rsidRPr="00613E9A">
        <w:rPr>
          <w:rFonts w:ascii="Calibri" w:hAnsi="Calibri" w:cs="Calibri"/>
          <w:color w:val="333333"/>
          <w:sz w:val="24"/>
          <w:szCs w:val="24"/>
          <w:shd w:val="clear" w:color="auto" w:fill="FFFFFF"/>
        </w:rPr>
        <w:t xml:space="preserve"> </w:t>
      </w:r>
    </w:p>
    <w:p w14:paraId="331BB348" w14:textId="12C0DC2E" w:rsidR="00FC0EE5" w:rsidRPr="00613E9A" w:rsidRDefault="00FC0EE5" w:rsidP="00073A40">
      <w:pPr>
        <w:spacing w:line="360" w:lineRule="auto"/>
        <w:jc w:val="both"/>
        <w:rPr>
          <w:rFonts w:ascii="Calibri" w:hAnsi="Calibri" w:cs="Calibri"/>
          <w:color w:val="222222"/>
          <w:sz w:val="24"/>
          <w:szCs w:val="24"/>
        </w:rPr>
      </w:pPr>
      <w:r w:rsidRPr="00613E9A">
        <w:rPr>
          <w:rFonts w:ascii="Calibri" w:hAnsi="Calibri" w:cs="Calibri"/>
          <w:color w:val="222222"/>
          <w:sz w:val="24"/>
          <w:szCs w:val="24"/>
          <w:shd w:val="clear" w:color="auto" w:fill="FFFFFF"/>
        </w:rPr>
        <w:lastRenderedPageBreak/>
        <w:t>Non-participant observation has</w:t>
      </w:r>
      <w:r w:rsidR="00394025" w:rsidRPr="00613E9A">
        <w:rPr>
          <w:rFonts w:ascii="Calibri" w:hAnsi="Calibri" w:cs="Calibri"/>
          <w:color w:val="222222"/>
          <w:sz w:val="24"/>
          <w:szCs w:val="24"/>
          <w:shd w:val="clear" w:color="auto" w:fill="FFFFFF"/>
        </w:rPr>
        <w:t xml:space="preserve"> several limitations but</w:t>
      </w:r>
      <w:r w:rsidRPr="00613E9A">
        <w:rPr>
          <w:rFonts w:ascii="Calibri" w:hAnsi="Calibri" w:cs="Calibri"/>
          <w:color w:val="222222"/>
          <w:sz w:val="24"/>
          <w:szCs w:val="24"/>
          <w:shd w:val="clear" w:color="auto" w:fill="FFFFFF"/>
        </w:rPr>
        <w:t xml:space="preserve"> one</w:t>
      </w:r>
      <w:r w:rsidR="00394025" w:rsidRPr="00613E9A">
        <w:rPr>
          <w:rFonts w:ascii="Calibri" w:hAnsi="Calibri" w:cs="Calibri"/>
          <w:color w:val="222222"/>
          <w:sz w:val="24"/>
          <w:szCs w:val="24"/>
          <w:shd w:val="clear" w:color="auto" w:fill="FFFFFF"/>
        </w:rPr>
        <w:t xml:space="preserve"> main</w:t>
      </w:r>
      <w:r w:rsidRPr="00613E9A">
        <w:rPr>
          <w:rFonts w:ascii="Calibri" w:hAnsi="Calibri" w:cs="Calibri"/>
          <w:color w:val="222222"/>
          <w:sz w:val="24"/>
          <w:szCs w:val="24"/>
          <w:shd w:val="clear" w:color="auto" w:fill="FFFFFF"/>
        </w:rPr>
        <w:t> </w:t>
      </w:r>
      <w:r w:rsidRPr="00613E9A">
        <w:rPr>
          <w:rFonts w:ascii="Calibri" w:hAnsi="Calibri" w:cs="Calibri"/>
          <w:bCs/>
          <w:color w:val="000000"/>
          <w:sz w:val="24"/>
          <w:szCs w:val="24"/>
          <w:shd w:val="clear" w:color="auto" w:fill="FFFFFF"/>
        </w:rPr>
        <w:t>disadvantage</w:t>
      </w:r>
      <w:r w:rsidRPr="00613E9A">
        <w:rPr>
          <w:rFonts w:ascii="Calibri" w:hAnsi="Calibri" w:cs="Calibri"/>
          <w:color w:val="222222"/>
          <w:sz w:val="24"/>
          <w:szCs w:val="24"/>
          <w:shd w:val="clear" w:color="auto" w:fill="FFFFFF"/>
        </w:rPr>
        <w:t> which is the </w:t>
      </w:r>
      <w:r w:rsidRPr="00613E9A">
        <w:rPr>
          <w:rFonts w:ascii="Calibri" w:hAnsi="Calibri" w:cs="Calibri"/>
          <w:bCs/>
          <w:color w:val="000000"/>
          <w:sz w:val="24"/>
          <w:szCs w:val="24"/>
          <w:shd w:val="clear" w:color="auto" w:fill="FFFFFF"/>
        </w:rPr>
        <w:t>observation</w:t>
      </w:r>
      <w:r w:rsidRPr="00613E9A">
        <w:rPr>
          <w:rFonts w:ascii="Calibri" w:hAnsi="Calibri" w:cs="Calibri"/>
          <w:color w:val="222222"/>
          <w:sz w:val="24"/>
          <w:szCs w:val="24"/>
          <w:shd w:val="clear" w:color="auto" w:fill="FFFFFF"/>
        </w:rPr>
        <w:t> relies on the behaviour</w:t>
      </w:r>
      <w:r w:rsidRPr="00613E9A">
        <w:rPr>
          <w:rFonts w:ascii="Calibri" w:hAnsi="Calibri" w:cs="Calibri"/>
          <w:color w:val="222222"/>
          <w:sz w:val="24"/>
          <w:szCs w:val="24"/>
        </w:rPr>
        <w:t xml:space="preserve"> from that particular lesson </w:t>
      </w:r>
      <w:r w:rsidRPr="00613E9A">
        <w:rPr>
          <w:rFonts w:ascii="Calibri" w:hAnsi="Calibri" w:cs="Calibri"/>
          <w:color w:val="000000"/>
          <w:sz w:val="24"/>
          <w:szCs w:val="24"/>
          <w:shd w:val="clear" w:color="auto" w:fill="FFFFFF"/>
        </w:rPr>
        <w:t>(Parke and Griffiths, 2008)</w:t>
      </w:r>
      <w:r w:rsidRPr="00613E9A">
        <w:rPr>
          <w:rFonts w:ascii="Calibri" w:hAnsi="Calibri" w:cs="Calibri"/>
          <w:color w:val="222222"/>
          <w:sz w:val="24"/>
          <w:szCs w:val="24"/>
        </w:rPr>
        <w:t>, in which a child could act completely different depending on personal circumstances or due to the fact their aware their being</w:t>
      </w:r>
      <w:r w:rsidR="00394025" w:rsidRPr="00613E9A">
        <w:rPr>
          <w:rFonts w:ascii="Calibri" w:hAnsi="Calibri" w:cs="Calibri"/>
          <w:color w:val="222222"/>
          <w:sz w:val="24"/>
          <w:szCs w:val="24"/>
        </w:rPr>
        <w:t xml:space="preserve"> observed (Johnson and Christensen, 2000).</w:t>
      </w:r>
      <w:r w:rsidR="00066DA5" w:rsidRPr="00613E9A">
        <w:rPr>
          <w:rFonts w:ascii="Calibri" w:hAnsi="Calibri" w:cs="Calibri"/>
          <w:color w:val="222222"/>
          <w:sz w:val="24"/>
          <w:szCs w:val="24"/>
        </w:rPr>
        <w:t xml:space="preserve"> </w:t>
      </w:r>
    </w:p>
    <w:p w14:paraId="238803AE" w14:textId="77777777" w:rsidR="00F12B79" w:rsidRPr="00613E9A" w:rsidRDefault="00F12B79" w:rsidP="00073A40">
      <w:pPr>
        <w:spacing w:line="360" w:lineRule="auto"/>
        <w:jc w:val="both"/>
        <w:rPr>
          <w:rFonts w:ascii="Calibri" w:hAnsi="Calibri" w:cs="Calibri"/>
          <w:color w:val="222222"/>
          <w:sz w:val="24"/>
          <w:szCs w:val="24"/>
        </w:rPr>
      </w:pPr>
      <w:r w:rsidRPr="00613E9A">
        <w:rPr>
          <w:rFonts w:ascii="Calibri" w:hAnsi="Calibri" w:cs="Calibri"/>
          <w:color w:val="222222"/>
          <w:sz w:val="24"/>
          <w:szCs w:val="24"/>
        </w:rPr>
        <w:t xml:space="preserve">If I was involved in lesson study research again I would make sure I make it more of a cycle as I feel two lessons weren’t enough to see a true reading of how the children’s engagement improved using the cushions.  </w:t>
      </w:r>
      <w:r w:rsidRPr="00613E9A">
        <w:rPr>
          <w:rFonts w:ascii="Calibri" w:hAnsi="Calibri" w:cs="Calibri"/>
          <w:sz w:val="24"/>
          <w:szCs w:val="24"/>
        </w:rPr>
        <w:t>(Lewis, Perry &amp; Murata, 2006) identify that a lesson study should consist of a cycle of at least three research lessons to produce efficient data to analyse.</w:t>
      </w:r>
    </w:p>
    <w:p w14:paraId="38A35B31" w14:textId="481C42CF" w:rsidR="00906D28" w:rsidRDefault="00066DA5" w:rsidP="00073A40">
      <w:pPr>
        <w:spacing w:line="360" w:lineRule="auto"/>
        <w:jc w:val="both"/>
        <w:rPr>
          <w:rFonts w:ascii="Calibri" w:hAnsi="Calibri" w:cs="Calibri"/>
          <w:sz w:val="24"/>
          <w:szCs w:val="24"/>
        </w:rPr>
      </w:pPr>
      <w:r w:rsidRPr="00613E9A">
        <w:rPr>
          <w:rFonts w:ascii="Calibri" w:hAnsi="Calibri" w:cs="Calibri"/>
          <w:sz w:val="24"/>
          <w:szCs w:val="24"/>
        </w:rPr>
        <w:t>Piloting elements of a lesson is</w:t>
      </w:r>
      <w:r w:rsidR="00F12B79" w:rsidRPr="00613E9A">
        <w:rPr>
          <w:rFonts w:ascii="Calibri" w:hAnsi="Calibri" w:cs="Calibri"/>
          <w:sz w:val="24"/>
          <w:szCs w:val="24"/>
        </w:rPr>
        <w:t xml:space="preserve"> also</w:t>
      </w:r>
      <w:r w:rsidRPr="00613E9A">
        <w:rPr>
          <w:rFonts w:ascii="Calibri" w:hAnsi="Calibri" w:cs="Calibri"/>
          <w:sz w:val="24"/>
          <w:szCs w:val="24"/>
        </w:rPr>
        <w:t xml:space="preserve"> essential before carrying out a lesson study as previously mentioned</w:t>
      </w:r>
      <w:r w:rsidR="006C600E" w:rsidRPr="00613E9A">
        <w:rPr>
          <w:rFonts w:ascii="Calibri" w:hAnsi="Calibri" w:cs="Calibri"/>
          <w:sz w:val="24"/>
          <w:szCs w:val="24"/>
        </w:rPr>
        <w:t xml:space="preserve"> by </w:t>
      </w:r>
      <w:r w:rsidRPr="00613E9A">
        <w:rPr>
          <w:rFonts w:ascii="Calibri" w:hAnsi="Calibri" w:cs="Calibri"/>
          <w:sz w:val="24"/>
          <w:szCs w:val="24"/>
        </w:rPr>
        <w:t>children need to be familiar with a new instrument or technique as when it is a novelty they feel the need to explore it which can cause distractions</w:t>
      </w:r>
      <w:r w:rsidR="006C600E" w:rsidRPr="00613E9A">
        <w:rPr>
          <w:rFonts w:ascii="Calibri" w:hAnsi="Calibri" w:cs="Calibri"/>
          <w:sz w:val="24"/>
          <w:szCs w:val="24"/>
        </w:rPr>
        <w:t xml:space="preserve"> to the rest of the class</w:t>
      </w:r>
      <w:r w:rsidRPr="00613E9A">
        <w:rPr>
          <w:rFonts w:ascii="Calibri" w:hAnsi="Calibri" w:cs="Calibri"/>
          <w:sz w:val="24"/>
          <w:szCs w:val="24"/>
        </w:rPr>
        <w:t xml:space="preserve">. This will help me to remember in future teaching that experimenting any new strategy beforehand is essential to the children’s acceptence of it will be a more effective reading. </w:t>
      </w:r>
    </w:p>
    <w:p w14:paraId="7F3BE2A0" w14:textId="77777777" w:rsidR="00906D28" w:rsidRDefault="00906D28">
      <w:pPr>
        <w:rPr>
          <w:rFonts w:ascii="Calibri" w:hAnsi="Calibri" w:cs="Calibri"/>
          <w:sz w:val="24"/>
          <w:szCs w:val="24"/>
        </w:rPr>
      </w:pPr>
      <w:r>
        <w:rPr>
          <w:rFonts w:ascii="Calibri" w:hAnsi="Calibri" w:cs="Calibri"/>
          <w:sz w:val="24"/>
          <w:szCs w:val="24"/>
        </w:rPr>
        <w:br w:type="page"/>
      </w:r>
    </w:p>
    <w:p w14:paraId="1E0AAB9E" w14:textId="77777777" w:rsidR="00906D28" w:rsidRPr="00ED2E17" w:rsidRDefault="00906D28" w:rsidP="00906D28">
      <w:pPr>
        <w:spacing w:after="0" w:line="360" w:lineRule="auto"/>
        <w:textAlignment w:val="baseline"/>
        <w:outlineLvl w:val="0"/>
        <w:rPr>
          <w:rFonts w:ascii="Calibri" w:hAnsi="Calibri" w:cs="Calibri"/>
          <w:color w:val="333333"/>
          <w:sz w:val="24"/>
          <w:szCs w:val="24"/>
          <w:shd w:val="clear" w:color="auto" w:fill="F7FBFE"/>
        </w:rPr>
      </w:pPr>
      <w:bookmarkStart w:id="4" w:name="citation"/>
    </w:p>
    <w:p w14:paraId="1A668892" w14:textId="77777777" w:rsidR="00906D28" w:rsidRPr="00ED2E17" w:rsidRDefault="00906D28" w:rsidP="00906D28">
      <w:pPr>
        <w:pStyle w:val="ListParagraph"/>
        <w:numPr>
          <w:ilvl w:val="0"/>
          <w:numId w:val="9"/>
        </w:numPr>
        <w:spacing w:after="0" w:line="360" w:lineRule="auto"/>
        <w:textAlignment w:val="baseline"/>
        <w:outlineLvl w:val="0"/>
        <w:rPr>
          <w:rFonts w:ascii="Calibri" w:eastAsia="Times New Roman" w:hAnsi="Calibri" w:cs="Calibri"/>
          <w:bCs/>
          <w:i/>
          <w:color w:val="333333"/>
          <w:kern w:val="36"/>
          <w:sz w:val="24"/>
          <w:szCs w:val="24"/>
          <w:bdr w:val="none" w:sz="0" w:space="0" w:color="auto" w:frame="1"/>
          <w:lang w:eastAsia="en-GB"/>
        </w:rPr>
      </w:pPr>
      <w:r w:rsidRPr="00ED2E17">
        <w:rPr>
          <w:rFonts w:ascii="Calibri" w:eastAsia="Times New Roman" w:hAnsi="Calibri" w:cs="Calibri"/>
          <w:bCs/>
          <w:color w:val="333333"/>
          <w:kern w:val="36"/>
          <w:sz w:val="24"/>
          <w:szCs w:val="24"/>
          <w:bdr w:val="none" w:sz="0" w:space="0" w:color="auto" w:frame="1"/>
          <w:lang w:eastAsia="en-GB"/>
        </w:rPr>
        <w:t>Al-</w:t>
      </w:r>
      <w:proofErr w:type="spellStart"/>
      <w:r w:rsidRPr="00ED2E17">
        <w:rPr>
          <w:rFonts w:ascii="Calibri" w:eastAsia="Times New Roman" w:hAnsi="Calibri" w:cs="Calibri"/>
          <w:bCs/>
          <w:color w:val="333333"/>
          <w:kern w:val="36"/>
          <w:sz w:val="24"/>
          <w:szCs w:val="24"/>
          <w:bdr w:val="none" w:sz="0" w:space="0" w:color="auto" w:frame="1"/>
          <w:lang w:eastAsia="en-GB"/>
        </w:rPr>
        <w:t>Eisa</w:t>
      </w:r>
      <w:proofErr w:type="spellEnd"/>
      <w:r w:rsidRPr="00ED2E17">
        <w:rPr>
          <w:rFonts w:ascii="Calibri" w:eastAsia="Times New Roman" w:hAnsi="Calibri" w:cs="Calibri"/>
          <w:bCs/>
          <w:color w:val="333333"/>
          <w:kern w:val="36"/>
          <w:sz w:val="24"/>
          <w:szCs w:val="24"/>
          <w:bdr w:val="none" w:sz="0" w:space="0" w:color="auto" w:frame="1"/>
          <w:lang w:eastAsia="en-GB"/>
        </w:rPr>
        <w:t xml:space="preserve">, E., </w:t>
      </w:r>
      <w:proofErr w:type="spellStart"/>
      <w:r w:rsidRPr="00ED2E17">
        <w:rPr>
          <w:rFonts w:ascii="Calibri" w:eastAsia="Times New Roman" w:hAnsi="Calibri" w:cs="Calibri"/>
          <w:bCs/>
          <w:color w:val="333333"/>
          <w:kern w:val="36"/>
          <w:sz w:val="24"/>
          <w:szCs w:val="24"/>
          <w:bdr w:val="none" w:sz="0" w:space="0" w:color="auto" w:frame="1"/>
          <w:lang w:eastAsia="en-GB"/>
        </w:rPr>
        <w:t>Buragadda</w:t>
      </w:r>
      <w:proofErr w:type="spellEnd"/>
      <w:r w:rsidRPr="00ED2E17">
        <w:rPr>
          <w:rFonts w:ascii="Calibri" w:eastAsia="Times New Roman" w:hAnsi="Calibri" w:cs="Calibri"/>
          <w:bCs/>
          <w:color w:val="333333"/>
          <w:kern w:val="36"/>
          <w:sz w:val="24"/>
          <w:szCs w:val="24"/>
          <w:bdr w:val="none" w:sz="0" w:space="0" w:color="auto" w:frame="1"/>
          <w:lang w:eastAsia="en-GB"/>
        </w:rPr>
        <w:t xml:space="preserve">, S., and </w:t>
      </w:r>
      <w:proofErr w:type="spellStart"/>
      <w:r w:rsidRPr="00ED2E17">
        <w:rPr>
          <w:rFonts w:ascii="Calibri" w:eastAsia="Times New Roman" w:hAnsi="Calibri" w:cs="Calibri"/>
          <w:bCs/>
          <w:color w:val="333333"/>
          <w:kern w:val="36"/>
          <w:sz w:val="24"/>
          <w:szCs w:val="24"/>
          <w:bdr w:val="none" w:sz="0" w:space="0" w:color="auto" w:frame="1"/>
          <w:lang w:eastAsia="en-GB"/>
        </w:rPr>
        <w:t>Raomelam</w:t>
      </w:r>
      <w:proofErr w:type="spellEnd"/>
      <w:r w:rsidRPr="00ED2E17">
        <w:rPr>
          <w:rFonts w:ascii="Calibri" w:eastAsia="Times New Roman" w:hAnsi="Calibri" w:cs="Calibri"/>
          <w:bCs/>
          <w:color w:val="333333"/>
          <w:kern w:val="36"/>
          <w:sz w:val="24"/>
          <w:szCs w:val="24"/>
          <w:bdr w:val="none" w:sz="0" w:space="0" w:color="auto" w:frame="1"/>
          <w:lang w:eastAsia="en-GB"/>
        </w:rPr>
        <w:t xml:space="preserve">, G. (2013) ‘Effect of Therapy Ball Seating on Learning and Sitting Discomforts among Saudi Female Students’, </w:t>
      </w:r>
      <w:r w:rsidRPr="00ED2E17">
        <w:rPr>
          <w:rFonts w:ascii="Calibri" w:eastAsia="Times New Roman" w:hAnsi="Calibri" w:cs="Calibri"/>
          <w:bCs/>
          <w:i/>
          <w:color w:val="333333"/>
          <w:kern w:val="36"/>
          <w:sz w:val="24"/>
          <w:szCs w:val="24"/>
          <w:bdr w:val="none" w:sz="0" w:space="0" w:color="auto" w:frame="1"/>
          <w:lang w:eastAsia="en-GB"/>
        </w:rPr>
        <w:t xml:space="preserve">BioMed Research International. </w:t>
      </w:r>
    </w:p>
    <w:p w14:paraId="6A91F70B" w14:textId="77777777" w:rsidR="00906D28" w:rsidRPr="00ED2E17" w:rsidRDefault="00906D28" w:rsidP="00906D28">
      <w:pPr>
        <w:pStyle w:val="ListParagraph"/>
        <w:numPr>
          <w:ilvl w:val="0"/>
          <w:numId w:val="9"/>
        </w:numPr>
        <w:spacing w:after="0" w:line="360" w:lineRule="auto"/>
        <w:textAlignment w:val="baseline"/>
        <w:outlineLvl w:val="0"/>
        <w:rPr>
          <w:rFonts w:ascii="Calibri" w:eastAsia="Times New Roman" w:hAnsi="Calibri" w:cs="Calibri"/>
          <w:bCs/>
          <w:color w:val="333333"/>
          <w:kern w:val="36"/>
          <w:sz w:val="24"/>
          <w:szCs w:val="24"/>
          <w:bdr w:val="none" w:sz="0" w:space="0" w:color="auto" w:frame="1"/>
          <w:lang w:eastAsia="en-GB"/>
        </w:rPr>
      </w:pPr>
      <w:proofErr w:type="spellStart"/>
      <w:r w:rsidRPr="00ED2E17">
        <w:rPr>
          <w:rFonts w:ascii="Calibri" w:hAnsi="Calibri" w:cs="Calibri"/>
          <w:sz w:val="24"/>
          <w:szCs w:val="24"/>
        </w:rPr>
        <w:t>Bagatell</w:t>
      </w:r>
      <w:proofErr w:type="spellEnd"/>
      <w:r w:rsidRPr="00ED2E17">
        <w:rPr>
          <w:rFonts w:ascii="Calibri" w:hAnsi="Calibri" w:cs="Calibri"/>
          <w:sz w:val="24"/>
          <w:szCs w:val="24"/>
        </w:rPr>
        <w:t xml:space="preserve">, N., </w:t>
      </w:r>
      <w:proofErr w:type="spellStart"/>
      <w:r w:rsidRPr="00ED2E17">
        <w:rPr>
          <w:rFonts w:ascii="Calibri" w:hAnsi="Calibri" w:cs="Calibri"/>
          <w:sz w:val="24"/>
          <w:szCs w:val="24"/>
        </w:rPr>
        <w:t>Mirigliani</w:t>
      </w:r>
      <w:proofErr w:type="spellEnd"/>
      <w:r w:rsidRPr="00ED2E17">
        <w:rPr>
          <w:rFonts w:ascii="Calibri" w:hAnsi="Calibri" w:cs="Calibri"/>
          <w:sz w:val="24"/>
          <w:szCs w:val="24"/>
        </w:rPr>
        <w:t xml:space="preserve">, G., Patterson, C., Reyes, Y., &amp; Test, L. (2010) ‘Effectiveness of therapy ball chairs on classroom participation in children with autism spectrum disorders’, </w:t>
      </w:r>
      <w:r w:rsidRPr="00ED2E17">
        <w:rPr>
          <w:rFonts w:ascii="Calibri" w:hAnsi="Calibri" w:cs="Calibri"/>
          <w:i/>
          <w:sz w:val="24"/>
          <w:szCs w:val="24"/>
        </w:rPr>
        <w:t xml:space="preserve">American Journal </w:t>
      </w:r>
      <w:proofErr w:type="gramStart"/>
      <w:r w:rsidRPr="00ED2E17">
        <w:rPr>
          <w:rFonts w:ascii="Calibri" w:hAnsi="Calibri" w:cs="Calibri"/>
          <w:i/>
          <w:sz w:val="24"/>
          <w:szCs w:val="24"/>
        </w:rPr>
        <w:t>Of</w:t>
      </w:r>
      <w:proofErr w:type="gramEnd"/>
      <w:r w:rsidRPr="00ED2E17">
        <w:rPr>
          <w:rFonts w:ascii="Calibri" w:hAnsi="Calibri" w:cs="Calibri"/>
          <w:i/>
          <w:sz w:val="24"/>
          <w:szCs w:val="24"/>
        </w:rPr>
        <w:t xml:space="preserve"> Occupational Therapy</w:t>
      </w:r>
      <w:r w:rsidRPr="00ED2E17">
        <w:rPr>
          <w:rFonts w:ascii="Calibri" w:hAnsi="Calibri" w:cs="Calibri"/>
          <w:sz w:val="24"/>
          <w:szCs w:val="24"/>
        </w:rPr>
        <w:t>, 64, pp. 895-903.</w:t>
      </w:r>
    </w:p>
    <w:p w14:paraId="7CBF4F10"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proofErr w:type="spellStart"/>
      <w:r w:rsidRPr="00ED2E17">
        <w:rPr>
          <w:rFonts w:ascii="Calibri" w:hAnsi="Calibri" w:cs="Calibri"/>
          <w:sz w:val="24"/>
          <w:szCs w:val="24"/>
        </w:rPr>
        <w:t>Bicard</w:t>
      </w:r>
      <w:proofErr w:type="spellEnd"/>
      <w:r w:rsidRPr="00ED2E17">
        <w:rPr>
          <w:rFonts w:ascii="Calibri" w:hAnsi="Calibri" w:cs="Calibri"/>
          <w:sz w:val="24"/>
          <w:szCs w:val="24"/>
        </w:rPr>
        <w:t xml:space="preserve">, D. F., Ervin, A., </w:t>
      </w:r>
      <w:proofErr w:type="spellStart"/>
      <w:r w:rsidRPr="00ED2E17">
        <w:rPr>
          <w:rFonts w:ascii="Calibri" w:hAnsi="Calibri" w:cs="Calibri"/>
          <w:sz w:val="24"/>
          <w:szCs w:val="24"/>
        </w:rPr>
        <w:t>Bicard</w:t>
      </w:r>
      <w:proofErr w:type="spellEnd"/>
      <w:r w:rsidRPr="00ED2E17">
        <w:rPr>
          <w:rFonts w:ascii="Calibri" w:hAnsi="Calibri" w:cs="Calibri"/>
          <w:sz w:val="24"/>
          <w:szCs w:val="24"/>
        </w:rPr>
        <w:t xml:space="preserve">, S. C., &amp; </w:t>
      </w:r>
      <w:proofErr w:type="spellStart"/>
      <w:r w:rsidRPr="00ED2E17">
        <w:rPr>
          <w:rFonts w:ascii="Calibri" w:hAnsi="Calibri" w:cs="Calibri"/>
          <w:sz w:val="24"/>
          <w:szCs w:val="24"/>
        </w:rPr>
        <w:t>Baylot</w:t>
      </w:r>
      <w:proofErr w:type="spellEnd"/>
      <w:r w:rsidRPr="00ED2E17">
        <w:rPr>
          <w:rFonts w:ascii="Calibri" w:hAnsi="Calibri" w:cs="Calibri"/>
          <w:sz w:val="24"/>
          <w:szCs w:val="24"/>
        </w:rPr>
        <w:t xml:space="preserve">-Casey, L. (2012) ‘Effect of seating arrangement on disruptive </w:t>
      </w:r>
      <w:proofErr w:type="spellStart"/>
      <w:r w:rsidRPr="00ED2E17">
        <w:rPr>
          <w:rFonts w:ascii="Calibri" w:hAnsi="Calibri" w:cs="Calibri"/>
          <w:sz w:val="24"/>
          <w:szCs w:val="24"/>
        </w:rPr>
        <w:t>behavior</w:t>
      </w:r>
      <w:proofErr w:type="spellEnd"/>
      <w:r w:rsidRPr="00ED2E17">
        <w:rPr>
          <w:rFonts w:ascii="Calibri" w:hAnsi="Calibri" w:cs="Calibri"/>
          <w:sz w:val="24"/>
          <w:szCs w:val="24"/>
        </w:rPr>
        <w:t xml:space="preserve"> of fifth grade students during independent seatwork’, </w:t>
      </w:r>
      <w:r w:rsidRPr="00ED2E17">
        <w:rPr>
          <w:rFonts w:ascii="Calibri" w:hAnsi="Calibri" w:cs="Calibri"/>
          <w:i/>
          <w:sz w:val="24"/>
          <w:szCs w:val="24"/>
        </w:rPr>
        <w:t xml:space="preserve">Journal of Applied </w:t>
      </w:r>
      <w:proofErr w:type="spellStart"/>
      <w:r w:rsidRPr="00ED2E17">
        <w:rPr>
          <w:rFonts w:ascii="Calibri" w:hAnsi="Calibri" w:cs="Calibri"/>
          <w:i/>
          <w:sz w:val="24"/>
          <w:szCs w:val="24"/>
        </w:rPr>
        <w:t>Behavioral</w:t>
      </w:r>
      <w:proofErr w:type="spellEnd"/>
      <w:r w:rsidRPr="00ED2E17">
        <w:rPr>
          <w:rFonts w:ascii="Calibri" w:hAnsi="Calibri" w:cs="Calibri"/>
          <w:i/>
          <w:sz w:val="24"/>
          <w:szCs w:val="24"/>
        </w:rPr>
        <w:t xml:space="preserve"> Analysis</w:t>
      </w:r>
      <w:r w:rsidRPr="00ED2E17">
        <w:rPr>
          <w:rFonts w:ascii="Calibri" w:hAnsi="Calibri" w:cs="Calibri"/>
          <w:sz w:val="24"/>
          <w:szCs w:val="24"/>
        </w:rPr>
        <w:t>, 45(2), pp. 407-411.</w:t>
      </w:r>
    </w:p>
    <w:p w14:paraId="5249127F"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Borg, W. R. and Gall, M. D. (1989) ‘Educational Research: An Introduction’ 5th ed. </w:t>
      </w:r>
    </w:p>
    <w:p w14:paraId="58576B60"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British Educational Research Association. (2018) </w:t>
      </w:r>
      <w:r w:rsidRPr="00ED2E17">
        <w:rPr>
          <w:rFonts w:ascii="Calibri" w:hAnsi="Calibri" w:cs="Calibri"/>
          <w:i/>
          <w:sz w:val="24"/>
          <w:szCs w:val="24"/>
        </w:rPr>
        <w:t>Ethical Guidelines for Educational Research</w:t>
      </w:r>
      <w:r w:rsidRPr="00ED2E17">
        <w:rPr>
          <w:rFonts w:ascii="Calibri" w:hAnsi="Calibri" w:cs="Calibri"/>
          <w:sz w:val="24"/>
          <w:szCs w:val="24"/>
        </w:rPr>
        <w:t xml:space="preserve">, 4th Ed. London.  </w:t>
      </w:r>
    </w:p>
    <w:p w14:paraId="2CBF2887"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Burgoyne, M. and Ketcham, C. (2015) ‘Observation of Classroom Performance Using Therapy Balls as a Substitute for Chairs in Elementary School Children’, </w:t>
      </w:r>
      <w:r w:rsidRPr="00ED2E17">
        <w:rPr>
          <w:rFonts w:ascii="Calibri" w:hAnsi="Calibri" w:cs="Calibri"/>
          <w:i/>
          <w:iCs/>
          <w:color w:val="000000"/>
          <w:sz w:val="24"/>
          <w:szCs w:val="24"/>
          <w:shd w:val="clear" w:color="auto" w:fill="FFFFFF"/>
        </w:rPr>
        <w:t>Journal of Education and Training Studies</w:t>
      </w:r>
      <w:r w:rsidRPr="00ED2E17">
        <w:rPr>
          <w:rFonts w:ascii="Calibri" w:hAnsi="Calibri" w:cs="Calibri"/>
          <w:color w:val="000000"/>
          <w:sz w:val="24"/>
          <w:szCs w:val="24"/>
          <w:shd w:val="clear" w:color="auto" w:fill="FFFFFF"/>
        </w:rPr>
        <w:t>, 3(4), pp. 42-48.</w:t>
      </w:r>
    </w:p>
    <w:p w14:paraId="3C82970A"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color w:val="000000"/>
          <w:sz w:val="24"/>
          <w:szCs w:val="24"/>
          <w:shd w:val="clear" w:color="auto" w:fill="FFFFFF"/>
        </w:rPr>
        <w:t>Clifford, N., Cope, M., Gillespie, T. and French, S. (2016) </w:t>
      </w:r>
      <w:r w:rsidRPr="00ED2E17">
        <w:rPr>
          <w:rFonts w:ascii="Calibri" w:hAnsi="Calibri" w:cs="Calibri"/>
          <w:i/>
          <w:iCs/>
          <w:color w:val="000000"/>
          <w:sz w:val="24"/>
          <w:szCs w:val="24"/>
          <w:shd w:val="clear" w:color="auto" w:fill="FFFFFF"/>
        </w:rPr>
        <w:t>Key methods in geography</w:t>
      </w:r>
      <w:r w:rsidRPr="00ED2E17">
        <w:rPr>
          <w:rFonts w:ascii="Calibri" w:hAnsi="Calibri" w:cs="Calibri"/>
          <w:color w:val="000000"/>
          <w:sz w:val="24"/>
          <w:szCs w:val="24"/>
          <w:shd w:val="clear" w:color="auto" w:fill="FFFFFF"/>
        </w:rPr>
        <w:t>. 3rd ed. London: Sage Publications.</w:t>
      </w:r>
    </w:p>
    <w:p w14:paraId="78E925DC"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Coates, H. (2005) ‘The Value of Student Engagement for Higher Education Quality Assurance’, </w:t>
      </w:r>
      <w:r w:rsidRPr="00ED2E17">
        <w:rPr>
          <w:rFonts w:ascii="Calibri" w:hAnsi="Calibri" w:cs="Calibri"/>
          <w:i/>
          <w:sz w:val="24"/>
          <w:szCs w:val="24"/>
        </w:rPr>
        <w:t>Quality in Higher Education</w:t>
      </w:r>
      <w:r w:rsidRPr="00ED2E17">
        <w:rPr>
          <w:rFonts w:ascii="Calibri" w:hAnsi="Calibri" w:cs="Calibri"/>
          <w:sz w:val="24"/>
          <w:szCs w:val="24"/>
        </w:rPr>
        <w:t>. 11(1), pp. 25–36.</w:t>
      </w:r>
    </w:p>
    <w:bookmarkEnd w:id="4"/>
    <w:p w14:paraId="235E50D9"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Cordingley, P., Bell, M., </w:t>
      </w:r>
      <w:proofErr w:type="spellStart"/>
      <w:r w:rsidRPr="00ED2E17">
        <w:rPr>
          <w:rFonts w:ascii="Calibri" w:hAnsi="Calibri" w:cs="Calibri"/>
          <w:sz w:val="24"/>
          <w:szCs w:val="24"/>
        </w:rPr>
        <w:t>Rundell</w:t>
      </w:r>
      <w:proofErr w:type="spellEnd"/>
      <w:r w:rsidRPr="00ED2E17">
        <w:rPr>
          <w:rFonts w:ascii="Calibri" w:hAnsi="Calibri" w:cs="Calibri"/>
          <w:sz w:val="24"/>
          <w:szCs w:val="24"/>
        </w:rPr>
        <w:t>, B., Evans, D., &amp; Curtis, A. (2004) ‘How do collaborative and sustained CPD and sustained but not collaborative CPD affect teaching and learning?’ London: EPPI-Centre, Institute of Education.</w:t>
      </w:r>
    </w:p>
    <w:p w14:paraId="74506C45" w14:textId="77777777" w:rsidR="00906D28" w:rsidRPr="00ED2E17" w:rsidRDefault="00906D28" w:rsidP="00906D28">
      <w:pPr>
        <w:pStyle w:val="ListParagraph"/>
        <w:numPr>
          <w:ilvl w:val="0"/>
          <w:numId w:val="9"/>
        </w:numPr>
        <w:spacing w:after="160" w:line="360" w:lineRule="auto"/>
        <w:rPr>
          <w:rFonts w:ascii="Calibri" w:hAnsi="Calibri" w:cs="Calibri"/>
          <w:color w:val="333333"/>
          <w:sz w:val="24"/>
          <w:szCs w:val="24"/>
          <w:shd w:val="clear" w:color="auto" w:fill="FFFFFF"/>
        </w:rPr>
      </w:pPr>
      <w:r w:rsidRPr="00ED2E17">
        <w:rPr>
          <w:rFonts w:ascii="Calibri" w:hAnsi="Calibri" w:cs="Calibri"/>
          <w:color w:val="333333"/>
          <w:sz w:val="24"/>
          <w:szCs w:val="24"/>
          <w:shd w:val="clear" w:color="auto" w:fill="FFFFFF"/>
        </w:rPr>
        <w:t>Creswell, J. W. (</w:t>
      </w:r>
      <w:r w:rsidRPr="00ED2E17">
        <w:rPr>
          <w:rStyle w:val="nlmyear"/>
          <w:rFonts w:ascii="Calibri" w:hAnsi="Calibri" w:cs="Calibri"/>
          <w:color w:val="333333"/>
          <w:sz w:val="24"/>
          <w:szCs w:val="24"/>
          <w:shd w:val="clear" w:color="auto" w:fill="FFFFFF"/>
        </w:rPr>
        <w:t>2015</w:t>
      </w:r>
      <w:r w:rsidRPr="00ED2E17">
        <w:rPr>
          <w:rFonts w:ascii="Calibri" w:hAnsi="Calibri" w:cs="Calibri"/>
          <w:color w:val="333333"/>
          <w:sz w:val="24"/>
          <w:szCs w:val="24"/>
          <w:shd w:val="clear" w:color="auto" w:fill="FFFFFF"/>
        </w:rPr>
        <w:t xml:space="preserve">) </w:t>
      </w:r>
      <w:r w:rsidRPr="00ED2E17">
        <w:rPr>
          <w:rFonts w:ascii="Calibri" w:hAnsi="Calibri" w:cs="Calibri"/>
          <w:i/>
          <w:color w:val="333333"/>
          <w:sz w:val="24"/>
          <w:szCs w:val="24"/>
          <w:shd w:val="clear" w:color="auto" w:fill="FFFFFF"/>
        </w:rPr>
        <w:t>A concise introduction to mixed methods research</w:t>
      </w:r>
      <w:r w:rsidRPr="00ED2E17">
        <w:rPr>
          <w:rFonts w:ascii="Calibri" w:hAnsi="Calibri" w:cs="Calibri"/>
          <w:color w:val="333333"/>
          <w:sz w:val="24"/>
          <w:szCs w:val="24"/>
          <w:shd w:val="clear" w:color="auto" w:fill="FFFFFF"/>
        </w:rPr>
        <w:t>. </w:t>
      </w:r>
      <w:r w:rsidRPr="00ED2E17">
        <w:rPr>
          <w:rStyle w:val="nlmpublisher-loc"/>
          <w:rFonts w:ascii="Calibri" w:hAnsi="Calibri" w:cs="Calibri"/>
          <w:color w:val="333333"/>
          <w:sz w:val="24"/>
          <w:szCs w:val="24"/>
          <w:shd w:val="clear" w:color="auto" w:fill="FFFFFF"/>
        </w:rPr>
        <w:t>Los Angeles, CA</w:t>
      </w:r>
      <w:r w:rsidRPr="00ED2E17">
        <w:rPr>
          <w:rFonts w:ascii="Calibri" w:hAnsi="Calibri" w:cs="Calibri"/>
          <w:color w:val="333333"/>
          <w:sz w:val="24"/>
          <w:szCs w:val="24"/>
          <w:shd w:val="clear" w:color="auto" w:fill="FFFFFF"/>
        </w:rPr>
        <w:t>: </w:t>
      </w:r>
      <w:r w:rsidRPr="00ED2E17">
        <w:rPr>
          <w:rStyle w:val="nlmpublisher-name"/>
          <w:rFonts w:ascii="Calibri" w:hAnsi="Calibri" w:cs="Calibri"/>
          <w:color w:val="333333"/>
          <w:sz w:val="24"/>
          <w:szCs w:val="24"/>
          <w:shd w:val="clear" w:color="auto" w:fill="FFFFFF"/>
        </w:rPr>
        <w:t>SAGE</w:t>
      </w:r>
      <w:r w:rsidRPr="00ED2E17">
        <w:rPr>
          <w:rFonts w:ascii="Calibri" w:hAnsi="Calibri" w:cs="Calibri"/>
          <w:color w:val="333333"/>
          <w:sz w:val="24"/>
          <w:szCs w:val="24"/>
          <w:shd w:val="clear" w:color="auto" w:fill="FFFFFF"/>
        </w:rPr>
        <w:t>. </w:t>
      </w:r>
    </w:p>
    <w:p w14:paraId="4C56924B"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Department of Education (2010) </w:t>
      </w:r>
      <w:r w:rsidRPr="00ED2E17">
        <w:rPr>
          <w:rFonts w:ascii="Calibri" w:hAnsi="Calibri" w:cs="Calibri"/>
          <w:i/>
          <w:sz w:val="24"/>
          <w:szCs w:val="24"/>
        </w:rPr>
        <w:t>Improving subject pedagogy through Lesson Study: Handbook for leading teachers in mathematics and English.</w:t>
      </w:r>
      <w:r w:rsidRPr="00ED2E17">
        <w:rPr>
          <w:rFonts w:ascii="Calibri" w:hAnsi="Calibri" w:cs="Calibri"/>
          <w:sz w:val="24"/>
          <w:szCs w:val="24"/>
        </w:rPr>
        <w:t xml:space="preserve"> Available at: https://moodle.uwtsd.ac.uk/pluginfile.php/133343/mod_resource/content/1/2018%20Improving%20subject%20pedagogy%20through%20Lesson%20Study.pdf [accessed on Moodle: 28.02.19]</w:t>
      </w:r>
    </w:p>
    <w:p w14:paraId="30373192"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proofErr w:type="spellStart"/>
      <w:r w:rsidRPr="00ED2E17">
        <w:rPr>
          <w:rFonts w:ascii="Calibri" w:hAnsi="Calibri" w:cs="Calibri"/>
          <w:color w:val="000000"/>
          <w:sz w:val="24"/>
          <w:szCs w:val="24"/>
          <w:shd w:val="clear" w:color="auto" w:fill="FFFFFF"/>
        </w:rPr>
        <w:t>Drever</w:t>
      </w:r>
      <w:proofErr w:type="spellEnd"/>
      <w:r w:rsidRPr="00ED2E17">
        <w:rPr>
          <w:rFonts w:ascii="Calibri" w:hAnsi="Calibri" w:cs="Calibri"/>
          <w:color w:val="000000"/>
          <w:sz w:val="24"/>
          <w:szCs w:val="24"/>
          <w:shd w:val="clear" w:color="auto" w:fill="FFFFFF"/>
        </w:rPr>
        <w:t xml:space="preserve">, E. (2003) </w:t>
      </w:r>
      <w:r w:rsidRPr="00ED2E17">
        <w:rPr>
          <w:rFonts w:ascii="Calibri" w:hAnsi="Calibri" w:cs="Calibri"/>
          <w:i/>
          <w:iCs/>
          <w:color w:val="000000"/>
          <w:sz w:val="24"/>
          <w:szCs w:val="24"/>
          <w:shd w:val="clear" w:color="auto" w:fill="FFFFFF"/>
        </w:rPr>
        <w:t>Using semi-structured interviews in small-scale research.</w:t>
      </w:r>
      <w:r w:rsidRPr="00ED2E17">
        <w:rPr>
          <w:rFonts w:ascii="Calibri" w:hAnsi="Calibri" w:cs="Calibri"/>
          <w:color w:val="000000"/>
          <w:sz w:val="24"/>
          <w:szCs w:val="24"/>
          <w:shd w:val="clear" w:color="auto" w:fill="FFFFFF"/>
        </w:rPr>
        <w:t xml:space="preserve"> 2nd ed. Edinburgh: SCRE.</w:t>
      </w:r>
    </w:p>
    <w:p w14:paraId="50757E36"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sz w:val="24"/>
          <w:szCs w:val="24"/>
        </w:rPr>
        <w:lastRenderedPageBreak/>
        <w:t xml:space="preserve">Dudley, P. (2012) ‘Lesson Study in England: from school networks to national policy’, </w:t>
      </w:r>
      <w:r w:rsidRPr="00ED2E17">
        <w:rPr>
          <w:i/>
          <w:sz w:val="24"/>
          <w:szCs w:val="24"/>
        </w:rPr>
        <w:t>International Journal of Lesson and Learning Studies</w:t>
      </w:r>
      <w:r w:rsidRPr="00ED2E17">
        <w:rPr>
          <w:sz w:val="24"/>
          <w:szCs w:val="24"/>
        </w:rPr>
        <w:t>, 1(1), pp 85-100.</w:t>
      </w:r>
    </w:p>
    <w:p w14:paraId="4677C518"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 xml:space="preserve">Dudley, P. (2014) </w:t>
      </w:r>
      <w:r w:rsidRPr="00ED2E17">
        <w:rPr>
          <w:rFonts w:ascii="Calibri" w:hAnsi="Calibri" w:cs="Calibri"/>
          <w:i/>
          <w:color w:val="000000"/>
          <w:sz w:val="24"/>
          <w:szCs w:val="24"/>
          <w:shd w:val="clear" w:color="auto" w:fill="FFFFFF"/>
        </w:rPr>
        <w:t>Lesson study: a handbook</w:t>
      </w:r>
      <w:r w:rsidRPr="00ED2E17">
        <w:rPr>
          <w:rFonts w:ascii="Calibri" w:hAnsi="Calibri" w:cs="Calibri"/>
          <w:color w:val="000000"/>
          <w:sz w:val="24"/>
          <w:szCs w:val="24"/>
          <w:shd w:val="clear" w:color="auto" w:fill="FFFFFF"/>
        </w:rPr>
        <w:t xml:space="preserve">. Available at: </w:t>
      </w:r>
      <w:hyperlink r:id="rId7" w:history="1">
        <w:r w:rsidRPr="00ED2E17">
          <w:rPr>
            <w:rStyle w:val="Hyperlink"/>
            <w:rFonts w:ascii="Calibri" w:hAnsi="Calibri" w:cs="Calibri"/>
            <w:sz w:val="24"/>
            <w:szCs w:val="24"/>
            <w:shd w:val="clear" w:color="auto" w:fill="FFFFFF"/>
          </w:rPr>
          <w:t>https://moodle.uwtsd.ac.uk/pluginfile.php/133342/mod_resource/content/1/Lesson%20Study%20Handbook.pdf</w:t>
        </w:r>
      </w:hyperlink>
      <w:r w:rsidRPr="00ED2E17">
        <w:rPr>
          <w:rFonts w:ascii="Calibri" w:hAnsi="Calibri" w:cs="Calibri"/>
          <w:color w:val="000000"/>
          <w:sz w:val="24"/>
          <w:szCs w:val="24"/>
          <w:shd w:val="clear" w:color="auto" w:fill="FFFFFF"/>
        </w:rPr>
        <w:t xml:space="preserve"> [Accessed on: 18.01.19]</w:t>
      </w:r>
    </w:p>
    <w:p w14:paraId="7BD0FDA3"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 xml:space="preserve">Education Workforce Council (2019) Research ethics. Available at: </w:t>
      </w:r>
      <w:hyperlink r:id="rId8" w:history="1">
        <w:r w:rsidRPr="00ED2E17">
          <w:rPr>
            <w:rStyle w:val="Hyperlink"/>
            <w:rFonts w:ascii="Calibri" w:hAnsi="Calibri" w:cs="Calibri"/>
            <w:sz w:val="24"/>
            <w:szCs w:val="24"/>
            <w:shd w:val="clear" w:color="auto" w:fill="FFFFFF"/>
          </w:rPr>
          <w:t>https://www.ewc.wales/site/index.php/en/policy-hub/practitioner-research/research-ethics.html</w:t>
        </w:r>
      </w:hyperlink>
      <w:r w:rsidRPr="00ED2E17">
        <w:rPr>
          <w:rFonts w:ascii="Calibri" w:hAnsi="Calibri" w:cs="Calibri"/>
          <w:color w:val="000000"/>
          <w:sz w:val="24"/>
          <w:szCs w:val="24"/>
          <w:shd w:val="clear" w:color="auto" w:fill="FFFFFF"/>
        </w:rPr>
        <w:t xml:space="preserve"> [Accessed on: 02.02.19]. </w:t>
      </w:r>
    </w:p>
    <w:p w14:paraId="1B9F40D7"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proofErr w:type="spellStart"/>
      <w:r w:rsidRPr="00ED2E17">
        <w:rPr>
          <w:rFonts w:ascii="Calibri" w:hAnsi="Calibri" w:cs="Calibri"/>
          <w:sz w:val="24"/>
          <w:szCs w:val="24"/>
        </w:rPr>
        <w:t>Fedewa</w:t>
      </w:r>
      <w:proofErr w:type="spellEnd"/>
      <w:r w:rsidRPr="00ED2E17">
        <w:rPr>
          <w:rFonts w:ascii="Calibri" w:hAnsi="Calibri" w:cs="Calibri"/>
          <w:sz w:val="24"/>
          <w:szCs w:val="24"/>
        </w:rPr>
        <w:t xml:space="preserve">, A. and Erwin, H. (2011) ‘Stability balls and students with attention and hyperactivity concerns: implications for on-task and in-seat </w:t>
      </w:r>
      <w:proofErr w:type="spellStart"/>
      <w:r w:rsidRPr="00ED2E17">
        <w:rPr>
          <w:rFonts w:ascii="Calibri" w:hAnsi="Calibri" w:cs="Calibri"/>
          <w:sz w:val="24"/>
          <w:szCs w:val="24"/>
        </w:rPr>
        <w:t>behavior</w:t>
      </w:r>
      <w:proofErr w:type="spellEnd"/>
      <w:r w:rsidRPr="00ED2E17">
        <w:rPr>
          <w:rFonts w:ascii="Calibri" w:hAnsi="Calibri" w:cs="Calibri"/>
          <w:sz w:val="24"/>
          <w:szCs w:val="24"/>
        </w:rPr>
        <w:t xml:space="preserve">’. </w:t>
      </w:r>
      <w:r w:rsidRPr="00ED2E17">
        <w:rPr>
          <w:rFonts w:ascii="Calibri" w:hAnsi="Calibri" w:cs="Calibri"/>
          <w:i/>
          <w:sz w:val="24"/>
          <w:szCs w:val="24"/>
        </w:rPr>
        <w:t>American Journal of Occupational Therapy</w:t>
      </w:r>
      <w:r w:rsidRPr="00ED2E17">
        <w:rPr>
          <w:rFonts w:ascii="Calibri" w:hAnsi="Calibri" w:cs="Calibri"/>
          <w:sz w:val="24"/>
          <w:szCs w:val="24"/>
        </w:rPr>
        <w:t>, 65, pp. 393-399.</w:t>
      </w:r>
    </w:p>
    <w:p w14:paraId="47873DDD"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Fernandez, C. and Yoshida, M. (2004) </w:t>
      </w:r>
      <w:r w:rsidRPr="00ED2E17">
        <w:rPr>
          <w:rFonts w:ascii="Calibri" w:hAnsi="Calibri" w:cs="Calibri"/>
          <w:i/>
          <w:iCs/>
          <w:color w:val="000000"/>
          <w:sz w:val="24"/>
          <w:szCs w:val="24"/>
          <w:shd w:val="clear" w:color="auto" w:fill="FFFFFF"/>
        </w:rPr>
        <w:t xml:space="preserve">Lesson study: A Japanese Approach </w:t>
      </w:r>
      <w:proofErr w:type="gramStart"/>
      <w:r w:rsidRPr="00ED2E17">
        <w:rPr>
          <w:rFonts w:ascii="Calibri" w:hAnsi="Calibri" w:cs="Calibri"/>
          <w:i/>
          <w:iCs/>
          <w:color w:val="000000"/>
          <w:sz w:val="24"/>
          <w:szCs w:val="24"/>
          <w:shd w:val="clear" w:color="auto" w:fill="FFFFFF"/>
        </w:rPr>
        <w:t>To</w:t>
      </w:r>
      <w:proofErr w:type="gramEnd"/>
      <w:r w:rsidRPr="00ED2E17">
        <w:rPr>
          <w:rFonts w:ascii="Calibri" w:hAnsi="Calibri" w:cs="Calibri"/>
          <w:i/>
          <w:iCs/>
          <w:color w:val="000000"/>
          <w:sz w:val="24"/>
          <w:szCs w:val="24"/>
          <w:shd w:val="clear" w:color="auto" w:fill="FFFFFF"/>
        </w:rPr>
        <w:t xml:space="preserve"> Improving Mathematics Teaching and Learning</w:t>
      </w:r>
      <w:r w:rsidRPr="00ED2E17">
        <w:rPr>
          <w:rFonts w:ascii="Calibri" w:hAnsi="Calibri" w:cs="Calibri"/>
          <w:color w:val="000000"/>
          <w:sz w:val="24"/>
          <w:szCs w:val="24"/>
          <w:shd w:val="clear" w:color="auto" w:fill="FFFFFF"/>
        </w:rPr>
        <w:t>. New York: Lawrence Erlbaum Associates.</w:t>
      </w:r>
    </w:p>
    <w:p w14:paraId="2A5D253F"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Finlay, L. (2008) ‘Reflecting on reflective practice’. </w:t>
      </w:r>
      <w:r w:rsidRPr="00ED2E17">
        <w:rPr>
          <w:rFonts w:ascii="Calibri" w:hAnsi="Calibri" w:cs="Calibri"/>
          <w:i/>
          <w:iCs/>
          <w:color w:val="000000"/>
          <w:sz w:val="24"/>
          <w:szCs w:val="24"/>
          <w:shd w:val="clear" w:color="auto" w:fill="FFFFFF"/>
        </w:rPr>
        <w:t>PBPL paper</w:t>
      </w:r>
      <w:r w:rsidRPr="00ED2E17">
        <w:rPr>
          <w:rFonts w:ascii="Calibri" w:hAnsi="Calibri" w:cs="Calibri"/>
          <w:color w:val="000000"/>
          <w:sz w:val="24"/>
          <w:szCs w:val="24"/>
          <w:shd w:val="clear" w:color="auto" w:fill="FFFFFF"/>
        </w:rPr>
        <w:t>, 52, pp.1-27.</w:t>
      </w:r>
    </w:p>
    <w:p w14:paraId="526AB32F"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 xml:space="preserve">Flick, U., </w:t>
      </w:r>
      <w:proofErr w:type="spellStart"/>
      <w:r w:rsidRPr="00ED2E17">
        <w:rPr>
          <w:rFonts w:ascii="Calibri" w:hAnsi="Calibri" w:cs="Calibri"/>
          <w:color w:val="000000"/>
          <w:sz w:val="24"/>
          <w:szCs w:val="24"/>
          <w:shd w:val="clear" w:color="auto" w:fill="FFFFFF"/>
        </w:rPr>
        <w:t>Kardorff</w:t>
      </w:r>
      <w:proofErr w:type="spellEnd"/>
      <w:r w:rsidRPr="00ED2E17">
        <w:rPr>
          <w:rFonts w:ascii="Calibri" w:hAnsi="Calibri" w:cs="Calibri"/>
          <w:color w:val="000000"/>
          <w:sz w:val="24"/>
          <w:szCs w:val="24"/>
          <w:shd w:val="clear" w:color="auto" w:fill="FFFFFF"/>
        </w:rPr>
        <w:t>, E. and Steinke, I. (2005) </w:t>
      </w:r>
      <w:r w:rsidRPr="00ED2E17">
        <w:rPr>
          <w:rFonts w:ascii="Calibri" w:hAnsi="Calibri" w:cs="Calibri"/>
          <w:i/>
          <w:iCs/>
          <w:color w:val="000000"/>
          <w:sz w:val="24"/>
          <w:szCs w:val="24"/>
          <w:shd w:val="clear" w:color="auto" w:fill="FFFFFF"/>
        </w:rPr>
        <w:t>A Companion to Qualitative Research</w:t>
      </w:r>
      <w:r w:rsidRPr="00ED2E17">
        <w:rPr>
          <w:rFonts w:ascii="Calibri" w:hAnsi="Calibri" w:cs="Calibri"/>
          <w:color w:val="000000"/>
          <w:sz w:val="24"/>
          <w:szCs w:val="24"/>
          <w:shd w:val="clear" w:color="auto" w:fill="FFFFFF"/>
        </w:rPr>
        <w:t>. 2nd ed. London: SAGE.</w:t>
      </w:r>
    </w:p>
    <w:p w14:paraId="6268EEFC" w14:textId="77777777" w:rsidR="00906D28" w:rsidRPr="00ED2E17" w:rsidRDefault="00906D28" w:rsidP="00906D28">
      <w:pPr>
        <w:pStyle w:val="ListParagraph"/>
        <w:numPr>
          <w:ilvl w:val="0"/>
          <w:numId w:val="9"/>
        </w:numPr>
        <w:spacing w:after="160" w:line="259" w:lineRule="auto"/>
        <w:rPr>
          <w:rFonts w:ascii="Calibri" w:hAnsi="Calibri" w:cs="Calibri"/>
          <w:sz w:val="24"/>
          <w:szCs w:val="24"/>
        </w:rPr>
      </w:pPr>
      <w:r w:rsidRPr="00ED2E17">
        <w:rPr>
          <w:rFonts w:ascii="Calibri" w:hAnsi="Calibri" w:cs="Calibri"/>
          <w:sz w:val="24"/>
          <w:szCs w:val="24"/>
        </w:rPr>
        <w:t xml:space="preserve">Fredricks, J. A., Blumenfeld, P. C., &amp; Paris, A. H. (2004) ‘School engagement: Potential of the concept, state of the evidence’, </w:t>
      </w:r>
      <w:r w:rsidRPr="00ED2E17">
        <w:rPr>
          <w:rFonts w:ascii="Calibri" w:hAnsi="Calibri" w:cs="Calibri"/>
          <w:i/>
          <w:sz w:val="24"/>
          <w:szCs w:val="24"/>
        </w:rPr>
        <w:t>Review of Educational Research</w:t>
      </w:r>
      <w:r w:rsidRPr="00ED2E17">
        <w:rPr>
          <w:rFonts w:ascii="Calibri" w:hAnsi="Calibri" w:cs="Calibri"/>
          <w:sz w:val="24"/>
          <w:szCs w:val="24"/>
        </w:rPr>
        <w:t>, 74(1), pp. 59-109.</w:t>
      </w:r>
    </w:p>
    <w:p w14:paraId="6EA51C60" w14:textId="77777777" w:rsidR="00906D28" w:rsidRPr="00ED2E17" w:rsidRDefault="00906D28" w:rsidP="00906D28">
      <w:pPr>
        <w:pStyle w:val="ListParagraph"/>
        <w:numPr>
          <w:ilvl w:val="0"/>
          <w:numId w:val="9"/>
        </w:numPr>
        <w:spacing w:after="160" w:line="259" w:lineRule="auto"/>
        <w:rPr>
          <w:rFonts w:ascii="Calibri" w:hAnsi="Calibri" w:cs="Calibri"/>
          <w:sz w:val="24"/>
          <w:szCs w:val="24"/>
        </w:rPr>
      </w:pPr>
      <w:r w:rsidRPr="00ED2E17">
        <w:rPr>
          <w:sz w:val="24"/>
          <w:szCs w:val="24"/>
        </w:rPr>
        <w:t xml:space="preserve">Gibbs, G. (1988). </w:t>
      </w:r>
      <w:r w:rsidRPr="00ED2E17">
        <w:rPr>
          <w:i/>
          <w:sz w:val="24"/>
          <w:szCs w:val="24"/>
        </w:rPr>
        <w:t>Learning by Doing: A Guide to Teaching and Learning Methods</w:t>
      </w:r>
      <w:r w:rsidRPr="00ED2E17">
        <w:rPr>
          <w:sz w:val="24"/>
          <w:szCs w:val="24"/>
        </w:rPr>
        <w:t>. Oxford: Oxford Further Education Unit.</w:t>
      </w:r>
    </w:p>
    <w:p w14:paraId="4F3E7F1E" w14:textId="77777777" w:rsidR="00906D28"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Jensen, E. (2000) ‘Brain-based Learning: A reality check’, </w:t>
      </w:r>
      <w:r w:rsidRPr="00ED2E17">
        <w:rPr>
          <w:rFonts w:ascii="Calibri" w:hAnsi="Calibri" w:cs="Calibri"/>
          <w:i/>
          <w:sz w:val="24"/>
          <w:szCs w:val="24"/>
        </w:rPr>
        <w:t>Educational Leadership</w:t>
      </w:r>
      <w:r w:rsidRPr="00ED2E17">
        <w:rPr>
          <w:rFonts w:ascii="Calibri" w:hAnsi="Calibri" w:cs="Calibri"/>
          <w:sz w:val="24"/>
          <w:szCs w:val="24"/>
        </w:rPr>
        <w:t xml:space="preserve">, 57(7), pp. 76–80. </w:t>
      </w:r>
    </w:p>
    <w:p w14:paraId="2B9F7FA3" w14:textId="77777777" w:rsidR="00906D28" w:rsidRPr="00ED2E17" w:rsidRDefault="00906D28" w:rsidP="00906D28">
      <w:pPr>
        <w:pStyle w:val="ListParagraph"/>
        <w:numPr>
          <w:ilvl w:val="0"/>
          <w:numId w:val="9"/>
        </w:numPr>
        <w:spacing w:after="160" w:line="360" w:lineRule="auto"/>
        <w:rPr>
          <w:rFonts w:ascii="Calibri" w:hAnsi="Calibri" w:cs="Calibri"/>
          <w:szCs w:val="24"/>
        </w:rPr>
      </w:pPr>
      <w:r w:rsidRPr="00ED2E17">
        <w:rPr>
          <w:rFonts w:ascii="Calibri" w:hAnsi="Calibri" w:cs="Calibri"/>
          <w:color w:val="000000"/>
          <w:sz w:val="24"/>
          <w:szCs w:val="26"/>
          <w:shd w:val="clear" w:color="auto" w:fill="FFFFFF"/>
        </w:rPr>
        <w:t>Kolb, D. A., &amp; Fry, R. E. (1974) </w:t>
      </w:r>
      <w:r w:rsidRPr="00ED2E17">
        <w:rPr>
          <w:rStyle w:val="Emphasis"/>
          <w:rFonts w:ascii="Calibri" w:hAnsi="Calibri" w:cs="Calibri"/>
          <w:color w:val="000000"/>
          <w:sz w:val="24"/>
          <w:szCs w:val="26"/>
          <w:shd w:val="clear" w:color="auto" w:fill="FFFFFF"/>
        </w:rPr>
        <w:t>Toward an applied theory of experiential learning</w:t>
      </w:r>
      <w:r w:rsidRPr="00ED2E17">
        <w:rPr>
          <w:rFonts w:ascii="Calibri" w:hAnsi="Calibri" w:cs="Calibri"/>
          <w:color w:val="000000"/>
          <w:sz w:val="24"/>
          <w:szCs w:val="26"/>
          <w:shd w:val="clear" w:color="auto" w:fill="FFFFFF"/>
        </w:rPr>
        <w:t>. MIT Alfred P. Sloan School of Management.</w:t>
      </w:r>
    </w:p>
    <w:p w14:paraId="20F04C9C"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Knight, G., &amp; Noyes, J. (1999) ‘Children's behaviour and the design of school furniture’, </w:t>
      </w:r>
      <w:r w:rsidRPr="00ED2E17">
        <w:rPr>
          <w:rFonts w:ascii="Calibri" w:hAnsi="Calibri" w:cs="Calibri"/>
          <w:i/>
          <w:sz w:val="24"/>
          <w:szCs w:val="24"/>
        </w:rPr>
        <w:t>Ergonomics</w:t>
      </w:r>
      <w:r w:rsidRPr="00ED2E17">
        <w:rPr>
          <w:rFonts w:ascii="Calibri" w:hAnsi="Calibri" w:cs="Calibri"/>
          <w:sz w:val="24"/>
          <w:szCs w:val="24"/>
        </w:rPr>
        <w:t>, 42(5), pp. 747-760.</w:t>
      </w:r>
    </w:p>
    <w:p w14:paraId="3DB7BF95"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color w:val="333333"/>
          <w:sz w:val="24"/>
          <w:szCs w:val="24"/>
          <w:shd w:val="clear" w:color="auto" w:fill="FFFFFF"/>
        </w:rPr>
        <w:t xml:space="preserve">Johnson, B., &amp; Christensen, L. (2000) </w:t>
      </w:r>
      <w:r w:rsidRPr="00ED2E17">
        <w:rPr>
          <w:rFonts w:ascii="Calibri" w:hAnsi="Calibri" w:cs="Calibri"/>
          <w:i/>
          <w:color w:val="333333"/>
          <w:sz w:val="24"/>
          <w:szCs w:val="24"/>
          <w:shd w:val="clear" w:color="auto" w:fill="FFFFFF"/>
        </w:rPr>
        <w:t>Educational research: Quantitative and qualitative approaches</w:t>
      </w:r>
      <w:r w:rsidRPr="00ED2E17">
        <w:rPr>
          <w:rFonts w:ascii="Calibri" w:hAnsi="Calibri" w:cs="Calibri"/>
          <w:color w:val="333333"/>
          <w:sz w:val="24"/>
          <w:szCs w:val="24"/>
          <w:shd w:val="clear" w:color="auto" w:fill="FFFFFF"/>
        </w:rPr>
        <w:t xml:space="preserve">, Needham Heights, MA, US: </w:t>
      </w:r>
      <w:proofErr w:type="spellStart"/>
      <w:r w:rsidRPr="00ED2E17">
        <w:rPr>
          <w:rFonts w:ascii="Calibri" w:hAnsi="Calibri" w:cs="Calibri"/>
          <w:color w:val="333333"/>
          <w:sz w:val="24"/>
          <w:szCs w:val="24"/>
          <w:shd w:val="clear" w:color="auto" w:fill="FFFFFF"/>
        </w:rPr>
        <w:t>Allyn</w:t>
      </w:r>
      <w:proofErr w:type="spellEnd"/>
      <w:r w:rsidRPr="00ED2E17">
        <w:rPr>
          <w:rFonts w:ascii="Calibri" w:hAnsi="Calibri" w:cs="Calibri"/>
          <w:color w:val="333333"/>
          <w:sz w:val="24"/>
          <w:szCs w:val="24"/>
          <w:shd w:val="clear" w:color="auto" w:fill="FFFFFF"/>
        </w:rPr>
        <w:t xml:space="preserve"> &amp; Bacon.</w:t>
      </w:r>
    </w:p>
    <w:p w14:paraId="4D3D98D6"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proofErr w:type="spellStart"/>
      <w:r w:rsidRPr="00ED2E17">
        <w:rPr>
          <w:rStyle w:val="Emphasis"/>
          <w:rFonts w:ascii="Calibri" w:hAnsi="Calibri" w:cs="Calibri"/>
          <w:bCs/>
          <w:i w:val="0"/>
          <w:iCs w:val="0"/>
          <w:sz w:val="24"/>
          <w:szCs w:val="24"/>
          <w:shd w:val="clear" w:color="auto" w:fill="FFFFFF"/>
        </w:rPr>
        <w:t>Kahu</w:t>
      </w:r>
      <w:proofErr w:type="spellEnd"/>
      <w:r w:rsidRPr="00ED2E17">
        <w:rPr>
          <w:rStyle w:val="Emphasis"/>
          <w:rFonts w:ascii="Calibri" w:hAnsi="Calibri" w:cs="Calibri"/>
          <w:bCs/>
          <w:i w:val="0"/>
          <w:iCs w:val="0"/>
          <w:sz w:val="24"/>
          <w:szCs w:val="24"/>
          <w:shd w:val="clear" w:color="auto" w:fill="FFFFFF"/>
        </w:rPr>
        <w:t>, E, R.</w:t>
      </w:r>
      <w:r w:rsidRPr="00ED2E17">
        <w:rPr>
          <w:rFonts w:ascii="Calibri" w:hAnsi="Calibri" w:cs="Calibri"/>
          <w:sz w:val="24"/>
          <w:szCs w:val="24"/>
          <w:shd w:val="clear" w:color="auto" w:fill="FFFFFF"/>
        </w:rPr>
        <w:t> (</w:t>
      </w:r>
      <w:r w:rsidRPr="00ED2E17">
        <w:rPr>
          <w:rStyle w:val="Emphasis"/>
          <w:rFonts w:ascii="Calibri" w:hAnsi="Calibri" w:cs="Calibri"/>
          <w:bCs/>
          <w:i w:val="0"/>
          <w:iCs w:val="0"/>
          <w:sz w:val="24"/>
          <w:szCs w:val="24"/>
          <w:shd w:val="clear" w:color="auto" w:fill="FFFFFF"/>
        </w:rPr>
        <w:t>2013</w:t>
      </w:r>
      <w:r w:rsidRPr="00ED2E17">
        <w:rPr>
          <w:rFonts w:ascii="Calibri" w:hAnsi="Calibri" w:cs="Calibri"/>
          <w:sz w:val="24"/>
          <w:szCs w:val="24"/>
          <w:shd w:val="clear" w:color="auto" w:fill="FFFFFF"/>
        </w:rPr>
        <w:t>) ‘Framing student engagement in higher education’</w:t>
      </w:r>
      <w:r w:rsidRPr="00ED2E17">
        <w:rPr>
          <w:rFonts w:ascii="Calibri" w:hAnsi="Calibri" w:cs="Calibri"/>
          <w:i/>
          <w:sz w:val="24"/>
          <w:szCs w:val="24"/>
          <w:shd w:val="clear" w:color="auto" w:fill="FFFFFF"/>
        </w:rPr>
        <w:t>, Studies in Higher Education</w:t>
      </w:r>
      <w:r w:rsidRPr="00ED2E17">
        <w:rPr>
          <w:rFonts w:ascii="Calibri" w:hAnsi="Calibri" w:cs="Calibri"/>
          <w:sz w:val="24"/>
          <w:szCs w:val="24"/>
          <w:shd w:val="clear" w:color="auto" w:fill="FFFFFF"/>
        </w:rPr>
        <w:t xml:space="preserve">, 38(5), pp. 758-773. </w:t>
      </w:r>
    </w:p>
    <w:p w14:paraId="4F1D1E30"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proofErr w:type="spellStart"/>
      <w:r w:rsidRPr="00ED2E17">
        <w:rPr>
          <w:rFonts w:ascii="Calibri" w:hAnsi="Calibri" w:cs="Calibri"/>
          <w:sz w:val="24"/>
          <w:szCs w:val="24"/>
        </w:rPr>
        <w:lastRenderedPageBreak/>
        <w:t>Kember</w:t>
      </w:r>
      <w:proofErr w:type="spellEnd"/>
      <w:r w:rsidRPr="00ED2E17">
        <w:rPr>
          <w:rFonts w:ascii="Calibri" w:hAnsi="Calibri" w:cs="Calibri"/>
          <w:sz w:val="24"/>
          <w:szCs w:val="24"/>
        </w:rPr>
        <w:t xml:space="preserve">, D. (2004) ‘Interpreting student workload and the factors which shape students’ perceptions of their workload’, </w:t>
      </w:r>
      <w:r w:rsidRPr="00ED2E17">
        <w:rPr>
          <w:rFonts w:ascii="Calibri" w:hAnsi="Calibri" w:cs="Calibri"/>
          <w:i/>
          <w:sz w:val="24"/>
          <w:szCs w:val="24"/>
        </w:rPr>
        <w:t>Studies in Higher Education,</w:t>
      </w:r>
      <w:r w:rsidRPr="00ED2E17">
        <w:rPr>
          <w:rFonts w:ascii="Calibri" w:hAnsi="Calibri" w:cs="Calibri"/>
          <w:sz w:val="24"/>
          <w:szCs w:val="24"/>
        </w:rPr>
        <w:t xml:space="preserve"> 29(2), pp. 165-184.</w:t>
      </w:r>
    </w:p>
    <w:p w14:paraId="2B1BE61D"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Krause, K. L., &amp; Coates, H. (2008) ‘Students’ engagement in first year university’, </w:t>
      </w:r>
      <w:r w:rsidRPr="00ED2E17">
        <w:rPr>
          <w:rFonts w:ascii="Calibri" w:hAnsi="Calibri" w:cs="Calibri"/>
          <w:i/>
          <w:sz w:val="24"/>
          <w:szCs w:val="24"/>
        </w:rPr>
        <w:t>Assessment &amp; Evaluation in Higher Education,</w:t>
      </w:r>
      <w:r w:rsidRPr="00ED2E17">
        <w:rPr>
          <w:rFonts w:ascii="Calibri" w:hAnsi="Calibri" w:cs="Calibri"/>
          <w:sz w:val="24"/>
          <w:szCs w:val="24"/>
        </w:rPr>
        <w:t xml:space="preserve"> 33(5), pp. 493-505.</w:t>
      </w:r>
    </w:p>
    <w:p w14:paraId="6857B5BB" w14:textId="77777777" w:rsidR="00906D28" w:rsidRPr="00ED2E17" w:rsidRDefault="00906D28" w:rsidP="00906D28">
      <w:pPr>
        <w:pStyle w:val="ListParagraph"/>
        <w:numPr>
          <w:ilvl w:val="0"/>
          <w:numId w:val="9"/>
        </w:numPr>
        <w:spacing w:after="0" w:line="360" w:lineRule="auto"/>
        <w:textAlignment w:val="baseline"/>
        <w:outlineLvl w:val="0"/>
        <w:rPr>
          <w:rFonts w:ascii="Calibri" w:hAnsi="Calibri" w:cs="Calibri"/>
          <w:color w:val="333333"/>
          <w:sz w:val="24"/>
          <w:szCs w:val="24"/>
          <w:shd w:val="clear" w:color="auto" w:fill="F7FBFE"/>
        </w:rPr>
      </w:pPr>
      <w:r w:rsidRPr="00ED2E17">
        <w:rPr>
          <w:rFonts w:ascii="Calibri" w:hAnsi="Calibri" w:cs="Calibri"/>
          <w:sz w:val="24"/>
          <w:szCs w:val="24"/>
        </w:rPr>
        <w:t>Krom</w:t>
      </w:r>
      <w:r>
        <w:rPr>
          <w:rFonts w:ascii="Calibri" w:hAnsi="Calibri" w:cs="Calibri"/>
          <w:sz w:val="24"/>
          <w:szCs w:val="24"/>
        </w:rPr>
        <w:t>b</w:t>
      </w:r>
      <w:r w:rsidRPr="00ED2E17">
        <w:rPr>
          <w:rFonts w:ascii="Calibri" w:hAnsi="Calibri" w:cs="Calibri"/>
          <w:sz w:val="24"/>
          <w:szCs w:val="24"/>
        </w:rPr>
        <w:t>ach, P. A (2016) ‘</w:t>
      </w:r>
      <w:r w:rsidRPr="00ED2E17">
        <w:rPr>
          <w:sz w:val="24"/>
          <w:szCs w:val="24"/>
        </w:rPr>
        <w:t xml:space="preserve">Effects of Stability Balls on Children with Autism Spectrum Disorder’, </w:t>
      </w:r>
      <w:r w:rsidRPr="00ED2E17">
        <w:rPr>
          <w:i/>
          <w:sz w:val="24"/>
          <w:szCs w:val="24"/>
        </w:rPr>
        <w:t>Graduate Theses and Dissertations,</w:t>
      </w:r>
      <w:r w:rsidRPr="00ED2E17">
        <w:rPr>
          <w:sz w:val="24"/>
          <w:szCs w:val="24"/>
        </w:rPr>
        <w:t xml:space="preserve"> pp. 1-33.</w:t>
      </w:r>
    </w:p>
    <w:p w14:paraId="07E3C6EA"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proofErr w:type="spellStart"/>
      <w:r w:rsidRPr="00ED2E17">
        <w:rPr>
          <w:rFonts w:ascii="Calibri" w:hAnsi="Calibri" w:cs="Calibri"/>
          <w:sz w:val="24"/>
          <w:szCs w:val="24"/>
        </w:rPr>
        <w:t>Laevers</w:t>
      </w:r>
      <w:proofErr w:type="spellEnd"/>
      <w:r w:rsidRPr="00ED2E17">
        <w:rPr>
          <w:rFonts w:ascii="Calibri" w:hAnsi="Calibri" w:cs="Calibri"/>
          <w:sz w:val="24"/>
          <w:szCs w:val="24"/>
        </w:rPr>
        <w:t xml:space="preserve"> F. (1994) The Leuven Involvement Scale for Young Children. Manual and video. Leuven, Belgium: Centre for Experiential Education; Experiential Education Series, No 1.</w:t>
      </w:r>
    </w:p>
    <w:p w14:paraId="4852BBC6"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proofErr w:type="spellStart"/>
      <w:r w:rsidRPr="00ED2E17">
        <w:rPr>
          <w:rFonts w:ascii="Calibri" w:hAnsi="Calibri" w:cs="Calibri"/>
          <w:sz w:val="24"/>
          <w:szCs w:val="24"/>
        </w:rPr>
        <w:t>Lapan</w:t>
      </w:r>
      <w:proofErr w:type="spellEnd"/>
      <w:r w:rsidRPr="00ED2E17">
        <w:rPr>
          <w:rFonts w:ascii="Calibri" w:hAnsi="Calibri" w:cs="Calibri"/>
          <w:sz w:val="24"/>
          <w:szCs w:val="24"/>
        </w:rPr>
        <w:t xml:space="preserve">, S. D., </w:t>
      </w:r>
      <w:proofErr w:type="spellStart"/>
      <w:r w:rsidRPr="00ED2E17">
        <w:rPr>
          <w:rFonts w:ascii="Calibri" w:hAnsi="Calibri" w:cs="Calibri"/>
          <w:sz w:val="24"/>
          <w:szCs w:val="24"/>
        </w:rPr>
        <w:t>Quartaroli</w:t>
      </w:r>
      <w:proofErr w:type="spellEnd"/>
      <w:r w:rsidRPr="00ED2E17">
        <w:rPr>
          <w:rFonts w:ascii="Calibri" w:hAnsi="Calibri" w:cs="Calibri"/>
          <w:sz w:val="24"/>
          <w:szCs w:val="24"/>
        </w:rPr>
        <w:t xml:space="preserve">, M. T., &amp; Riemer, F. J. (2011) </w:t>
      </w:r>
      <w:r w:rsidRPr="00ED2E17">
        <w:rPr>
          <w:rFonts w:ascii="Calibri" w:hAnsi="Calibri" w:cs="Calibri"/>
          <w:i/>
          <w:sz w:val="24"/>
          <w:szCs w:val="24"/>
        </w:rPr>
        <w:t xml:space="preserve">Qualitative Research: An Introduction to Methods and Designs. </w:t>
      </w:r>
      <w:r w:rsidRPr="00ED2E17">
        <w:rPr>
          <w:rFonts w:ascii="Calibri" w:hAnsi="Calibri" w:cs="Calibri"/>
          <w:sz w:val="24"/>
          <w:szCs w:val="24"/>
        </w:rPr>
        <w:t>USA: San Francisco. Jossey-Bass.</w:t>
      </w:r>
    </w:p>
    <w:p w14:paraId="28FA80AF"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proofErr w:type="spellStart"/>
      <w:r w:rsidRPr="00ED2E17">
        <w:rPr>
          <w:rFonts w:ascii="Calibri" w:hAnsi="Calibri" w:cs="Calibri"/>
          <w:sz w:val="24"/>
          <w:szCs w:val="24"/>
        </w:rPr>
        <w:t>Lemov</w:t>
      </w:r>
      <w:proofErr w:type="spellEnd"/>
      <w:r w:rsidRPr="00ED2E17">
        <w:rPr>
          <w:rFonts w:ascii="Calibri" w:hAnsi="Calibri" w:cs="Calibri"/>
          <w:sz w:val="24"/>
          <w:szCs w:val="24"/>
        </w:rPr>
        <w:t xml:space="preserve">, D. (2010) </w:t>
      </w:r>
      <w:r w:rsidRPr="00ED2E17">
        <w:rPr>
          <w:rFonts w:ascii="Calibri" w:hAnsi="Calibri" w:cs="Calibri"/>
          <w:i/>
          <w:sz w:val="24"/>
          <w:szCs w:val="24"/>
        </w:rPr>
        <w:t xml:space="preserve">Teach like a champion: 49 techniques that put students on a path to college. </w:t>
      </w:r>
      <w:r w:rsidRPr="00ED2E17">
        <w:rPr>
          <w:rFonts w:ascii="Calibri" w:hAnsi="Calibri" w:cs="Calibri"/>
          <w:sz w:val="24"/>
          <w:szCs w:val="24"/>
        </w:rPr>
        <w:t>USA:</w:t>
      </w:r>
      <w:r w:rsidRPr="00ED2E17">
        <w:rPr>
          <w:rFonts w:ascii="Calibri" w:hAnsi="Calibri" w:cs="Calibri"/>
          <w:i/>
          <w:sz w:val="24"/>
          <w:szCs w:val="24"/>
        </w:rPr>
        <w:t xml:space="preserve"> </w:t>
      </w:r>
      <w:r w:rsidRPr="00ED2E17">
        <w:rPr>
          <w:rFonts w:ascii="Calibri" w:hAnsi="Calibri" w:cs="Calibri"/>
          <w:sz w:val="24"/>
          <w:szCs w:val="24"/>
        </w:rPr>
        <w:t>San Francisco, Jossey-Bass.</w:t>
      </w:r>
    </w:p>
    <w:p w14:paraId="2D2786AD"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Lewis, C., Perry, R. and Murata, A. (2006) ‘How should Research Contribute to Instructional Improvement? The Case of Lesson Study’, </w:t>
      </w:r>
      <w:r w:rsidRPr="00ED2E17">
        <w:rPr>
          <w:rFonts w:ascii="Calibri" w:hAnsi="Calibri" w:cs="Calibri"/>
          <w:i/>
          <w:iCs/>
          <w:color w:val="000000"/>
          <w:sz w:val="24"/>
          <w:szCs w:val="24"/>
          <w:shd w:val="clear" w:color="auto" w:fill="FFFFFF"/>
        </w:rPr>
        <w:t>Educational researcher</w:t>
      </w:r>
      <w:r w:rsidRPr="00ED2E17">
        <w:rPr>
          <w:rFonts w:ascii="Calibri" w:hAnsi="Calibri" w:cs="Calibri"/>
          <w:color w:val="000000"/>
          <w:sz w:val="24"/>
          <w:szCs w:val="24"/>
          <w:shd w:val="clear" w:color="auto" w:fill="FFFFFF"/>
        </w:rPr>
        <w:t>, 35(3), pp 3.</w:t>
      </w:r>
    </w:p>
    <w:p w14:paraId="6066712A"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 xml:space="preserve">Mack, N., </w:t>
      </w:r>
      <w:proofErr w:type="spellStart"/>
      <w:r w:rsidRPr="00ED2E17">
        <w:rPr>
          <w:rFonts w:ascii="Calibri" w:hAnsi="Calibri" w:cs="Calibri"/>
          <w:color w:val="000000"/>
          <w:sz w:val="24"/>
          <w:szCs w:val="24"/>
          <w:shd w:val="clear" w:color="auto" w:fill="FFFFFF"/>
        </w:rPr>
        <w:t>Woodsong</w:t>
      </w:r>
      <w:proofErr w:type="spellEnd"/>
      <w:r w:rsidRPr="00ED2E17">
        <w:rPr>
          <w:rFonts w:ascii="Calibri" w:hAnsi="Calibri" w:cs="Calibri"/>
          <w:color w:val="000000"/>
          <w:sz w:val="24"/>
          <w:szCs w:val="24"/>
          <w:shd w:val="clear" w:color="auto" w:fill="FFFFFF"/>
        </w:rPr>
        <w:t xml:space="preserve">, C., MacQueen, K., Guest, G. and </w:t>
      </w:r>
      <w:proofErr w:type="spellStart"/>
      <w:r w:rsidRPr="00ED2E17">
        <w:rPr>
          <w:rFonts w:ascii="Calibri" w:hAnsi="Calibri" w:cs="Calibri"/>
          <w:color w:val="000000"/>
          <w:sz w:val="24"/>
          <w:szCs w:val="24"/>
          <w:shd w:val="clear" w:color="auto" w:fill="FFFFFF"/>
        </w:rPr>
        <w:t>Namey</w:t>
      </w:r>
      <w:proofErr w:type="spellEnd"/>
      <w:r w:rsidRPr="00ED2E17">
        <w:rPr>
          <w:rFonts w:ascii="Calibri" w:hAnsi="Calibri" w:cs="Calibri"/>
          <w:color w:val="000000"/>
          <w:sz w:val="24"/>
          <w:szCs w:val="24"/>
          <w:shd w:val="clear" w:color="auto" w:fill="FFFFFF"/>
        </w:rPr>
        <w:t>, E. (2005) </w:t>
      </w:r>
      <w:r w:rsidRPr="00ED2E17">
        <w:rPr>
          <w:rFonts w:ascii="Calibri" w:hAnsi="Calibri" w:cs="Calibri"/>
          <w:i/>
          <w:iCs/>
          <w:color w:val="000000"/>
          <w:sz w:val="24"/>
          <w:szCs w:val="24"/>
          <w:shd w:val="clear" w:color="auto" w:fill="FFFFFF"/>
        </w:rPr>
        <w:t>Qualitative Research Methods: A DATA COLLECTOR’S FIELD GUIDE</w:t>
      </w:r>
      <w:r w:rsidRPr="00ED2E17">
        <w:rPr>
          <w:rFonts w:ascii="Calibri" w:hAnsi="Calibri" w:cs="Calibri"/>
          <w:color w:val="000000"/>
          <w:sz w:val="24"/>
          <w:szCs w:val="24"/>
          <w:shd w:val="clear" w:color="auto" w:fill="FFFFFF"/>
        </w:rPr>
        <w:t>. USA: Family Health International.</w:t>
      </w:r>
    </w:p>
    <w:p w14:paraId="55103BB0"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McIntosh, M. and Morse, J. (2015) ‘Situating and Constructing Diversity in Semi-Structured Interviews’, </w:t>
      </w:r>
      <w:r w:rsidRPr="00ED2E17">
        <w:rPr>
          <w:rFonts w:ascii="Calibri" w:hAnsi="Calibri" w:cs="Calibri"/>
          <w:i/>
          <w:iCs/>
          <w:color w:val="000000"/>
          <w:sz w:val="24"/>
          <w:szCs w:val="24"/>
          <w:shd w:val="clear" w:color="auto" w:fill="FFFFFF"/>
        </w:rPr>
        <w:t>Global Qualitative Nursing Research</w:t>
      </w:r>
      <w:r w:rsidRPr="00ED2E17">
        <w:rPr>
          <w:rFonts w:ascii="Calibri" w:hAnsi="Calibri" w:cs="Calibri"/>
          <w:color w:val="000000"/>
          <w:sz w:val="24"/>
          <w:szCs w:val="24"/>
          <w:shd w:val="clear" w:color="auto" w:fill="FFFFFF"/>
        </w:rPr>
        <w:t>, 2.</w:t>
      </w:r>
    </w:p>
    <w:p w14:paraId="6ACEAA33"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Moon, J. (2004) </w:t>
      </w:r>
      <w:r w:rsidRPr="00ED2E17">
        <w:rPr>
          <w:rFonts w:ascii="Calibri" w:hAnsi="Calibri" w:cs="Calibri"/>
          <w:i/>
          <w:sz w:val="24"/>
          <w:szCs w:val="24"/>
        </w:rPr>
        <w:t>A Handbook of Reflective and Experiential Learning: Theory and Practice</w:t>
      </w:r>
      <w:r w:rsidRPr="00ED2E17">
        <w:rPr>
          <w:rFonts w:ascii="Calibri" w:hAnsi="Calibri" w:cs="Calibri"/>
          <w:sz w:val="24"/>
          <w:szCs w:val="24"/>
        </w:rPr>
        <w:t>, London: Routledge.</w:t>
      </w:r>
    </w:p>
    <w:p w14:paraId="15644983"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Murata, A. (2011) ‘Introduction: Conceptual overview of lesson study’, </w:t>
      </w:r>
      <w:r w:rsidRPr="00ED2E17">
        <w:rPr>
          <w:rFonts w:ascii="Calibri" w:hAnsi="Calibri" w:cs="Calibri"/>
          <w:i/>
          <w:sz w:val="24"/>
          <w:szCs w:val="24"/>
        </w:rPr>
        <w:t>In lesson study research and practice in mathematics education</w:t>
      </w:r>
      <w:r w:rsidRPr="00ED2E17">
        <w:rPr>
          <w:rFonts w:ascii="Calibri" w:hAnsi="Calibri" w:cs="Calibri"/>
          <w:sz w:val="24"/>
          <w:szCs w:val="24"/>
        </w:rPr>
        <w:t>, 1, pp. 1-12</w:t>
      </w:r>
    </w:p>
    <w:p w14:paraId="4364D81E"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Norwich, B. and Jones, J. (2014) </w:t>
      </w:r>
      <w:r w:rsidRPr="00ED2E17">
        <w:rPr>
          <w:rFonts w:ascii="Calibri" w:hAnsi="Calibri" w:cs="Calibri"/>
          <w:i/>
          <w:iCs/>
          <w:color w:val="000000"/>
          <w:sz w:val="24"/>
          <w:szCs w:val="24"/>
          <w:shd w:val="clear" w:color="auto" w:fill="FFFFFF"/>
        </w:rPr>
        <w:t>Lesson study: making a difference to teaching pupils with learning difficulties</w:t>
      </w:r>
      <w:r w:rsidRPr="00ED2E17">
        <w:rPr>
          <w:rFonts w:ascii="Calibri" w:hAnsi="Calibri" w:cs="Calibri"/>
          <w:color w:val="000000"/>
          <w:sz w:val="24"/>
          <w:szCs w:val="24"/>
          <w:shd w:val="clear" w:color="auto" w:fill="FFFFFF"/>
        </w:rPr>
        <w:t>. 2nd ed. London: Bloomsbury Academic.</w:t>
      </w:r>
    </w:p>
    <w:p w14:paraId="0EC3D337"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Parke, J. and Griffiths, M. (2008) ‘Participant and Non-participant Observation in Gambling Environments’, </w:t>
      </w:r>
      <w:r w:rsidRPr="00ED2E17">
        <w:rPr>
          <w:rFonts w:ascii="Calibri" w:hAnsi="Calibri" w:cs="Calibri"/>
          <w:i/>
          <w:iCs/>
          <w:color w:val="000000"/>
          <w:sz w:val="24"/>
          <w:szCs w:val="24"/>
          <w:shd w:val="clear" w:color="auto" w:fill="FFFFFF"/>
        </w:rPr>
        <w:t>ENQUIRE</w:t>
      </w:r>
      <w:r w:rsidRPr="00ED2E17">
        <w:rPr>
          <w:rFonts w:ascii="Calibri" w:hAnsi="Calibri" w:cs="Calibri"/>
          <w:color w:val="000000"/>
          <w:sz w:val="24"/>
          <w:szCs w:val="24"/>
          <w:shd w:val="clear" w:color="auto" w:fill="FFFFFF"/>
        </w:rPr>
        <w:t>, 1(1).</w:t>
      </w:r>
    </w:p>
    <w:p w14:paraId="098A9011"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lastRenderedPageBreak/>
        <w:t>Qualitative-research.net (2019) </w:t>
      </w:r>
      <w:r w:rsidRPr="00ED2E17">
        <w:rPr>
          <w:rFonts w:ascii="Calibri" w:hAnsi="Calibri" w:cs="Calibri"/>
          <w:i/>
          <w:iCs/>
          <w:color w:val="000000"/>
          <w:sz w:val="24"/>
          <w:szCs w:val="24"/>
          <w:shd w:val="clear" w:color="auto" w:fill="FFFFFF"/>
        </w:rPr>
        <w:t xml:space="preserve">Forum Qualitative </w:t>
      </w:r>
      <w:proofErr w:type="spellStart"/>
      <w:r w:rsidRPr="00ED2E17">
        <w:rPr>
          <w:rFonts w:ascii="Calibri" w:hAnsi="Calibri" w:cs="Calibri"/>
          <w:i/>
          <w:iCs/>
          <w:color w:val="000000"/>
          <w:sz w:val="24"/>
          <w:szCs w:val="24"/>
          <w:shd w:val="clear" w:color="auto" w:fill="FFFFFF"/>
        </w:rPr>
        <w:t>Sozialforschung</w:t>
      </w:r>
      <w:proofErr w:type="spellEnd"/>
      <w:r w:rsidRPr="00ED2E17">
        <w:rPr>
          <w:rFonts w:ascii="Calibri" w:hAnsi="Calibri" w:cs="Calibri"/>
          <w:i/>
          <w:iCs/>
          <w:color w:val="000000"/>
          <w:sz w:val="24"/>
          <w:szCs w:val="24"/>
          <w:shd w:val="clear" w:color="auto" w:fill="FFFFFF"/>
        </w:rPr>
        <w:t xml:space="preserve"> / Forum: Qualitative Social Research</w:t>
      </w:r>
      <w:r w:rsidRPr="00ED2E17">
        <w:rPr>
          <w:rFonts w:ascii="Calibri" w:hAnsi="Calibri" w:cs="Calibri"/>
          <w:color w:val="000000"/>
          <w:sz w:val="24"/>
          <w:szCs w:val="24"/>
          <w:shd w:val="clear" w:color="auto" w:fill="FFFFFF"/>
        </w:rPr>
        <w:t>. Available at: http://www.qualitative-research.net/index.php/fqs [Accessed 19 Feb. 2019].</w:t>
      </w:r>
    </w:p>
    <w:p w14:paraId="23C5A0AA"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Ramaswamy, C. (2015) Is your child sitting uncomfortably? Then we’ll begin. Available at: https://www.theguaridan.com/lifeandstyle/shortcuts/2015/apr/19/children-bad-backs- uncomfortable-school-chairs-campaign [Accessed on: 27.02.19)</w:t>
      </w:r>
    </w:p>
    <w:p w14:paraId="6FB14DFB"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Robinson, V., </w:t>
      </w:r>
      <w:proofErr w:type="spellStart"/>
      <w:r w:rsidRPr="00ED2E17">
        <w:rPr>
          <w:rFonts w:ascii="Calibri" w:hAnsi="Calibri" w:cs="Calibri"/>
          <w:sz w:val="24"/>
          <w:szCs w:val="24"/>
        </w:rPr>
        <w:t>Hohepa</w:t>
      </w:r>
      <w:proofErr w:type="spellEnd"/>
      <w:r w:rsidRPr="00ED2E17">
        <w:rPr>
          <w:rFonts w:ascii="Calibri" w:hAnsi="Calibri" w:cs="Calibri"/>
          <w:sz w:val="24"/>
          <w:szCs w:val="24"/>
        </w:rPr>
        <w:t xml:space="preserve">, M., &amp; Lloyd, C. (2009) </w:t>
      </w:r>
      <w:r w:rsidRPr="00ED2E17">
        <w:rPr>
          <w:rFonts w:ascii="Calibri" w:hAnsi="Calibri" w:cs="Calibri"/>
          <w:i/>
          <w:sz w:val="24"/>
          <w:szCs w:val="24"/>
        </w:rPr>
        <w:t>School leadership and student outcomes: identifying what works and why best evidence synthesis</w:t>
      </w:r>
      <w:r w:rsidRPr="00ED2E17">
        <w:rPr>
          <w:rFonts w:ascii="Calibri" w:hAnsi="Calibri" w:cs="Calibri"/>
          <w:sz w:val="24"/>
          <w:szCs w:val="24"/>
        </w:rPr>
        <w:t>. Auckland: New Zealand Ministry of Education.</w:t>
      </w:r>
    </w:p>
    <w:p w14:paraId="0009872E"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Schilling, D. L., Washington, K., Billingsley, F.F, &amp; </w:t>
      </w:r>
      <w:proofErr w:type="spellStart"/>
      <w:r w:rsidRPr="00ED2E17">
        <w:rPr>
          <w:rFonts w:ascii="Calibri" w:hAnsi="Calibri" w:cs="Calibri"/>
          <w:sz w:val="24"/>
          <w:szCs w:val="24"/>
        </w:rPr>
        <w:t>Deitz</w:t>
      </w:r>
      <w:proofErr w:type="spellEnd"/>
      <w:r w:rsidRPr="00ED2E17">
        <w:rPr>
          <w:rFonts w:ascii="Calibri" w:hAnsi="Calibri" w:cs="Calibri"/>
          <w:sz w:val="24"/>
          <w:szCs w:val="24"/>
        </w:rPr>
        <w:t xml:space="preserve">, J. (2003) ‘Classroom seating for children with attention deficit hyperactivity disorder: therapy balls versus chairs’, </w:t>
      </w:r>
      <w:r w:rsidRPr="00ED2E17">
        <w:rPr>
          <w:rFonts w:ascii="Calibri" w:hAnsi="Calibri" w:cs="Calibri"/>
          <w:i/>
          <w:sz w:val="24"/>
          <w:szCs w:val="24"/>
        </w:rPr>
        <w:t>American Journal of Occupational Therapy</w:t>
      </w:r>
      <w:r w:rsidRPr="00ED2E17">
        <w:rPr>
          <w:rFonts w:ascii="Calibri" w:hAnsi="Calibri" w:cs="Calibri"/>
          <w:sz w:val="24"/>
          <w:szCs w:val="24"/>
        </w:rPr>
        <w:t>,</w:t>
      </w:r>
      <w:r w:rsidRPr="00ED2E17">
        <w:rPr>
          <w:rFonts w:ascii="Calibri" w:hAnsi="Calibri" w:cs="Calibri"/>
          <w:i/>
          <w:sz w:val="24"/>
          <w:szCs w:val="24"/>
        </w:rPr>
        <w:t xml:space="preserve"> </w:t>
      </w:r>
      <w:r w:rsidRPr="00ED2E17">
        <w:rPr>
          <w:rFonts w:ascii="Calibri" w:hAnsi="Calibri" w:cs="Calibri"/>
          <w:sz w:val="24"/>
          <w:szCs w:val="24"/>
        </w:rPr>
        <w:t>57. Pp. 534-541.</w:t>
      </w:r>
    </w:p>
    <w:p w14:paraId="08939FE5"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sz w:val="24"/>
          <w:szCs w:val="24"/>
        </w:rPr>
        <w:t xml:space="preserve">Schilling, D. L. &amp; Schwartz, I. S. (2004) ‘Alternative seating for young children with autism spectrum disorder: Effects on classroom </w:t>
      </w:r>
      <w:proofErr w:type="spellStart"/>
      <w:r w:rsidRPr="00ED2E17">
        <w:rPr>
          <w:sz w:val="24"/>
          <w:szCs w:val="24"/>
        </w:rPr>
        <w:t>behaviors</w:t>
      </w:r>
      <w:proofErr w:type="spellEnd"/>
      <w:r w:rsidRPr="00ED2E17">
        <w:rPr>
          <w:sz w:val="24"/>
          <w:szCs w:val="24"/>
        </w:rPr>
        <w:t xml:space="preserve">’, </w:t>
      </w:r>
      <w:r w:rsidRPr="00ED2E17">
        <w:rPr>
          <w:i/>
          <w:sz w:val="24"/>
          <w:szCs w:val="24"/>
        </w:rPr>
        <w:t>Journal of Autism Developmental Disorders</w:t>
      </w:r>
      <w:r w:rsidRPr="00ED2E17">
        <w:rPr>
          <w:sz w:val="24"/>
          <w:szCs w:val="24"/>
        </w:rPr>
        <w:t>, 34(4) pp. 423.</w:t>
      </w:r>
    </w:p>
    <w:p w14:paraId="2269BFCE"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 xml:space="preserve">Scott, J. and Marshall, G. (2009) </w:t>
      </w:r>
      <w:r w:rsidRPr="00ED2E17">
        <w:rPr>
          <w:rFonts w:ascii="Calibri" w:hAnsi="Calibri" w:cs="Calibri"/>
          <w:i/>
          <w:iCs/>
          <w:color w:val="000000"/>
          <w:sz w:val="24"/>
          <w:szCs w:val="24"/>
          <w:shd w:val="clear" w:color="auto" w:fill="FFFFFF"/>
        </w:rPr>
        <w:t>A dictionary of Sociology</w:t>
      </w:r>
      <w:r w:rsidRPr="00ED2E17">
        <w:rPr>
          <w:rFonts w:ascii="Calibri" w:hAnsi="Calibri" w:cs="Calibri"/>
          <w:color w:val="000000"/>
          <w:sz w:val="24"/>
          <w:szCs w:val="24"/>
          <w:shd w:val="clear" w:color="auto" w:fill="FFFFFF"/>
        </w:rPr>
        <w:t>. 3rd ed. London: Oxford University Press.</w:t>
      </w:r>
    </w:p>
    <w:p w14:paraId="4DEFF807" w14:textId="77777777" w:rsidR="00906D28" w:rsidRPr="00ED2E17" w:rsidRDefault="00906D28" w:rsidP="00906D28">
      <w:pPr>
        <w:pStyle w:val="ListParagraph"/>
        <w:numPr>
          <w:ilvl w:val="0"/>
          <w:numId w:val="9"/>
        </w:numPr>
        <w:spacing w:after="160" w:line="360" w:lineRule="auto"/>
        <w:rPr>
          <w:rFonts w:ascii="Calibri" w:hAnsi="Calibri" w:cs="Calibri"/>
          <w:color w:val="000000"/>
          <w:sz w:val="24"/>
          <w:szCs w:val="24"/>
          <w:shd w:val="clear" w:color="auto" w:fill="FFFFFF"/>
        </w:rPr>
      </w:pPr>
      <w:r w:rsidRPr="00ED2E17">
        <w:rPr>
          <w:rFonts w:ascii="Calibri" w:hAnsi="Calibri" w:cs="Calibri"/>
          <w:color w:val="000000"/>
          <w:sz w:val="24"/>
          <w:szCs w:val="24"/>
          <w:shd w:val="clear" w:color="auto" w:fill="FFFFFF"/>
        </w:rPr>
        <w:t>Teijlingen, E. and Hundley, V. (2002) ‘The importance of pilot studies’, </w:t>
      </w:r>
      <w:r w:rsidRPr="00ED2E17">
        <w:rPr>
          <w:rFonts w:ascii="Calibri" w:hAnsi="Calibri" w:cs="Calibri"/>
          <w:i/>
          <w:iCs/>
          <w:color w:val="000000"/>
          <w:sz w:val="24"/>
          <w:szCs w:val="24"/>
          <w:shd w:val="clear" w:color="auto" w:fill="FFFFFF"/>
        </w:rPr>
        <w:t>Nursing Standard</w:t>
      </w:r>
      <w:r w:rsidRPr="00ED2E17">
        <w:rPr>
          <w:rFonts w:ascii="Calibri" w:hAnsi="Calibri" w:cs="Calibri"/>
          <w:color w:val="000000"/>
          <w:sz w:val="24"/>
          <w:szCs w:val="24"/>
          <w:shd w:val="clear" w:color="auto" w:fill="FFFFFF"/>
        </w:rPr>
        <w:t xml:space="preserve">, 16(40), pp. 33-36. </w:t>
      </w:r>
    </w:p>
    <w:p w14:paraId="0A0B0308"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bookmarkStart w:id="5" w:name="_Hlk2440470"/>
      <w:r w:rsidRPr="00ED2E17">
        <w:rPr>
          <w:rFonts w:ascii="Calibri" w:hAnsi="Calibri" w:cs="Calibri"/>
          <w:sz w:val="24"/>
          <w:szCs w:val="24"/>
        </w:rPr>
        <w:t xml:space="preserve">Umeda, C. and </w:t>
      </w:r>
      <w:proofErr w:type="spellStart"/>
      <w:r w:rsidRPr="00ED2E17">
        <w:rPr>
          <w:rFonts w:ascii="Calibri" w:hAnsi="Calibri" w:cs="Calibri"/>
          <w:sz w:val="24"/>
          <w:szCs w:val="24"/>
        </w:rPr>
        <w:t>Deitz</w:t>
      </w:r>
      <w:proofErr w:type="spellEnd"/>
      <w:r w:rsidRPr="00ED2E17">
        <w:rPr>
          <w:rFonts w:ascii="Calibri" w:hAnsi="Calibri" w:cs="Calibri"/>
          <w:sz w:val="24"/>
          <w:szCs w:val="24"/>
        </w:rPr>
        <w:t>, J. (2011)</w:t>
      </w:r>
      <w:bookmarkEnd w:id="5"/>
      <w:r w:rsidRPr="00ED2E17">
        <w:rPr>
          <w:rFonts w:ascii="Calibri" w:hAnsi="Calibri" w:cs="Calibri"/>
          <w:sz w:val="24"/>
          <w:szCs w:val="24"/>
        </w:rPr>
        <w:t xml:space="preserve"> ‘Effects of Therapy Cushions on Classroom </w:t>
      </w:r>
      <w:proofErr w:type="spellStart"/>
      <w:r w:rsidRPr="00ED2E17">
        <w:rPr>
          <w:rFonts w:ascii="Calibri" w:hAnsi="Calibri" w:cs="Calibri"/>
          <w:sz w:val="24"/>
          <w:szCs w:val="24"/>
        </w:rPr>
        <w:t>Behaviors</w:t>
      </w:r>
      <w:proofErr w:type="spellEnd"/>
      <w:r w:rsidRPr="00ED2E17">
        <w:rPr>
          <w:rFonts w:ascii="Calibri" w:hAnsi="Calibri" w:cs="Calibri"/>
          <w:sz w:val="24"/>
          <w:szCs w:val="24"/>
        </w:rPr>
        <w:t xml:space="preserve"> of Children </w:t>
      </w:r>
      <w:proofErr w:type="gramStart"/>
      <w:r w:rsidRPr="00ED2E17">
        <w:rPr>
          <w:rFonts w:ascii="Calibri" w:hAnsi="Calibri" w:cs="Calibri"/>
          <w:sz w:val="24"/>
          <w:szCs w:val="24"/>
        </w:rPr>
        <w:t>With</w:t>
      </w:r>
      <w:proofErr w:type="gramEnd"/>
      <w:r w:rsidRPr="00ED2E17">
        <w:rPr>
          <w:rFonts w:ascii="Calibri" w:hAnsi="Calibri" w:cs="Calibri"/>
          <w:sz w:val="24"/>
          <w:szCs w:val="24"/>
        </w:rPr>
        <w:t xml:space="preserve"> Autism Spectrum Disorder’, </w:t>
      </w:r>
      <w:r w:rsidRPr="00ED2E17">
        <w:rPr>
          <w:rFonts w:ascii="Calibri" w:hAnsi="Calibri" w:cs="Calibri"/>
          <w:i/>
          <w:sz w:val="24"/>
          <w:szCs w:val="24"/>
        </w:rPr>
        <w:t>American Journal of Occupational Therapy,</w:t>
      </w:r>
      <w:r w:rsidRPr="00ED2E17">
        <w:rPr>
          <w:rFonts w:ascii="Calibri" w:hAnsi="Calibri" w:cs="Calibri"/>
          <w:sz w:val="24"/>
          <w:szCs w:val="24"/>
        </w:rPr>
        <w:t xml:space="preserve"> 65(2), pp.152-159.</w:t>
      </w:r>
    </w:p>
    <w:p w14:paraId="637FFF41" w14:textId="77777777" w:rsidR="00906D28" w:rsidRPr="00ED2E17" w:rsidRDefault="00906D28" w:rsidP="00906D28">
      <w:pPr>
        <w:pStyle w:val="ListParagraph"/>
        <w:numPr>
          <w:ilvl w:val="0"/>
          <w:numId w:val="9"/>
        </w:numPr>
        <w:spacing w:after="160" w:line="360" w:lineRule="auto"/>
        <w:rPr>
          <w:rFonts w:ascii="Calibri" w:hAnsi="Calibri" w:cs="Calibri"/>
          <w:sz w:val="24"/>
          <w:szCs w:val="24"/>
        </w:rPr>
      </w:pPr>
      <w:r w:rsidRPr="00ED2E17">
        <w:rPr>
          <w:rFonts w:ascii="Calibri" w:hAnsi="Calibri" w:cs="Calibri"/>
          <w:sz w:val="24"/>
          <w:szCs w:val="24"/>
        </w:rPr>
        <w:t xml:space="preserve">UWTSD Research Ethics &amp; Integrity Code of Practice (2017) Available at: </w:t>
      </w:r>
      <w:hyperlink r:id="rId9" w:history="1">
        <w:r w:rsidRPr="00ED2E17">
          <w:rPr>
            <w:rStyle w:val="Hyperlink"/>
            <w:rFonts w:ascii="Calibri" w:hAnsi="Calibri" w:cs="Calibri"/>
            <w:sz w:val="24"/>
            <w:szCs w:val="24"/>
          </w:rPr>
          <w:t>https://www.uwtsd.ac.uk/media/uwtsd-website/content-assets/documents/research/research-ethics-integrity-code-practice.pdf</w:t>
        </w:r>
      </w:hyperlink>
      <w:r w:rsidRPr="00ED2E17">
        <w:rPr>
          <w:rFonts w:ascii="Calibri" w:hAnsi="Calibri" w:cs="Calibri"/>
          <w:sz w:val="24"/>
          <w:szCs w:val="24"/>
        </w:rPr>
        <w:t xml:space="preserve"> [Accessed on: 05.02.19]</w:t>
      </w:r>
    </w:p>
    <w:p w14:paraId="4070470A" w14:textId="77777777" w:rsidR="00906D28" w:rsidRPr="00ED2E17" w:rsidRDefault="00906D28" w:rsidP="00906D28">
      <w:pPr>
        <w:pStyle w:val="ListParagraph"/>
        <w:numPr>
          <w:ilvl w:val="0"/>
          <w:numId w:val="9"/>
        </w:numPr>
        <w:spacing w:after="0" w:line="360" w:lineRule="auto"/>
        <w:textAlignment w:val="baseline"/>
        <w:outlineLvl w:val="0"/>
        <w:rPr>
          <w:rFonts w:ascii="Calibri" w:hAnsi="Calibri" w:cs="Calibri"/>
          <w:sz w:val="24"/>
          <w:szCs w:val="24"/>
        </w:rPr>
      </w:pPr>
      <w:r w:rsidRPr="00ED2E17">
        <w:rPr>
          <w:rFonts w:ascii="Calibri" w:hAnsi="Calibri" w:cs="Calibri"/>
          <w:sz w:val="24"/>
          <w:szCs w:val="24"/>
        </w:rPr>
        <w:t xml:space="preserve">Webber, K. L., </w:t>
      </w:r>
      <w:proofErr w:type="spellStart"/>
      <w:r w:rsidRPr="00ED2E17">
        <w:rPr>
          <w:rFonts w:ascii="Calibri" w:hAnsi="Calibri" w:cs="Calibri"/>
          <w:sz w:val="24"/>
          <w:szCs w:val="24"/>
        </w:rPr>
        <w:t>Krylow</w:t>
      </w:r>
      <w:proofErr w:type="spellEnd"/>
      <w:r w:rsidRPr="00ED2E17">
        <w:rPr>
          <w:rFonts w:ascii="Calibri" w:hAnsi="Calibri" w:cs="Calibri"/>
          <w:sz w:val="24"/>
          <w:szCs w:val="24"/>
        </w:rPr>
        <w:t xml:space="preserve">, R. B., &amp; Zhang, Q. (2013) ‘Does involvement really matter? Indicators of college student success and satisfaction’, </w:t>
      </w:r>
      <w:r w:rsidRPr="00ED2E17">
        <w:rPr>
          <w:rFonts w:ascii="Calibri" w:hAnsi="Calibri" w:cs="Calibri"/>
          <w:i/>
          <w:sz w:val="24"/>
          <w:szCs w:val="24"/>
        </w:rPr>
        <w:t>Journal of College Student Development</w:t>
      </w:r>
      <w:r w:rsidRPr="00ED2E17">
        <w:rPr>
          <w:rFonts w:ascii="Calibri" w:hAnsi="Calibri" w:cs="Calibri"/>
          <w:sz w:val="24"/>
          <w:szCs w:val="24"/>
        </w:rPr>
        <w:t>, 54, pp. 591–611.</w:t>
      </w:r>
    </w:p>
    <w:p w14:paraId="25299A96" w14:textId="77777777" w:rsidR="00066DA5" w:rsidRPr="00613E9A" w:rsidRDefault="00066DA5" w:rsidP="00073A40">
      <w:pPr>
        <w:spacing w:line="360" w:lineRule="auto"/>
        <w:jc w:val="both"/>
        <w:rPr>
          <w:rFonts w:ascii="Calibri" w:hAnsi="Calibri" w:cs="Calibri"/>
          <w:color w:val="222222"/>
          <w:sz w:val="24"/>
          <w:szCs w:val="24"/>
        </w:rPr>
      </w:pPr>
    </w:p>
    <w:p w14:paraId="0F6B4CA7" w14:textId="77777777" w:rsidR="00B14EBE" w:rsidRPr="00B14EBE" w:rsidRDefault="00B14EBE" w:rsidP="00B14EBE">
      <w:pPr>
        <w:rPr>
          <w:rFonts w:cstheme="minorHAnsi"/>
          <w:sz w:val="24"/>
        </w:rPr>
      </w:pPr>
    </w:p>
    <w:sectPr w:rsidR="00B14EBE" w:rsidRPr="00B14EBE" w:rsidSect="00167FD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DACC0" w14:textId="77777777" w:rsidR="00C4578D" w:rsidRDefault="00C4578D" w:rsidP="00B14EBE">
      <w:pPr>
        <w:spacing w:after="0" w:line="240" w:lineRule="auto"/>
      </w:pPr>
      <w:r>
        <w:separator/>
      </w:r>
    </w:p>
  </w:endnote>
  <w:endnote w:type="continuationSeparator" w:id="0">
    <w:p w14:paraId="11089AF0" w14:textId="77777777" w:rsidR="00C4578D" w:rsidRDefault="00C4578D" w:rsidP="00B14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6859601"/>
      <w:docPartObj>
        <w:docPartGallery w:val="Page Numbers (Bottom of Page)"/>
        <w:docPartUnique/>
      </w:docPartObj>
    </w:sdtPr>
    <w:sdtEndPr>
      <w:rPr>
        <w:noProof/>
      </w:rPr>
    </w:sdtEndPr>
    <w:sdtContent>
      <w:p w14:paraId="406E9ED0" w14:textId="2355C2C0" w:rsidR="00613E9A" w:rsidRDefault="00613E9A" w:rsidP="00D83D2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0CBC1A2" w14:textId="77777777" w:rsidR="00613E9A" w:rsidRDefault="00613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CEAA1" w14:textId="77777777" w:rsidR="00C4578D" w:rsidRDefault="00C4578D" w:rsidP="00B14EBE">
      <w:pPr>
        <w:spacing w:after="0" w:line="240" w:lineRule="auto"/>
      </w:pPr>
      <w:r>
        <w:separator/>
      </w:r>
    </w:p>
  </w:footnote>
  <w:footnote w:type="continuationSeparator" w:id="0">
    <w:p w14:paraId="18707B1A" w14:textId="77777777" w:rsidR="00C4578D" w:rsidRDefault="00C4578D" w:rsidP="00B14E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1B370" w14:textId="77777777" w:rsidR="00613E9A" w:rsidRDefault="00613E9A">
    <w:pPr>
      <w:pStyle w:val="Header"/>
    </w:pPr>
    <w:r>
      <w:t>Annie-Louise Merchant</w:t>
    </w:r>
    <w:r>
      <w:tab/>
    </w:r>
    <w:r>
      <w:tab/>
      <w:t>1800693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F0091"/>
    <w:multiLevelType w:val="hybridMultilevel"/>
    <w:tmpl w:val="EECA7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02996"/>
    <w:multiLevelType w:val="hybridMultilevel"/>
    <w:tmpl w:val="4EEE90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85849"/>
    <w:multiLevelType w:val="hybridMultilevel"/>
    <w:tmpl w:val="8348C8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280581"/>
    <w:multiLevelType w:val="hybridMultilevel"/>
    <w:tmpl w:val="AC2ED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3350F2"/>
    <w:multiLevelType w:val="hybridMultilevel"/>
    <w:tmpl w:val="4EE4F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64817FA"/>
    <w:multiLevelType w:val="hybridMultilevel"/>
    <w:tmpl w:val="1DDC0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8F3890"/>
    <w:multiLevelType w:val="hybridMultilevel"/>
    <w:tmpl w:val="4516F1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EBE"/>
    <w:rsid w:val="0001461E"/>
    <w:rsid w:val="0001756E"/>
    <w:rsid w:val="00024A8A"/>
    <w:rsid w:val="000456AA"/>
    <w:rsid w:val="00063282"/>
    <w:rsid w:val="00066DA5"/>
    <w:rsid w:val="0006726F"/>
    <w:rsid w:val="00067A91"/>
    <w:rsid w:val="00073309"/>
    <w:rsid w:val="00073A40"/>
    <w:rsid w:val="000A6F78"/>
    <w:rsid w:val="000F30A0"/>
    <w:rsid w:val="0010015B"/>
    <w:rsid w:val="00106A44"/>
    <w:rsid w:val="00123FB3"/>
    <w:rsid w:val="00125B0B"/>
    <w:rsid w:val="00130336"/>
    <w:rsid w:val="00131519"/>
    <w:rsid w:val="00132105"/>
    <w:rsid w:val="00133EB2"/>
    <w:rsid w:val="00137B7B"/>
    <w:rsid w:val="0014111A"/>
    <w:rsid w:val="00152592"/>
    <w:rsid w:val="00154305"/>
    <w:rsid w:val="00161CCA"/>
    <w:rsid w:val="0016400B"/>
    <w:rsid w:val="00167FD1"/>
    <w:rsid w:val="0018505F"/>
    <w:rsid w:val="001854CA"/>
    <w:rsid w:val="0019338C"/>
    <w:rsid w:val="001A02EC"/>
    <w:rsid w:val="001B436A"/>
    <w:rsid w:val="001B71E7"/>
    <w:rsid w:val="001D4369"/>
    <w:rsid w:val="001D45EC"/>
    <w:rsid w:val="001D6E6B"/>
    <w:rsid w:val="001E2974"/>
    <w:rsid w:val="001E741F"/>
    <w:rsid w:val="001F5A00"/>
    <w:rsid w:val="00206DA6"/>
    <w:rsid w:val="002408B5"/>
    <w:rsid w:val="00265554"/>
    <w:rsid w:val="0026634C"/>
    <w:rsid w:val="0027162C"/>
    <w:rsid w:val="002808C4"/>
    <w:rsid w:val="00283030"/>
    <w:rsid w:val="002A3FC3"/>
    <w:rsid w:val="002B3FFD"/>
    <w:rsid w:val="002C69D6"/>
    <w:rsid w:val="002F098F"/>
    <w:rsid w:val="002F45C3"/>
    <w:rsid w:val="00300665"/>
    <w:rsid w:val="00301227"/>
    <w:rsid w:val="00304B0E"/>
    <w:rsid w:val="00307FBB"/>
    <w:rsid w:val="00331283"/>
    <w:rsid w:val="00342A42"/>
    <w:rsid w:val="0034770E"/>
    <w:rsid w:val="00373298"/>
    <w:rsid w:val="00380151"/>
    <w:rsid w:val="00394025"/>
    <w:rsid w:val="003A54B5"/>
    <w:rsid w:val="003C17CF"/>
    <w:rsid w:val="003E5C6B"/>
    <w:rsid w:val="0040754C"/>
    <w:rsid w:val="0041343B"/>
    <w:rsid w:val="00435452"/>
    <w:rsid w:val="004461A5"/>
    <w:rsid w:val="0044697B"/>
    <w:rsid w:val="004719BA"/>
    <w:rsid w:val="00477A74"/>
    <w:rsid w:val="00482464"/>
    <w:rsid w:val="00486B37"/>
    <w:rsid w:val="004A08BB"/>
    <w:rsid w:val="004A147E"/>
    <w:rsid w:val="004A1B1F"/>
    <w:rsid w:val="004B3D83"/>
    <w:rsid w:val="004B4CEE"/>
    <w:rsid w:val="004B652B"/>
    <w:rsid w:val="004E49E1"/>
    <w:rsid w:val="004E5669"/>
    <w:rsid w:val="004F09D3"/>
    <w:rsid w:val="00501104"/>
    <w:rsid w:val="00522FD1"/>
    <w:rsid w:val="00570EBD"/>
    <w:rsid w:val="005C1373"/>
    <w:rsid w:val="005C6A4A"/>
    <w:rsid w:val="005D451D"/>
    <w:rsid w:val="00613E9A"/>
    <w:rsid w:val="00617419"/>
    <w:rsid w:val="00653A44"/>
    <w:rsid w:val="00665058"/>
    <w:rsid w:val="0067417E"/>
    <w:rsid w:val="0067687B"/>
    <w:rsid w:val="0068466F"/>
    <w:rsid w:val="00692751"/>
    <w:rsid w:val="0069695E"/>
    <w:rsid w:val="006A0FA6"/>
    <w:rsid w:val="006A3FB3"/>
    <w:rsid w:val="006A542B"/>
    <w:rsid w:val="006A7D80"/>
    <w:rsid w:val="006C600E"/>
    <w:rsid w:val="006D1133"/>
    <w:rsid w:val="006D3816"/>
    <w:rsid w:val="006F1EFC"/>
    <w:rsid w:val="0070469B"/>
    <w:rsid w:val="007079D1"/>
    <w:rsid w:val="007233C0"/>
    <w:rsid w:val="00737921"/>
    <w:rsid w:val="007678E4"/>
    <w:rsid w:val="007837E3"/>
    <w:rsid w:val="00791580"/>
    <w:rsid w:val="0079293E"/>
    <w:rsid w:val="007C2ECA"/>
    <w:rsid w:val="007C50EE"/>
    <w:rsid w:val="007C7619"/>
    <w:rsid w:val="007E122B"/>
    <w:rsid w:val="00817FE3"/>
    <w:rsid w:val="008275D5"/>
    <w:rsid w:val="0083173A"/>
    <w:rsid w:val="008435FE"/>
    <w:rsid w:val="00847362"/>
    <w:rsid w:val="00856B15"/>
    <w:rsid w:val="008613FF"/>
    <w:rsid w:val="00881D4D"/>
    <w:rsid w:val="00883A4E"/>
    <w:rsid w:val="00893E32"/>
    <w:rsid w:val="008A35C4"/>
    <w:rsid w:val="008B33F7"/>
    <w:rsid w:val="008C35F8"/>
    <w:rsid w:val="008C6598"/>
    <w:rsid w:val="008D6E81"/>
    <w:rsid w:val="008E25F7"/>
    <w:rsid w:val="008F6C28"/>
    <w:rsid w:val="008F747B"/>
    <w:rsid w:val="00906D28"/>
    <w:rsid w:val="00922B2F"/>
    <w:rsid w:val="0092792E"/>
    <w:rsid w:val="00927F87"/>
    <w:rsid w:val="00932DE1"/>
    <w:rsid w:val="00942FCE"/>
    <w:rsid w:val="009473A0"/>
    <w:rsid w:val="00963BD9"/>
    <w:rsid w:val="00981FD5"/>
    <w:rsid w:val="009A0A2A"/>
    <w:rsid w:val="009A133C"/>
    <w:rsid w:val="009A6BF8"/>
    <w:rsid w:val="009B4630"/>
    <w:rsid w:val="009C42B5"/>
    <w:rsid w:val="009D1CEB"/>
    <w:rsid w:val="009D74C8"/>
    <w:rsid w:val="009E198C"/>
    <w:rsid w:val="009E1B96"/>
    <w:rsid w:val="009E5CEB"/>
    <w:rsid w:val="009F66AB"/>
    <w:rsid w:val="00A055B4"/>
    <w:rsid w:val="00A07307"/>
    <w:rsid w:val="00A33A4D"/>
    <w:rsid w:val="00A3764B"/>
    <w:rsid w:val="00A42E01"/>
    <w:rsid w:val="00A468B1"/>
    <w:rsid w:val="00A502BF"/>
    <w:rsid w:val="00A61A08"/>
    <w:rsid w:val="00A71A9C"/>
    <w:rsid w:val="00A9481E"/>
    <w:rsid w:val="00AB0C4A"/>
    <w:rsid w:val="00AE2A49"/>
    <w:rsid w:val="00AF2E0A"/>
    <w:rsid w:val="00AF5022"/>
    <w:rsid w:val="00B10533"/>
    <w:rsid w:val="00B14EBE"/>
    <w:rsid w:val="00B17B93"/>
    <w:rsid w:val="00B359E9"/>
    <w:rsid w:val="00B6617F"/>
    <w:rsid w:val="00B72033"/>
    <w:rsid w:val="00B7505F"/>
    <w:rsid w:val="00B92112"/>
    <w:rsid w:val="00B925C2"/>
    <w:rsid w:val="00B94B62"/>
    <w:rsid w:val="00BA4A67"/>
    <w:rsid w:val="00BD4324"/>
    <w:rsid w:val="00C003DA"/>
    <w:rsid w:val="00C0572C"/>
    <w:rsid w:val="00C17F1E"/>
    <w:rsid w:val="00C4578D"/>
    <w:rsid w:val="00C529DB"/>
    <w:rsid w:val="00C6506A"/>
    <w:rsid w:val="00C72D85"/>
    <w:rsid w:val="00CC788D"/>
    <w:rsid w:val="00CE1EA4"/>
    <w:rsid w:val="00CE1EB6"/>
    <w:rsid w:val="00CE5054"/>
    <w:rsid w:val="00CE5DF1"/>
    <w:rsid w:val="00D0306A"/>
    <w:rsid w:val="00D12452"/>
    <w:rsid w:val="00D1402A"/>
    <w:rsid w:val="00D256FC"/>
    <w:rsid w:val="00D3109C"/>
    <w:rsid w:val="00D331B3"/>
    <w:rsid w:val="00D401D4"/>
    <w:rsid w:val="00D56067"/>
    <w:rsid w:val="00D6703B"/>
    <w:rsid w:val="00D7339A"/>
    <w:rsid w:val="00D7654C"/>
    <w:rsid w:val="00D83D29"/>
    <w:rsid w:val="00D85BBC"/>
    <w:rsid w:val="00DA6B39"/>
    <w:rsid w:val="00DE5E95"/>
    <w:rsid w:val="00E10990"/>
    <w:rsid w:val="00E11BE9"/>
    <w:rsid w:val="00E26732"/>
    <w:rsid w:val="00E366A6"/>
    <w:rsid w:val="00E42EF0"/>
    <w:rsid w:val="00E43E52"/>
    <w:rsid w:val="00E455EA"/>
    <w:rsid w:val="00E46447"/>
    <w:rsid w:val="00E607A6"/>
    <w:rsid w:val="00E70051"/>
    <w:rsid w:val="00E7074E"/>
    <w:rsid w:val="00EA5E33"/>
    <w:rsid w:val="00ED317E"/>
    <w:rsid w:val="00EE2F83"/>
    <w:rsid w:val="00EE3C74"/>
    <w:rsid w:val="00EE52AC"/>
    <w:rsid w:val="00F12B79"/>
    <w:rsid w:val="00F7064D"/>
    <w:rsid w:val="00F77EC1"/>
    <w:rsid w:val="00FB2936"/>
    <w:rsid w:val="00FC0EE5"/>
    <w:rsid w:val="00FC32C2"/>
    <w:rsid w:val="00FE074E"/>
    <w:rsid w:val="00FE49E0"/>
    <w:rsid w:val="00FE694B"/>
    <w:rsid w:val="00FF15D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01D50"/>
  <w15:chartTrackingRefBased/>
  <w15:docId w15:val="{8AA9E6EC-39D9-4E22-9B5D-CB4CB555D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7F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4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EBE"/>
  </w:style>
  <w:style w:type="paragraph" w:styleId="Footer">
    <w:name w:val="footer"/>
    <w:basedOn w:val="Normal"/>
    <w:link w:val="FooterChar"/>
    <w:uiPriority w:val="99"/>
    <w:unhideWhenUsed/>
    <w:rsid w:val="00B14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EBE"/>
  </w:style>
  <w:style w:type="paragraph" w:styleId="ListParagraph">
    <w:name w:val="List Paragraph"/>
    <w:basedOn w:val="Normal"/>
    <w:uiPriority w:val="34"/>
    <w:qFormat/>
    <w:rsid w:val="00B14EBE"/>
    <w:pPr>
      <w:spacing w:after="200" w:line="276" w:lineRule="auto"/>
      <w:ind w:left="720"/>
      <w:contextualSpacing/>
    </w:pPr>
  </w:style>
  <w:style w:type="character" w:styleId="CommentReference">
    <w:name w:val="annotation reference"/>
    <w:basedOn w:val="DefaultParagraphFont"/>
    <w:uiPriority w:val="99"/>
    <w:semiHidden/>
    <w:unhideWhenUsed/>
    <w:rsid w:val="00B7505F"/>
    <w:rPr>
      <w:sz w:val="16"/>
      <w:szCs w:val="16"/>
    </w:rPr>
  </w:style>
  <w:style w:type="paragraph" w:styleId="CommentText">
    <w:name w:val="annotation text"/>
    <w:basedOn w:val="Normal"/>
    <w:link w:val="CommentTextChar"/>
    <w:uiPriority w:val="99"/>
    <w:semiHidden/>
    <w:unhideWhenUsed/>
    <w:rsid w:val="00B7505F"/>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B7505F"/>
    <w:rPr>
      <w:sz w:val="20"/>
      <w:szCs w:val="20"/>
    </w:rPr>
  </w:style>
  <w:style w:type="paragraph" w:styleId="BalloonText">
    <w:name w:val="Balloon Text"/>
    <w:basedOn w:val="Normal"/>
    <w:link w:val="BalloonTextChar"/>
    <w:uiPriority w:val="99"/>
    <w:semiHidden/>
    <w:unhideWhenUsed/>
    <w:rsid w:val="00B750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05F"/>
    <w:rPr>
      <w:rFonts w:ascii="Segoe UI" w:hAnsi="Segoe UI" w:cs="Segoe UI"/>
      <w:sz w:val="18"/>
      <w:szCs w:val="18"/>
    </w:rPr>
  </w:style>
  <w:style w:type="character" w:styleId="Hyperlink">
    <w:name w:val="Hyperlink"/>
    <w:basedOn w:val="DefaultParagraphFont"/>
    <w:uiPriority w:val="99"/>
    <w:unhideWhenUsed/>
    <w:rsid w:val="00906D28"/>
    <w:rPr>
      <w:color w:val="0563C1" w:themeColor="hyperlink"/>
      <w:u w:val="single"/>
    </w:rPr>
  </w:style>
  <w:style w:type="character" w:styleId="Emphasis">
    <w:name w:val="Emphasis"/>
    <w:basedOn w:val="DefaultParagraphFont"/>
    <w:uiPriority w:val="20"/>
    <w:qFormat/>
    <w:rsid w:val="00906D28"/>
    <w:rPr>
      <w:i/>
      <w:iCs/>
    </w:rPr>
  </w:style>
  <w:style w:type="character" w:customStyle="1" w:styleId="nlmyear">
    <w:name w:val="nlm_year"/>
    <w:basedOn w:val="DefaultParagraphFont"/>
    <w:rsid w:val="00906D28"/>
  </w:style>
  <w:style w:type="character" w:customStyle="1" w:styleId="nlmpublisher-loc">
    <w:name w:val="nlm_publisher-loc"/>
    <w:basedOn w:val="DefaultParagraphFont"/>
    <w:rsid w:val="00906D28"/>
  </w:style>
  <w:style w:type="character" w:customStyle="1" w:styleId="nlmpublisher-name">
    <w:name w:val="nlm_publisher-name"/>
    <w:basedOn w:val="DefaultParagraphFont"/>
    <w:rsid w:val="00906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wc.wales/site/index.php/en/policy-hub/practitioner-research/research-ethic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odle.uwtsd.ac.uk/pluginfile.php/133342/mod_resource/content/1/Lesson%20Study%20Handbook.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media/uwtsd-website/content-assets/documents/research/research-ethics-integrity-code-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4931</TotalTime>
  <Pages>21</Pages>
  <Words>7278</Words>
  <Characters>41489</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Annie-louise Merchant (1800693)</dc:creator>
  <cp:keywords/>
  <dc:description/>
  <cp:lastModifiedBy>Annie-louise Merchant</cp:lastModifiedBy>
  <cp:revision>101</cp:revision>
  <dcterms:created xsi:type="dcterms:W3CDTF">2019-01-23T13:45:00Z</dcterms:created>
  <dcterms:modified xsi:type="dcterms:W3CDTF">2019-03-03T15:58:00Z</dcterms:modified>
</cp:coreProperties>
</file>